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U.S. Securities and Exchange Commission on April 22, 2021.</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117475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117475</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MOLECULAR PARTNERS AG</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107315</wp:posOffset>
            </wp:positionV>
            <wp:extent cx="185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9"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5"/>
              </w:rPr>
              <w:t>Switzerland</w:t>
            </w:r>
          </w:p>
        </w:tc>
        <w:tc>
          <w:tcPr>
            <w:tcW w:w="388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2836</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1"/>
              </w:rPr>
              <w:t>Not applicable</w:t>
            </w:r>
          </w:p>
        </w:tc>
      </w:tr>
      <w:tr>
        <w:trPr>
          <w:trHeight w:val="192"/>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(State or other jurisdiction of</w:t>
            </w:r>
          </w:p>
        </w:tc>
        <w:tc>
          <w:tcPr>
            <w:tcW w:w="38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88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Classification Code Number)</w:t>
            </w:r>
          </w:p>
        </w:tc>
        <w:tc>
          <w:tcPr>
            <w:tcW w:w="2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6"/>
              </w:rPr>
              <w:t>Identification Number)</w:t>
            </w:r>
          </w:p>
        </w:tc>
      </w:tr>
      <w:tr>
        <w:trPr>
          <w:trHeight w:val="259"/>
        </w:trPr>
        <w:tc>
          <w:tcPr>
            <w:tcW w:w="2840" w:type="dxa"/>
            <w:vAlign w:val="bottom"/>
          </w:tcPr>
          <w:p>
            <w:pPr>
              <w:spacing w:after="0"/>
              <w:rPr>
                <w:sz w:val="22"/>
                <w:szCs w:val="22"/>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Wagistrasse 14</w:t>
            </w:r>
          </w:p>
        </w:tc>
        <w:tc>
          <w:tcPr>
            <w:tcW w:w="2520" w:type="dxa"/>
            <w:vAlign w:val="bottom"/>
          </w:tcPr>
          <w:p>
            <w:pPr>
              <w:spacing w:after="0"/>
              <w:rPr>
                <w:sz w:val="22"/>
                <w:szCs w:val="22"/>
                <w:color w:val="auto"/>
              </w:rPr>
            </w:pPr>
          </w:p>
        </w:tc>
      </w:tr>
      <w:tr>
        <w:trPr>
          <w:trHeight w:val="162"/>
        </w:trPr>
        <w:tc>
          <w:tcPr>
            <w:tcW w:w="2840" w:type="dxa"/>
            <w:vAlign w:val="bottom"/>
          </w:tcPr>
          <w:p>
            <w:pPr>
              <w:spacing w:after="0"/>
              <w:rPr>
                <w:sz w:val="14"/>
                <w:szCs w:val="14"/>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8952 Zürich-Schlieren</w:t>
            </w:r>
          </w:p>
        </w:tc>
        <w:tc>
          <w:tcPr>
            <w:tcW w:w="2520" w:type="dxa"/>
            <w:vAlign w:val="bottom"/>
          </w:tcPr>
          <w:p>
            <w:pPr>
              <w:spacing w:after="0"/>
              <w:rPr>
                <w:sz w:val="14"/>
                <w:szCs w:val="14"/>
                <w:color w:val="auto"/>
              </w:rPr>
            </w:pPr>
          </w:p>
        </w:tc>
      </w:tr>
      <w:tr>
        <w:trPr>
          <w:trHeight w:val="162"/>
        </w:trPr>
        <w:tc>
          <w:tcPr>
            <w:tcW w:w="2840" w:type="dxa"/>
            <w:vAlign w:val="bottom"/>
          </w:tcPr>
          <w:p>
            <w:pPr>
              <w:spacing w:after="0"/>
              <w:rPr>
                <w:sz w:val="14"/>
                <w:szCs w:val="14"/>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5"/>
              </w:rPr>
              <w:t>Switzerland</w:t>
            </w:r>
          </w:p>
        </w:tc>
        <w:tc>
          <w:tcPr>
            <w:tcW w:w="2520" w:type="dxa"/>
            <w:vAlign w:val="bottom"/>
          </w:tcPr>
          <w:p>
            <w:pPr>
              <w:spacing w:after="0"/>
              <w:rPr>
                <w:sz w:val="14"/>
                <w:szCs w:val="14"/>
                <w:color w:val="auto"/>
              </w:rPr>
            </w:pPr>
          </w:p>
        </w:tc>
      </w:tr>
      <w:tr>
        <w:trPr>
          <w:trHeight w:val="178"/>
        </w:trPr>
        <w:tc>
          <w:tcPr>
            <w:tcW w:w="2840" w:type="dxa"/>
            <w:vAlign w:val="bottom"/>
          </w:tcPr>
          <w:p>
            <w:pPr>
              <w:spacing w:after="0"/>
              <w:rPr>
                <w:sz w:val="15"/>
                <w:szCs w:val="15"/>
                <w:color w:val="auto"/>
              </w:rPr>
            </w:pPr>
          </w:p>
        </w:tc>
        <w:tc>
          <w:tcPr>
            <w:tcW w:w="388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Telephone: +41 44 755 77 00</w:t>
            </w:r>
          </w:p>
        </w:tc>
        <w:tc>
          <w:tcPr>
            <w:tcW w:w="252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107950</wp:posOffset>
            </wp:positionV>
            <wp:extent cx="185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Molecular Partners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245 Main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Cambridge, Massachusetts 02142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(781) 420 2361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116205</wp:posOffset>
            </wp:positionV>
            <wp:extent cx="1851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89" w:lineRule="exact"/>
        <w:rPr>
          <w:sz w:val="24"/>
          <w:szCs w:val="24"/>
          <w:color w:val="auto"/>
        </w:rPr>
      </w:pPr>
    </w:p>
    <w:tbl>
      <w:tblPr>
        <w:tblLayout w:type="fixed"/>
        <w:tblInd w:w="58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240" w:type="dxa"/>
            <w:vAlign w:val="bottom"/>
          </w:tcPr>
          <w:p>
            <w:pPr>
              <w:ind w:left="120"/>
              <w:spacing w:after="0"/>
              <w:rPr>
                <w:sz w:val="20"/>
                <w:szCs w:val="20"/>
                <w:color w:val="auto"/>
              </w:rPr>
            </w:pPr>
            <w:r>
              <w:rPr>
                <w:rFonts w:ascii="Arial" w:cs="Arial" w:eastAsia="Arial" w:hAnsi="Arial"/>
                <w:sz w:val="14"/>
                <w:szCs w:val="14"/>
                <w:b w:val="1"/>
                <w:bCs w:val="1"/>
                <w:color w:val="auto"/>
              </w:rPr>
              <w:t>Copies to:</w:t>
            </w:r>
          </w:p>
        </w:tc>
        <w:tc>
          <w:tcPr>
            <w:tcW w:w="2280" w:type="dxa"/>
            <w:vAlign w:val="bottom"/>
          </w:tcPr>
          <w:p>
            <w:pPr>
              <w:spacing w:after="0"/>
              <w:rPr>
                <w:sz w:val="16"/>
                <w:szCs w:val="16"/>
                <w:color w:val="auto"/>
              </w:rPr>
            </w:pPr>
          </w:p>
        </w:tc>
      </w:tr>
      <w:tr>
        <w:trPr>
          <w:trHeight w:val="196"/>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Divakar Gupta</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Dieter Gericke</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6"/>
              </w:rPr>
              <w:t>Deanna Kirkpatrick</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1"/>
              </w:rPr>
              <w:t>Thomas Reutter</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88"/>
              </w:rPr>
              <w:t>Ryan Sansom</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Lorenzo Togni</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2"/>
              </w:rPr>
              <w:t>Yasin Keshvargar</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3"/>
              </w:rPr>
              <w:t>Alexander von Jeinsen</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2"/>
              </w:rPr>
              <w:t>Brandon Fenn</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7"/>
              </w:rPr>
              <w:t>Homburger AG</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7"/>
              </w:rPr>
              <w:t>Davis Polk &amp; Wardwell LLP</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5"/>
              </w:rPr>
              <w:t>Advestra AG</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Cooley LLP</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5"/>
              </w:rPr>
              <w:t>Prime Tower</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3"/>
              </w:rPr>
              <w:t>450 Lexington Avenue</w:t>
            </w: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89"/>
              </w:rPr>
              <w:t>Uraniastrasse 9</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0"/>
              </w:rPr>
              <w:t>55 Hudson Yards</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89"/>
              </w:rPr>
              <w:t>Hardstrasse 201</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6"/>
              </w:rPr>
              <w:t>New York, NY 10017</w:t>
            </w:r>
          </w:p>
        </w:tc>
        <w:tc>
          <w:tcPr>
            <w:tcW w:w="2280" w:type="dxa"/>
            <w:vAlign w:val="bottom"/>
          </w:tcPr>
          <w:p>
            <w:pPr>
              <w:jc w:val="center"/>
              <w:ind w:left="468"/>
              <w:spacing w:after="0"/>
              <w:rPr>
                <w:sz w:val="20"/>
                <w:szCs w:val="20"/>
                <w:color w:val="auto"/>
              </w:rPr>
            </w:pPr>
            <w:r>
              <w:rPr>
                <w:rFonts w:ascii="Arial" w:cs="Arial" w:eastAsia="Arial" w:hAnsi="Arial"/>
                <w:sz w:val="14"/>
                <w:szCs w:val="14"/>
                <w:color w:val="auto"/>
                <w:w w:val="96"/>
              </w:rPr>
              <w:t>CH-8001</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6"/>
              </w:rPr>
              <w:t>New York, New York 10001</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7"/>
              </w:rPr>
              <w:t>CH-8005 Zurich</w:t>
            </w:r>
          </w:p>
        </w:tc>
        <w:tc>
          <w:tcPr>
            <w:tcW w:w="3240" w:type="dxa"/>
            <w:vAlign w:val="bottom"/>
          </w:tcPr>
          <w:p>
            <w:pPr>
              <w:jc w:val="center"/>
              <w:ind w:left="388"/>
              <w:spacing w:after="0"/>
              <w:rPr>
                <w:sz w:val="20"/>
                <w:szCs w:val="20"/>
                <w:color w:val="auto"/>
              </w:rPr>
            </w:pPr>
            <w:r>
              <w:rPr>
                <w:rFonts w:ascii="Arial" w:cs="Arial" w:eastAsia="Arial" w:hAnsi="Arial"/>
                <w:sz w:val="14"/>
                <w:szCs w:val="14"/>
                <w:color w:val="auto"/>
                <w:w w:val="93"/>
              </w:rPr>
              <w:t>Telephone: (212) 450-4000</w:t>
            </w:r>
          </w:p>
        </w:tc>
        <w:tc>
          <w:tcPr>
            <w:tcW w:w="2280" w:type="dxa"/>
            <w:vAlign w:val="bottom"/>
          </w:tcPr>
          <w:p>
            <w:pPr>
              <w:jc w:val="center"/>
              <w:ind w:left="468"/>
              <w:spacing w:after="0"/>
              <w:rPr>
                <w:sz w:val="20"/>
                <w:szCs w:val="20"/>
                <w:color w:val="auto"/>
              </w:rPr>
            </w:pPr>
            <w:r>
              <w:rPr>
                <w:rFonts w:ascii="Arial" w:cs="Arial" w:eastAsia="Arial" w:hAnsi="Arial"/>
                <w:sz w:val="14"/>
                <w:szCs w:val="14"/>
                <w:color w:val="auto"/>
                <w:w w:val="95"/>
              </w:rPr>
              <w:t>Zurich, Switzerland</w:t>
            </w:r>
          </w:p>
        </w:tc>
      </w:tr>
      <w:tr>
        <w:trPr>
          <w:trHeight w:val="162"/>
        </w:trPr>
        <w:tc>
          <w:tcPr>
            <w:tcW w:w="2220" w:type="dxa"/>
            <w:vAlign w:val="bottom"/>
          </w:tcPr>
          <w:p>
            <w:pPr>
              <w:jc w:val="center"/>
              <w:ind w:right="488"/>
              <w:spacing w:after="0"/>
              <w:rPr>
                <w:sz w:val="20"/>
                <w:szCs w:val="20"/>
                <w:color w:val="auto"/>
              </w:rPr>
            </w:pPr>
            <w:r>
              <w:rPr>
                <w:rFonts w:ascii="Arial" w:cs="Arial" w:eastAsia="Arial" w:hAnsi="Arial"/>
                <w:sz w:val="14"/>
                <w:szCs w:val="14"/>
                <w:color w:val="auto"/>
                <w:w w:val="93"/>
              </w:rPr>
              <w:t>Telephone: (212) 479-6000</w:t>
            </w: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3"/>
              </w:rPr>
              <w:t>Switzerland</w:t>
            </w:r>
          </w:p>
        </w:tc>
        <w:tc>
          <w:tcPr>
            <w:tcW w:w="3240" w:type="dxa"/>
            <w:vAlign w:val="bottom"/>
          </w:tcPr>
          <w:p>
            <w:pPr>
              <w:spacing w:after="0"/>
              <w:rPr>
                <w:sz w:val="14"/>
                <w:szCs w:val="14"/>
                <w:color w:val="auto"/>
              </w:rPr>
            </w:pPr>
          </w:p>
        </w:tc>
        <w:tc>
          <w:tcPr>
            <w:tcW w:w="2280" w:type="dxa"/>
            <w:vAlign w:val="bottom"/>
          </w:tcPr>
          <w:p>
            <w:pPr>
              <w:jc w:val="center"/>
              <w:ind w:left="488"/>
              <w:spacing w:after="0"/>
              <w:rPr>
                <w:sz w:val="20"/>
                <w:szCs w:val="20"/>
                <w:color w:val="auto"/>
              </w:rPr>
            </w:pPr>
            <w:r>
              <w:rPr>
                <w:rFonts w:ascii="Arial" w:cs="Arial" w:eastAsia="Arial" w:hAnsi="Arial"/>
                <w:sz w:val="14"/>
                <w:szCs w:val="14"/>
                <w:color w:val="auto"/>
                <w:w w:val="91"/>
              </w:rPr>
              <w:t>Telephone: + 41 58 510 92 00</w:t>
            </w:r>
          </w:p>
        </w:tc>
      </w:tr>
      <w:tr>
        <w:trPr>
          <w:trHeight w:val="182"/>
        </w:trPr>
        <w:tc>
          <w:tcPr>
            <w:tcW w:w="2220" w:type="dxa"/>
            <w:vAlign w:val="bottom"/>
          </w:tcPr>
          <w:p>
            <w:pPr>
              <w:spacing w:after="0"/>
              <w:rPr>
                <w:sz w:val="15"/>
                <w:szCs w:val="15"/>
                <w:color w:val="auto"/>
              </w:rPr>
            </w:pPr>
          </w:p>
        </w:tc>
        <w:tc>
          <w:tcPr>
            <w:tcW w:w="2380" w:type="dxa"/>
            <w:vAlign w:val="bottom"/>
          </w:tcPr>
          <w:p>
            <w:pPr>
              <w:jc w:val="center"/>
              <w:ind w:left="388"/>
              <w:spacing w:after="0"/>
              <w:rPr>
                <w:sz w:val="20"/>
                <w:szCs w:val="20"/>
                <w:color w:val="auto"/>
              </w:rPr>
            </w:pPr>
            <w:r>
              <w:rPr>
                <w:rFonts w:ascii="Arial" w:cs="Arial" w:eastAsia="Arial" w:hAnsi="Arial"/>
                <w:sz w:val="14"/>
                <w:szCs w:val="14"/>
                <w:color w:val="auto"/>
                <w:w w:val="91"/>
              </w:rPr>
              <w:t>Telephone: +41 43 222 16 59</w:t>
            </w:r>
          </w:p>
        </w:tc>
        <w:tc>
          <w:tcPr>
            <w:tcW w:w="3240" w:type="dxa"/>
            <w:vAlign w:val="bottom"/>
          </w:tcPr>
          <w:p>
            <w:pPr>
              <w:spacing w:after="0"/>
              <w:rPr>
                <w:sz w:val="15"/>
                <w:szCs w:val="15"/>
                <w:color w:val="auto"/>
              </w:rPr>
            </w:pPr>
          </w:p>
        </w:tc>
        <w:tc>
          <w:tcPr>
            <w:tcW w:w="22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127635</wp:posOffset>
            </wp:positionV>
            <wp:extent cx="1851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2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As soon as practicable after this Registration Statement becomes effective.</w:t>
      </w:r>
    </w:p>
    <w:p>
      <w:pPr>
        <w:spacing w:after="0" w:line="39" w:lineRule="exact"/>
        <w:rPr>
          <w:sz w:val="24"/>
          <w:szCs w:val="24"/>
          <w:color w:val="auto"/>
        </w:rPr>
      </w:pPr>
    </w:p>
    <w:p>
      <w:pPr>
        <w:spacing w:after="0" w:line="21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280"/>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4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20"/>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440"/>
        <w:spacing w:after="0" w:line="216"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60"/>
        <w:spacing w:after="0" w:line="216"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ind w:right="440" w:firstLine="8"/>
        <w:spacing w:after="0" w:line="258"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7340" w:type="dxa"/>
            <w:vAlign w:val="bottom"/>
            <w:tcBorders>
              <w:top w:val="single" w:sz="8" w:color="auto"/>
              <w:right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40" w:type="dxa"/>
            <w:vAlign w:val="bottom"/>
            <w:tcBorders>
              <w:top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PROPOSED</w:t>
            </w:r>
          </w:p>
        </w:tc>
        <w:tc>
          <w:tcPr>
            <w:tcW w:w="14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r>
      <w:tr>
        <w:trPr>
          <w:trHeight w:val="162"/>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00" w:type="dxa"/>
            <w:vAlign w:val="bottom"/>
          </w:tcPr>
          <w:p>
            <w:pPr>
              <w:spacing w:after="0"/>
              <w:rPr>
                <w:sz w:val="14"/>
                <w:szCs w:val="14"/>
                <w:color w:val="auto"/>
              </w:rPr>
            </w:pPr>
          </w:p>
        </w:tc>
        <w:tc>
          <w:tcPr>
            <w:tcW w:w="184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MAXIMUM AGGREGATE</w:t>
            </w:r>
          </w:p>
        </w:tc>
        <w:tc>
          <w:tcPr>
            <w:tcW w:w="140" w:type="dxa"/>
            <w:vAlign w:val="bottom"/>
          </w:tcPr>
          <w:p>
            <w:pPr>
              <w:spacing w:after="0"/>
              <w:rPr>
                <w:sz w:val="14"/>
                <w:szCs w:val="14"/>
                <w:color w:val="auto"/>
              </w:rPr>
            </w:pP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rPr>
              <w:t>AMOUNT OF</w:t>
            </w:r>
          </w:p>
        </w:tc>
      </w:tr>
      <w:tr>
        <w:trPr>
          <w:trHeight w:val="186"/>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00" w:type="dxa"/>
            <w:vAlign w:val="bottom"/>
          </w:tcPr>
          <w:p>
            <w:pPr>
              <w:spacing w:after="0"/>
              <w:rPr>
                <w:sz w:val="16"/>
                <w:szCs w:val="16"/>
                <w:color w:val="auto"/>
              </w:rPr>
            </w:pPr>
          </w:p>
        </w:tc>
        <w:tc>
          <w:tcPr>
            <w:tcW w:w="1840" w:type="dxa"/>
            <w:vAlign w:val="bottom"/>
            <w:tcBorders>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OFFERING PRICE(1)</w:t>
            </w:r>
          </w:p>
        </w:tc>
        <w:tc>
          <w:tcPr>
            <w:tcW w:w="140" w:type="dxa"/>
            <w:vAlign w:val="bottom"/>
          </w:tcPr>
          <w:p>
            <w:pPr>
              <w:spacing w:after="0"/>
              <w:rPr>
                <w:sz w:val="16"/>
                <w:szCs w:val="16"/>
                <w:color w:val="auto"/>
              </w:rPr>
            </w:pP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rPr>
              <w:t>REGISTRATION FEE(2)</w:t>
            </w:r>
          </w:p>
        </w:tc>
      </w:tr>
      <w:tr>
        <w:trPr>
          <w:trHeight w:val="25"/>
        </w:trPr>
        <w:tc>
          <w:tcPr>
            <w:tcW w:w="7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4"/>
        </w:trPr>
        <w:tc>
          <w:tcPr>
            <w:tcW w:w="7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Common Shares, CHF 0.10 nominal value per share(3)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100,000,000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10,910.00</w:t>
            </w:r>
          </w:p>
        </w:tc>
      </w:tr>
      <w:tr>
        <w:trPr>
          <w:trHeight w:val="25"/>
        </w:trPr>
        <w:tc>
          <w:tcPr>
            <w:tcW w:w="73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4" w:lineRule="exact"/>
        <w:rPr>
          <w:sz w:val="24"/>
          <w:szCs w:val="24"/>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3" w:lineRule="exact"/>
        <w:rPr>
          <w:sz w:val="24"/>
          <w:szCs w:val="24"/>
          <w:color w:val="auto"/>
        </w:rPr>
      </w:pPr>
    </w:p>
    <w:p>
      <w:pPr>
        <w:ind w:right="20" w:firstLine="8"/>
        <w:spacing w:after="0" w:line="260" w:lineRule="auto"/>
        <w:tabs>
          <w:tab w:leader="none" w:pos="292"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 Includes the aggregate offering price of additional common shares represented by American Depositary Shares, or ADSs, which the underwriters have the option to purchase to cover over-allotments, if any. See “Underwriting.”</w:t>
      </w:r>
    </w:p>
    <w:p>
      <w:pPr>
        <w:ind w:left="300" w:hanging="292"/>
        <w:spacing w:after="0"/>
        <w:tabs>
          <w:tab w:leader="none" w:pos="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of 1933, as amended, based on an estimate of the proposed maximum aggregate offering price.</w:t>
      </w:r>
    </w:p>
    <w:p>
      <w:pPr>
        <w:spacing w:after="0" w:line="152" w:lineRule="exact"/>
        <w:rPr>
          <w:sz w:val="24"/>
          <w:szCs w:val="24"/>
          <w:color w:val="auto"/>
        </w:rPr>
      </w:pPr>
    </w:p>
    <w:p>
      <w:pPr>
        <w:ind w:right="340"/>
        <w:spacing w:after="0" w:line="296" w:lineRule="auto"/>
        <w:rPr>
          <w:sz w:val="20"/>
          <w:szCs w:val="20"/>
          <w:color w:val="auto"/>
        </w:rPr>
      </w:pPr>
      <w:r>
        <w:rPr>
          <w:rFonts w:ascii="Arial" w:cs="Arial" w:eastAsia="Arial" w:hAnsi="Arial"/>
          <w:sz w:val="13"/>
          <w:szCs w:val="13"/>
          <w:color w:val="auto"/>
        </w:rPr>
        <w:t>(3) All common shares will be in the form of ADSs, with each ADS representing common shares of the registrant. ADSs issuable upon deposit of the common shares registered hereby have been registered pursuant to a separate registration statement on Form F-6.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81280</wp:posOffset>
            </wp:positionV>
            <wp:extent cx="1851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97" w:lineRule="exact"/>
        <w:rPr>
          <w:sz w:val="24"/>
          <w:szCs w:val="24"/>
          <w:color w:val="auto"/>
        </w:rPr>
      </w:pPr>
    </w:p>
    <w:p>
      <w:pPr>
        <w:ind w:right="160"/>
        <w:spacing w:after="0" w:line="286" w:lineRule="auto"/>
        <w:rPr>
          <w:sz w:val="20"/>
          <w:szCs w:val="20"/>
          <w:color w:val="auto"/>
        </w:rPr>
      </w:pPr>
      <w:r>
        <w:rPr>
          <w:rFonts w:ascii="Arial" w:cs="Arial" w:eastAsia="Arial" w:hAnsi="Arial"/>
          <w:sz w:val="13"/>
          <w:szCs w:val="13"/>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7" w:right="339" w:bottom="458" w:gutter="0" w:footer="0" w:header="0"/>
        </w:sectPr>
      </w:pPr>
    </w:p>
    <w:bookmarkStart w:id="1" w:name="page2"/>
    <w:bookmarkEnd w:id="1"/>
    <w:p>
      <w:pPr>
        <w:ind w:right="60"/>
        <w:spacing w:after="0" w:line="262" w:lineRule="auto"/>
        <w:rPr>
          <w:sz w:val="20"/>
          <w:szCs w:val="20"/>
          <w:color w:val="auto"/>
        </w:rPr>
      </w:pPr>
      <w:r>
        <w:rPr>
          <w:rFonts w:ascii="Arial" w:cs="Arial" w:eastAsia="Arial" w:hAnsi="Arial"/>
          <w:sz w:val="18"/>
          <w:szCs w:val="18"/>
          <w:b w:val="1"/>
          <w:bCs w:val="1"/>
          <w:color w:val="A6555F"/>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6555F"/>
        </w:rPr>
        <w:t>SUBJECT TO COMPLETION, DATED APRIL 22,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62" w:lineRule="exact"/>
        <w:rPr>
          <w:sz w:val="20"/>
          <w:szCs w:val="20"/>
          <w:color w:val="auto"/>
        </w:rPr>
      </w:pPr>
    </w:p>
    <w:p>
      <w:pPr>
        <w:ind w:left="4200"/>
        <w:spacing w:after="0"/>
        <w:rPr>
          <w:sz w:val="20"/>
          <w:szCs w:val="20"/>
          <w:color w:val="auto"/>
        </w:rPr>
      </w:pPr>
      <w:r>
        <w:rPr>
          <w:rFonts w:ascii="Arial" w:cs="Arial" w:eastAsia="Arial" w:hAnsi="Arial"/>
          <w:sz w:val="32"/>
          <w:szCs w:val="32"/>
          <w:b w:val="1"/>
          <w:bCs w:val="1"/>
          <w:color w:val="auto"/>
        </w:rPr>
        <w:t>American Depositary Shares</w:t>
      </w:r>
    </w:p>
    <w:p>
      <w:pPr>
        <w:spacing w:after="0" w:line="43" w:lineRule="exact"/>
        <w:rPr>
          <w:sz w:val="20"/>
          <w:szCs w:val="20"/>
          <w:color w:val="auto"/>
        </w:rPr>
      </w:pPr>
    </w:p>
    <w:p>
      <w:pPr>
        <w:ind w:left="3620"/>
        <w:spacing w:after="0"/>
        <w:tabs>
          <w:tab w:leader="none" w:pos="584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97155</wp:posOffset>
            </wp:positionV>
            <wp:extent cx="257175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80" w:hanging="936"/>
        <w:spacing w:after="0"/>
        <w:tabs>
          <w:tab w:leader="none" w:pos="438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per American Depositary Share</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This is the initial public offering of our American Depositary Shares, or ADSs. We are selling common shares in the form of ADSs in the United States. Each ADS represents the right to receive common shares and the ADSs may be evidenced by American Depositary Receipts, or ADRs. We have applied to list our ADSs on the Nasdaq Global Market, under the symbol “MOLN”.</w:t>
      </w:r>
    </w:p>
    <w:p>
      <w:pPr>
        <w:spacing w:after="0" w:line="75"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common shares are listed on the SIX Swiss Exchange Ltd, or the SIX Swiss Exchange, under the symbol “MOLN”. On , 2021, the last reported sale price of our common shares on the SIX Swiss Exchange was CHF per common share, equivalent to a price of $ per ADS, assuming an exchange rate of CHF per U.S. dollar.</w:t>
      </w:r>
    </w:p>
    <w:p>
      <w:pPr>
        <w:spacing w:after="0" w:line="75" w:lineRule="exact"/>
        <w:rPr>
          <w:sz w:val="20"/>
          <w:szCs w:val="20"/>
          <w:color w:val="auto"/>
        </w:rPr>
      </w:pPr>
    </w:p>
    <w:p>
      <w:pPr>
        <w:ind w:right="300"/>
        <w:spacing w:after="0" w:line="292" w:lineRule="auto"/>
        <w:rPr>
          <w:sz w:val="20"/>
          <w:szCs w:val="20"/>
          <w:color w:val="auto"/>
        </w:rPr>
      </w:pPr>
      <w:r>
        <w:rPr>
          <w:rFonts w:ascii="Arial" w:cs="Arial" w:eastAsia="Arial" w:hAnsi="Arial"/>
          <w:sz w:val="14"/>
          <w:szCs w:val="14"/>
          <w:color w:val="auto"/>
        </w:rPr>
        <w:t>The offering price per common share will be determined by reference to the prevailing market prices of our common shares on the SIX Swiss Exchange after taking into account market conditions and other factors, but will not be lower than a price that is % below the volume-weighted average price of our common shares on the SIX</w:t>
      </w:r>
    </w:p>
    <w:p>
      <w:pPr>
        <w:spacing w:after="0"/>
        <w:tabs>
          <w:tab w:leader="none" w:pos="2600" w:val="left"/>
        </w:tabs>
        <w:rPr>
          <w:sz w:val="20"/>
          <w:szCs w:val="20"/>
          <w:color w:val="auto"/>
        </w:rPr>
      </w:pPr>
      <w:r>
        <w:rPr>
          <w:rFonts w:ascii="Arial" w:cs="Arial" w:eastAsia="Arial" w:hAnsi="Arial"/>
          <w:sz w:val="16"/>
          <w:szCs w:val="16"/>
          <w:color w:val="auto"/>
        </w:rPr>
        <w:t>Swiss Exchange for the</w:t>
      </w:r>
      <w:r>
        <w:rPr>
          <w:sz w:val="20"/>
          <w:szCs w:val="20"/>
          <w:color w:val="auto"/>
        </w:rPr>
        <w:tab/>
      </w:r>
      <w:r>
        <w:rPr>
          <w:rFonts w:ascii="Arial" w:cs="Arial" w:eastAsia="Arial" w:hAnsi="Arial"/>
          <w:sz w:val="14"/>
          <w:szCs w:val="14"/>
          <w:color w:val="auto"/>
        </w:rPr>
        <w:t>.</w:t>
      </w:r>
    </w:p>
    <w:p>
      <w:pPr>
        <w:spacing w:after="0" w:line="95" w:lineRule="exact"/>
        <w:rPr>
          <w:sz w:val="20"/>
          <w:szCs w:val="20"/>
          <w:color w:val="auto"/>
        </w:rPr>
      </w:pPr>
    </w:p>
    <w:p>
      <w:pPr>
        <w:jc w:val="both"/>
        <w:ind w:right="40"/>
        <w:spacing w:after="0" w:line="355" w:lineRule="auto"/>
        <w:rPr>
          <w:sz w:val="20"/>
          <w:szCs w:val="20"/>
          <w:color w:val="auto"/>
        </w:rPr>
      </w:pPr>
      <w:r>
        <w:rPr>
          <w:rFonts w:ascii="Arial" w:cs="Arial" w:eastAsia="Arial" w:hAnsi="Arial"/>
          <w:sz w:val="14"/>
          <w:szCs w:val="14"/>
          <w:b w:val="1"/>
          <w:bCs w:val="1"/>
          <w:color w:val="auto"/>
        </w:rPr>
        <w:t>We are an “emerging growth company” as that term is used in the Jumpstart Our Business Startups Act of 2012 and, as such, have elected to comply with certain reduced public company reporting requirements. Investing in our ADSs involves a high degree of risk. See “Risk Factors” beginning on page 14 of this prospectus.</w:t>
      </w:r>
    </w:p>
    <w:p>
      <w:pPr>
        <w:spacing w:after="0" w:line="1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Neither the United States Securities and Exchange Commission nor any U.S.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3500" w:type="dxa"/>
            <w:vAlign w:val="bottom"/>
          </w:tcPr>
          <w:p>
            <w:pPr>
              <w:ind w:left="2460"/>
              <w:spacing w:after="0"/>
              <w:rPr>
                <w:sz w:val="20"/>
                <w:szCs w:val="20"/>
                <w:color w:val="auto"/>
              </w:rPr>
            </w:pPr>
            <w:r>
              <w:rPr>
                <w:rFonts w:ascii="Arial" w:cs="Arial" w:eastAsia="Arial" w:hAnsi="Arial"/>
                <w:sz w:val="14"/>
                <w:szCs w:val="14"/>
                <w:b w:val="1"/>
                <w:bCs w:val="1"/>
                <w:color w:val="auto"/>
              </w:rPr>
              <w:t>Per ADS</w:t>
            </w:r>
          </w:p>
        </w:tc>
        <w:tc>
          <w:tcPr>
            <w:tcW w:w="1960" w:type="dxa"/>
            <w:vAlign w:val="bottom"/>
          </w:tcPr>
          <w:p>
            <w:pPr>
              <w:ind w:left="520"/>
              <w:spacing w:after="0"/>
              <w:rPr>
                <w:sz w:val="20"/>
                <w:szCs w:val="20"/>
                <w:color w:val="auto"/>
              </w:rPr>
            </w:pPr>
            <w:r>
              <w:rPr>
                <w:rFonts w:ascii="Arial" w:cs="Arial" w:eastAsia="Arial" w:hAnsi="Arial"/>
                <w:sz w:val="14"/>
                <w:szCs w:val="14"/>
                <w:b w:val="1"/>
                <w:bCs w:val="1"/>
                <w:color w:val="auto"/>
              </w:rPr>
              <w:t>Total</w:t>
            </w:r>
          </w:p>
        </w:tc>
      </w:tr>
      <w:tr>
        <w:trPr>
          <w:trHeight w:val="25"/>
        </w:trPr>
        <w:tc>
          <w:tcPr>
            <w:tcW w:w="5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Offering price</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30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Underwriting discounts and commissions</w:t>
            </w:r>
            <w:r>
              <w:rPr>
                <w:rFonts w:ascii="Arial" w:cs="Arial" w:eastAsia="Arial" w:hAnsi="Arial"/>
                <w:sz w:val="23"/>
                <w:szCs w:val="23"/>
                <w:b w:val="1"/>
                <w:bCs w:val="1"/>
                <w:color w:val="auto"/>
                <w:vertAlign w:val="superscript"/>
              </w:rPr>
              <w:t>(1)</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34"/>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Proceeds to us, before expenses</w:t>
            </w:r>
          </w:p>
        </w:tc>
        <w:tc>
          <w:tcPr>
            <w:tcW w:w="3500" w:type="dxa"/>
            <w:vAlign w:val="bottom"/>
          </w:tcPr>
          <w:p>
            <w:pPr>
              <w:ind w:left="2460"/>
              <w:spacing w:after="0"/>
              <w:rPr>
                <w:sz w:val="20"/>
                <w:szCs w:val="20"/>
                <w:color w:val="auto"/>
              </w:rPr>
            </w:pPr>
            <w:r>
              <w:rPr>
                <w:rFonts w:ascii="Arial" w:cs="Arial" w:eastAsia="Arial" w:hAnsi="Arial"/>
                <w:sz w:val="18"/>
                <w:szCs w:val="18"/>
                <w:color w:val="auto"/>
              </w:rPr>
              <w:t>$</w:t>
            </w:r>
          </w:p>
        </w:tc>
        <w:tc>
          <w:tcPr>
            <w:tcW w:w="196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We refer you to “Underwriting” beginning on page 226 of this prospectus for additional information regarding underwriting compensation in the offering.</w:t>
      </w:r>
    </w:p>
    <w:p>
      <w:pPr>
        <w:spacing w:after="0" w:line="167"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We have agreed to issue, at the option of the underwriters, within 30 days from the date of the underwriting agreement, up to an aggregate of additional ADSs in the offering to be sold to the several underwriters at the applicable offering price. If the underwriters exercise this option in full, the total underwriting commissions payable</w:t>
      </w:r>
    </w:p>
    <w:p>
      <w:pPr>
        <w:spacing w:after="0" w:line="1" w:lineRule="exact"/>
        <w:rPr>
          <w:sz w:val="20"/>
          <w:szCs w:val="20"/>
          <w:color w:val="auto"/>
        </w:rPr>
      </w:pPr>
    </w:p>
    <w:p>
      <w:pPr>
        <w:spacing w:after="0"/>
        <w:tabs>
          <w:tab w:leader="none" w:pos="1260" w:val="left"/>
          <w:tab w:leader="none" w:pos="5240" w:val="left"/>
        </w:tabs>
        <w:rPr>
          <w:sz w:val="20"/>
          <w:szCs w:val="20"/>
          <w:color w:val="auto"/>
        </w:rPr>
      </w:pPr>
      <w:r>
        <w:rPr>
          <w:rFonts w:ascii="Arial" w:cs="Arial" w:eastAsia="Arial" w:hAnsi="Arial"/>
          <w:sz w:val="16"/>
          <w:szCs w:val="16"/>
          <w:color w:val="auto"/>
        </w:rPr>
        <w:t>by us will be $</w:t>
      </w:r>
      <w:r>
        <w:rPr>
          <w:sz w:val="20"/>
          <w:szCs w:val="20"/>
          <w:color w:val="auto"/>
        </w:rPr>
        <w:tab/>
      </w:r>
      <w:r>
        <w:rPr>
          <w:rFonts w:ascii="Arial" w:cs="Arial" w:eastAsia="Arial" w:hAnsi="Arial"/>
          <w:sz w:val="16"/>
          <w:szCs w:val="16"/>
          <w:color w:val="auto"/>
        </w:rPr>
        <w:t>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240"/>
          </w:cols>
          <w:pgMar w:left="320" w:top="913" w:right="339" w:bottom="1440" w:gutter="0" w:footer="0" w:header="0"/>
        </w:sectPr>
      </w:pPr>
    </w:p>
    <w:p>
      <w:pPr>
        <w:spacing w:after="0" w:line="9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underwriters expect to deliver the ADSs to purchasers in the offering on or about DTC.</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 2021 through the book-entry facilities of The Depository Trust Company, or</w:t>
      </w:r>
    </w:p>
    <w:p>
      <w:pPr>
        <w:spacing w:after="0" w:line="360" w:lineRule="exact"/>
        <w:rPr>
          <w:sz w:val="20"/>
          <w:szCs w:val="20"/>
          <w:color w:val="auto"/>
        </w:rPr>
      </w:pPr>
    </w:p>
    <w:p>
      <w:pPr>
        <w:sectPr>
          <w:pgSz w:w="11900" w:h="16838" w:orient="portrait"/>
          <w:cols w:equalWidth="0" w:num="2">
            <w:col w:w="5540" w:space="660"/>
            <w:col w:w="5040"/>
          </w:cols>
          <w:pgMar w:left="320" w:top="913"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Joint Book-Running Managers</w:t>
      </w:r>
    </w:p>
    <w:p>
      <w:pPr>
        <w:sectPr>
          <w:pgSz w:w="11900" w:h="16838" w:orient="portrait"/>
          <w:cols w:equalWidth="0" w:num="1">
            <w:col w:w="11240"/>
          </w:cols>
          <w:pgMar w:left="320" w:top="913" w:right="339" w:bottom="1440" w:gutter="0" w:footer="0" w:header="0"/>
          <w:type w:val="continuous"/>
        </w:sectPr>
      </w:pPr>
    </w:p>
    <w:p>
      <w:pPr>
        <w:spacing w:after="0" w:line="58" w:lineRule="exact"/>
        <w:rPr>
          <w:sz w:val="20"/>
          <w:szCs w:val="20"/>
          <w:color w:val="auto"/>
        </w:rPr>
      </w:pPr>
    </w:p>
    <w:p>
      <w:pPr>
        <w:ind w:left="4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Cowen</w:t>
      </w:r>
    </w:p>
    <w:p>
      <w:pPr>
        <w:spacing w:after="0" w:line="223" w:lineRule="exact"/>
        <w:rPr>
          <w:sz w:val="20"/>
          <w:szCs w:val="20"/>
          <w:color w:val="auto"/>
        </w:rPr>
      </w:pPr>
    </w:p>
    <w:p>
      <w:pPr>
        <w:sectPr>
          <w:pgSz w:w="11900" w:h="16838" w:orient="portrait"/>
          <w:cols w:equalWidth="0" w:num="3">
            <w:col w:w="4100" w:space="720"/>
            <w:col w:w="4820" w:space="720"/>
            <w:col w:w="880"/>
          </w:cols>
          <w:pgMar w:left="320" w:top="913" w:right="339" w:bottom="1440" w:gutter="0" w:footer="0" w:header="0"/>
          <w:type w:val="continuous"/>
        </w:sectPr>
      </w:pP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Bookrunner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RBC Capital Markets</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Lead Manager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Kempen &amp; Co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Prospectus dated</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40"/>
          </w:cols>
          <w:pgMar w:left="320" w:top="913" w:right="339" w:bottom="1440" w:gutter="0" w:footer="0" w:header="0"/>
          <w:type w:val="continuous"/>
        </w:sectPr>
      </w:pPr>
    </w:p>
    <w:bookmarkStart w:id="2" w:name="page3"/>
    <w:bookmarkEnd w:id="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TABLE OF CONTENTS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rPr>
              <w:t>Page</w:t>
            </w:r>
          </w:p>
        </w:tc>
      </w:tr>
      <w:tr>
        <w:trPr>
          <w:trHeight w:val="202"/>
        </w:trPr>
        <w:tc>
          <w:tcPr>
            <w:tcW w:w="1540" w:type="dxa"/>
            <w:vAlign w:val="bottom"/>
            <w:gridSpan w:val="8"/>
          </w:tcPr>
          <w:p>
            <w:pPr>
              <w:spacing w:after="0" w:line="202"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Prospectus Summary</w:t>
              </w:r>
            </w:hyperlink>
          </w:p>
        </w:tc>
        <w:tc>
          <w:tcPr>
            <w:tcW w:w="8960" w:type="dxa"/>
            <w:vAlign w:val="bottom"/>
            <w:gridSpan w:val="17"/>
          </w:tcPr>
          <w:p>
            <w:pPr>
              <w:spacing w:after="0"/>
              <w:rPr>
                <w:sz w:val="17"/>
                <w:szCs w:val="17"/>
                <w:color w:val="auto"/>
              </w:rPr>
            </w:pPr>
          </w:p>
        </w:tc>
        <w:tc>
          <w:tcPr>
            <w:tcW w:w="720" w:type="dxa"/>
            <w:vAlign w:val="bottom"/>
            <w:gridSpan w:val="4"/>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Risk Factors</w:t>
              </w:r>
            </w:hyperlink>
          </w:p>
        </w:tc>
        <w:tc>
          <w:tcPr>
            <w:tcW w:w="600" w:type="dxa"/>
            <w:vAlign w:val="bottom"/>
            <w:gridSpan w:val="5"/>
          </w:tcPr>
          <w:p>
            <w:pPr>
              <w:spacing w:after="0"/>
              <w:rPr>
                <w:sz w:val="21"/>
                <w:szCs w:val="21"/>
                <w:color w:val="auto"/>
              </w:rPr>
            </w:pPr>
          </w:p>
        </w:tc>
        <w:tc>
          <w:tcPr>
            <w:tcW w:w="8960" w:type="dxa"/>
            <w:vAlign w:val="bottom"/>
            <w:gridSpan w:val="17"/>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c>
          <w:tcPr>
            <w:tcW w:w="20" w:type="dxa"/>
            <w:vAlign w:val="bottom"/>
          </w:tcPr>
          <w:p>
            <w:pPr>
              <w:spacing w:after="0"/>
              <w:rPr>
                <w:sz w:val="21"/>
                <w:szCs w:val="2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Special Note Regarding Forward-Looking Statements</w:t>
              </w:r>
            </w:hyperlink>
          </w:p>
        </w:tc>
        <w:tc>
          <w:tcPr>
            <w:tcW w:w="700" w:type="dxa"/>
            <w:vAlign w:val="bottom"/>
            <w:gridSpan w:val="3"/>
          </w:tcPr>
          <w:p>
            <w:pPr>
              <w:jc w:val="right"/>
              <w:spacing w:after="0"/>
              <w:rPr>
                <w:rFonts w:ascii="Arial" w:cs="Arial" w:eastAsia="Arial" w:hAnsi="Arial"/>
                <w:sz w:val="18"/>
                <w:szCs w:val="18"/>
                <w:color w:val="0000FF"/>
              </w:rPr>
            </w:pPr>
            <w:hyperlink w:anchor="page82">
              <w:r>
                <w:rPr>
                  <w:rFonts w:ascii="Arial" w:cs="Arial" w:eastAsia="Arial" w:hAnsi="Arial"/>
                  <w:sz w:val="18"/>
                  <w:szCs w:val="18"/>
                  <w:color w:val="0000FF"/>
                </w:rPr>
                <w:t>79</w:t>
              </w:r>
            </w:hyperlink>
          </w:p>
        </w:tc>
        <w:tc>
          <w:tcPr>
            <w:tcW w:w="20" w:type="dxa"/>
            <w:vAlign w:val="bottom"/>
          </w:tcPr>
          <w:p>
            <w:pPr>
              <w:spacing w:after="0"/>
              <w:rPr>
                <w:sz w:val="21"/>
                <w:szCs w:val="21"/>
                <w:color w:val="auto"/>
              </w:rPr>
            </w:pPr>
          </w:p>
        </w:tc>
      </w:tr>
      <w:tr>
        <w:trPr>
          <w:trHeight w:val="250"/>
        </w:trPr>
        <w:tc>
          <w:tcPr>
            <w:tcW w:w="236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Market, Industry and Other Data</w:t>
              </w:r>
            </w:hyperlink>
          </w:p>
        </w:tc>
        <w:tc>
          <w:tcPr>
            <w:tcW w:w="1520" w:type="dxa"/>
            <w:vAlign w:val="bottom"/>
            <w:tcBorders>
              <w:top w:val="single" w:sz="8" w:color="0000FF"/>
            </w:tcBorders>
            <w:gridSpan w:val="5"/>
          </w:tcPr>
          <w:p>
            <w:pPr>
              <w:spacing w:after="0"/>
              <w:rPr>
                <w:sz w:val="21"/>
                <w:szCs w:val="21"/>
                <w:color w:val="auto"/>
              </w:rPr>
            </w:pPr>
          </w:p>
        </w:tc>
        <w:tc>
          <w:tcPr>
            <w:tcW w:w="6620" w:type="dxa"/>
            <w:vAlign w:val="bottom"/>
            <w:gridSpan w:val="4"/>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84">
              <w:r>
                <w:rPr>
                  <w:rFonts w:ascii="Arial" w:cs="Arial" w:eastAsia="Arial" w:hAnsi="Arial"/>
                  <w:sz w:val="18"/>
                  <w:szCs w:val="18"/>
                  <w:color w:val="0000FF"/>
                  <w:w w:val="79"/>
                </w:rPr>
                <w:t>81</w:t>
              </w:r>
            </w:hyperlink>
          </w:p>
        </w:tc>
        <w:tc>
          <w:tcPr>
            <w:tcW w:w="20" w:type="dxa"/>
            <w:vAlign w:val="bottom"/>
          </w:tcPr>
          <w:p>
            <w:pPr>
              <w:spacing w:after="0"/>
              <w:rPr>
                <w:sz w:val="21"/>
                <w:szCs w:val="21"/>
                <w:color w:val="auto"/>
              </w:rPr>
            </w:pPr>
          </w:p>
        </w:tc>
      </w:tr>
      <w:tr>
        <w:trPr>
          <w:trHeight w:val="250"/>
        </w:trPr>
        <w:tc>
          <w:tcPr>
            <w:tcW w:w="22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Trademarks and Service Marks</w:t>
              </w:r>
            </w:hyperlink>
          </w:p>
        </w:tc>
        <w:tc>
          <w:tcPr>
            <w:tcW w:w="8240" w:type="dxa"/>
            <w:vAlign w:val="bottom"/>
            <w:gridSpan w:val="11"/>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5">
              <w:r>
                <w:rPr>
                  <w:rFonts w:ascii="Arial" w:cs="Arial" w:eastAsia="Arial" w:hAnsi="Arial"/>
                  <w:sz w:val="18"/>
                  <w:szCs w:val="18"/>
                  <w:color w:val="0000FF"/>
                  <w:w w:val="79"/>
                </w:rPr>
                <w:t>82</w:t>
              </w:r>
            </w:hyperlink>
          </w:p>
        </w:tc>
        <w:tc>
          <w:tcPr>
            <w:tcW w:w="20" w:type="dxa"/>
            <w:vAlign w:val="bottom"/>
          </w:tcPr>
          <w:p>
            <w:pPr>
              <w:spacing w:after="0"/>
              <w:rPr>
                <w:sz w:val="21"/>
                <w:szCs w:val="2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Use of Proceeds</w:t>
              </w:r>
            </w:hyperlink>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83</w:t>
              </w:r>
            </w:hyperlink>
          </w:p>
        </w:tc>
        <w:tc>
          <w:tcPr>
            <w:tcW w:w="20" w:type="dxa"/>
            <w:vAlign w:val="bottom"/>
          </w:tcPr>
          <w:p>
            <w:pPr>
              <w:spacing w:after="0"/>
              <w:rPr>
                <w:sz w:val="21"/>
                <w:szCs w:val="21"/>
                <w:color w:val="auto"/>
              </w:rPr>
            </w:pPr>
          </w:p>
        </w:tc>
      </w:tr>
      <w:tr>
        <w:trPr>
          <w:trHeight w:val="20"/>
        </w:trPr>
        <w:tc>
          <w:tcPr>
            <w:tcW w:w="5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2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Dividend Policy</w:t>
              </w:r>
            </w:hyperlink>
          </w:p>
        </w:tc>
        <w:tc>
          <w:tcPr>
            <w:tcW w:w="70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85</w:t>
              </w:r>
            </w:hyperlink>
          </w:p>
        </w:tc>
        <w:tc>
          <w:tcPr>
            <w:tcW w:w="20" w:type="dxa"/>
            <w:vAlign w:val="bottom"/>
          </w:tcPr>
          <w:p>
            <w:pPr>
              <w:spacing w:after="0"/>
              <w:rPr>
                <w:sz w:val="18"/>
                <w:szCs w:val="18"/>
                <w:color w:val="auto"/>
              </w:rPr>
            </w:pPr>
          </w:p>
        </w:tc>
      </w:tr>
      <w:tr>
        <w:trPr>
          <w:trHeight w:val="250"/>
        </w:trPr>
        <w:tc>
          <w:tcPr>
            <w:tcW w:w="10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Capitalization</w:t>
              </w:r>
            </w:hyperlink>
          </w:p>
        </w:tc>
        <w:tc>
          <w:tcPr>
            <w:tcW w:w="160" w:type="dxa"/>
            <w:vAlign w:val="bottom"/>
            <w:tcBorders>
              <w:top w:val="single" w:sz="8" w:color="0000FF"/>
            </w:tcBorders>
          </w:tcPr>
          <w:p>
            <w:pPr>
              <w:spacing w:after="0"/>
              <w:rPr>
                <w:sz w:val="21"/>
                <w:szCs w:val="21"/>
                <w:color w:val="auto"/>
              </w:rPr>
            </w:pPr>
          </w:p>
        </w:tc>
        <w:tc>
          <w:tcPr>
            <w:tcW w:w="9320" w:type="dxa"/>
            <w:vAlign w:val="bottom"/>
            <w:gridSpan w:val="18"/>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87</w:t>
              </w:r>
            </w:hyperlink>
          </w:p>
        </w:tc>
        <w:tc>
          <w:tcPr>
            <w:tcW w:w="20" w:type="dxa"/>
            <w:vAlign w:val="bottom"/>
          </w:tcPr>
          <w:p>
            <w:pPr>
              <w:spacing w:after="0"/>
              <w:rPr>
                <w:sz w:val="21"/>
                <w:szCs w:val="2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Dilution</w:t>
              </w:r>
            </w:hyperlink>
          </w:p>
        </w:tc>
        <w:tc>
          <w:tcPr>
            <w:tcW w:w="700" w:type="dxa"/>
            <w:vAlign w:val="bottom"/>
            <w:gridSpan w:val="3"/>
          </w:tcPr>
          <w:p>
            <w:pPr>
              <w:jc w:val="right"/>
              <w:spacing w:after="0"/>
              <w:rPr>
                <w:rFonts w:ascii="Arial" w:cs="Arial" w:eastAsia="Arial" w:hAnsi="Arial"/>
                <w:sz w:val="18"/>
                <w:szCs w:val="18"/>
                <w:color w:val="0000FF"/>
              </w:rPr>
            </w:pPr>
            <w:hyperlink w:anchor="page91">
              <w:r>
                <w:rPr>
                  <w:rFonts w:ascii="Arial" w:cs="Arial" w:eastAsia="Arial" w:hAnsi="Arial"/>
                  <w:sz w:val="18"/>
                  <w:szCs w:val="18"/>
                  <w:color w:val="0000FF"/>
                </w:rPr>
                <w:t>88</w:t>
              </w:r>
            </w:hyperlink>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2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Selected Financial Data</w:t>
              </w:r>
            </w:hyperlink>
          </w:p>
        </w:tc>
        <w:tc>
          <w:tcPr>
            <w:tcW w:w="8780" w:type="dxa"/>
            <w:vAlign w:val="bottom"/>
            <w:gridSpan w:val="15"/>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3">
              <w:r>
                <w:rPr>
                  <w:rFonts w:ascii="Arial" w:cs="Arial" w:eastAsia="Arial" w:hAnsi="Arial"/>
                  <w:sz w:val="18"/>
                  <w:szCs w:val="18"/>
                  <w:color w:val="0000FF"/>
                  <w:w w:val="79"/>
                </w:rPr>
                <w:t>90</w:t>
              </w:r>
            </w:hyperlink>
          </w:p>
        </w:tc>
        <w:tc>
          <w:tcPr>
            <w:tcW w:w="20" w:type="dxa"/>
            <w:vAlign w:val="bottom"/>
          </w:tcPr>
          <w:p>
            <w:pPr>
              <w:spacing w:after="0"/>
              <w:rPr>
                <w:sz w:val="21"/>
                <w:szCs w:val="2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3"/>
          </w:tcPr>
          <w:p>
            <w:pPr>
              <w:jc w:val="right"/>
              <w:spacing w:after="0"/>
              <w:rPr>
                <w:rFonts w:ascii="Arial" w:cs="Arial" w:eastAsia="Arial" w:hAnsi="Arial"/>
                <w:sz w:val="18"/>
                <w:szCs w:val="18"/>
                <w:color w:val="0000FF"/>
              </w:rPr>
            </w:pPr>
            <w:hyperlink w:anchor="page95">
              <w:r>
                <w:rPr>
                  <w:rFonts w:ascii="Arial" w:cs="Arial" w:eastAsia="Arial" w:hAnsi="Arial"/>
                  <w:sz w:val="18"/>
                  <w:szCs w:val="18"/>
                  <w:color w:val="0000FF"/>
                </w:rPr>
                <w:t>92</w:t>
              </w:r>
            </w:hyperlink>
          </w:p>
        </w:tc>
        <w:tc>
          <w:tcPr>
            <w:tcW w:w="20" w:type="dxa"/>
            <w:vAlign w:val="bottom"/>
          </w:tcPr>
          <w:p>
            <w:pPr>
              <w:spacing w:after="0"/>
              <w:rPr>
                <w:sz w:val="21"/>
                <w:szCs w:val="2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60" w:type="dxa"/>
            <w:vAlign w:val="bottom"/>
            <w:gridSpan w:val="24"/>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Business</w:t>
              </w:r>
            </w:hyperlink>
          </w:p>
        </w:tc>
        <w:tc>
          <w:tcPr>
            <w:tcW w:w="4040" w:type="dxa"/>
            <w:vAlign w:val="bottom"/>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167">
              <w:r>
                <w:rPr>
                  <w:rFonts w:ascii="Arial" w:cs="Arial" w:eastAsia="Arial" w:hAnsi="Arial"/>
                  <w:sz w:val="18"/>
                  <w:szCs w:val="18"/>
                  <w:color w:val="0000FF"/>
                </w:rPr>
                <w:t>Management</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67">
              <w:r>
                <w:rPr>
                  <w:rFonts w:ascii="Arial" w:cs="Arial" w:eastAsia="Arial" w:hAnsi="Arial"/>
                  <w:sz w:val="18"/>
                  <w:szCs w:val="18"/>
                  <w:color w:val="0000FF"/>
                </w:rPr>
                <w:t>164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174">
              <w:r>
                <w:rPr>
                  <w:rFonts w:ascii="Arial" w:cs="Arial" w:eastAsia="Arial" w:hAnsi="Arial"/>
                  <w:sz w:val="18"/>
                  <w:szCs w:val="18"/>
                  <w:color w:val="0000FF"/>
                </w:rPr>
                <w:t>Executive Compensation</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74">
              <w:r>
                <w:rPr>
                  <w:rFonts w:ascii="Arial" w:cs="Arial" w:eastAsia="Arial" w:hAnsi="Arial"/>
                  <w:sz w:val="18"/>
                  <w:szCs w:val="18"/>
                  <w:color w:val="0000FF"/>
                </w:rPr>
                <w:t>171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gridSpan w:val="12"/>
          </w:tcPr>
          <w:p>
            <w:pPr>
              <w:spacing w:after="0"/>
              <w:rPr>
                <w:rFonts w:ascii="Arial" w:cs="Arial" w:eastAsia="Arial" w:hAnsi="Arial"/>
                <w:sz w:val="18"/>
                <w:szCs w:val="18"/>
                <w:color w:val="0000FF"/>
                <w:w w:val="88"/>
              </w:rPr>
            </w:pPr>
            <w:hyperlink w:anchor="page179">
              <w:r>
                <w:rPr>
                  <w:rFonts w:ascii="Arial" w:cs="Arial" w:eastAsia="Arial" w:hAnsi="Arial"/>
                  <w:sz w:val="18"/>
                  <w:szCs w:val="18"/>
                  <w:color w:val="0000FF"/>
                  <w:w w:val="88"/>
                </w:rPr>
                <w:t>Related Party Transactions</w:t>
              </w:r>
            </w:hyperlink>
          </w:p>
        </w:tc>
        <w:tc>
          <w:tcPr>
            <w:tcW w:w="8560" w:type="dxa"/>
            <w:vAlign w:val="bottom"/>
            <w:gridSpan w:val="13"/>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79">
              <w:r>
                <w:rPr>
                  <w:rFonts w:ascii="Arial" w:cs="Arial" w:eastAsia="Arial" w:hAnsi="Arial"/>
                  <w:sz w:val="18"/>
                  <w:szCs w:val="18"/>
                  <w:color w:val="0000FF"/>
                </w:rPr>
                <w:t>176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40" w:type="dxa"/>
            <w:vAlign w:val="bottom"/>
            <w:gridSpan w:val="9"/>
          </w:tcPr>
          <w:p>
            <w:pPr>
              <w:spacing w:after="0"/>
              <w:rPr>
                <w:rFonts w:ascii="Arial" w:cs="Arial" w:eastAsia="Arial" w:hAnsi="Arial"/>
                <w:sz w:val="18"/>
                <w:szCs w:val="18"/>
                <w:color w:val="0000FF"/>
                <w:w w:val="89"/>
              </w:rPr>
            </w:pPr>
            <w:hyperlink w:anchor="page181">
              <w:r>
                <w:rPr>
                  <w:rFonts w:ascii="Arial" w:cs="Arial" w:eastAsia="Arial" w:hAnsi="Arial"/>
                  <w:sz w:val="18"/>
                  <w:szCs w:val="18"/>
                  <w:color w:val="0000FF"/>
                  <w:w w:val="89"/>
                </w:rPr>
                <w:t>Principal Shareholders</w:t>
              </w:r>
            </w:hyperlink>
          </w:p>
        </w:tc>
        <w:tc>
          <w:tcPr>
            <w:tcW w:w="300" w:type="dxa"/>
            <w:vAlign w:val="bottom"/>
            <w:gridSpan w:val="3"/>
          </w:tcPr>
          <w:p>
            <w:pPr>
              <w:spacing w:after="0"/>
              <w:rPr>
                <w:sz w:val="21"/>
                <w:szCs w:val="21"/>
                <w:color w:val="auto"/>
              </w:rPr>
            </w:pPr>
          </w:p>
        </w:tc>
        <w:tc>
          <w:tcPr>
            <w:tcW w:w="8560" w:type="dxa"/>
            <w:vAlign w:val="bottom"/>
            <w:gridSpan w:val="13"/>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81">
              <w:r>
                <w:rPr>
                  <w:rFonts w:ascii="Arial" w:cs="Arial" w:eastAsia="Arial" w:hAnsi="Arial"/>
                  <w:sz w:val="18"/>
                  <w:szCs w:val="18"/>
                  <w:color w:val="0000FF"/>
                </w:rPr>
                <w:t>178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184">
              <w:r>
                <w:rPr>
                  <w:rFonts w:ascii="Arial" w:cs="Arial" w:eastAsia="Arial" w:hAnsi="Arial"/>
                  <w:sz w:val="18"/>
                  <w:szCs w:val="18"/>
                  <w:color w:val="0000FF"/>
                </w:rPr>
                <w:t>Description of Share Capital and Articles of Association</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84">
              <w:r>
                <w:rPr>
                  <w:rFonts w:ascii="Arial" w:cs="Arial" w:eastAsia="Arial" w:hAnsi="Arial"/>
                  <w:sz w:val="18"/>
                  <w:szCs w:val="18"/>
                  <w:color w:val="0000FF"/>
                </w:rPr>
                <w:t>181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Limitations Affecting Shareholders of a Swiss Company</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198">
              <w:r>
                <w:rPr>
                  <w:rFonts w:ascii="Arial" w:cs="Arial" w:eastAsia="Arial" w:hAnsi="Arial"/>
                  <w:sz w:val="18"/>
                  <w:szCs w:val="18"/>
                  <w:color w:val="0000FF"/>
                </w:rPr>
                <w:t>195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60" w:type="dxa"/>
            <w:vAlign w:val="bottom"/>
            <w:gridSpan w:val="22"/>
          </w:tcPr>
          <w:p>
            <w:pPr>
              <w:spacing w:after="0"/>
              <w:rPr>
                <w:rFonts w:ascii="Arial" w:cs="Arial" w:eastAsia="Arial" w:hAnsi="Arial"/>
                <w:sz w:val="18"/>
                <w:szCs w:val="18"/>
                <w:color w:val="0000FF"/>
              </w:rPr>
            </w:pPr>
            <w:hyperlink w:anchor="page200">
              <w:r>
                <w:rPr>
                  <w:rFonts w:ascii="Arial" w:cs="Arial" w:eastAsia="Arial" w:hAnsi="Arial"/>
                  <w:sz w:val="18"/>
                  <w:szCs w:val="18"/>
                  <w:color w:val="0000FF"/>
                </w:rPr>
                <w:t>Comparison of Shareholder Rights</w:t>
              </w:r>
            </w:hyperlink>
          </w:p>
        </w:tc>
        <w:tc>
          <w:tcPr>
            <w:tcW w:w="6440" w:type="dxa"/>
            <w:vAlign w:val="bottom"/>
            <w:gridSpan w:val="3"/>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00">
              <w:r>
                <w:rPr>
                  <w:rFonts w:ascii="Arial" w:cs="Arial" w:eastAsia="Arial" w:hAnsi="Arial"/>
                  <w:sz w:val="18"/>
                  <w:szCs w:val="18"/>
                  <w:color w:val="0000FF"/>
                </w:rPr>
                <w:t>197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213">
              <w:r>
                <w:rPr>
                  <w:rFonts w:ascii="Arial" w:cs="Arial" w:eastAsia="Arial" w:hAnsi="Arial"/>
                  <w:sz w:val="18"/>
                  <w:szCs w:val="18"/>
                  <w:color w:val="0000FF"/>
                </w:rPr>
                <w:t>Description of American Depository Shares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13">
              <w:r>
                <w:rPr>
                  <w:rFonts w:ascii="Arial" w:cs="Arial" w:eastAsia="Arial" w:hAnsi="Arial"/>
                  <w:sz w:val="18"/>
                  <w:szCs w:val="18"/>
                  <w:color w:val="0000FF"/>
                </w:rPr>
                <w:t>210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60" w:type="dxa"/>
            <w:vAlign w:val="bottom"/>
            <w:gridSpan w:val="20"/>
          </w:tcPr>
          <w:p>
            <w:pPr>
              <w:spacing w:after="0"/>
              <w:rPr>
                <w:rFonts w:ascii="Arial" w:cs="Arial" w:eastAsia="Arial" w:hAnsi="Arial"/>
                <w:sz w:val="18"/>
                <w:szCs w:val="18"/>
                <w:color w:val="0000FF"/>
                <w:w w:val="95"/>
              </w:rPr>
            </w:pPr>
            <w:hyperlink w:anchor="page225">
              <w:r>
                <w:rPr>
                  <w:rFonts w:ascii="Arial" w:cs="Arial" w:eastAsia="Arial" w:hAnsi="Arial"/>
                  <w:sz w:val="18"/>
                  <w:szCs w:val="18"/>
                  <w:color w:val="0000FF"/>
                  <w:w w:val="95"/>
                </w:rPr>
                <w:t>Shares and ADSs Eligible for Future Sale</w:t>
              </w:r>
            </w:hyperlink>
          </w:p>
        </w:tc>
        <w:tc>
          <w:tcPr>
            <w:tcW w:w="7340" w:type="dxa"/>
            <w:vAlign w:val="bottom"/>
            <w:gridSpan w:val="5"/>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25">
              <w:r>
                <w:rPr>
                  <w:rFonts w:ascii="Arial" w:cs="Arial" w:eastAsia="Arial" w:hAnsi="Arial"/>
                  <w:sz w:val="18"/>
                  <w:szCs w:val="18"/>
                  <w:color w:val="0000FF"/>
                </w:rPr>
                <w:t>222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227">
              <w:r>
                <w:rPr>
                  <w:rFonts w:ascii="Arial" w:cs="Arial" w:eastAsia="Arial" w:hAnsi="Arial"/>
                  <w:sz w:val="18"/>
                  <w:szCs w:val="18"/>
                  <w:color w:val="0000FF"/>
                </w:rPr>
                <w:t>Material United States Federal Income Tax Considerations for U.S. Holders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7">
              <w:r>
                <w:rPr>
                  <w:rFonts w:ascii="Arial" w:cs="Arial" w:eastAsia="Arial" w:hAnsi="Arial"/>
                  <w:sz w:val="18"/>
                  <w:szCs w:val="18"/>
                  <w:color w:val="0000FF"/>
                </w:rPr>
                <w:t>224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tcBorders>
              <w:left w:val="single" w:sz="8" w:color="0000FF"/>
            </w:tcBorders>
            <w:gridSpan w:val="5"/>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w w:val="90"/>
              </w:rPr>
            </w:pPr>
            <w:hyperlink w:anchor="page232">
              <w:r>
                <w:rPr>
                  <w:rFonts w:ascii="Arial" w:cs="Arial" w:eastAsia="Arial" w:hAnsi="Arial"/>
                  <w:sz w:val="18"/>
                  <w:szCs w:val="18"/>
                  <w:color w:val="0000FF"/>
                  <w:w w:val="90"/>
                </w:rPr>
                <w:t>Swiss Tax Implications for U.S. Holders</w:t>
              </w:r>
            </w:hyperlink>
          </w:p>
        </w:tc>
        <w:tc>
          <w:tcPr>
            <w:tcW w:w="2580" w:type="dxa"/>
            <w:vAlign w:val="bottom"/>
            <w:gridSpan w:val="5"/>
          </w:tcPr>
          <w:p>
            <w:pPr>
              <w:spacing w:after="0"/>
              <w:rPr>
                <w:sz w:val="21"/>
                <w:szCs w:val="21"/>
                <w:color w:val="auto"/>
              </w:rPr>
            </w:pPr>
          </w:p>
        </w:tc>
        <w:tc>
          <w:tcPr>
            <w:tcW w:w="5040" w:type="dxa"/>
            <w:vAlign w:val="bottom"/>
            <w:gridSpan w:val="2"/>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32">
              <w:r>
                <w:rPr>
                  <w:rFonts w:ascii="Arial" w:cs="Arial" w:eastAsia="Arial" w:hAnsi="Arial"/>
                  <w:sz w:val="18"/>
                  <w:szCs w:val="18"/>
                  <w:color w:val="0000FF"/>
                </w:rPr>
                <w:t>229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tcBorders>
              <w:left w:val="single" w:sz="8" w:color="0000FF"/>
            </w:tcBorders>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gridSpan w:val="4"/>
          </w:tcPr>
          <w:p>
            <w:pPr>
              <w:spacing w:after="0"/>
              <w:rPr>
                <w:rFonts w:ascii="Arial" w:cs="Arial" w:eastAsia="Arial" w:hAnsi="Arial"/>
                <w:sz w:val="18"/>
                <w:szCs w:val="18"/>
                <w:color w:val="0000FF"/>
                <w:w w:val="94"/>
              </w:rPr>
            </w:pPr>
            <w:hyperlink w:anchor="page235">
              <w:r>
                <w:rPr>
                  <w:rFonts w:ascii="Arial" w:cs="Arial" w:eastAsia="Arial" w:hAnsi="Arial"/>
                  <w:sz w:val="18"/>
                  <w:szCs w:val="18"/>
                  <w:color w:val="0000FF"/>
                  <w:w w:val="94"/>
                </w:rPr>
                <w:t>Underwriting</w:t>
              </w:r>
            </w:hyperlink>
          </w:p>
        </w:tc>
        <w:tc>
          <w:tcPr>
            <w:tcW w:w="1900" w:type="dxa"/>
            <w:vAlign w:val="bottom"/>
            <w:gridSpan w:val="14"/>
          </w:tcPr>
          <w:p>
            <w:pPr>
              <w:spacing w:after="0"/>
              <w:rPr>
                <w:sz w:val="21"/>
                <w:szCs w:val="21"/>
                <w:color w:val="auto"/>
              </w:rPr>
            </w:pPr>
          </w:p>
        </w:tc>
        <w:tc>
          <w:tcPr>
            <w:tcW w:w="7620" w:type="dxa"/>
            <w:vAlign w:val="bottom"/>
            <w:gridSpan w:val="7"/>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35">
              <w:r>
                <w:rPr>
                  <w:rFonts w:ascii="Arial" w:cs="Arial" w:eastAsia="Arial" w:hAnsi="Arial"/>
                  <w:sz w:val="18"/>
                  <w:szCs w:val="18"/>
                  <w:color w:val="0000FF"/>
                </w:rPr>
                <w:t>232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242">
              <w:r>
                <w:rPr>
                  <w:rFonts w:ascii="Arial" w:cs="Arial" w:eastAsia="Arial" w:hAnsi="Arial"/>
                  <w:sz w:val="18"/>
                  <w:szCs w:val="18"/>
                  <w:color w:val="0000FF"/>
                </w:rPr>
                <w:t>Legal Matters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42">
              <w:r>
                <w:rPr>
                  <w:rFonts w:ascii="Arial" w:cs="Arial" w:eastAsia="Arial" w:hAnsi="Arial"/>
                  <w:sz w:val="18"/>
                  <w:szCs w:val="18"/>
                  <w:color w:val="0000FF"/>
                </w:rPr>
                <w:t>239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tcPr>
          <w:p>
            <w:pPr>
              <w:spacing w:after="0"/>
              <w:rPr>
                <w:rFonts w:ascii="Arial" w:cs="Arial" w:eastAsia="Arial" w:hAnsi="Arial"/>
                <w:sz w:val="18"/>
                <w:szCs w:val="18"/>
                <w:color w:val="0000FF"/>
                <w:w w:val="85"/>
              </w:rPr>
            </w:pPr>
            <w:hyperlink w:anchor="page243">
              <w:r>
                <w:rPr>
                  <w:rFonts w:ascii="Arial" w:cs="Arial" w:eastAsia="Arial" w:hAnsi="Arial"/>
                  <w:sz w:val="18"/>
                  <w:szCs w:val="18"/>
                  <w:color w:val="0000FF"/>
                  <w:w w:val="85"/>
                </w:rPr>
                <w:t>Experts</w:t>
              </w:r>
            </w:hyperlink>
          </w:p>
        </w:tc>
        <w:tc>
          <w:tcPr>
            <w:tcW w:w="440" w:type="dxa"/>
            <w:vAlign w:val="bottom"/>
            <w:gridSpan w:val="4"/>
          </w:tcPr>
          <w:p>
            <w:pPr>
              <w:spacing w:after="0"/>
              <w:rPr>
                <w:sz w:val="21"/>
                <w:szCs w:val="21"/>
                <w:color w:val="auto"/>
              </w:rPr>
            </w:pPr>
          </w:p>
        </w:tc>
        <w:tc>
          <w:tcPr>
            <w:tcW w:w="9500" w:type="dxa"/>
            <w:vAlign w:val="bottom"/>
            <w:gridSpan w:val="20"/>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43">
              <w:r>
                <w:rPr>
                  <w:rFonts w:ascii="Arial" w:cs="Arial" w:eastAsia="Arial" w:hAnsi="Arial"/>
                  <w:sz w:val="18"/>
                  <w:szCs w:val="18"/>
                  <w:color w:val="0000FF"/>
                </w:rPr>
                <w:t>240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00" w:type="dxa"/>
            <w:vAlign w:val="bottom"/>
            <w:gridSpan w:val="25"/>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Enforcement of Civil Liabilities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44">
              <w:r>
                <w:rPr>
                  <w:rFonts w:ascii="Arial" w:cs="Arial" w:eastAsia="Arial" w:hAnsi="Arial"/>
                  <w:sz w:val="18"/>
                  <w:szCs w:val="18"/>
                  <w:color w:val="0000FF"/>
                </w:rPr>
                <w:t>241</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7"/>
          </w:tcPr>
          <w:p>
            <w:pPr>
              <w:spacing w:after="0"/>
              <w:rPr>
                <w:rFonts w:ascii="Arial" w:cs="Arial" w:eastAsia="Arial" w:hAnsi="Arial"/>
                <w:sz w:val="18"/>
                <w:szCs w:val="18"/>
                <w:color w:val="0000FF"/>
                <w:w w:val="89"/>
              </w:rPr>
            </w:pPr>
            <w:hyperlink w:anchor="page246">
              <w:r>
                <w:rPr>
                  <w:rFonts w:ascii="Arial" w:cs="Arial" w:eastAsia="Arial" w:hAnsi="Arial"/>
                  <w:sz w:val="18"/>
                  <w:szCs w:val="18"/>
                  <w:color w:val="0000FF"/>
                  <w:w w:val="89"/>
                </w:rPr>
                <w:t>Expenses Related to this Offering</w:t>
              </w:r>
            </w:hyperlink>
          </w:p>
        </w:tc>
        <w:tc>
          <w:tcPr>
            <w:tcW w:w="8060" w:type="dxa"/>
            <w:vAlign w:val="bottom"/>
            <w:gridSpan w:val="8"/>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46">
              <w:r>
                <w:rPr>
                  <w:rFonts w:ascii="Arial" w:cs="Arial" w:eastAsia="Arial" w:hAnsi="Arial"/>
                  <w:sz w:val="18"/>
                  <w:szCs w:val="18"/>
                  <w:color w:val="0000FF"/>
                </w:rPr>
                <w:t>243</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w w:val="91"/>
              </w:rPr>
            </w:pPr>
            <w:hyperlink w:anchor="page247">
              <w:r>
                <w:rPr>
                  <w:rFonts w:ascii="Arial" w:cs="Arial" w:eastAsia="Arial" w:hAnsi="Arial"/>
                  <w:sz w:val="18"/>
                  <w:szCs w:val="18"/>
                  <w:color w:val="0000FF"/>
                  <w:w w:val="91"/>
                </w:rPr>
                <w:t>Where You Can Find More Information</w:t>
              </w:r>
            </w:hyperlink>
          </w:p>
        </w:tc>
        <w:tc>
          <w:tcPr>
            <w:tcW w:w="7620" w:type="dxa"/>
            <w:vAlign w:val="bottom"/>
            <w:gridSpan w:val="7"/>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47">
              <w:r>
                <w:rPr>
                  <w:rFonts w:ascii="Arial" w:cs="Arial" w:eastAsia="Arial" w:hAnsi="Arial"/>
                  <w:sz w:val="18"/>
                  <w:szCs w:val="18"/>
                  <w:color w:val="0000FF"/>
                </w:rPr>
                <w:t>244</w:t>
              </w:r>
            </w:hyperlink>
          </w:p>
        </w:tc>
      </w:tr>
      <w:tr>
        <w:trPr>
          <w:trHeight w:val="20"/>
        </w:trPr>
        <w:tc>
          <w:tcPr>
            <w:tcW w:w="2140" w:type="dxa"/>
            <w:vAlign w:val="bottom"/>
            <w:gridSpan w:val="13"/>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7620" w:type="dxa"/>
            <w:vAlign w:val="bottom"/>
            <w:gridSpan w:val="7"/>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18"/>
          </w:tcPr>
          <w:p>
            <w:pPr>
              <w:spacing w:after="0"/>
              <w:rPr>
                <w:rFonts w:ascii="Arial" w:cs="Arial" w:eastAsia="Arial" w:hAnsi="Arial"/>
                <w:sz w:val="18"/>
                <w:szCs w:val="18"/>
                <w:color w:val="0000FF"/>
              </w:rPr>
            </w:pPr>
            <w:hyperlink w:anchor="page248">
              <w:r>
                <w:rPr>
                  <w:rFonts w:ascii="Arial" w:cs="Arial" w:eastAsia="Arial" w:hAnsi="Arial"/>
                  <w:sz w:val="18"/>
                  <w:szCs w:val="18"/>
                  <w:color w:val="0000FF"/>
                </w:rPr>
                <w:t>Index to Financial Statements</w:t>
              </w:r>
            </w:hyperlink>
          </w:p>
        </w:tc>
        <w:tc>
          <w:tcPr>
            <w:tcW w:w="762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5"/>
                <w:szCs w:val="15"/>
                <w:color w:val="0000FF"/>
                <w:w w:val="70"/>
              </w:rPr>
            </w:pPr>
            <w:r>
              <w:rPr>
                <w:rFonts w:ascii="Arial" w:cs="Arial" w:eastAsia="Arial" w:hAnsi="Arial"/>
                <w:sz w:val="15"/>
                <w:szCs w:val="15"/>
                <w:color w:val="0000FF"/>
                <w:w w:val="70"/>
              </w:rPr>
              <w:t>F-</w:t>
            </w:r>
            <w:hyperlink w:anchor="page248">
              <w:r>
                <w:rPr>
                  <w:rFonts w:ascii="Arial" w:cs="Arial" w:eastAsia="Arial" w:hAnsi="Arial"/>
                  <w:sz w:val="15"/>
                  <w:szCs w:val="15"/>
                  <w:color w:val="0000FF"/>
                  <w:w w:val="70"/>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We are responsible for the information contained in this prospectus and in any free 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and the distribution of this prospectus outside the United States.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13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jurisdiction of incorporation is Switzerland and our registered office is in Schlieren, Canton of Zurich, Switzerland. A majority of our outstanding securities are owned by non-U.S. residents.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U.S. domestic issuers whose securities are registered under the Securities Exchange Act of 1934, as amended, referred to herein as the Exchange Act.</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this prospectus, unless otherwise specified, all monetary amounts are in Swiss francs, all references to “CHF” and “Swiss francs” mean Swiss francs and all references to “U.S. dollars,” “$,” “US$” and “USD” mean United States dollars. Throughout this prospectus, references to ADSs mean ADSs or common shares represented by such ADSs,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65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PROSPECTUS SUMMARY</w:t>
      </w:r>
    </w:p>
    <w:p>
      <w:pPr>
        <w:spacing w:after="0" w:line="3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Because it is only a summary, it does not contain all of the information that you should consider before investing in our American Depositary Shares, or ADSs, and it is qualified in its entirety by, and should be read with, the more detailed information appearing elsewhere in this prospectus. You should read the entire prospectus and the registration statement of which this prospectus is a part carefully and in their entirety, including the information discussed under “Risk Factors,” “Business,” “Management’s Discussion and Analysis of Financial Condition and Results of Operations” and our financial statements and the related notes included elsewhere in this prospectus, before deciding to buy our ADSs. Unless the context requires otherwise, references in this prospectus to the “Company,” “Molecular Partners” “we,” “us” and “our” refer to Molecular Partners AG and its wholly-owned subsidiary.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therapeutics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DARPin Platform</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Selected single-domain DARPin modules then serve as building blocks to create our multi-specific DARPin product candidates, which are able to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w:t>
      </w:r>
    </w:p>
    <w:p>
      <w:pPr>
        <w:spacing w:after="0" w:line="116"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color w:val="auto"/>
        </w:rPr>
        <w:t>Our in-house DARPin programs are initially focused on infectious diseases, where we see potential in our first COVID-19 antiviral therapeutic product candidates in partnership with Novartis, and on our oncology program, where we see potential in the utility and flexibility of our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60"/>
          </w:cols>
          <w:pgMar w:left="1000" w:top="1440" w:right="10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133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partnered and proprietary product candidates and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 a potential approval. Our partner, Abbvie, is currently evaluating potential next steps</w:t>
      </w:r>
      <w:r>
        <w:rPr>
          <w:rFonts w:ascii="Arial" w:cs="Arial" w:eastAsia="Arial" w:hAnsi="Arial"/>
          <w:sz w:val="18"/>
          <w:szCs w:val="18"/>
          <w:color w:val="auto"/>
        </w:rPr>
        <w:t>.</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our DARPin molecules have distinct features to elicit specific therapeutic actions for a particular target, each DARPin therapeutic modality can be utilized across multiple programs. We believe the key advantages of our DARPin platform include the: (i) ability of our DARPin product candidates to target multiple escape pathways in parallel; (ii) capacity to find and address new biology on known targets by using our DARPin approach; (iii) flexible architecture of our DARPin product candidates enabling them to engage and locally activate immune cells; (iv) ability of the pharmacokinetic profile for each of our DARPin product candidates to be tailored depending on the relevant therapeutic application targeted; and (v) established and efficient process and ease of storage of our DARPin product candidates.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pipeline programs benefit from the learnings of earlier discoveries, such as the use of FAP as a localized activator for both AMG 506 (MP0310) and MP0317, escape prevention for our legacy product candidate MP0250, our new tetra-specific AML program, our COVID-19 therapeutic antiviral product candidates, and molecular handcuffing which is shared between our legacy product candidate MP0274 and our COVID-19 antiviral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00"/>
          </w:cols>
          <w:pgMar w:left="1000" w:top="1440" w:right="9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453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45363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candidate MP0423. As we continue to unlock new therapeutic modalities, each insight from earlier discoveries will be leveraged and applied across new product candidates wherever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Once we develop a DARPin modality for one program, we can utilize it for some or all of the programs that follow. This figure depicts our various therapeutic modalities across our pipeline programs. Blue shading reflects the stage of development of each program.</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Infectious Disease Program</w:t>
      </w:r>
    </w:p>
    <w:p>
      <w:pPr>
        <w:spacing w:after="0" w:line="15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With the emergence of the COVID-19 pandemic, starting in early 2020, it was apparent that all efforts must be made to explore how DARPin therapeutics can assist in an emerging crisis. The straightforward development path of DARPin antiviral product candidates, enabled by their multi-specific binding mechanism of action, or MOA, allowed us to rapidly move from concept to clinic. To date we have developed two tri-specific COVID-19 antiviral therapeutic product candidates, MP0420, which we refer to as ensovibep, and MP0423. Both are designed to have strong binding and neutralizing potencies targeting multiple epitopes on the SARS-CoV-2 spike protein that are crucial for infection. We expect to commence a Phase 2/3 clinical trial for ensovibep, the lead product candidate in our</w:t>
      </w:r>
    </w:p>
    <w:p>
      <w:pPr>
        <w:spacing w:after="0" w:line="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infectious disease program, in , with interim data expected in and full data expected in . We are presently enrolling up to 40 patients in a Phase 2 study for ensovibep in the Netherlands, which was initiated in April 2021. Ensovibep has demonstrated a favorable tolerability profile to date, in its Phase 1 trial of 23 healthy volunteers since commencement in 2020. Furthermore, we have partnered with Novartis to develop, manufacture and commercialize ensovibep and MP0423, which we believe will allow us to more rapidly develop this product candidate as a therapeutic for the treatment of COVID-19. Our clinical development strategy aims to</w:t>
      </w:r>
    </w:p>
    <w:p>
      <w:pPr>
        <w:spacing w:after="0" w:line="3"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achieve potential emergency use authorization in</w:t>
      </w:r>
      <w:r>
        <w:rPr>
          <w:sz w:val="20"/>
          <w:szCs w:val="20"/>
          <w:color w:val="auto"/>
        </w:rPr>
        <w:tab/>
      </w:r>
      <w:r>
        <w:rPr>
          <w:rFonts w:ascii="Arial" w:cs="Arial" w:eastAsia="Arial" w:hAnsi="Arial"/>
          <w:sz w:val="13"/>
          <w:szCs w:val="13"/>
          <w:color w:val="auto"/>
        </w:rPr>
        <w:t>.</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differentiated multi-specific binding approach of product candidates in our infectious disease program offers potentially broader efficacy – across both therapeutic and prophylactic settings – and reduces the potential for the development of viral drug resistance. Preclinical potency data suggests that our COVID-19 antiviral therapeutic product candidates may be administrable as a subcutaneous injection, which could represent a significant advantage for ease of delivery.</w:t>
      </w:r>
    </w:p>
    <w:p>
      <w:pPr>
        <w:sectPr>
          <w:pgSz w:w="11900" w:h="16838" w:orient="portrait"/>
          <w:cols w:equalWidth="0" w:num="1">
            <w:col w:w="9720"/>
          </w:cols>
          <w:pgMar w:left="1000" w:top="144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20"/>
          </w:cols>
          <w:pgMar w:left="1000" w:top="1440" w:right="117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5610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61022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Ensovibep is constructed from three RBD binding DARPin domains and two HSA binding half-life extension DARPin domains.</w:t>
      </w:r>
    </w:p>
    <w:p>
      <w:pPr>
        <w:spacing w:after="0" w:line="16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Given the potential of DARPin molecules in treating SARS-CoV-2 through a viral neutralization mechanism, we have been exploring a number of potential infectious diseases which can be treated through multi-specific targeting. This evaluation includes additional work on pandemic threats, tropical diseases, and respiratory viruses such as Respiratory Syncytial Virus, or RSV.</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Oncology Program</w:t>
      </w:r>
    </w:p>
    <w:p>
      <w:pPr>
        <w:spacing w:after="0" w:line="152" w:lineRule="exact"/>
        <w:rPr>
          <w:sz w:val="20"/>
          <w:szCs w:val="20"/>
          <w:color w:val="auto"/>
        </w:rPr>
      </w:pPr>
    </w:p>
    <w:p>
      <w:pPr>
        <w:jc w:val="both"/>
        <w:ind w:right="200"/>
        <w:spacing w:after="0" w:line="275" w:lineRule="auto"/>
        <w:rPr>
          <w:sz w:val="20"/>
          <w:szCs w:val="20"/>
          <w:color w:val="auto"/>
        </w:rPr>
      </w:pPr>
      <w:r>
        <w:rPr>
          <w:rFonts w:ascii="Arial" w:cs="Arial" w:eastAsia="Arial" w:hAnsi="Arial"/>
          <w:sz w:val="17"/>
          <w:szCs w:val="17"/>
          <w:color w:val="auto"/>
        </w:rPr>
        <w:t>We are developing DARPin product candidates in our oncology program to treat diseases with high unmet medical need. To date, our oncology product development efforts have focused on known biological targets while the multi-specificity afforded by our DARPin technology has allowed us to unlock previously difficult-to-address tumor biology and expand the range of addressable tumor biology compared to current standard of care therapies. Our first product candidates were constructed to be activated only within a tumor or its supporting tissue, thereby avoiding systemic activation and minimizing adverse events.</w:t>
      </w:r>
    </w:p>
    <w:p>
      <w:pPr>
        <w:spacing w:after="0" w:line="10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developing AMG 506 (MP0310), the lead product candidate in our oncology program and which is partnered with Amgen, as a tumor-localized, 4-1BB immune-cell activator for the potential treatment of FAP-positive cancers, which include multiple solid tumors To avoid potential toxicity concerns, and allow for potentially therapeutically meaningful activation of 4-1BB, we engineered AMG 506 (MP0310) to activate 4-1BB only when bound to FAP. FAP is found in the tumor stroma in high density, and its binding can create a local cluster effect. In our Phase 1 clinical trial, we observed that AMG 506 (MP0310) demonstrated the ability to generate localized immune cell activation with no systemic toxicity in interim data. The dose escalation stage of the Phase 1 clinical trial was initiated in late 2019 and we are currently conducting dosing regimen adaptations to identify the dosing regimen to obtain sustained 4-1BB activation. We believe AMG 506 (MP0310) could be particularly relevant as a combination agent with potential combination studies in collaboration with Amgen.</w:t>
      </w:r>
    </w:p>
    <w:p>
      <w:pPr>
        <w:spacing w:after="0" w:line="10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MP0317, the second product candidate in our oncology program, is designed to bind CD40 and FAP. CD40 is an immune agonist that has demonstrated the ability to exert anti-tumor activity, but its utility as a target has been somewhat limited in the clinic due to concerns regarding potential severe adverse events. We have designed MP0317 to increase localized activation of CD40 in the tumor microenvironment and as activation should only occur when both FAP and CD40 are simultaneously engaged, we believe MP0317 will</w:t>
      </w:r>
    </w:p>
    <w:p>
      <w:pPr>
        <w:spacing w:after="0" w:line="1" w:lineRule="exact"/>
        <w:rPr>
          <w:sz w:val="20"/>
          <w:szCs w:val="20"/>
          <w:color w:val="auto"/>
        </w:rPr>
      </w:pPr>
    </w:p>
    <w:p>
      <w:pPr>
        <w:spacing w:after="0"/>
        <w:tabs>
          <w:tab w:leader="none" w:pos="9460" w:val="left"/>
        </w:tabs>
        <w:rPr>
          <w:sz w:val="20"/>
          <w:szCs w:val="20"/>
          <w:color w:val="auto"/>
        </w:rPr>
      </w:pPr>
      <w:r>
        <w:rPr>
          <w:rFonts w:ascii="Arial" w:cs="Arial" w:eastAsia="Arial" w:hAnsi="Arial"/>
          <w:sz w:val="18"/>
          <w:szCs w:val="18"/>
          <w:color w:val="auto"/>
        </w:rPr>
        <w:t>trigger only tumor localized activity with minimal systemic side effects. We expect to enter the clinic with MP0317 in</w:t>
      </w:r>
      <w:r>
        <w:rPr>
          <w:sz w:val="20"/>
          <w:szCs w:val="20"/>
          <w:color w:val="auto"/>
        </w:rPr>
        <w:tab/>
      </w:r>
      <w:r>
        <w:rPr>
          <w:rFonts w:ascii="Arial" w:cs="Arial" w:eastAsia="Arial" w:hAnsi="Arial"/>
          <w:sz w:val="13"/>
          <w:szCs w:val="13"/>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T-Cell Engager Program</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our strategic evolution, we are focusing our efforts on creating DARPin product candidates that convey single-agent activity and do not require combination with additional compounds to show efficacy. Executing on this strategy over the last three years, we have developed CD3 T-cell engager, or TCE, therapeutic modalities that integrate the CD3-targeting approach to T-cell engagement into a multi-DARPin format that addresses the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80"/>
          </w:cols>
          <w:pgMar w:left="1000" w:top="1440" w:right="10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727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72795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challenges of CD3 targeting. We are initially focused on targeting AML and other liquid tumors, with initial data presented at the 2021 American Academy for Cancer Research, or 2021 AACR,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can control the activation of our multi-specific T cell to be restricted to a specific location and/or activated slowly to avoid adverse events related to misdirected or overly strong activity.</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use of tumor localization DARPin domains in addition to a CD3-binding DARPin domain has allowed the design of candidates with better tumor specificity, and consequently reduced ‘off-tumor’ effects, potentially enabling the administration of higher dose levels and achieving better efficacy. In preclinical tests against AML cells, DARPin CD3/TCE product candidates delivered highly potent and specific activity and the potential for a reduced systemic immune response.</w:t>
      </w:r>
    </w:p>
    <w:p>
      <w:pPr>
        <w:spacing w:after="0" w:line="11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We intend to further expand the ability of our oncology program with DARPin product candidates that ensure CD3 is only targeted locally in the tumor microenvironment and is only activated slowly over time to further control the risk of side effects and provide sustained activity.</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Peptide-MHC DARPin Discovery Program</w:t>
      </w:r>
    </w:p>
    <w:p>
      <w:pPr>
        <w:spacing w:after="0" w:line="1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continue to unlock and expand our therapeutic capabilities, pMHC-targeting DARPin molecules represent the next level of immune cell targeting DARPin product candidates. These highly differentiated and specialized therapeutic candidates are designed to engage specific pMHC complexes while avoiding off-target attacks on healthy tissue, potentially delivering greater efficacy with fewer side effects. pMHC DARPin molecules can identify a whole new array of targets that were previously hidden from external protein binders that are restricted to the extracellular environment. We believe the ability to target these intracellular proteins will allow us to pursue an entirely new set of potentially meaningful targets across the fields of oncology and infectious diseases. We have demonstrated proof-of-concept for the ability of DARPin therapeutics to effectively drug pMHC complexes. We are actively screening single-domain DARPin proteins for optimal binding to a range of pMHC complexes, which we expect to use to design DARPin product candidates with specific and potent diseased cell killing effects.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Legacy Oncology Programs</w:t>
      </w:r>
    </w:p>
    <w:p>
      <w:pPr>
        <w:spacing w:after="0" w:line="13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previously developed two oncology product candidates demonstrating clinical proof-of-concept and validating the systemic administration of DARPin therapeutics in patients with both solid and hematologic malignancies. MP0250 was designed to bind to and inhibit vascular endothelial growth factor, or VEGF, and hepatocyte growth factor, or HGF. MP0250 evidenced the ability to restore the efficacy of many standard of care cancer therapies, allowing patients who developed resistance to again respond to these therapies. The second legacy product candidate in our oncology program, MP0274, is a DARPin product candidate designed to bind to two different sites, or epitopes, on HER2, a receptor protein that promotes the growth of tumors. Through these legacy product candidates, we have demonstrated therapeutic benefit for patients in the clinic, shown that multi-specific DARPin therapies can be administered safely and with low immunogenicity, and validated the ability of our HSA-binding DARPin technologies to support long-lasting activity. While the tolerability of these product candidates is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000" w:top="1440" w:right="10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873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87336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 w:right="220"/>
        <w:spacing w:after="0" w:line="277" w:lineRule="auto"/>
        <w:rPr>
          <w:sz w:val="20"/>
          <w:szCs w:val="20"/>
          <w:color w:val="auto"/>
        </w:rPr>
      </w:pPr>
      <w:r>
        <w:rPr>
          <w:rFonts w:ascii="Arial" w:cs="Arial" w:eastAsia="Arial" w:hAnsi="Arial"/>
          <w:sz w:val="18"/>
          <w:szCs w:val="18"/>
          <w:color w:val="auto"/>
        </w:rPr>
        <w:t>encouraging, a strategic decision has been made to de-prioritize the product candidates in favor of investing in programs where a clear clinical differentiation could be made through the DARPin constructs.</w:t>
      </w:r>
    </w:p>
    <w:p>
      <w:pPr>
        <w:spacing w:after="0" w:line="10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Ophthalmology Program and Collaborations with Allergan, an Abbvie Company</w:t>
      </w:r>
    </w:p>
    <w:p>
      <w:pPr>
        <w:spacing w:after="0" w:line="138" w:lineRule="exact"/>
        <w:rPr>
          <w:sz w:val="20"/>
          <w:szCs w:val="20"/>
          <w:color w:val="auto"/>
        </w:rPr>
      </w:pPr>
    </w:p>
    <w:p>
      <w:pPr>
        <w:ind w:left="6"/>
        <w:spacing w:after="0" w:line="253" w:lineRule="auto"/>
        <w:rPr>
          <w:sz w:val="20"/>
          <w:szCs w:val="20"/>
          <w:color w:val="auto"/>
        </w:rPr>
      </w:pPr>
      <w:r>
        <w:rPr>
          <w:rFonts w:ascii="Arial" w:cs="Arial" w:eastAsia="Arial" w:hAnsi="Arial"/>
          <w:sz w:val="18"/>
          <w:szCs w:val="18"/>
          <w:color w:val="auto"/>
        </w:rPr>
        <w:t>The most clinically advanced DARPin product candidate we have developed is abicipar, a VEGF inhibitor for the treatment of neovascular (wet) age-related macular degeneration, or nAMD, and diabetic macular edema, or DME. Abicipar, which we developed using our DARPin platform, has a longer duration of action and may enable less frequent injections into the eye than the current anti-VEGF treatments while providing equal or better improvements in vision. This program was exclusively licensed to Allergan, an Abbvie company, in 2011. Abicipar has completed two global Phase 3 clinical trials where it met its primary endpoints of non-inferiority to the market leading monthly treatment, Lucentis. Following submission of a Biologics Licensing Application, or BLA, to the U.S. Food and Drug Administration, or FDA, it was determined that the ocular inflammation profile see in the two Phase 2 clinical trials did not provide an adequate risk reward benefit as submitted, and additional work would be required to show the ocular inflammation profile of abicipar would be similar to those products already approved for the treatment of nAMD. Our partner, Abbvie, is currently evaluating potential next steps.</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Team</w:t>
      </w:r>
    </w:p>
    <w:p>
      <w:pPr>
        <w:spacing w:after="0" w:line="152" w:lineRule="exact"/>
        <w:rPr>
          <w:sz w:val="20"/>
          <w:szCs w:val="20"/>
          <w:color w:val="auto"/>
        </w:rPr>
      </w:pPr>
    </w:p>
    <w:p>
      <w:pPr>
        <w:ind w:left="6" w:right="60"/>
        <w:spacing w:after="0" w:line="257" w:lineRule="auto"/>
        <w:rPr>
          <w:sz w:val="20"/>
          <w:szCs w:val="20"/>
          <w:color w:val="auto"/>
        </w:rPr>
      </w:pPr>
      <w:r>
        <w:rPr>
          <w:rFonts w:ascii="Arial" w:cs="Arial" w:eastAsia="Arial" w:hAnsi="Arial"/>
          <w:sz w:val="18"/>
          <w:szCs w:val="18"/>
          <w:color w:val="auto"/>
        </w:rPr>
        <w:t>Molecular Partners is an international working environment comprised of 150+ individuals from numerous disciplines who contribute to our shared values of scientific excellence, respectful teamwork and personal aspiration.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107" w:lineRule="exact"/>
        <w:rPr>
          <w:sz w:val="20"/>
          <w:szCs w:val="20"/>
          <w:color w:val="auto"/>
        </w:rPr>
      </w:pPr>
    </w:p>
    <w:p>
      <w:pPr>
        <w:jc w:val="both"/>
        <w:ind w:left="6" w:right="120"/>
        <w:spacing w:after="0" w:line="287" w:lineRule="auto"/>
        <w:rPr>
          <w:sz w:val="20"/>
          <w:szCs w:val="20"/>
          <w:color w:val="auto"/>
        </w:rPr>
      </w:pPr>
      <w:r>
        <w:rPr>
          <w:rFonts w:ascii="Arial" w:cs="Arial" w:eastAsia="Arial" w:hAnsi="Arial"/>
          <w:sz w:val="16"/>
          <w:szCs w:val="16"/>
          <w:color w:val="auto"/>
        </w:rPr>
        <w:t>We were founded in 2004 by the inventors of our DARPin platform. Our senior management, which includes two of our company’s co-founders, have significant prior experience in oncology, research, drug development and finance, and members of our team have served as senior executives at other well-established companies including Argenx, Bavarian Nordic, Celgene, Lonza, Roche and Takeda.</w:t>
      </w:r>
    </w:p>
    <w:p>
      <w:pPr>
        <w:spacing w:after="0" w:line="2" w:lineRule="exact"/>
        <w:rPr>
          <w:sz w:val="20"/>
          <w:szCs w:val="20"/>
          <w:color w:val="auto"/>
        </w:rPr>
      </w:pPr>
    </w:p>
    <w:p>
      <w:pPr>
        <w:ind w:left="6" w:right="400"/>
        <w:spacing w:after="0" w:line="260" w:lineRule="auto"/>
        <w:rPr>
          <w:sz w:val="20"/>
          <w:szCs w:val="20"/>
          <w:color w:val="auto"/>
        </w:rPr>
      </w:pPr>
      <w:r>
        <w:rPr>
          <w:rFonts w:ascii="Arial" w:cs="Arial" w:eastAsia="Arial" w:hAnsi="Arial"/>
          <w:sz w:val="18"/>
          <w:szCs w:val="18"/>
          <w:color w:val="auto"/>
        </w:rPr>
        <w:t>Additionally, our board of directors includes current and former senior executives of Biogen, Millennium, Novartis AG, Roche, and Sanofi.</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Unlock and Expand Custom-Built Biology for Patients</w:t>
      </w:r>
    </w:p>
    <w:p>
      <w:pPr>
        <w:spacing w:after="0" w:line="144" w:lineRule="exact"/>
        <w:rPr>
          <w:sz w:val="20"/>
          <w:szCs w:val="20"/>
          <w:color w:val="auto"/>
        </w:rPr>
      </w:pPr>
    </w:p>
    <w:p>
      <w:pPr>
        <w:ind w:left="6" w:right="160"/>
        <w:spacing w:after="0" w:line="342" w:lineRule="auto"/>
        <w:rPr>
          <w:sz w:val="20"/>
          <w:szCs w:val="20"/>
          <w:color w:val="auto"/>
        </w:rPr>
      </w:pPr>
      <w:r>
        <w:rPr>
          <w:rFonts w:ascii="Arial" w:cs="Arial" w:eastAsia="Arial" w:hAnsi="Arial"/>
          <w:sz w:val="16"/>
          <w:szCs w:val="16"/>
          <w:color w:val="auto"/>
        </w:rPr>
        <w:t>We are committed to leveraging our proprietary DARPin platform to unlock and expand the inherent advantages of DARPin molecules to potentially deliver innovative therapies to patients suffering from severe disease with significant unmet medical needs.</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rPr>
        <w:t>Key aspects of our strategy include the following:</w:t>
      </w:r>
    </w:p>
    <w:p>
      <w:pPr>
        <w:spacing w:after="0" w:line="154" w:lineRule="exact"/>
        <w:rPr>
          <w:sz w:val="20"/>
          <w:szCs w:val="20"/>
          <w:color w:val="auto"/>
        </w:rPr>
      </w:pPr>
    </w:p>
    <w:p>
      <w:pPr>
        <w:ind w:left="326" w:right="20" w:hanging="326"/>
        <w:spacing w:after="0" w:line="289"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Unlock novel biological solutions and expand therapeutic applications of clinically validated DARPin approaches.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we are the world leaders in DARPin engineering and research. With each technical breakthrough we achieve, we are able to apply key learnings across our portfolio, leveraging each insight to improve future programs.</w:t>
      </w:r>
    </w:p>
    <w:p>
      <w:pPr>
        <w:spacing w:after="0" w:line="76" w:lineRule="exact"/>
        <w:rPr>
          <w:rFonts w:ascii="Arial" w:cs="Arial" w:eastAsia="Arial" w:hAnsi="Arial"/>
          <w:sz w:val="17"/>
          <w:szCs w:val="17"/>
          <w:color w:val="auto"/>
        </w:rPr>
      </w:pPr>
    </w:p>
    <w:p>
      <w:pPr>
        <w:ind w:left="326" w:right="180" w:hanging="326"/>
        <w:spacing w:after="0" w:line="293" w:lineRule="auto"/>
        <w:tabs>
          <w:tab w:leader="none" w:pos="321"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Rapidly advance the clinical development of our COVID-19 antiviral therapeutic product candidates in our infectious disease program in collaboration with Novartis. </w:t>
      </w:r>
      <w:r>
        <w:rPr>
          <w:rFonts w:ascii="Arial" w:cs="Arial" w:eastAsia="Arial" w:hAnsi="Arial"/>
          <w:sz w:val="16"/>
          <w:szCs w:val="16"/>
          <w:color w:val="auto"/>
        </w:rPr>
        <w:t>Our clinical strategy aims to achieve potential emergency use authorization for</w:t>
      </w:r>
    </w:p>
    <w:p>
      <w:pPr>
        <w:spacing w:after="0" w:line="1" w:lineRule="exact"/>
        <w:rPr>
          <w:sz w:val="20"/>
          <w:szCs w:val="20"/>
          <w:color w:val="auto"/>
        </w:rPr>
      </w:pPr>
    </w:p>
    <w:p>
      <w:pPr>
        <w:jc w:val="both"/>
        <w:ind w:left="326" w:right="340"/>
        <w:spacing w:after="0" w:line="281" w:lineRule="auto"/>
        <w:rPr>
          <w:sz w:val="20"/>
          <w:szCs w:val="20"/>
          <w:color w:val="auto"/>
        </w:rPr>
      </w:pPr>
      <w:r>
        <w:rPr>
          <w:rFonts w:ascii="Arial" w:cs="Arial" w:eastAsia="Arial" w:hAnsi="Arial"/>
          <w:sz w:val="16"/>
          <w:szCs w:val="16"/>
          <w:color w:val="auto"/>
        </w:rPr>
        <w:t>ensovibep in . Given the preclinical data from our existing COVID-19 antiviral therapeutic product candidates and the clear fit between the DARPin therapeutic profile and compelling antiviral product profiles, we intend to pursue other high value antiviral indications with unmet global need. We expect to announce a new target indication in our infectious disease program</w:t>
      </w:r>
    </w:p>
    <w:p>
      <w:pPr>
        <w:spacing w:after="0" w:line="2" w:lineRule="exact"/>
        <w:rPr>
          <w:sz w:val="20"/>
          <w:szCs w:val="20"/>
          <w:color w:val="auto"/>
        </w:rPr>
      </w:pPr>
    </w:p>
    <w:p>
      <w:pPr>
        <w:ind w:left="326"/>
        <w:spacing w:after="0"/>
        <w:tabs>
          <w:tab w:leader="none" w:pos="1246" w:val="left"/>
        </w:tabs>
        <w:rPr>
          <w:sz w:val="20"/>
          <w:szCs w:val="20"/>
          <w:color w:val="auto"/>
        </w:rPr>
      </w:pPr>
      <w:r>
        <w:rPr>
          <w:rFonts w:ascii="Arial" w:cs="Arial" w:eastAsia="Arial" w:hAnsi="Arial"/>
          <w:sz w:val="18"/>
          <w:szCs w:val="18"/>
          <w:color w:val="auto"/>
        </w:rPr>
        <w:t>in</w:t>
      </w:r>
      <w:r>
        <w:rPr>
          <w:sz w:val="20"/>
          <w:szCs w:val="20"/>
          <w:color w:val="auto"/>
        </w:rPr>
        <w:tab/>
      </w:r>
      <w:r>
        <w:rPr>
          <w:rFonts w:ascii="Arial" w:cs="Arial" w:eastAsia="Arial" w:hAnsi="Arial"/>
          <w:sz w:val="18"/>
          <w:szCs w:val="18"/>
          <w:color w:val="auto"/>
        </w:rPr>
        <w:t>.</w:t>
      </w:r>
    </w:p>
    <w:p>
      <w:pPr>
        <w:spacing w:after="0" w:line="139" w:lineRule="exact"/>
        <w:rPr>
          <w:sz w:val="20"/>
          <w:szCs w:val="20"/>
          <w:color w:val="auto"/>
        </w:rPr>
      </w:pPr>
    </w:p>
    <w:p>
      <w:pPr>
        <w:ind w:left="326" w:right="180" w:hanging="326"/>
        <w:spacing w:after="0" w:line="261"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Advance clinical development of AMG 506 (MP0310) and MP0317, the most advanced product candidates in our oncology program. </w:t>
      </w:r>
      <w:r>
        <w:rPr>
          <w:rFonts w:ascii="Arial" w:cs="Arial" w:eastAsia="Arial" w:hAnsi="Arial"/>
          <w:sz w:val="18"/>
          <w:szCs w:val="18"/>
          <w:color w:val="auto"/>
        </w:rPr>
        <w:t>Utilizing our knowledge of DARPin designs, we have developed a method of locally clustering potent</w:t>
      </w:r>
      <w:r>
        <w:rPr>
          <w:rFonts w:ascii="Arial" w:cs="Arial" w:eastAsia="Arial" w:hAnsi="Arial"/>
          <w:sz w:val="18"/>
          <w:szCs w:val="18"/>
          <w:b w:val="1"/>
          <w:bCs w:val="1"/>
          <w:color w:val="auto"/>
        </w:rPr>
        <w:t xml:space="preserve"> </w:t>
      </w:r>
      <w:r>
        <w:rPr>
          <w:rFonts w:ascii="Arial" w:cs="Arial" w:eastAsia="Arial" w:hAnsi="Arial"/>
          <w:sz w:val="18"/>
          <w:szCs w:val="18"/>
          <w:color w:val="auto"/>
        </w:rPr>
        <w:t>immunostimulatory molecules, which are designed to activate themselves only in the presence of specific conditions. Our lead oncology product candidate, AMG 506 (MP0310), is</w:t>
      </w:r>
    </w:p>
    <w:p>
      <w:pPr>
        <w:sectPr>
          <w:pgSz w:w="11900" w:h="16838" w:orient="portrait"/>
          <w:cols w:equalWidth="0" w:num="1">
            <w:col w:w="9886"/>
          </w:cols>
          <w:pgMar w:left="994" w:top="1440" w:right="1019" w:bottom="10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6"/>
          </w:cols>
          <w:pgMar w:left="994" w:top="1440" w:right="1019" w:bottom="1081"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90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907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120"/>
        <w:spacing w:after="0" w:line="291" w:lineRule="auto"/>
        <w:rPr>
          <w:sz w:val="20"/>
          <w:szCs w:val="20"/>
          <w:color w:val="auto"/>
        </w:rPr>
      </w:pPr>
      <w:r>
        <w:rPr>
          <w:rFonts w:ascii="Arial" w:cs="Arial" w:eastAsia="Arial" w:hAnsi="Arial"/>
          <w:sz w:val="16"/>
          <w:szCs w:val="16"/>
          <w:color w:val="auto"/>
        </w:rPr>
        <w:t>being developed to locally activate immune cells in the tumor by binding to FAP on tumor stromal cells where it acts as a localizer, and co-stimulating T cells via 4-1BB, an immune modulator protein, for the treatment of FAP-positive cancers. We expect to</w:t>
      </w:r>
    </w:p>
    <w:p>
      <w:pPr>
        <w:ind w:left="326"/>
        <w:spacing w:after="0"/>
        <w:tabs>
          <w:tab w:leader="none" w:pos="5866" w:val="left"/>
        </w:tabs>
        <w:rPr>
          <w:sz w:val="20"/>
          <w:szCs w:val="20"/>
          <w:color w:val="auto"/>
        </w:rPr>
      </w:pPr>
      <w:r>
        <w:rPr>
          <w:rFonts w:ascii="Arial" w:cs="Arial" w:eastAsia="Arial" w:hAnsi="Arial"/>
          <w:sz w:val="18"/>
          <w:szCs w:val="18"/>
          <w:color w:val="auto"/>
        </w:rPr>
        <w:t>commence a Phase 1 clinical trial for MP0317 (FAP x CD40) in</w:t>
      </w:r>
      <w:r>
        <w:rPr>
          <w:sz w:val="20"/>
          <w:szCs w:val="20"/>
          <w:color w:val="auto"/>
        </w:rPr>
        <w:tab/>
      </w:r>
      <w:r>
        <w:rPr>
          <w:rFonts w:ascii="Arial" w:cs="Arial" w:eastAsia="Arial" w:hAnsi="Arial"/>
          <w:sz w:val="13"/>
          <w:szCs w:val="13"/>
          <w:color w:val="auto"/>
        </w:rPr>
        <w:t>.</w:t>
      </w:r>
    </w:p>
    <w:p>
      <w:pPr>
        <w:spacing w:after="0" w:line="139" w:lineRule="exact"/>
        <w:rPr>
          <w:sz w:val="20"/>
          <w:szCs w:val="20"/>
          <w:color w:val="auto"/>
        </w:rPr>
      </w:pPr>
    </w:p>
    <w:p>
      <w:pPr>
        <w:ind w:left="326" w:right="120" w:hanging="326"/>
        <w:spacing w:after="0" w:line="258"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Expand the clinical applications of our newly unlocked next-generation CD3 capabilities. </w:t>
      </w:r>
      <w:r>
        <w:rPr>
          <w:rFonts w:ascii="Arial" w:cs="Arial" w:eastAsia="Arial" w:hAnsi="Arial"/>
          <w:sz w:val="18"/>
          <w:szCs w:val="18"/>
          <w:color w:val="auto"/>
        </w:rPr>
        <w:t>We plan to generate novel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from our CD3 discovery programs, utilizing the concepts of multi-specific targeting, conditional activation, and slow activation, all of which we believe open an array of new opportunities for modulating the immune system to fight disease. We have developed methods of delivering highly specific CD3, multi-specific product candidates, starting with a tri-specific TCE for the treatment of AML.</w:t>
      </w:r>
    </w:p>
    <w:p>
      <w:pPr>
        <w:spacing w:after="0" w:line="102" w:lineRule="exact"/>
        <w:rPr>
          <w:rFonts w:ascii="Arial" w:cs="Arial" w:eastAsia="Arial" w:hAnsi="Arial"/>
          <w:sz w:val="18"/>
          <w:szCs w:val="18"/>
          <w:color w:val="auto"/>
        </w:rPr>
      </w:pPr>
    </w:p>
    <w:p>
      <w:pPr>
        <w:ind w:left="326" w:right="60" w:hanging="326"/>
        <w:spacing w:after="0" w:line="258"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proprietary libraries to expand the applicability of DARPin therapeutics. </w:t>
      </w:r>
      <w:r>
        <w:rPr>
          <w:rFonts w:ascii="Arial" w:cs="Arial" w:eastAsia="Arial" w:hAnsi="Arial"/>
          <w:sz w:val="18"/>
          <w:szCs w:val="18"/>
          <w:color w:val="auto"/>
        </w:rPr>
        <w:t>In pursuit of a sustainable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diversified portfolio, we plan to develop potentially innovative and transformational constructs directed against the most promising targets in our areas of focus. As part of this expansion, we have also developed methods of targeting pMHC complexes, which we believe provides us the capability to investigate a multitude of new targets that have previously been untargetable, both in infectious diseases and oncology.</w:t>
      </w:r>
    </w:p>
    <w:p>
      <w:pPr>
        <w:spacing w:after="0" w:line="115" w:lineRule="exact"/>
        <w:rPr>
          <w:rFonts w:ascii="Arial" w:cs="Arial" w:eastAsia="Arial" w:hAnsi="Arial"/>
          <w:sz w:val="18"/>
          <w:szCs w:val="18"/>
          <w:color w:val="auto"/>
        </w:rPr>
      </w:pPr>
    </w:p>
    <w:p>
      <w:pPr>
        <w:ind w:left="326" w:right="180" w:hanging="326"/>
        <w:spacing w:after="0" w:line="298" w:lineRule="auto"/>
        <w:tabs>
          <w:tab w:leader="none" w:pos="321"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Maintain a strategic approach to in-house versus partnered development. </w:t>
      </w:r>
      <w:r>
        <w:rPr>
          <w:rFonts w:ascii="Arial" w:cs="Arial" w:eastAsia="Arial" w:hAnsi="Arial"/>
          <w:sz w:val="16"/>
          <w:szCs w:val="16"/>
          <w:color w:val="auto"/>
        </w:rPr>
        <w:t>To unlock and expand the full potential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DARPin platform, we intend to independently develop and commercialize product candidates in our core focus areas, where we believe we have a clear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w:t>
      </w:r>
    </w:p>
    <w:p>
      <w:pPr>
        <w:spacing w:after="0" w:line="91"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Summary Risk Factors</w:t>
      </w:r>
    </w:p>
    <w:p>
      <w:pPr>
        <w:spacing w:after="0" w:line="138" w:lineRule="exact"/>
        <w:rPr>
          <w:sz w:val="20"/>
          <w:szCs w:val="20"/>
          <w:color w:val="auto"/>
        </w:rPr>
      </w:pPr>
    </w:p>
    <w:p>
      <w:pPr>
        <w:ind w:left="6"/>
        <w:spacing w:after="0" w:line="259" w:lineRule="auto"/>
        <w:rPr>
          <w:sz w:val="20"/>
          <w:szCs w:val="20"/>
          <w:color w:val="auto"/>
        </w:rPr>
      </w:pPr>
      <w:r>
        <w:rPr>
          <w:rFonts w:ascii="Arial" w:cs="Arial" w:eastAsia="Arial" w:hAnsi="Arial"/>
          <w:sz w:val="18"/>
          <w:szCs w:val="18"/>
          <w:color w:val="auto"/>
        </w:rPr>
        <w:t>An investment in our ADSs involves a high degree of risk. 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securities. Among these risks are the following:</w:t>
      </w:r>
    </w:p>
    <w:p>
      <w:pPr>
        <w:spacing w:after="0" w:line="119" w:lineRule="exact"/>
        <w:rPr>
          <w:sz w:val="20"/>
          <w:szCs w:val="20"/>
          <w:color w:val="auto"/>
        </w:rPr>
      </w:pPr>
    </w:p>
    <w:p>
      <w:pPr>
        <w:ind w:left="326" w:right="40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have incurred significant losses since our inception. We expect to incur losses for the foreseeable future and may never achieve or maintain profitability.</w:t>
      </w:r>
    </w:p>
    <w:p>
      <w:pPr>
        <w:spacing w:after="0" w:line="102" w:lineRule="exact"/>
        <w:rPr>
          <w:rFonts w:ascii="Arial" w:cs="Arial" w:eastAsia="Arial" w:hAnsi="Arial"/>
          <w:sz w:val="18"/>
          <w:szCs w:val="18"/>
          <w:color w:val="auto"/>
        </w:rPr>
      </w:pPr>
    </w:p>
    <w:p>
      <w:pPr>
        <w:ind w:left="326" w:right="260" w:hanging="326"/>
        <w:spacing w:after="0" w:line="277"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89" w:lineRule="exact"/>
        <w:rPr>
          <w:rFonts w:ascii="Arial" w:cs="Arial" w:eastAsia="Arial" w:hAnsi="Arial"/>
          <w:sz w:val="18"/>
          <w:szCs w:val="18"/>
          <w:color w:val="auto"/>
        </w:rPr>
      </w:pPr>
    </w:p>
    <w:p>
      <w:pPr>
        <w:jc w:val="both"/>
        <w:ind w:left="326" w:right="6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16" w:lineRule="exact"/>
        <w:rPr>
          <w:rFonts w:ascii="Arial" w:cs="Arial" w:eastAsia="Arial" w:hAnsi="Arial"/>
          <w:sz w:val="18"/>
          <w:szCs w:val="18"/>
          <w:color w:val="auto"/>
        </w:rPr>
      </w:pPr>
    </w:p>
    <w:p>
      <w:pPr>
        <w:ind w:left="326" w:right="6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health epidemics, including the ongoing COVID-19 coronavirus pandemic,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116" w:lineRule="exact"/>
        <w:rPr>
          <w:rFonts w:ascii="Arial" w:cs="Arial" w:eastAsia="Arial" w:hAnsi="Arial"/>
          <w:sz w:val="18"/>
          <w:szCs w:val="18"/>
          <w:color w:val="auto"/>
        </w:rPr>
      </w:pPr>
    </w:p>
    <w:p>
      <w:pPr>
        <w:ind w:left="326" w:right="660" w:hanging="326"/>
        <w:spacing w:after="0" w:line="263" w:lineRule="auto"/>
        <w:tabs>
          <w:tab w:leader="none" w:pos="3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heavily dependent on the success of our DARPin platform to identify and develop product candidates. If we or our collaborators are unable to successfully develop and commercialize product candidates based on our platform or experience significant delays in doing so, our business may be harmed.</w:t>
      </w:r>
    </w:p>
    <w:p>
      <w:pPr>
        <w:spacing w:after="0" w:line="102" w:lineRule="exact"/>
        <w:rPr>
          <w:rFonts w:ascii="Arial" w:cs="Arial" w:eastAsia="Arial" w:hAnsi="Arial"/>
          <w:sz w:val="18"/>
          <w:szCs w:val="18"/>
          <w:color w:val="auto"/>
        </w:rPr>
      </w:pPr>
    </w:p>
    <w:p>
      <w:pPr>
        <w:ind w:left="326" w:right="20" w:hanging="326"/>
        <w:spacing w:after="0" w:line="275" w:lineRule="auto"/>
        <w:tabs>
          <w:tab w:leader="none" w:pos="321"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ensovibep and MP0310 and product candidates that we have licensed to our partners, including abicipar, are prolonged or delayed, we or our collaborators may be unable to obtain required regulatory approvals, and therefore will be unable to commercialize our product candidates on a timely basis or at all, which will adversely affect our business.</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86"/>
          </w:cols>
          <w:pgMar w:left="994" w:top="1440" w:right="101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505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80" w:hanging="326"/>
        <w:spacing w:after="0" w:line="263"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16" w:lineRule="exact"/>
        <w:rPr>
          <w:rFonts w:ascii="Arial" w:cs="Arial" w:eastAsia="Arial" w:hAnsi="Arial"/>
          <w:sz w:val="18"/>
          <w:szCs w:val="18"/>
          <w:color w:val="auto"/>
        </w:rPr>
      </w:pPr>
    </w:p>
    <w:p>
      <w:pPr>
        <w:ind w:left="326" w:hanging="326"/>
        <w:spacing w:after="0" w:line="301" w:lineRule="auto"/>
        <w:tabs>
          <w:tab w:leader="none" w:pos="321" w:val="left"/>
        </w:tabs>
        <w:numPr>
          <w:ilvl w:val="0"/>
          <w:numId w:val="8"/>
        </w:numPr>
        <w:rPr>
          <w:rFonts w:ascii="Arial" w:cs="Arial" w:eastAsia="Arial" w:hAnsi="Arial"/>
          <w:sz w:val="16"/>
          <w:szCs w:val="16"/>
          <w:color w:val="auto"/>
        </w:rPr>
      </w:pPr>
      <w:r>
        <w:rPr>
          <w:rFonts w:ascii="Arial" w:cs="Arial" w:eastAsia="Arial" w:hAnsi="Arial"/>
          <w:sz w:val="16"/>
          <w:szCs w:val="16"/>
          <w:color w:val="auto"/>
        </w:rPr>
        <w:t>Positive results from early preclinical studies of our product candidates would not necessarily be predictive of the results of later preclinical studies and any future clinical trials of our product candidates. If we were to achieve positive results from preclinical studies, but were unable to then replicate those positive results in our later preclinical studies and ongoing or future clinical trials, we might be unable to successfully develop, obtain regulatory or marketing approval for and commercialize our product candidates.</w:t>
      </w:r>
    </w:p>
    <w:p>
      <w:pPr>
        <w:spacing w:after="0" w:line="76" w:lineRule="exact"/>
        <w:rPr>
          <w:rFonts w:ascii="Arial" w:cs="Arial" w:eastAsia="Arial" w:hAnsi="Arial"/>
          <w:sz w:val="16"/>
          <w:szCs w:val="16"/>
          <w:color w:val="auto"/>
        </w:rPr>
      </w:pPr>
    </w:p>
    <w:p>
      <w:pPr>
        <w:ind w:left="326" w:right="120" w:hanging="326"/>
        <w:spacing w:after="0" w:line="277"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any of our product candidates has negative side effects, public perception of our DARPin platform and commercial opportunities for all of our current and future product candidates could be adversely affected.</w:t>
      </w:r>
    </w:p>
    <w:p>
      <w:pPr>
        <w:spacing w:after="0" w:line="102" w:lineRule="exact"/>
        <w:rPr>
          <w:rFonts w:ascii="Arial" w:cs="Arial" w:eastAsia="Arial" w:hAnsi="Arial"/>
          <w:sz w:val="18"/>
          <w:szCs w:val="18"/>
          <w:color w:val="auto"/>
        </w:rPr>
      </w:pPr>
    </w:p>
    <w:p>
      <w:pPr>
        <w:ind w:left="326" w:right="780" w:hanging="326"/>
        <w:spacing w:after="0" w:line="277"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102" w:lineRule="exact"/>
        <w:rPr>
          <w:rFonts w:ascii="Arial" w:cs="Arial" w:eastAsia="Arial" w:hAnsi="Arial"/>
          <w:sz w:val="18"/>
          <w:szCs w:val="18"/>
          <w:color w:val="auto"/>
        </w:rPr>
      </w:pPr>
    </w:p>
    <w:p>
      <w:pPr>
        <w:ind w:left="326" w:right="300" w:hanging="326"/>
        <w:spacing w:after="0" w:line="277"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COVID-19 antiviral product candidates may face significant competition from vaccines and other treatments for COVID-19 that are in development.</w:t>
      </w:r>
    </w:p>
    <w:p>
      <w:pPr>
        <w:spacing w:after="0" w:line="89" w:lineRule="exact"/>
        <w:rPr>
          <w:rFonts w:ascii="Arial" w:cs="Arial" w:eastAsia="Arial" w:hAnsi="Arial"/>
          <w:sz w:val="18"/>
          <w:szCs w:val="18"/>
          <w:color w:val="auto"/>
        </w:rPr>
      </w:pPr>
    </w:p>
    <w:p>
      <w:pPr>
        <w:jc w:val="both"/>
        <w:ind w:left="326" w:right="20" w:hanging="326"/>
        <w:spacing w:after="0" w:line="263"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116" w:lineRule="exact"/>
        <w:rPr>
          <w:rFonts w:ascii="Arial" w:cs="Arial" w:eastAsia="Arial" w:hAnsi="Arial"/>
          <w:sz w:val="18"/>
          <w:szCs w:val="18"/>
          <w:color w:val="auto"/>
        </w:rPr>
      </w:pPr>
    </w:p>
    <w:p>
      <w:pPr>
        <w:ind w:left="326" w:right="440" w:hanging="326"/>
        <w:spacing w:after="0" w:line="286" w:lineRule="auto"/>
        <w:tabs>
          <w:tab w:leader="none" w:pos="321"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97" w:lineRule="exact"/>
        <w:rPr>
          <w:rFonts w:ascii="Arial" w:cs="Arial" w:eastAsia="Arial" w:hAnsi="Arial"/>
          <w:sz w:val="17"/>
          <w:szCs w:val="17"/>
          <w:color w:val="auto"/>
        </w:rPr>
      </w:pPr>
    </w:p>
    <w:p>
      <w:pPr>
        <w:ind w:left="326" w:right="80" w:hanging="326"/>
        <w:spacing w:after="0" w:line="279" w:lineRule="auto"/>
        <w:tabs>
          <w:tab w:leader="none" w:pos="32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base patents relating to the DARPin base technology we use to generate our DARPin product candidates, which we exclusively license from the University of Zurich, are expected to expire in September 2021, and we have elected to terminate the exclusive license agreement effective October 2021. After the base patents expire, our competitors may be able to utilize the technology claimed in such patents, which may materially adversely affect our business and competitive position.</w:t>
      </w:r>
    </w:p>
    <w:p>
      <w:pPr>
        <w:spacing w:after="0" w:line="90" w:lineRule="exact"/>
        <w:rPr>
          <w:rFonts w:ascii="Arial" w:cs="Arial" w:eastAsia="Arial" w:hAnsi="Arial"/>
          <w:sz w:val="17"/>
          <w:szCs w:val="17"/>
          <w:color w:val="auto"/>
        </w:rPr>
      </w:pPr>
    </w:p>
    <w:p>
      <w:pPr>
        <w:ind w:left="326" w:hanging="326"/>
        <w:spacing w:after="0" w:line="259"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19" w:lineRule="exact"/>
        <w:rPr>
          <w:rFonts w:ascii="Arial" w:cs="Arial" w:eastAsia="Arial" w:hAnsi="Arial"/>
          <w:sz w:val="18"/>
          <w:szCs w:val="18"/>
          <w:color w:val="auto"/>
        </w:rPr>
      </w:pPr>
    </w:p>
    <w:p>
      <w:pPr>
        <w:ind w:left="326" w:right="300" w:hanging="326"/>
        <w:spacing w:after="0" w:line="259" w:lineRule="auto"/>
        <w:tabs>
          <w:tab w:leader="none" w:pos="321"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8" w:lineRule="exact"/>
        <w:rPr>
          <w:sz w:val="20"/>
          <w:szCs w:val="20"/>
          <w:color w:val="auto"/>
        </w:rPr>
      </w:pPr>
    </w:p>
    <w:p>
      <w:pPr>
        <w:ind w:left="6" w:right="100"/>
        <w:spacing w:after="0" w:line="263"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or the JOBS Act. As an emerging growth company, we may take advantage of specified reduced disclosure and other requirements that are otherwise applicable generally to public companies. These provisions include:</w:t>
      </w:r>
    </w:p>
    <w:p>
      <w:pPr>
        <w:spacing w:after="0" w:line="116" w:lineRule="exact"/>
        <w:rPr>
          <w:sz w:val="20"/>
          <w:szCs w:val="20"/>
          <w:color w:val="auto"/>
        </w:rPr>
      </w:pPr>
    </w:p>
    <w:p>
      <w:pPr>
        <w:ind w:left="326" w:right="160" w:hanging="326"/>
        <w:spacing w:after="0" w:line="263" w:lineRule="auto"/>
        <w:tabs>
          <w:tab w:leader="none" w:pos="3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the registration statement for the offering of which this prospectus forms a part;</w:t>
      </w:r>
    </w:p>
    <w:p>
      <w:pPr>
        <w:spacing w:after="0" w:line="116" w:lineRule="exact"/>
        <w:rPr>
          <w:rFonts w:ascii="Arial" w:cs="Arial" w:eastAsia="Arial" w:hAnsi="Arial"/>
          <w:sz w:val="18"/>
          <w:szCs w:val="18"/>
          <w:color w:val="auto"/>
        </w:rPr>
      </w:pPr>
    </w:p>
    <w:p>
      <w:pPr>
        <w:ind w:left="326" w:hanging="326"/>
        <w:spacing w:after="0"/>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requirements of Section 404 of the Sarbanes-Oxley Act of 2002; and</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886"/>
          </w:cols>
          <w:pgMar w:left="994" w:top="1440" w:right="101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7067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06755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326" w:right="440" w:hanging="326"/>
        <w:spacing w:after="0" w:line="263" w:lineRule="auto"/>
        <w:tabs>
          <w:tab w:leader="none" w:pos="3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w:t>
      </w:r>
    </w:p>
    <w:p>
      <w:pPr>
        <w:spacing w:after="0" w:line="116" w:lineRule="exact"/>
        <w:rPr>
          <w:sz w:val="20"/>
          <w:szCs w:val="20"/>
          <w:color w:val="auto"/>
        </w:rPr>
      </w:pPr>
    </w:p>
    <w:p>
      <w:pPr>
        <w:ind w:left="6" w:right="40"/>
        <w:spacing w:after="0" w:line="253" w:lineRule="auto"/>
        <w:rPr>
          <w:sz w:val="20"/>
          <w:szCs w:val="20"/>
          <w:color w:val="auto"/>
        </w:rPr>
      </w:pPr>
      <w:r>
        <w:rPr>
          <w:rFonts w:ascii="Arial" w:cs="Arial" w:eastAsia="Arial" w:hAnsi="Arial"/>
          <w:sz w:val="18"/>
          <w:szCs w:val="18"/>
          <w:color w:val="auto"/>
        </w:rPr>
        <w:t>We may take advantage of these provisions for up to five years or such earlier time that we no longer qualify as an emerging growth company. We would cease to be an emerging growth company if we have more than $1.07 billion in total annual gross revenue, have more than $700 million in market value of our equity securities held by non-affiliates or issue more than $1.0 billion of non-convertible debt over a three-year period. We may choose to take advantage of some but not all of these available exemptions. For example, we have presented only two years of audited financial statements and only two years of related Management’s Discussion and Analysis of Financial Condition and Results of Operations disclosure in this prospectus, and have taken advantage of the exemption from auditor attestation on the effectiveness of our internal control over financial reporting. To the extent that we take advantage of these exemptions, the information that we provide shareholders may be different than you might obtain from other public companies in which you hold equity interests.</w:t>
      </w:r>
    </w:p>
    <w:p>
      <w:pPr>
        <w:spacing w:after="0" w:line="115" w:lineRule="exact"/>
        <w:rPr>
          <w:sz w:val="20"/>
          <w:szCs w:val="20"/>
          <w:color w:val="auto"/>
        </w:rPr>
      </w:pPr>
    </w:p>
    <w:p>
      <w:pPr>
        <w:ind w:left="6" w:right="80"/>
        <w:spacing w:after="0" w:line="259"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Since International Financial Reporting Standards make no distinction between public and private companies for purposes of compliance with new or revised accounting standards, the requirements for our compliance as a private company and as a public company are the same.</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Implications of Being a Foreign Private Issuer</w:t>
      </w:r>
    </w:p>
    <w:p>
      <w:pPr>
        <w:spacing w:after="0" w:line="152" w:lineRule="exact"/>
        <w:rPr>
          <w:sz w:val="20"/>
          <w:szCs w:val="20"/>
          <w:color w:val="auto"/>
        </w:rPr>
      </w:pPr>
    </w:p>
    <w:p>
      <w:pPr>
        <w:ind w:left="6"/>
        <w:spacing w:after="0" w:line="254" w:lineRule="auto"/>
        <w:rPr>
          <w:sz w:val="20"/>
          <w:szCs w:val="20"/>
          <w:color w:val="auto"/>
        </w:rPr>
      </w:pPr>
      <w:r>
        <w:rPr>
          <w:rFonts w:ascii="Arial" w:cs="Arial" w:eastAsia="Arial" w:hAnsi="Arial"/>
          <w:sz w:val="18"/>
          <w:szCs w:val="18"/>
          <w:color w:val="auto"/>
        </w:rPr>
        <w:t>We are also considered a “foreign private issuer” under U.S. securities laws. In our capacity as a foreign private issuer, we are exempt from certain rules under the U.S. Securities Exchange Act of 1934, as amended, or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11" w:lineRule="exact"/>
        <w:rPr>
          <w:sz w:val="20"/>
          <w:szCs w:val="20"/>
          <w:color w:val="auto"/>
        </w:rPr>
      </w:pPr>
    </w:p>
    <w:p>
      <w:pPr>
        <w:ind w:left="6" w:right="40"/>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spacing w:after="0" w:line="104" w:lineRule="exact"/>
        <w:rPr>
          <w:sz w:val="20"/>
          <w:szCs w:val="20"/>
          <w:color w:val="auto"/>
        </w:rPr>
      </w:pPr>
    </w:p>
    <w:p>
      <w:pPr>
        <w:ind w:left="6" w:right="100"/>
        <w:spacing w:after="0" w:line="342" w:lineRule="auto"/>
        <w:rPr>
          <w:sz w:val="20"/>
          <w:szCs w:val="20"/>
          <w:color w:val="auto"/>
        </w:rPr>
      </w:pPr>
      <w:r>
        <w:rPr>
          <w:rFonts w:ascii="Arial" w:cs="Arial" w:eastAsia="Arial" w:hAnsi="Arial"/>
          <w:sz w:val="16"/>
          <w:szCs w:val="16"/>
          <w:color w:val="auto"/>
        </w:rPr>
        <w:t>We have taken advantage of certain reduced reporting and other requirements in this prospectus. Accordingly, the information contained herein may be different from the information you receive from other public companies in which you hold equity securities.</w:t>
      </w:r>
    </w:p>
    <w:p>
      <w:pPr>
        <w:spacing w:after="0" w:line="57"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Corporate Information</w:t>
      </w:r>
    </w:p>
    <w:p>
      <w:pPr>
        <w:spacing w:after="0" w:line="138" w:lineRule="exact"/>
        <w:rPr>
          <w:sz w:val="20"/>
          <w:szCs w:val="20"/>
          <w:color w:val="auto"/>
        </w:rPr>
      </w:pPr>
    </w:p>
    <w:p>
      <w:pPr>
        <w:ind w:left="6" w:right="100"/>
        <w:spacing w:after="0" w:line="272" w:lineRule="auto"/>
        <w:rPr>
          <w:sz w:val="20"/>
          <w:szCs w:val="20"/>
          <w:color w:val="auto"/>
        </w:rPr>
      </w:pPr>
      <w:r>
        <w:rPr>
          <w:rFonts w:ascii="Arial" w:cs="Arial" w:eastAsia="Arial" w:hAnsi="Arial"/>
          <w:sz w:val="17"/>
          <w:szCs w:val="17"/>
          <w:color w:val="auto"/>
        </w:rPr>
        <w:t xml:space="preserve">Our corporate name is Molecular Partners AG. We were incorporated as an </w:t>
      </w:r>
      <w:r>
        <w:rPr>
          <w:rFonts w:ascii="Arial" w:cs="Arial" w:eastAsia="Arial" w:hAnsi="Arial"/>
          <w:sz w:val="17"/>
          <w:szCs w:val="17"/>
          <w:i w:val="1"/>
          <w:iCs w:val="1"/>
          <w:color w:val="auto"/>
        </w:rPr>
        <w:t>Aktiengesellschaft</w:t>
      </w:r>
      <w:r>
        <w:rPr>
          <w:rFonts w:ascii="Arial" w:cs="Arial" w:eastAsia="Arial" w:hAnsi="Arial"/>
          <w:sz w:val="17"/>
          <w:szCs w:val="17"/>
          <w:color w:val="auto"/>
        </w:rPr>
        <w:t>, or AG, on November 22, 2004. Our principal executive offices are located at Wagistrasse 14, 8952 Schlieren, Switzerland. We are registered with the commercial register of the Canton of Zurich under number CHE-112.115.136. In November 2014, we completed the initial public offering of our common shares on the SIX Swiss Exchange. Our telephone number at our principal executive offices is +41 44 755 77 00. Our agent for service of process in the United States is Molecular Partners Inc. Our website address is www.molecularpartners.com. The reference to our website is an inactive textual reference only and information contained in, or that can be accessed through, our website or any other website cited in this registration statement is not part of this registration statement.</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06"/>
          </w:cols>
          <w:pgMar w:left="994"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904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9049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THE OFFERING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ADSs offered by us</w:t>
            </w:r>
          </w:p>
        </w:tc>
        <w:tc>
          <w:tcPr>
            <w:tcW w:w="44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highlight w:val="white"/>
              </w:rPr>
              <w:t>ADSs, representing</w:t>
            </w:r>
          </w:p>
        </w:tc>
        <w:tc>
          <w:tcPr>
            <w:tcW w:w="2380" w:type="dxa"/>
            <w:vAlign w:val="bottom"/>
            <w:gridSpan w:val="2"/>
          </w:tcPr>
          <w:p>
            <w:pPr>
              <w:ind w:left="300"/>
              <w:spacing w:after="0"/>
              <w:rPr>
                <w:sz w:val="20"/>
                <w:szCs w:val="20"/>
                <w:color w:val="auto"/>
              </w:rPr>
            </w:pPr>
            <w:r>
              <w:rPr>
                <w:rFonts w:ascii="Arial" w:cs="Arial" w:eastAsia="Arial" w:hAnsi="Arial"/>
                <w:sz w:val="18"/>
                <w:szCs w:val="18"/>
                <w:color w:val="auto"/>
              </w:rPr>
              <w:t>common shares</w:t>
            </w:r>
          </w:p>
        </w:tc>
        <w:tc>
          <w:tcPr>
            <w:tcW w:w="380" w:type="dxa"/>
            <w:vAlign w:val="bottom"/>
          </w:tcPr>
          <w:p>
            <w:pPr>
              <w:spacing w:after="0"/>
              <w:rPr>
                <w:sz w:val="20"/>
                <w:szCs w:val="20"/>
                <w:color w:val="auto"/>
              </w:rPr>
            </w:pPr>
          </w:p>
        </w:tc>
      </w:tr>
      <w:tr>
        <w:trPr>
          <w:trHeight w:val="283"/>
        </w:trPr>
        <w:tc>
          <w:tcPr>
            <w:tcW w:w="4800" w:type="dxa"/>
            <w:vAlign w:val="bottom"/>
          </w:tcPr>
          <w:p>
            <w:pPr>
              <w:spacing w:after="0"/>
              <w:rPr>
                <w:sz w:val="20"/>
                <w:szCs w:val="20"/>
                <w:color w:val="auto"/>
              </w:rPr>
            </w:pPr>
            <w:r>
              <w:rPr>
                <w:rFonts w:ascii="Arial" w:cs="Arial" w:eastAsia="Arial" w:hAnsi="Arial"/>
                <w:sz w:val="18"/>
                <w:szCs w:val="18"/>
                <w:color w:val="auto"/>
                <w:w w:val="91"/>
              </w:rPr>
              <w:t>Common Shares (including common shares underlying the ADSs)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to be outstanding immediately after this offering</w:t>
            </w:r>
          </w:p>
        </w:tc>
        <w:tc>
          <w:tcPr>
            <w:tcW w:w="440" w:type="dxa"/>
            <w:vAlign w:val="bottom"/>
          </w:tcPr>
          <w:p>
            <w:pPr>
              <w:spacing w:after="0"/>
              <w:rPr>
                <w:sz w:val="21"/>
                <w:szCs w:val="21"/>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color w:val="auto"/>
              </w:rPr>
              <w:t>common shares</w:t>
            </w:r>
          </w:p>
        </w:tc>
        <w:tc>
          <w:tcPr>
            <w:tcW w:w="9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5040" w:type="dxa"/>
            <w:vAlign w:val="bottom"/>
            <w:gridSpan w:val="6"/>
          </w:tcPr>
          <w:p>
            <w:pPr>
              <w:ind w:left="60"/>
              <w:spacing w:after="0"/>
              <w:rPr>
                <w:sz w:val="20"/>
                <w:szCs w:val="20"/>
                <w:color w:val="auto"/>
              </w:rPr>
            </w:pPr>
            <w:r>
              <w:rPr>
                <w:rFonts w:ascii="Arial" w:cs="Arial" w:eastAsia="Arial" w:hAnsi="Arial"/>
                <w:sz w:val="18"/>
                <w:szCs w:val="18"/>
                <w:color w:val="auto"/>
                <w:w w:val="91"/>
              </w:rPr>
              <w:t>In addition, we have granted the underwriters an option, exercisable</w:t>
            </w:r>
          </w:p>
        </w:tc>
      </w:tr>
      <w:tr>
        <w:trPr>
          <w:trHeight w:val="176"/>
        </w:trPr>
        <w:tc>
          <w:tcPr>
            <w:tcW w:w="4800" w:type="dxa"/>
            <w:vAlign w:val="bottom"/>
          </w:tcPr>
          <w:p>
            <w:pPr>
              <w:spacing w:after="0"/>
              <w:rPr>
                <w:sz w:val="15"/>
                <w:szCs w:val="15"/>
                <w:color w:val="auto"/>
              </w:rPr>
            </w:pPr>
          </w:p>
        </w:tc>
        <w:tc>
          <w:tcPr>
            <w:tcW w:w="4660" w:type="dxa"/>
            <w:vAlign w:val="bottom"/>
            <w:gridSpan w:val="5"/>
          </w:tcPr>
          <w:p>
            <w:pPr>
              <w:ind w:left="60"/>
              <w:spacing w:after="0" w:line="176" w:lineRule="exact"/>
              <w:rPr>
                <w:sz w:val="20"/>
                <w:szCs w:val="20"/>
                <w:color w:val="auto"/>
              </w:rPr>
            </w:pPr>
            <w:r>
              <w:rPr>
                <w:rFonts w:ascii="Arial" w:cs="Arial" w:eastAsia="Arial" w:hAnsi="Arial"/>
                <w:sz w:val="18"/>
                <w:szCs w:val="18"/>
                <w:color w:val="auto"/>
                <w:w w:val="91"/>
              </w:rPr>
              <w:t>within 30 days from the date of this prospectus, to purchase up</w:t>
            </w:r>
          </w:p>
        </w:tc>
        <w:tc>
          <w:tcPr>
            <w:tcW w:w="3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440" w:type="dxa"/>
            <w:vAlign w:val="bottom"/>
          </w:tcPr>
          <w:p>
            <w:pPr>
              <w:ind w:left="60"/>
              <w:spacing w:after="0" w:line="176" w:lineRule="exact"/>
              <w:rPr>
                <w:sz w:val="20"/>
                <w:szCs w:val="20"/>
                <w:color w:val="auto"/>
              </w:rPr>
            </w:pPr>
            <w:r>
              <w:rPr>
                <w:rFonts w:ascii="Arial" w:cs="Arial" w:eastAsia="Arial" w:hAnsi="Arial"/>
                <w:sz w:val="18"/>
                <w:szCs w:val="18"/>
                <w:color w:val="auto"/>
              </w:rPr>
              <w:t>to</w:t>
            </w:r>
          </w:p>
        </w:tc>
        <w:tc>
          <w:tcPr>
            <w:tcW w:w="2780" w:type="dxa"/>
            <w:vAlign w:val="bottom"/>
            <w:gridSpan w:val="3"/>
          </w:tcPr>
          <w:p>
            <w:pPr>
              <w:ind w:left="300"/>
              <w:spacing w:after="0" w:line="176" w:lineRule="exact"/>
              <w:rPr>
                <w:sz w:val="20"/>
                <w:szCs w:val="20"/>
                <w:color w:val="auto"/>
              </w:rPr>
            </w:pPr>
            <w:r>
              <w:rPr>
                <w:rFonts w:ascii="Arial" w:cs="Arial" w:eastAsia="Arial" w:hAnsi="Arial"/>
                <w:sz w:val="18"/>
                <w:szCs w:val="18"/>
                <w:color w:val="auto"/>
              </w:rPr>
              <w:t>additional ADSs representing</w:t>
            </w:r>
          </w:p>
        </w:tc>
        <w:tc>
          <w:tcPr>
            <w:tcW w:w="1440" w:type="dxa"/>
            <w:vAlign w:val="bottom"/>
          </w:tcPr>
          <w:p>
            <w:pPr>
              <w:ind w:left="100"/>
              <w:spacing w:after="0" w:line="176" w:lineRule="exact"/>
              <w:rPr>
                <w:sz w:val="20"/>
                <w:szCs w:val="20"/>
                <w:color w:val="auto"/>
              </w:rPr>
            </w:pPr>
            <w:r>
              <w:rPr>
                <w:rFonts w:ascii="Arial" w:cs="Arial" w:eastAsia="Arial" w:hAnsi="Arial"/>
                <w:sz w:val="18"/>
                <w:szCs w:val="18"/>
                <w:color w:val="auto"/>
                <w:w w:val="89"/>
              </w:rPr>
              <w:t>common shares to</w:t>
            </w:r>
          </w:p>
        </w:tc>
        <w:tc>
          <w:tcPr>
            <w:tcW w:w="380" w:type="dxa"/>
            <w:vAlign w:val="bottom"/>
          </w:tcPr>
          <w:p>
            <w:pPr>
              <w:spacing w:after="0"/>
              <w:rPr>
                <w:sz w:val="15"/>
                <w:szCs w:val="15"/>
                <w:color w:val="auto"/>
              </w:rPr>
            </w:pPr>
          </w:p>
        </w:tc>
      </w:tr>
      <w:tr>
        <w:trPr>
          <w:trHeight w:val="230"/>
        </w:trPr>
        <w:tc>
          <w:tcPr>
            <w:tcW w:w="4800" w:type="dxa"/>
            <w:vAlign w:val="bottom"/>
          </w:tcPr>
          <w:p>
            <w:pPr>
              <w:spacing w:after="0"/>
              <w:rPr>
                <w:sz w:val="20"/>
                <w:szCs w:val="20"/>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color w:val="auto"/>
              </w:rPr>
              <w:t>cover over-allotments</w:t>
            </w: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69"/>
        </w:trPr>
        <w:tc>
          <w:tcPr>
            <w:tcW w:w="4800" w:type="dxa"/>
            <w:vAlign w:val="bottom"/>
          </w:tcPr>
          <w:p>
            <w:pPr>
              <w:spacing w:after="0"/>
              <w:rPr>
                <w:sz w:val="20"/>
                <w:szCs w:val="20"/>
                <w:color w:val="auto"/>
              </w:rPr>
            </w:pPr>
            <w:r>
              <w:rPr>
                <w:rFonts w:ascii="Arial" w:cs="Arial" w:eastAsia="Arial" w:hAnsi="Arial"/>
                <w:sz w:val="18"/>
                <w:szCs w:val="18"/>
                <w:color w:val="auto"/>
              </w:rPr>
              <w:t>ADSs</w:t>
            </w:r>
          </w:p>
        </w:tc>
        <w:tc>
          <w:tcPr>
            <w:tcW w:w="3220" w:type="dxa"/>
            <w:vAlign w:val="bottom"/>
            <w:gridSpan w:val="4"/>
          </w:tcPr>
          <w:p>
            <w:pPr>
              <w:ind w:left="60"/>
              <w:spacing w:after="0"/>
              <w:rPr>
                <w:sz w:val="20"/>
                <w:szCs w:val="20"/>
                <w:color w:val="auto"/>
              </w:rPr>
            </w:pPr>
            <w:r>
              <w:rPr>
                <w:rFonts w:ascii="Arial" w:cs="Arial" w:eastAsia="Arial" w:hAnsi="Arial"/>
                <w:sz w:val="18"/>
                <w:szCs w:val="18"/>
                <w:color w:val="auto"/>
                <w:w w:val="96"/>
              </w:rPr>
              <w:t>Each ADS represents the right to receive</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common shares. You</w:t>
            </w:r>
          </w:p>
        </w:tc>
      </w:tr>
      <w:tr>
        <w:trPr>
          <w:trHeight w:val="175"/>
        </w:trPr>
        <w:tc>
          <w:tcPr>
            <w:tcW w:w="4800" w:type="dxa"/>
            <w:vAlign w:val="bottom"/>
          </w:tcPr>
          <w:p>
            <w:pPr>
              <w:spacing w:after="0"/>
              <w:rPr>
                <w:sz w:val="15"/>
                <w:szCs w:val="15"/>
                <w:color w:val="auto"/>
              </w:rPr>
            </w:pPr>
          </w:p>
        </w:tc>
        <w:tc>
          <w:tcPr>
            <w:tcW w:w="4660" w:type="dxa"/>
            <w:vAlign w:val="bottom"/>
            <w:gridSpan w:val="5"/>
          </w:tcPr>
          <w:p>
            <w:pPr>
              <w:ind w:left="60"/>
              <w:spacing w:after="0" w:line="176" w:lineRule="exact"/>
              <w:rPr>
                <w:sz w:val="20"/>
                <w:szCs w:val="20"/>
                <w:color w:val="auto"/>
              </w:rPr>
            </w:pPr>
            <w:r>
              <w:rPr>
                <w:rFonts w:ascii="Arial" w:cs="Arial" w:eastAsia="Arial" w:hAnsi="Arial"/>
                <w:sz w:val="18"/>
                <w:szCs w:val="18"/>
                <w:color w:val="auto"/>
                <w:w w:val="91"/>
              </w:rPr>
              <w:t>will have the rights of an ADS holder as provided in the deposit</w:t>
            </w:r>
          </w:p>
        </w:tc>
        <w:tc>
          <w:tcPr>
            <w:tcW w:w="380" w:type="dxa"/>
            <w:vAlign w:val="bottom"/>
          </w:tcPr>
          <w:p>
            <w:pPr>
              <w:spacing w:after="0"/>
              <w:rPr>
                <w:sz w:val="15"/>
                <w:szCs w:val="15"/>
                <w:color w:val="auto"/>
              </w:rPr>
            </w:pPr>
          </w:p>
        </w:tc>
      </w:tr>
      <w:tr>
        <w:trPr>
          <w:trHeight w:val="176"/>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3"/>
              </w:rPr>
              <w:t>agreement among us, the depositary and all holders and beneficial</w:t>
            </w:r>
          </w:p>
        </w:tc>
      </w:tr>
      <w:tr>
        <w:trPr>
          <w:trHeight w:val="175"/>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89"/>
              </w:rPr>
              <w:t>owners of ADSs issued thereunder. To better understand the terms of</w:t>
            </w:r>
          </w:p>
        </w:tc>
      </w:tr>
      <w:tr>
        <w:trPr>
          <w:trHeight w:val="176"/>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4"/>
              </w:rPr>
              <w:t>the ADSs, you should carefully read the section in this prospectus</w:t>
            </w:r>
          </w:p>
        </w:tc>
      </w:tr>
      <w:tr>
        <w:trPr>
          <w:trHeight w:val="176"/>
        </w:trPr>
        <w:tc>
          <w:tcPr>
            <w:tcW w:w="4800" w:type="dxa"/>
            <w:vAlign w:val="bottom"/>
          </w:tcPr>
          <w:p>
            <w:pPr>
              <w:spacing w:after="0"/>
              <w:rPr>
                <w:sz w:val="15"/>
                <w:szCs w:val="15"/>
                <w:color w:val="auto"/>
              </w:rPr>
            </w:pPr>
          </w:p>
        </w:tc>
        <w:tc>
          <w:tcPr>
            <w:tcW w:w="4660" w:type="dxa"/>
            <w:vAlign w:val="bottom"/>
            <w:gridSpan w:val="5"/>
          </w:tcPr>
          <w:p>
            <w:pPr>
              <w:ind w:left="60"/>
              <w:spacing w:after="0" w:line="176" w:lineRule="exact"/>
              <w:rPr>
                <w:sz w:val="20"/>
                <w:szCs w:val="20"/>
                <w:color w:val="auto"/>
              </w:rPr>
            </w:pPr>
            <w:r>
              <w:rPr>
                <w:rFonts w:ascii="Arial" w:cs="Arial" w:eastAsia="Arial" w:hAnsi="Arial"/>
                <w:sz w:val="18"/>
                <w:szCs w:val="18"/>
                <w:color w:val="auto"/>
                <w:w w:val="92"/>
              </w:rPr>
              <w:t>entitled “Description of American Depositary Shares.” We also</w:t>
            </w:r>
          </w:p>
        </w:tc>
        <w:tc>
          <w:tcPr>
            <w:tcW w:w="3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4"/>
              </w:rPr>
              <w:t>encourage you to read the deposit agreement, which is filed as an</w:t>
            </w:r>
          </w:p>
        </w:tc>
      </w:tr>
      <w:tr>
        <w:trPr>
          <w:trHeight w:val="176"/>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1"/>
              </w:rPr>
              <w:t>exhibit to the registration statement to which this prospectus forms a</w:t>
            </w:r>
          </w:p>
        </w:tc>
      </w:tr>
      <w:tr>
        <w:trPr>
          <w:trHeight w:val="230"/>
        </w:trPr>
        <w:tc>
          <w:tcPr>
            <w:tcW w:w="480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99"/>
              </w:rPr>
              <w:t>part.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23"/>
        </w:trPr>
        <w:tc>
          <w:tcPr>
            <w:tcW w:w="4800" w:type="dxa"/>
            <w:vAlign w:val="bottom"/>
          </w:tcPr>
          <w:p>
            <w:pPr>
              <w:spacing w:after="0"/>
              <w:rPr>
                <w:sz w:val="20"/>
                <w:szCs w:val="20"/>
                <w:color w:val="auto"/>
              </w:rPr>
            </w:pPr>
            <w:r>
              <w:rPr>
                <w:rFonts w:ascii="Arial" w:cs="Arial" w:eastAsia="Arial" w:hAnsi="Arial"/>
                <w:sz w:val="18"/>
                <w:szCs w:val="18"/>
                <w:color w:val="auto"/>
              </w:rPr>
              <w:t>Depositary</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Citibank, N.A.</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83"/>
        </w:trPr>
        <w:tc>
          <w:tcPr>
            <w:tcW w:w="4800" w:type="dxa"/>
            <w:vAlign w:val="bottom"/>
          </w:tcPr>
          <w:p>
            <w:pPr>
              <w:spacing w:after="0"/>
              <w:rPr>
                <w:sz w:val="20"/>
                <w:szCs w:val="20"/>
                <w:color w:val="auto"/>
              </w:rPr>
            </w:pPr>
            <w:r>
              <w:rPr>
                <w:rFonts w:ascii="Arial" w:cs="Arial" w:eastAsia="Arial" w:hAnsi="Arial"/>
                <w:sz w:val="18"/>
                <w:szCs w:val="18"/>
                <w:color w:val="auto"/>
              </w:rPr>
              <w:t>Use of proceeds</w:t>
            </w:r>
          </w:p>
        </w:tc>
        <w:tc>
          <w:tcPr>
            <w:tcW w:w="5040" w:type="dxa"/>
            <w:vAlign w:val="bottom"/>
            <w:gridSpan w:val="6"/>
          </w:tcPr>
          <w:p>
            <w:pPr>
              <w:ind w:left="60"/>
              <w:spacing w:after="0"/>
              <w:rPr>
                <w:sz w:val="20"/>
                <w:szCs w:val="20"/>
                <w:color w:val="auto"/>
              </w:rPr>
            </w:pPr>
            <w:r>
              <w:rPr>
                <w:rFonts w:ascii="Arial" w:cs="Arial" w:eastAsia="Arial" w:hAnsi="Arial"/>
                <w:sz w:val="18"/>
                <w:szCs w:val="18"/>
                <w:color w:val="auto"/>
                <w:highlight w:val="white"/>
                <w:w w:val="95"/>
              </w:rPr>
              <w:t>We estimate that we will receive net proceeds from the offering of</w:t>
            </w:r>
          </w:p>
        </w:tc>
      </w:tr>
      <w:tr>
        <w:trPr>
          <w:trHeight w:val="175"/>
        </w:trPr>
        <w:tc>
          <w:tcPr>
            <w:tcW w:w="4800" w:type="dxa"/>
            <w:vAlign w:val="bottom"/>
          </w:tcPr>
          <w:p>
            <w:pPr>
              <w:spacing w:after="0"/>
              <w:rPr>
                <w:sz w:val="15"/>
                <w:szCs w:val="15"/>
                <w:color w:val="auto"/>
              </w:rPr>
            </w:pPr>
          </w:p>
        </w:tc>
        <w:tc>
          <w:tcPr>
            <w:tcW w:w="128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4"/>
              </w:rPr>
              <w:t>approximately $</w:t>
            </w:r>
          </w:p>
        </w:tc>
        <w:tc>
          <w:tcPr>
            <w:tcW w:w="1000" w:type="dxa"/>
            <w:vAlign w:val="bottom"/>
          </w:tcPr>
          <w:p>
            <w:pPr>
              <w:ind w:left="540"/>
              <w:spacing w:after="0" w:line="176" w:lineRule="exact"/>
              <w:rPr>
                <w:sz w:val="20"/>
                <w:szCs w:val="20"/>
                <w:color w:val="auto"/>
              </w:rPr>
            </w:pPr>
            <w:r>
              <w:rPr>
                <w:rFonts w:ascii="Arial" w:cs="Arial" w:eastAsia="Arial" w:hAnsi="Arial"/>
                <w:sz w:val="18"/>
                <w:szCs w:val="18"/>
                <w:color w:val="auto"/>
              </w:rPr>
              <w:t>(CHF</w:t>
            </w:r>
          </w:p>
        </w:tc>
        <w:tc>
          <w:tcPr>
            <w:tcW w:w="276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 million, assuming an offering</w:t>
            </w:r>
          </w:p>
        </w:tc>
      </w:tr>
      <w:tr>
        <w:trPr>
          <w:trHeight w:val="175"/>
        </w:trPr>
        <w:tc>
          <w:tcPr>
            <w:tcW w:w="4800" w:type="dxa"/>
            <w:vAlign w:val="bottom"/>
          </w:tcPr>
          <w:p>
            <w:pPr>
              <w:spacing w:after="0"/>
              <w:rPr>
                <w:sz w:val="15"/>
                <w:szCs w:val="15"/>
                <w:color w:val="auto"/>
              </w:rPr>
            </w:pPr>
          </w:p>
        </w:tc>
        <w:tc>
          <w:tcPr>
            <w:tcW w:w="128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price of $</w:t>
            </w:r>
          </w:p>
        </w:tc>
        <w:tc>
          <w:tcPr>
            <w:tcW w:w="1000" w:type="dxa"/>
            <w:vAlign w:val="bottom"/>
          </w:tcPr>
          <w:p>
            <w:pPr>
              <w:ind w:left="40"/>
              <w:spacing w:after="0" w:line="176" w:lineRule="exact"/>
              <w:rPr>
                <w:sz w:val="20"/>
                <w:szCs w:val="20"/>
                <w:color w:val="auto"/>
              </w:rPr>
            </w:pPr>
            <w:r>
              <w:rPr>
                <w:rFonts w:ascii="Arial" w:cs="Arial" w:eastAsia="Arial" w:hAnsi="Arial"/>
                <w:sz w:val="18"/>
                <w:szCs w:val="18"/>
                <w:color w:val="auto"/>
              </w:rPr>
              <w:t>(CHF</w:t>
            </w:r>
          </w:p>
        </w:tc>
        <w:tc>
          <w:tcPr>
            <w:tcW w:w="2760" w:type="dxa"/>
            <w:vAlign w:val="bottom"/>
            <w:gridSpan w:val="3"/>
          </w:tcPr>
          <w:p>
            <w:pPr>
              <w:jc w:val="right"/>
              <w:spacing w:after="0" w:line="176" w:lineRule="exact"/>
              <w:rPr>
                <w:sz w:val="20"/>
                <w:szCs w:val="20"/>
                <w:color w:val="auto"/>
              </w:rPr>
            </w:pPr>
            <w:r>
              <w:rPr>
                <w:rFonts w:ascii="Arial" w:cs="Arial" w:eastAsia="Arial" w:hAnsi="Arial"/>
                <w:sz w:val="18"/>
                <w:szCs w:val="18"/>
                <w:color w:val="auto"/>
                <w:w w:val="91"/>
              </w:rPr>
              <w:t>) per ADS, based on the closing price</w:t>
            </w:r>
          </w:p>
        </w:tc>
      </w:tr>
      <w:tr>
        <w:trPr>
          <w:trHeight w:val="176"/>
        </w:trPr>
        <w:tc>
          <w:tcPr>
            <w:tcW w:w="4800" w:type="dxa"/>
            <w:vAlign w:val="bottom"/>
          </w:tcPr>
          <w:p>
            <w:pPr>
              <w:spacing w:after="0"/>
              <w:rPr>
                <w:sz w:val="15"/>
                <w:szCs w:val="15"/>
                <w:color w:val="auto"/>
              </w:rPr>
            </w:pPr>
          </w:p>
        </w:tc>
        <w:tc>
          <w:tcPr>
            <w:tcW w:w="4660" w:type="dxa"/>
            <w:vAlign w:val="bottom"/>
            <w:gridSpan w:val="5"/>
          </w:tcPr>
          <w:p>
            <w:pPr>
              <w:ind w:left="60"/>
              <w:spacing w:after="0" w:line="176" w:lineRule="exact"/>
              <w:rPr>
                <w:sz w:val="20"/>
                <w:szCs w:val="20"/>
                <w:color w:val="auto"/>
              </w:rPr>
            </w:pPr>
            <w:r>
              <w:rPr>
                <w:rFonts w:ascii="Arial" w:cs="Arial" w:eastAsia="Arial" w:hAnsi="Arial"/>
                <w:sz w:val="18"/>
                <w:szCs w:val="18"/>
                <w:color w:val="auto"/>
                <w:highlight w:val="white"/>
              </w:rPr>
              <w:t xml:space="preserve">of our </w:t>
            </w:r>
            <w:r>
              <w:rPr>
                <w:rFonts w:ascii="Arial" w:cs="Arial" w:eastAsia="Arial" w:hAnsi="Arial"/>
                <w:sz w:val="18"/>
                <w:szCs w:val="18"/>
                <w:color w:val="auto"/>
              </w:rPr>
              <w:t>common shares on the SIX Swiss Exchange on</w:t>
            </w:r>
          </w:p>
        </w:tc>
        <w:tc>
          <w:tcPr>
            <w:tcW w:w="38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w:t>
            </w:r>
          </w:p>
        </w:tc>
      </w:tr>
      <w:tr>
        <w:trPr>
          <w:trHeight w:val="175"/>
        </w:trPr>
        <w:tc>
          <w:tcPr>
            <w:tcW w:w="4800" w:type="dxa"/>
            <w:vAlign w:val="bottom"/>
          </w:tcPr>
          <w:p>
            <w:pPr>
              <w:spacing w:after="0"/>
              <w:rPr>
                <w:sz w:val="15"/>
                <w:szCs w:val="15"/>
                <w:color w:val="auto"/>
              </w:rPr>
            </w:pPr>
          </w:p>
        </w:tc>
        <w:tc>
          <w:tcPr>
            <w:tcW w:w="4660" w:type="dxa"/>
            <w:vAlign w:val="bottom"/>
            <w:gridSpan w:val="5"/>
          </w:tcPr>
          <w:p>
            <w:pPr>
              <w:ind w:left="60"/>
              <w:spacing w:after="0" w:line="176" w:lineRule="exact"/>
              <w:rPr>
                <w:sz w:val="20"/>
                <w:szCs w:val="20"/>
                <w:color w:val="auto"/>
              </w:rPr>
            </w:pPr>
            <w:r>
              <w:rPr>
                <w:rFonts w:ascii="Arial" w:cs="Arial" w:eastAsia="Arial" w:hAnsi="Arial"/>
                <w:sz w:val="18"/>
                <w:szCs w:val="18"/>
                <w:color w:val="auto"/>
                <w:highlight w:val="white"/>
                <w:w w:val="91"/>
              </w:rPr>
              <w:t>2021, after deducting estimated underwriting commissions and</w:t>
            </w:r>
          </w:p>
        </w:tc>
        <w:tc>
          <w:tcPr>
            <w:tcW w:w="380" w:type="dxa"/>
            <w:vAlign w:val="bottom"/>
          </w:tcPr>
          <w:p>
            <w:pPr>
              <w:spacing w:after="0"/>
              <w:rPr>
                <w:sz w:val="15"/>
                <w:szCs w:val="15"/>
                <w:color w:val="auto"/>
              </w:rPr>
            </w:pPr>
          </w:p>
        </w:tc>
      </w:tr>
      <w:tr>
        <w:trPr>
          <w:trHeight w:val="230"/>
        </w:trPr>
        <w:tc>
          <w:tcPr>
            <w:tcW w:w="4800" w:type="dxa"/>
            <w:vAlign w:val="bottom"/>
          </w:tcPr>
          <w:p>
            <w:pPr>
              <w:spacing w:after="0"/>
              <w:rPr>
                <w:sz w:val="20"/>
                <w:szCs w:val="20"/>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auto"/>
                <w:highlight w:val="white"/>
                <w:w w:val="90"/>
              </w:rPr>
              <w:t>estimated offering expenses payable by us.</w:t>
            </w: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64"/>
        </w:trPr>
        <w:tc>
          <w:tcPr>
            <w:tcW w:w="4800" w:type="dxa"/>
            <w:vAlign w:val="bottom"/>
          </w:tcPr>
          <w:p>
            <w:pPr>
              <w:spacing w:after="0"/>
              <w:rPr>
                <w:sz w:val="24"/>
                <w:szCs w:val="24"/>
                <w:color w:val="auto"/>
              </w:rPr>
            </w:pPr>
          </w:p>
        </w:tc>
        <w:tc>
          <w:tcPr>
            <w:tcW w:w="4660" w:type="dxa"/>
            <w:vAlign w:val="bottom"/>
            <w:gridSpan w:val="5"/>
          </w:tcPr>
          <w:p>
            <w:pPr>
              <w:ind w:left="60"/>
              <w:spacing w:after="0"/>
              <w:rPr>
                <w:sz w:val="20"/>
                <w:szCs w:val="20"/>
                <w:color w:val="auto"/>
              </w:rPr>
            </w:pPr>
            <w:r>
              <w:rPr>
                <w:rFonts w:ascii="Arial" w:cs="Arial" w:eastAsia="Arial" w:hAnsi="Arial"/>
                <w:sz w:val="18"/>
                <w:szCs w:val="18"/>
                <w:color w:val="auto"/>
                <w:w w:val="93"/>
              </w:rPr>
              <w:t>We currently intend to use the net proceeds from this offering,</w:t>
            </w:r>
          </w:p>
        </w:tc>
        <w:tc>
          <w:tcPr>
            <w:tcW w:w="380" w:type="dxa"/>
            <w:vAlign w:val="bottom"/>
          </w:tcPr>
          <w:p>
            <w:pPr>
              <w:spacing w:after="0"/>
              <w:rPr>
                <w:sz w:val="24"/>
                <w:szCs w:val="24"/>
                <w:color w:val="auto"/>
              </w:rPr>
            </w:pPr>
          </w:p>
        </w:tc>
      </w:tr>
      <w:tr>
        <w:trPr>
          <w:trHeight w:val="175"/>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6"/>
              </w:rPr>
              <w:t>together with our existing cash and cash equivalents, to fund our</w:t>
            </w:r>
          </w:p>
        </w:tc>
      </w:tr>
      <w:tr>
        <w:trPr>
          <w:trHeight w:val="176"/>
        </w:trPr>
        <w:tc>
          <w:tcPr>
            <w:tcW w:w="4800" w:type="dxa"/>
            <w:vAlign w:val="bottom"/>
          </w:tcPr>
          <w:p>
            <w:pPr>
              <w:spacing w:after="0"/>
              <w:rPr>
                <w:sz w:val="15"/>
                <w:szCs w:val="15"/>
                <w:color w:val="auto"/>
              </w:rPr>
            </w:pPr>
          </w:p>
        </w:tc>
        <w:tc>
          <w:tcPr>
            <w:tcW w:w="4660" w:type="dxa"/>
            <w:vAlign w:val="bottom"/>
            <w:gridSpan w:val="5"/>
          </w:tcPr>
          <w:p>
            <w:pPr>
              <w:ind w:left="60"/>
              <w:spacing w:after="0" w:line="176" w:lineRule="exact"/>
              <w:rPr>
                <w:sz w:val="20"/>
                <w:szCs w:val="20"/>
                <w:color w:val="auto"/>
              </w:rPr>
            </w:pPr>
            <w:r>
              <w:rPr>
                <w:rFonts w:ascii="Arial" w:cs="Arial" w:eastAsia="Arial" w:hAnsi="Arial"/>
                <w:sz w:val="18"/>
                <w:szCs w:val="18"/>
                <w:color w:val="auto"/>
              </w:rPr>
              <w:t>planned Phase 1 clinical trial of MP0317, to advance the</w:t>
            </w:r>
          </w:p>
        </w:tc>
        <w:tc>
          <w:tcPr>
            <w:tcW w:w="3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4660" w:type="dxa"/>
            <w:vAlign w:val="bottom"/>
            <w:gridSpan w:val="5"/>
          </w:tcPr>
          <w:p>
            <w:pPr>
              <w:ind w:left="60"/>
              <w:spacing w:after="0" w:line="176" w:lineRule="exact"/>
              <w:rPr>
                <w:sz w:val="20"/>
                <w:szCs w:val="20"/>
                <w:color w:val="auto"/>
              </w:rPr>
            </w:pPr>
            <w:r>
              <w:rPr>
                <w:rFonts w:ascii="Arial" w:cs="Arial" w:eastAsia="Arial" w:hAnsi="Arial"/>
                <w:sz w:val="18"/>
                <w:szCs w:val="18"/>
                <w:color w:val="auto"/>
              </w:rPr>
              <w:t>development of our infectious disease program, including</w:t>
            </w:r>
          </w:p>
        </w:tc>
        <w:tc>
          <w:tcPr>
            <w:tcW w:w="38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1"/>
              </w:rPr>
              <w:t>completion of a Phase 1 program for MP0423, to advance our liquid</w:t>
            </w:r>
          </w:p>
        </w:tc>
      </w:tr>
      <w:tr>
        <w:trPr>
          <w:trHeight w:val="175"/>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4"/>
              </w:rPr>
              <w:t>tumor portfolio initially in acute myeloid leukemia through Phase 1</w:t>
            </w:r>
          </w:p>
        </w:tc>
      </w:tr>
      <w:tr>
        <w:trPr>
          <w:trHeight w:val="175"/>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5"/>
              </w:rPr>
              <w:t>clinical development, and leveraging our CD3 platform to develop</w:t>
            </w:r>
          </w:p>
        </w:tc>
      </w:tr>
      <w:tr>
        <w:trPr>
          <w:trHeight w:val="175"/>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0"/>
              </w:rPr>
              <w:t>additional product candidates thereafter, to advance our platform and</w:t>
            </w:r>
          </w:p>
        </w:tc>
      </w:tr>
      <w:tr>
        <w:trPr>
          <w:trHeight w:val="176"/>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2"/>
              </w:rPr>
              <w:t>other potential product candidates and for working capital and other</w:t>
            </w:r>
          </w:p>
        </w:tc>
      </w:tr>
      <w:tr>
        <w:trPr>
          <w:trHeight w:val="230"/>
        </w:trPr>
        <w:tc>
          <w:tcPr>
            <w:tcW w:w="4800" w:type="dxa"/>
            <w:vAlign w:val="bottom"/>
          </w:tcPr>
          <w:p>
            <w:pPr>
              <w:spacing w:after="0"/>
              <w:rPr>
                <w:sz w:val="20"/>
                <w:szCs w:val="20"/>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color w:val="auto"/>
                <w:w w:val="97"/>
              </w:rPr>
              <w:t>general corporate purposes.</w:t>
            </w: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64"/>
        </w:trPr>
        <w:tc>
          <w:tcPr>
            <w:tcW w:w="4800" w:type="dxa"/>
            <w:vAlign w:val="bottom"/>
          </w:tcPr>
          <w:p>
            <w:pPr>
              <w:spacing w:after="0"/>
              <w:rPr>
                <w:sz w:val="24"/>
                <w:szCs w:val="24"/>
                <w:color w:val="auto"/>
              </w:rPr>
            </w:pPr>
          </w:p>
        </w:tc>
        <w:tc>
          <w:tcPr>
            <w:tcW w:w="4660" w:type="dxa"/>
            <w:vAlign w:val="bottom"/>
            <w:gridSpan w:val="5"/>
          </w:tcPr>
          <w:p>
            <w:pPr>
              <w:ind w:left="60"/>
              <w:spacing w:after="0"/>
              <w:rPr>
                <w:sz w:val="20"/>
                <w:szCs w:val="20"/>
                <w:color w:val="auto"/>
              </w:rPr>
            </w:pPr>
            <w:r>
              <w:rPr>
                <w:rFonts w:ascii="Arial" w:cs="Arial" w:eastAsia="Arial" w:hAnsi="Arial"/>
                <w:sz w:val="18"/>
                <w:szCs w:val="18"/>
                <w:color w:val="auto"/>
                <w:w w:val="94"/>
              </w:rPr>
              <w:t>See the section titled “Use of Proceeds” for a more complete</w:t>
            </w:r>
          </w:p>
        </w:tc>
        <w:tc>
          <w:tcPr>
            <w:tcW w:w="380" w:type="dxa"/>
            <w:vAlign w:val="bottom"/>
          </w:tcPr>
          <w:p>
            <w:pPr>
              <w:spacing w:after="0"/>
              <w:rPr>
                <w:sz w:val="24"/>
                <w:szCs w:val="24"/>
                <w:color w:val="auto"/>
              </w:rPr>
            </w:pPr>
          </w:p>
        </w:tc>
      </w:tr>
      <w:tr>
        <w:trPr>
          <w:trHeight w:val="230"/>
        </w:trPr>
        <w:tc>
          <w:tcPr>
            <w:tcW w:w="4800" w:type="dxa"/>
            <w:vAlign w:val="bottom"/>
          </w:tcPr>
          <w:p>
            <w:pPr>
              <w:spacing w:after="0"/>
              <w:rPr>
                <w:sz w:val="20"/>
                <w:szCs w:val="20"/>
                <w:color w:val="auto"/>
              </w:rPr>
            </w:pPr>
          </w:p>
        </w:tc>
        <w:tc>
          <w:tcPr>
            <w:tcW w:w="4660" w:type="dxa"/>
            <w:vAlign w:val="bottom"/>
            <w:gridSpan w:val="5"/>
          </w:tcPr>
          <w:p>
            <w:pPr>
              <w:ind w:left="60"/>
              <w:spacing w:after="0"/>
              <w:rPr>
                <w:sz w:val="20"/>
                <w:szCs w:val="20"/>
                <w:color w:val="auto"/>
              </w:rPr>
            </w:pPr>
            <w:r>
              <w:rPr>
                <w:rFonts w:ascii="Arial" w:cs="Arial" w:eastAsia="Arial" w:hAnsi="Arial"/>
                <w:sz w:val="18"/>
                <w:szCs w:val="18"/>
                <w:color w:val="auto"/>
                <w:w w:val="93"/>
              </w:rPr>
              <w:t>description of the intended use of proceeds from this offering.</w:t>
            </w:r>
          </w:p>
        </w:tc>
        <w:tc>
          <w:tcPr>
            <w:tcW w:w="380" w:type="dxa"/>
            <w:vAlign w:val="bottom"/>
          </w:tcPr>
          <w:p>
            <w:pPr>
              <w:spacing w:after="0"/>
              <w:rPr>
                <w:sz w:val="20"/>
                <w:szCs w:val="20"/>
                <w:color w:val="auto"/>
              </w:rPr>
            </w:pPr>
          </w:p>
        </w:tc>
      </w:tr>
      <w:tr>
        <w:trPr>
          <w:trHeight w:val="269"/>
        </w:trPr>
        <w:tc>
          <w:tcPr>
            <w:tcW w:w="4800" w:type="dxa"/>
            <w:vAlign w:val="bottom"/>
          </w:tcPr>
          <w:p>
            <w:pPr>
              <w:spacing w:after="0"/>
              <w:rPr>
                <w:sz w:val="20"/>
                <w:szCs w:val="20"/>
                <w:color w:val="auto"/>
              </w:rPr>
            </w:pPr>
            <w:r>
              <w:rPr>
                <w:rFonts w:ascii="Arial" w:cs="Arial" w:eastAsia="Arial" w:hAnsi="Arial"/>
                <w:sz w:val="18"/>
                <w:szCs w:val="18"/>
                <w:color w:val="auto"/>
              </w:rPr>
              <w:t>Dividend policy</w:t>
            </w:r>
          </w:p>
        </w:tc>
        <w:tc>
          <w:tcPr>
            <w:tcW w:w="5040" w:type="dxa"/>
            <w:vAlign w:val="bottom"/>
            <w:gridSpan w:val="6"/>
          </w:tcPr>
          <w:p>
            <w:pPr>
              <w:ind w:left="60"/>
              <w:spacing w:after="0"/>
              <w:rPr>
                <w:sz w:val="20"/>
                <w:szCs w:val="20"/>
                <w:color w:val="auto"/>
              </w:rPr>
            </w:pPr>
            <w:r>
              <w:rPr>
                <w:rFonts w:ascii="Arial" w:cs="Arial" w:eastAsia="Arial" w:hAnsi="Arial"/>
                <w:sz w:val="18"/>
                <w:szCs w:val="18"/>
                <w:color w:val="auto"/>
                <w:w w:val="93"/>
              </w:rPr>
              <w:t>We have never paid or declared dividends on our common shares,</w:t>
            </w:r>
          </w:p>
        </w:tc>
      </w:tr>
      <w:tr>
        <w:trPr>
          <w:trHeight w:val="175"/>
        </w:trPr>
        <w:tc>
          <w:tcPr>
            <w:tcW w:w="4800" w:type="dxa"/>
            <w:vAlign w:val="bottom"/>
          </w:tcPr>
          <w:p>
            <w:pPr>
              <w:spacing w:after="0"/>
              <w:rPr>
                <w:sz w:val="15"/>
                <w:szCs w:val="15"/>
                <w:color w:val="auto"/>
              </w:rPr>
            </w:pPr>
          </w:p>
        </w:tc>
        <w:tc>
          <w:tcPr>
            <w:tcW w:w="5040" w:type="dxa"/>
            <w:vAlign w:val="bottom"/>
            <w:gridSpan w:val="6"/>
          </w:tcPr>
          <w:p>
            <w:pPr>
              <w:ind w:left="60"/>
              <w:spacing w:after="0" w:line="176" w:lineRule="exact"/>
              <w:rPr>
                <w:sz w:val="20"/>
                <w:szCs w:val="20"/>
                <w:color w:val="auto"/>
              </w:rPr>
            </w:pPr>
            <w:r>
              <w:rPr>
                <w:rFonts w:ascii="Arial" w:cs="Arial" w:eastAsia="Arial" w:hAnsi="Arial"/>
                <w:sz w:val="18"/>
                <w:szCs w:val="18"/>
                <w:color w:val="auto"/>
                <w:w w:val="91"/>
              </w:rPr>
              <w:t>and we do not anticipate paying any cash dividends on our common</w:t>
            </w:r>
          </w:p>
        </w:tc>
      </w:tr>
      <w:tr>
        <w:trPr>
          <w:trHeight w:val="230"/>
        </w:trPr>
        <w:tc>
          <w:tcPr>
            <w:tcW w:w="4800" w:type="dxa"/>
            <w:vAlign w:val="bottom"/>
          </w:tcPr>
          <w:p>
            <w:pPr>
              <w:spacing w:after="0"/>
              <w:rPr>
                <w:sz w:val="20"/>
                <w:szCs w:val="20"/>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auto"/>
              </w:rPr>
              <w:t>shares in the foreseeable future.</w:t>
            </w: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1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See the section titled “Dividend Policy” for more information.</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60"/>
          </w:cols>
          <w:pgMar w:left="1000" w:top="1440" w:right="10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6"/>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See the section titled “Risk Factors” and other information included in this prospectus for a discussion of factors that you should consider carefully before deciding to invest in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-805815</wp:posOffset>
            </wp:positionV>
            <wp:extent cx="7136130" cy="416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416179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4166" w:space="720"/>
            <w:col w:w="4960"/>
          </w:cols>
          <w:pgMar w:left="994" w:top="1440" w:right="1059" w:bottom="1440" w:gutter="0" w:footer="0" w:header="0"/>
        </w:sectPr>
      </w:pPr>
    </w:p>
    <w:p>
      <w:pPr>
        <w:ind w:left="26"/>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 have applied to have the ADSs listed on the Nasdaq Global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 under the symbol “MOLN”</w:t>
      </w:r>
    </w:p>
    <w:p>
      <w:pPr>
        <w:spacing w:after="0" w:line="101"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ind w:left="26"/>
        <w:spacing w:after="0"/>
        <w:rPr>
          <w:sz w:val="20"/>
          <w:szCs w:val="20"/>
          <w:color w:val="auto"/>
        </w:rPr>
      </w:pPr>
      <w:r>
        <w:rPr>
          <w:rFonts w:ascii="Arial" w:cs="Arial" w:eastAsia="Arial" w:hAnsi="Arial"/>
          <w:sz w:val="16"/>
          <w:szCs w:val="16"/>
          <w:color w:val="auto"/>
        </w:rPr>
        <w:t>Swiss listing</w:t>
      </w:r>
    </w:p>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Arial" w:cs="Arial" w:eastAsia="Arial" w:hAnsi="Arial"/>
          <w:sz w:val="18"/>
          <w:szCs w:val="18"/>
          <w:color w:val="auto"/>
        </w:rPr>
        <w:t>Our common shares are listed on the SIX Swiss Exchange under the symbol “MOLN”</w:t>
      </w:r>
    </w:p>
    <w:p>
      <w:pPr>
        <w:spacing w:after="0" w:line="200" w:lineRule="exact"/>
        <w:rPr>
          <w:sz w:val="20"/>
          <w:szCs w:val="20"/>
          <w:color w:val="auto"/>
        </w:rPr>
      </w:pPr>
    </w:p>
    <w:p>
      <w:pPr>
        <w:sectPr>
          <w:pgSz w:w="11900" w:h="16838" w:orient="portrait"/>
          <w:cols w:equalWidth="0" w:num="2">
            <w:col w:w="4166" w:space="720"/>
            <w:col w:w="4960"/>
          </w:cols>
          <w:pgMar w:left="994" w:top="1440" w:right="1059" w:bottom="1440" w:gutter="0" w:footer="0" w:header="0"/>
          <w:type w:val="continuous"/>
        </w:sectPr>
      </w:pP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number of common shares to be outstanding after this offering is based on a total of 29,146,992 common shares outstanding as of</w:t>
      </w:r>
    </w:p>
    <w:p>
      <w:pPr>
        <w:spacing w:after="0" w:line="46" w:lineRule="exact"/>
        <w:rPr>
          <w:sz w:val="20"/>
          <w:szCs w:val="20"/>
          <w:color w:val="auto"/>
        </w:rPr>
      </w:pPr>
    </w:p>
    <w:p>
      <w:pPr>
        <w:ind w:left="6"/>
        <w:spacing w:after="0"/>
        <w:rPr>
          <w:sz w:val="20"/>
          <w:szCs w:val="20"/>
          <w:color w:val="auto"/>
        </w:rPr>
      </w:pPr>
      <w:r>
        <w:rPr>
          <w:rFonts w:ascii="Arial" w:cs="Arial" w:eastAsia="Arial" w:hAnsi="Arial"/>
          <w:sz w:val="18"/>
          <w:szCs w:val="18"/>
          <w:color w:val="auto"/>
        </w:rPr>
        <w:t>December 31, 2020 and excludes:</w:t>
      </w:r>
    </w:p>
    <w:p>
      <w:pPr>
        <w:spacing w:after="0" w:line="143" w:lineRule="exact"/>
        <w:rPr>
          <w:sz w:val="20"/>
          <w:szCs w:val="20"/>
          <w:color w:val="auto"/>
        </w:rPr>
      </w:pPr>
    </w:p>
    <w:p>
      <w:pPr>
        <w:ind w:left="326" w:right="160" w:hanging="326"/>
        <w:spacing w:after="0" w:line="277"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382,059 common shares issuable upon the exercise of options at a weighted average price of CHF 6.42 ($7.26) per common share granted under our employee stock option plans but not exercised as of December 31, 2020;</w:t>
      </w:r>
    </w:p>
    <w:p>
      <w:pPr>
        <w:spacing w:after="0" w:line="102" w:lineRule="exact"/>
        <w:rPr>
          <w:rFonts w:ascii="Arial" w:cs="Arial" w:eastAsia="Arial" w:hAnsi="Arial"/>
          <w:sz w:val="18"/>
          <w:szCs w:val="18"/>
          <w:color w:val="auto"/>
        </w:rPr>
      </w:pPr>
    </w:p>
    <w:p>
      <w:pPr>
        <w:ind w:left="326" w:right="180" w:hanging="326"/>
        <w:spacing w:after="0" w:line="277" w:lineRule="auto"/>
        <w:tabs>
          <w:tab w:leader="none" w:pos="3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445,198 performance share units and 87,906 restricted share units granted or allocated under our employee stock option plans and long-term equity incentive plans but not vested as of December 31, 2020; and</w:t>
      </w:r>
    </w:p>
    <w:p>
      <w:pPr>
        <w:spacing w:after="0" w:line="89" w:lineRule="exact"/>
        <w:rPr>
          <w:rFonts w:ascii="Arial" w:cs="Arial" w:eastAsia="Arial" w:hAnsi="Arial"/>
          <w:sz w:val="18"/>
          <w:szCs w:val="18"/>
          <w:color w:val="auto"/>
        </w:rPr>
      </w:pPr>
    </w:p>
    <w:p>
      <w:pPr>
        <w:ind w:left="326" w:right="60" w:hanging="326"/>
        <w:spacing w:after="0" w:line="342" w:lineRule="auto"/>
        <w:tabs>
          <w:tab w:leader="none" w:pos="3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180,389 performance share units (net of forfeitures after December 31, 2020 of 13,305 previously granted performance share units) and 29,519 restricted share units that we granted pursuant to our long-term equity incentive plans after December 31, 2020.</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highlight w:val="white"/>
        </w:rPr>
        <w:t>Except as otherwise noted, the information in this prospectus assumes:</w:t>
      </w:r>
    </w:p>
    <w:p>
      <w:pPr>
        <w:spacing w:after="0" w:line="158" w:lineRule="exact"/>
        <w:rPr>
          <w:sz w:val="20"/>
          <w:szCs w:val="20"/>
          <w:color w:val="auto"/>
        </w:rPr>
      </w:pPr>
    </w:p>
    <w:p>
      <w:pPr>
        <w:ind w:left="326" w:hanging="326"/>
        <w:spacing w:after="0"/>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ADSs; and</w:t>
      </w:r>
    </w:p>
    <w:p>
      <w:pPr>
        <w:spacing w:after="0" w:line="144" w:lineRule="exact"/>
        <w:rPr>
          <w:rFonts w:ascii="Arial" w:cs="Arial" w:eastAsia="Arial" w:hAnsi="Arial"/>
          <w:sz w:val="18"/>
          <w:szCs w:val="18"/>
          <w:color w:val="auto"/>
        </w:rPr>
      </w:pPr>
    </w:p>
    <w:p>
      <w:pPr>
        <w:ind w:left="326" w:hanging="326"/>
        <w:spacing w:after="0"/>
        <w:tabs>
          <w:tab w:leader="none" w:pos="326"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 exercise of outstanding options or vesting of performance share units or restricted share units subsequent to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846"/>
          </w:cols>
          <w:pgMar w:left="994" w:top="1440" w:right="105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6107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10743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auto"/>
        </w:rPr>
        <w:t>SUMMARY FINANCIAL DATA</w:t>
      </w:r>
    </w:p>
    <w:p>
      <w:pPr>
        <w:spacing w:after="0" w:line="305" w:lineRule="exact"/>
        <w:rPr>
          <w:sz w:val="20"/>
          <w:szCs w:val="20"/>
          <w:color w:val="auto"/>
        </w:rPr>
      </w:pPr>
    </w:p>
    <w:p>
      <w:pPr>
        <w:ind w:left="20"/>
        <w:spacing w:after="0" w:line="279" w:lineRule="auto"/>
        <w:rPr>
          <w:sz w:val="20"/>
          <w:szCs w:val="20"/>
          <w:color w:val="auto"/>
        </w:rPr>
      </w:pPr>
      <w:r>
        <w:rPr>
          <w:rFonts w:ascii="Arial" w:cs="Arial" w:eastAsia="Arial" w:hAnsi="Arial"/>
          <w:sz w:val="17"/>
          <w:szCs w:val="17"/>
          <w:i w:val="1"/>
          <w:iCs w:val="1"/>
          <w:color w:val="auto"/>
        </w:rPr>
        <w:t>The following summary statement of comprehensive loss data for each of the years ended December 31, 2020 and 2019 and the summary statement of financial position data as of December 31, 2020 have been derived from our audited financial statements included elsewhere in this prospectus. Our audited financial statements have been prepared in accordance with International Financial Reporting Standards, or IFRS as issued by the International Accounting Standards Board, or IASB.</w:t>
      </w:r>
    </w:p>
    <w:p>
      <w:pPr>
        <w:spacing w:after="0" w:line="104" w:lineRule="exact"/>
        <w:rPr>
          <w:sz w:val="20"/>
          <w:szCs w:val="20"/>
          <w:color w:val="auto"/>
        </w:rPr>
      </w:pPr>
    </w:p>
    <w:p>
      <w:pPr>
        <w:ind w:left="20" w:right="40"/>
        <w:spacing w:after="0" w:line="257" w:lineRule="auto"/>
        <w:rPr>
          <w:sz w:val="20"/>
          <w:szCs w:val="20"/>
          <w:color w:val="auto"/>
        </w:rPr>
      </w:pPr>
      <w:r>
        <w:rPr>
          <w:rFonts w:ascii="Arial" w:cs="Arial" w:eastAsia="Arial" w:hAnsi="Arial"/>
          <w:sz w:val="18"/>
          <w:szCs w:val="18"/>
          <w:i w:val="1"/>
          <w:iCs w:val="1"/>
          <w:color w:val="auto"/>
        </w:rPr>
        <w:t>Our historical results for any prior period do not necessarily indicate our results to be expected for any future period. The following summary financial data for the periods and as of the dates indicated are qualified by reference to and should be read in conjunction with our financial statements and related notes beginning on page F-1 of this prospectus, as well as the sections entitled “Selected Financial Data”, “Management’s Discussion and Analysis of Financial Condition and Results of Operations” and “Exchange Rate Information” included elsewhere in this prospectus.</w:t>
      </w:r>
    </w:p>
    <w:p>
      <w:pPr>
        <w:spacing w:after="0" w:line="120" w:lineRule="exact"/>
        <w:rPr>
          <w:sz w:val="20"/>
          <w:szCs w:val="20"/>
          <w:color w:val="auto"/>
        </w:rPr>
      </w:pPr>
    </w:p>
    <w:p>
      <w:pPr>
        <w:ind w:left="20" w:right="60"/>
        <w:spacing w:after="0" w:line="255" w:lineRule="auto"/>
        <w:rPr>
          <w:sz w:val="20"/>
          <w:szCs w:val="20"/>
          <w:color w:val="auto"/>
        </w:rPr>
      </w:pPr>
      <w:r>
        <w:rPr>
          <w:rFonts w:ascii="Arial" w:cs="Arial" w:eastAsia="Arial" w:hAnsi="Arial"/>
          <w:sz w:val="18"/>
          <w:szCs w:val="18"/>
          <w:i w:val="1"/>
          <w:iCs w:val="1"/>
          <w:color w:val="auto"/>
        </w:rPr>
        <w:t>We maintain our books and records in Swiss franc, and we prepare our financial statements in accordance with IFRS as issued by the IASB. We report our financial results in Swiss franc. For the convenience of the reader, we have translated Swiss franc amounts as of December 31, 2020 and for the year ended December 31, 2020 into U.S. dollars at the noon buying rate of the Federal Reserve Bank of New York on December 31, 2020, which was CHF 1.00 to $1.1311. These translations should not be considered representations that any such amounts have been, could have been or could be converted into U.S. dollars at that or any other exchange rate as of that or any other date.</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Comprehensive Loss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2"/>
          </w:tcPr>
          <w:p>
            <w:pPr>
              <w:jc w:val="right"/>
              <w:ind w:right="751"/>
              <w:spacing w:after="0"/>
              <w:rPr>
                <w:sz w:val="20"/>
                <w:szCs w:val="20"/>
                <w:color w:val="auto"/>
              </w:rPr>
            </w:pPr>
            <w:r>
              <w:rPr>
                <w:rFonts w:ascii="Arial" w:cs="Arial" w:eastAsia="Arial" w:hAnsi="Arial"/>
                <w:sz w:val="16"/>
                <w:szCs w:val="16"/>
                <w:b w:val="1"/>
                <w:bCs w:val="1"/>
                <w:color w:val="auto"/>
              </w:rPr>
              <w:t>For the year ended</w:t>
            </w: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For the year ended</w:t>
            </w:r>
          </w:p>
        </w:tc>
      </w:tr>
      <w:tr>
        <w:trPr>
          <w:trHeight w:val="213"/>
        </w:trPr>
        <w:tc>
          <w:tcPr>
            <w:tcW w:w="5520" w:type="dxa"/>
            <w:vAlign w:val="bottom"/>
          </w:tcPr>
          <w:p>
            <w:pPr>
              <w:spacing w:after="0"/>
              <w:rPr>
                <w:sz w:val="18"/>
                <w:szCs w:val="18"/>
                <w:color w:val="auto"/>
              </w:rPr>
            </w:pPr>
          </w:p>
        </w:tc>
        <w:tc>
          <w:tcPr>
            <w:tcW w:w="2940" w:type="dxa"/>
            <w:vAlign w:val="bottom"/>
            <w:tcBorders>
              <w:bottom w:val="single" w:sz="8" w:color="auto"/>
            </w:tcBorders>
            <w:gridSpan w:val="2"/>
          </w:tcPr>
          <w:p>
            <w:pPr>
              <w:jc w:val="right"/>
              <w:ind w:right="751"/>
              <w:spacing w:after="0"/>
              <w:rPr>
                <w:sz w:val="20"/>
                <w:szCs w:val="20"/>
                <w:color w:val="auto"/>
              </w:rPr>
            </w:pPr>
            <w:r>
              <w:rPr>
                <w:rFonts w:ascii="Arial" w:cs="Arial" w:eastAsia="Arial" w:hAnsi="Arial"/>
                <w:sz w:val="16"/>
                <w:szCs w:val="16"/>
                <w:b w:val="1"/>
                <w:bCs w:val="1"/>
                <w:color w:val="auto"/>
              </w:rPr>
              <w:t>December 31, 2020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 2019</w:t>
            </w:r>
          </w:p>
        </w:tc>
      </w:tr>
      <w:tr>
        <w:trPr>
          <w:trHeight w:val="210"/>
        </w:trPr>
        <w:tc>
          <w:tcPr>
            <w:tcW w:w="5520" w:type="dxa"/>
            <w:vAlign w:val="bottom"/>
          </w:tcPr>
          <w:p>
            <w:pPr>
              <w:spacing w:after="0"/>
              <w:rPr>
                <w:sz w:val="18"/>
                <w:szCs w:val="18"/>
                <w:color w:val="auto"/>
              </w:rPr>
            </w:pPr>
          </w:p>
        </w:tc>
        <w:tc>
          <w:tcPr>
            <w:tcW w:w="1480" w:type="dxa"/>
            <w:vAlign w:val="bottom"/>
          </w:tcPr>
          <w:p>
            <w:pPr>
              <w:jc w:val="right"/>
              <w:ind w:right="72"/>
              <w:spacing w:after="0"/>
              <w:rPr>
                <w:sz w:val="20"/>
                <w:szCs w:val="20"/>
                <w:color w:val="auto"/>
              </w:rPr>
            </w:pPr>
            <w:r>
              <w:rPr>
                <w:rFonts w:ascii="Arial" w:cs="Arial" w:eastAsia="Arial" w:hAnsi="Arial"/>
                <w:sz w:val="16"/>
                <w:szCs w:val="16"/>
                <w:b w:val="1"/>
                <w:bCs w:val="1"/>
                <w:color w:val="auto"/>
                <w:w w:val="94"/>
              </w:rPr>
              <w:t>in CHF thousands</w:t>
            </w:r>
          </w:p>
        </w:tc>
        <w:tc>
          <w:tcPr>
            <w:tcW w:w="1460" w:type="dxa"/>
            <w:vAlign w:val="bottom"/>
          </w:tcPr>
          <w:p>
            <w:pPr>
              <w:jc w:val="right"/>
              <w:ind w:right="31"/>
              <w:spacing w:after="0"/>
              <w:rPr>
                <w:sz w:val="20"/>
                <w:szCs w:val="20"/>
                <w:color w:val="auto"/>
              </w:rPr>
            </w:pPr>
            <w:r>
              <w:rPr>
                <w:rFonts w:ascii="Arial" w:cs="Arial" w:eastAsia="Arial" w:hAnsi="Arial"/>
                <w:sz w:val="16"/>
                <w:szCs w:val="16"/>
                <w:b w:val="1"/>
                <w:bCs w:val="1"/>
                <w:color w:val="auto"/>
                <w:w w:val="95"/>
              </w:rPr>
              <w:t>in USD thousands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in CHF thousands</w:t>
            </w:r>
          </w:p>
        </w:tc>
      </w:tr>
      <w:tr>
        <w:trPr>
          <w:trHeight w:val="232"/>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9,344</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10,569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(56,075)</w:t>
            </w:r>
          </w:p>
        </w:tc>
        <w:tc>
          <w:tcPr>
            <w:tcW w:w="1460" w:type="dxa"/>
            <w:vAlign w:val="bottom"/>
          </w:tcPr>
          <w:p>
            <w:pPr>
              <w:jc w:val="right"/>
              <w:spacing w:after="0"/>
              <w:rPr>
                <w:sz w:val="20"/>
                <w:szCs w:val="20"/>
                <w:color w:val="auto"/>
              </w:rPr>
            </w:pPr>
            <w:r>
              <w:rPr>
                <w:rFonts w:ascii="Arial" w:cs="Arial" w:eastAsia="Arial" w:hAnsi="Arial"/>
                <w:sz w:val="18"/>
                <w:szCs w:val="18"/>
                <w:color w:val="auto"/>
              </w:rPr>
              <w:t>(63,426)</w:t>
            </w:r>
          </w:p>
        </w:tc>
        <w:tc>
          <w:tcPr>
            <w:tcW w:w="1440" w:type="dxa"/>
            <w:vAlign w:val="bottom"/>
          </w:tcPr>
          <w:p>
            <w:pPr>
              <w:jc w:val="right"/>
              <w:spacing w:after="0"/>
              <w:rPr>
                <w:sz w:val="20"/>
                <w:szCs w:val="20"/>
                <w:color w:val="auto"/>
              </w:rPr>
            </w:pPr>
            <w:r>
              <w:rPr>
                <w:rFonts w:ascii="Arial" w:cs="Arial" w:eastAsia="Arial" w:hAnsi="Arial"/>
                <w:sz w:val="18"/>
                <w:szCs w:val="18"/>
                <w:color w:val="auto"/>
              </w:rPr>
              <w:t>(43,498)</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(11,595)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(13,545)</w:t>
            </w: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Operating result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(58,326)</w:t>
            </w:r>
          </w:p>
        </w:tc>
        <w:tc>
          <w:tcPr>
            <w:tcW w:w="1460" w:type="dxa"/>
            <w:vAlign w:val="bottom"/>
          </w:tcPr>
          <w:p>
            <w:pPr>
              <w:jc w:val="right"/>
              <w:spacing w:after="0"/>
              <w:rPr>
                <w:sz w:val="20"/>
                <w:szCs w:val="20"/>
                <w:color w:val="auto"/>
              </w:rPr>
            </w:pPr>
            <w:r>
              <w:rPr>
                <w:rFonts w:ascii="Arial" w:cs="Arial" w:eastAsia="Arial" w:hAnsi="Arial"/>
                <w:sz w:val="18"/>
                <w:szCs w:val="18"/>
                <w:color w:val="auto"/>
              </w:rPr>
              <w:t>(65,973)</w:t>
            </w:r>
          </w:p>
        </w:tc>
        <w:tc>
          <w:tcPr>
            <w:tcW w:w="1440" w:type="dxa"/>
            <w:vAlign w:val="bottom"/>
          </w:tcPr>
          <w:p>
            <w:pPr>
              <w:jc w:val="right"/>
              <w:spacing w:after="0"/>
              <w:rPr>
                <w:sz w:val="20"/>
                <w:szCs w:val="20"/>
                <w:color w:val="auto"/>
              </w:rPr>
            </w:pPr>
            <w:r>
              <w:rPr>
                <w:rFonts w:ascii="Arial" w:cs="Arial" w:eastAsia="Arial" w:hAnsi="Arial"/>
                <w:sz w:val="18"/>
                <w:szCs w:val="18"/>
                <w:color w:val="auto"/>
              </w:rPr>
              <w:t>(36,660)</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income</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367</w:t>
            </w: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Financial expenses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(4,816)</w:t>
            </w:r>
          </w:p>
        </w:tc>
        <w:tc>
          <w:tcPr>
            <w:tcW w:w="1460" w:type="dxa"/>
            <w:vAlign w:val="bottom"/>
          </w:tcPr>
          <w:p>
            <w:pPr>
              <w:jc w:val="right"/>
              <w:spacing w:after="0"/>
              <w:rPr>
                <w:sz w:val="20"/>
                <w:szCs w:val="20"/>
                <w:color w:val="auto"/>
              </w:rPr>
            </w:pPr>
            <w:r>
              <w:rPr>
                <w:rFonts w:ascii="Arial" w:cs="Arial" w:eastAsia="Arial" w:hAnsi="Arial"/>
                <w:sz w:val="18"/>
                <w:szCs w:val="18"/>
                <w:color w:val="auto"/>
              </w:rPr>
              <w:t>(5,447)</w:t>
            </w:r>
          </w:p>
        </w:tc>
        <w:tc>
          <w:tcPr>
            <w:tcW w:w="144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Result before income taxes</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(62,775)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(36,271)</w:t>
            </w: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result, attributable to shareholders</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(62,764)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(36,288)</w:t>
            </w:r>
          </w:p>
        </w:tc>
      </w:tr>
      <w:tr>
        <w:trPr>
          <w:trHeight w:val="283"/>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Basic and diluted net result per share</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bl>
    <w:p>
      <w:pPr>
        <w:spacing w:after="0" w:line="84" w:lineRule="exact"/>
        <w:rPr>
          <w:sz w:val="20"/>
          <w:szCs w:val="20"/>
          <w:color w:val="auto"/>
        </w:rPr>
      </w:pPr>
    </w:p>
    <w:p>
      <w:pPr>
        <w:ind w:left="340" w:right="300" w:hanging="326"/>
        <w:spacing w:after="0" w:line="296" w:lineRule="auto"/>
        <w:tabs>
          <w:tab w:leader="none" w:pos="335"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Note 21 to our consolidated financial statements appearing elsewhere in this prospectus for a description of the method used to compute basic and diluted net result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900"/>
          </w:cols>
          <w:pgMar w:left="980" w:top="1440" w:right="101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1003935</wp:posOffset>
            </wp:positionV>
            <wp:extent cx="7136130" cy="2464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46443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 of Financial Position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r>
      <w:tr>
        <w:trPr>
          <w:trHeight w:val="213"/>
        </w:trPr>
        <w:tc>
          <w:tcPr>
            <w:tcW w:w="55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December 31, 2020</w:t>
            </w: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0"/>
              </w:rPr>
              <w:t>December 31, 2019</w:t>
            </w:r>
          </w:p>
        </w:tc>
      </w:tr>
      <w:tr>
        <w:trPr>
          <w:trHeight w:val="209"/>
        </w:trPr>
        <w:tc>
          <w:tcPr>
            <w:tcW w:w="55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6"/>
                <w:szCs w:val="16"/>
                <w:b w:val="1"/>
                <w:bCs w:val="1"/>
                <w:color w:val="auto"/>
                <w:w w:val="99"/>
              </w:rPr>
              <w:t>in CHF thousands</w:t>
            </w:r>
          </w:p>
        </w:tc>
        <w:tc>
          <w:tcPr>
            <w:tcW w:w="1520" w:type="dxa"/>
            <w:vAlign w:val="bottom"/>
          </w:tcPr>
          <w:p>
            <w:pPr>
              <w:jc w:val="right"/>
              <w:ind w:right="53"/>
              <w:spacing w:after="0"/>
              <w:rPr>
                <w:sz w:val="20"/>
                <w:szCs w:val="20"/>
                <w:color w:val="auto"/>
              </w:rPr>
            </w:pPr>
            <w:r>
              <w:rPr>
                <w:rFonts w:ascii="Arial" w:cs="Arial" w:eastAsia="Arial" w:hAnsi="Arial"/>
                <w:sz w:val="16"/>
                <w:szCs w:val="16"/>
                <w:b w:val="1"/>
                <w:bCs w:val="1"/>
                <w:color w:val="auto"/>
                <w:w w:val="98"/>
              </w:rPr>
              <w:t>in USD thousands</w:t>
            </w:r>
          </w:p>
        </w:tc>
        <w:tc>
          <w:tcPr>
            <w:tcW w:w="1420" w:type="dxa"/>
            <w:vAlign w:val="bottom"/>
          </w:tcPr>
          <w:p>
            <w:pPr>
              <w:ind w:left="100"/>
              <w:spacing w:after="0"/>
              <w:rPr>
                <w:sz w:val="20"/>
                <w:szCs w:val="20"/>
                <w:color w:val="auto"/>
              </w:rPr>
            </w:pPr>
            <w:r>
              <w:rPr>
                <w:rFonts w:ascii="Arial" w:cs="Arial" w:eastAsia="Arial" w:hAnsi="Arial"/>
                <w:sz w:val="16"/>
                <w:szCs w:val="16"/>
                <w:b w:val="1"/>
                <w:bCs w:val="1"/>
                <w:color w:val="auto"/>
                <w:w w:val="94"/>
              </w:rPr>
              <w:t>in CHF thousands</w:t>
            </w:r>
          </w:p>
        </w:tc>
      </w:tr>
      <w:tr>
        <w:trPr>
          <w:trHeight w:val="232"/>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plus short-term time deposits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173,721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196,496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95,080</w:t>
            </w:r>
          </w:p>
        </w:tc>
      </w:tr>
      <w:tr>
        <w:trPr>
          <w:trHeight w:val="229"/>
        </w:trPr>
        <w:tc>
          <w:tcPr>
            <w:tcW w:w="55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187,546</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212,133</w:t>
            </w:r>
          </w:p>
        </w:tc>
        <w:tc>
          <w:tcPr>
            <w:tcW w:w="1420" w:type="dxa"/>
            <w:vAlign w:val="bottom"/>
          </w:tcPr>
          <w:p>
            <w:pPr>
              <w:jc w:val="right"/>
              <w:spacing w:after="0"/>
              <w:rPr>
                <w:sz w:val="20"/>
                <w:szCs w:val="20"/>
                <w:color w:val="auto"/>
              </w:rPr>
            </w:pPr>
            <w:r>
              <w:rPr>
                <w:rFonts w:ascii="Arial" w:cs="Arial" w:eastAsia="Arial" w:hAnsi="Arial"/>
                <w:sz w:val="18"/>
                <w:szCs w:val="18"/>
                <w:color w:val="auto"/>
              </w:rPr>
              <w:t>104,935</w:t>
            </w: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299,479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338,741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182,849</w:t>
            </w: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(80,326)</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(90,857)</w:t>
            </w:r>
          </w:p>
        </w:tc>
        <w:tc>
          <w:tcPr>
            <w:tcW w:w="1420" w:type="dxa"/>
            <w:vAlign w:val="bottom"/>
          </w:tcPr>
          <w:p>
            <w:pPr>
              <w:jc w:val="right"/>
              <w:spacing w:after="0"/>
              <w:rPr>
                <w:sz w:val="20"/>
                <w:szCs w:val="20"/>
                <w:color w:val="auto"/>
              </w:rPr>
            </w:pPr>
            <w:r>
              <w:rPr>
                <w:rFonts w:ascii="Arial" w:cs="Arial" w:eastAsia="Arial" w:hAnsi="Arial"/>
                <w:sz w:val="18"/>
                <w:szCs w:val="18"/>
                <w:color w:val="auto"/>
              </w:rPr>
              <w:t>(50,796)</w:t>
            </w: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losses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(195,174)</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(220,761)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(130,870)</w:t>
            </w:r>
          </w:p>
        </w:tc>
      </w:tr>
      <w:tr>
        <w:trPr>
          <w:trHeight w:val="230"/>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107,220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121,277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00"/>
          </w:cols>
          <w:pgMar w:left="980" w:top="1440" w:right="1019" w:bottom="1440" w:gutter="0" w:footer="0" w:header="0"/>
        </w:sectPr>
      </w:pPr>
    </w:p>
    <w:bookmarkStart w:id="17" w:name="page18"/>
    <w:bookmarkEnd w:id="17"/>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RISK FACTORS</w:t>
      </w:r>
    </w:p>
    <w:p>
      <w:pPr>
        <w:spacing w:after="0" w:line="305"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Investing in the ADSs involves a high degree of risk. You should carefully consider the risks and uncertainties described below and the other information in this prospectus before making an investment decision. Our business, financial condition or results of operations could be adversely affected if any of these risks occurs, and as a result, the market price of the ADSs could decline and you could lose all or part of your investment. This prospectus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3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We are a clinical-stage biopharmaceutical company with limited operating history. We have incurred significant losses since our inception, and we expect to incur losses for the foreseeable future and may never achieve or maintain profitability. 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a clinical-stage biopharmaceutical company with limited operating history. Since our inception, we have incurred significant operating losses, including negative net results, attributable to shareholders of CHF 62.8 million and CHF 36.3 million for the years ended December 31, 2020 and 2019, respectively. As of December 31, 2020, we had cumulative losses of CHF 195.2 million. Our losses resulted principally from costs incurred in research and development, preclinical testing, clinical development of our product candidates as well as costs incurred for research programs and from selling, general and administrative costs associated with our operations. In the future, we intend to continue to conduct research and development, preclinical testing, clinical trials and regulatory compliance activities that, together with anticipated selling, general and administrative expenses, will result in incurring further significant losses for the next several years. Our losses, among other things, will continue to cause our working capital and shareholders' equity to decrease. We anticipate that our expenses will increase substantially if and as we:</w:t>
      </w:r>
    </w:p>
    <w:p>
      <w:pPr>
        <w:spacing w:after="0" w:line="11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clinical trials of ensovibep in SARS-CoV-2 positively diagnosed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the Phase 1a clinical trial of MP0310 in fibroblast activation protein, or FAP, positive cancer patients;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prepare for the Phase 1 clinical trial of MP0317, the second candidate in our oncology program;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clinical applications of our CD3 T cell engagement programs;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clinical- and preclinical-stage product candidates and discovery stage programs;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enhance our DARPin technology and build on our proprietary product pipeline;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57"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to commercialize any product candidates for which we may obtain regulatory approval;</w:t>
      </w:r>
    </w:p>
    <w:p>
      <w:pPr>
        <w:spacing w:after="0" w:line="102" w:lineRule="exact"/>
        <w:rPr>
          <w:rFonts w:ascii="Arial" w:cs="Arial" w:eastAsia="Arial" w:hAnsi="Arial"/>
          <w:sz w:val="18"/>
          <w:szCs w:val="18"/>
          <w:color w:val="auto"/>
        </w:rPr>
      </w:pPr>
    </w:p>
    <w:p>
      <w:pPr>
        <w:ind w:left="340" w:right="60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and other proprietary rights and obtain licenses to third-party intellectual property;</w:t>
      </w:r>
    </w:p>
    <w:p>
      <w:pPr>
        <w:spacing w:after="0" w:line="89"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clinical, regulatory, scientific, operational, financial, legal, intellectual property, compliance and management information systems and personnel, including personnel to support our product development and potential future commercialization efforts;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30" w:lineRule="exact"/>
        <w:rPr>
          <w:sz w:val="20"/>
          <w:szCs w:val="20"/>
          <w:color w:val="auto"/>
        </w:rPr>
      </w:pPr>
    </w:p>
    <w:p>
      <w:pPr>
        <w:ind w:left="413" w:right="620" w:hanging="332"/>
        <w:spacing w:after="0" w:line="277" w:lineRule="auto"/>
        <w:tabs>
          <w:tab w:leader="none" w:pos="4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any issues relating to any of the above, including failed studies, ambiguous trial results, safety issues, other regulatory challenges or third party supply or manufacturing issues.</w:t>
      </w:r>
    </w:p>
    <w:p>
      <w:pPr>
        <w:spacing w:after="0" w:line="89" w:lineRule="exact"/>
        <w:rPr>
          <w:sz w:val="20"/>
          <w:szCs w:val="20"/>
          <w:color w:val="auto"/>
        </w:rPr>
      </w:pPr>
    </w:p>
    <w:p>
      <w:pPr>
        <w:ind w:left="73"/>
        <w:spacing w:after="0" w:line="255" w:lineRule="auto"/>
        <w:rPr>
          <w:sz w:val="20"/>
          <w:szCs w:val="20"/>
          <w:color w:val="auto"/>
        </w:rPr>
      </w:pPr>
      <w:r>
        <w:rPr>
          <w:rFonts w:ascii="Arial" w:cs="Arial" w:eastAsia="Arial" w:hAnsi="Arial"/>
          <w:sz w:val="18"/>
          <w:szCs w:val="18"/>
          <w:color w:val="auto"/>
        </w:rPr>
        <w:t>Since our inception in 2004, we have invested most of our resources in developing our product candidates, building our intellectual property portfolio, developing our supply chain, conducting business planning, raising capital and providing general and administrative support for these operations. We do not currently have any approved products and have never generated any revenue from product sales. To date, we have funded our operations through public and private placements of equity securities, upfront, milestone, option exercise, reservation fee, expense reimbursement, full time equivalent, or FTE, employees and sponsored research payments received from our collaborators, recharging of third party costs and interest income from the investment of our cash, cash equivalents and financial assets.</w:t>
      </w:r>
    </w:p>
    <w:p>
      <w:pPr>
        <w:spacing w:after="0" w:line="125" w:lineRule="exact"/>
        <w:rPr>
          <w:sz w:val="20"/>
          <w:szCs w:val="20"/>
          <w:color w:val="auto"/>
        </w:rPr>
      </w:pPr>
    </w:p>
    <w:p>
      <w:pPr>
        <w:ind w:left="73" w:right="60"/>
        <w:spacing w:after="0" w:line="271"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and developing additional product candidates, obtaining regulatory approval for any product candidates that successfully complete clinical trials, establishing manufacturing and marketing capabilities and ultimately selling any products for which we may obtain regulatory approval. We are only in the preliminary stages of most of these activities. We may never succeed in these activities and, even if we do,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11" w:lineRule="exact"/>
        <w:rPr>
          <w:sz w:val="20"/>
          <w:szCs w:val="20"/>
          <w:color w:val="auto"/>
        </w:rPr>
      </w:pPr>
    </w:p>
    <w:p>
      <w:pPr>
        <w:ind w:left="73" w:right="24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the European Medicines Agency, or EMA, or other comparable foreign authorities to perform studies in addition to those we currently anticipate, or if there are any delays in completing our clinical trials or the development of any of our product candidates, our expenses could increase and revenue could be further delayed.</w:t>
      </w:r>
    </w:p>
    <w:p>
      <w:pPr>
        <w:spacing w:after="0" w:line="107" w:lineRule="exact"/>
        <w:rPr>
          <w:sz w:val="20"/>
          <w:szCs w:val="20"/>
          <w:color w:val="auto"/>
        </w:rPr>
      </w:pPr>
    </w:p>
    <w:p>
      <w:pPr>
        <w:ind w:left="73"/>
        <w:spacing w:after="0" w:line="286" w:lineRule="auto"/>
        <w:rPr>
          <w:sz w:val="20"/>
          <w:szCs w:val="20"/>
          <w:color w:val="auto"/>
        </w:rPr>
      </w:pPr>
      <w:r>
        <w:rPr>
          <w:rFonts w:ascii="Arial" w:cs="Arial" w:eastAsia="Arial" w:hAnsi="Arial"/>
          <w:sz w:val="17"/>
          <w:szCs w:val="17"/>
          <w:color w:val="auto"/>
        </w:rPr>
        <w:t>Even if we do generate product royalties or product sales, we may never achieve or sustain profitability on a quarterly or annual basis. Our failure to sustain profitability would depress the market price of the ADSs and could impair our ability to raise capital, expand our business, diversify our product offerings or continue our operations. A decline in the market price of the ADSs also could cause you to lose all or a part of your investment.</w:t>
      </w:r>
    </w:p>
    <w:p>
      <w:pPr>
        <w:spacing w:after="0" w:line="98" w:lineRule="exact"/>
        <w:rPr>
          <w:sz w:val="20"/>
          <w:szCs w:val="20"/>
          <w:color w:val="auto"/>
        </w:rPr>
      </w:pPr>
    </w:p>
    <w:p>
      <w:pPr>
        <w:ind w:left="73" w:right="160"/>
        <w:spacing w:after="0" w:line="342" w:lineRule="auto"/>
        <w:rPr>
          <w:sz w:val="20"/>
          <w:szCs w:val="20"/>
          <w:color w:val="auto"/>
        </w:rPr>
      </w:pPr>
      <w:r>
        <w:rPr>
          <w:rFonts w:ascii="Arial" w:cs="Arial" w:eastAsia="Arial" w:hAnsi="Arial"/>
          <w:sz w:val="16"/>
          <w:szCs w:val="16"/>
          <w:b w:val="1"/>
          <w:bCs w:val="1"/>
          <w:i w:val="1"/>
          <w:iCs w:val="1"/>
          <w:color w:val="auto"/>
        </w:rPr>
        <w:t>We may need substantial additional funding in order to complete the development and commercialization of our product candidates. Failure to obtain this necessary capital when needed may force us to delay, limit or terminate certain of our product development or research operations.</w:t>
      </w:r>
    </w:p>
    <w:p>
      <w:pPr>
        <w:spacing w:after="0" w:line="56" w:lineRule="exact"/>
        <w:rPr>
          <w:sz w:val="20"/>
          <w:szCs w:val="20"/>
          <w:color w:val="auto"/>
        </w:rPr>
      </w:pPr>
    </w:p>
    <w:p>
      <w:pPr>
        <w:ind w:left="73" w:right="40"/>
        <w:spacing w:after="0" w:line="259" w:lineRule="auto"/>
        <w:rPr>
          <w:sz w:val="20"/>
          <w:szCs w:val="20"/>
          <w:color w:val="auto"/>
        </w:rPr>
      </w:pPr>
      <w:r>
        <w:rPr>
          <w:rFonts w:ascii="Arial" w:cs="Arial" w:eastAsia="Arial" w:hAnsi="Arial"/>
          <w:sz w:val="18"/>
          <w:szCs w:val="18"/>
          <w:color w:val="auto"/>
        </w:rPr>
        <w:t>To date, we have funded our operations through public and private placements of equity securities, upfront, milestone, option exercise, reservation fee, expense reimbursement, FTE and sponsored research payments received from our collaborators, recharging of third party costs and interest income from the investment of our cash, cash equivalents and financial assets. We expect to require additional funding in the future to sufficiently finance our operations and advance development of our product candidates.</w:t>
      </w:r>
    </w:p>
    <w:p>
      <w:pPr>
        <w:spacing w:after="0" w:line="106" w:lineRule="exact"/>
        <w:rPr>
          <w:sz w:val="20"/>
          <w:szCs w:val="20"/>
          <w:color w:val="auto"/>
        </w:rPr>
      </w:pPr>
    </w:p>
    <w:p>
      <w:pPr>
        <w:ind w:left="73"/>
        <w:spacing w:after="0"/>
        <w:rPr>
          <w:sz w:val="20"/>
          <w:szCs w:val="20"/>
          <w:color w:val="auto"/>
        </w:rPr>
      </w:pPr>
      <w:r>
        <w:rPr>
          <w:rFonts w:ascii="Arial" w:cs="Arial" w:eastAsia="Arial" w:hAnsi="Arial"/>
          <w:sz w:val="16"/>
          <w:szCs w:val="16"/>
          <w:color w:val="auto"/>
        </w:rPr>
        <w:t>We expect that our existing cash, cash equivalents and investments, together with anticipated net proceeds from this offering, will enable us to fund our</w:t>
      </w:r>
    </w:p>
    <w:p>
      <w:pPr>
        <w:spacing w:after="0" w:line="46" w:lineRule="exact"/>
        <w:rPr>
          <w:sz w:val="20"/>
          <w:szCs w:val="20"/>
          <w:color w:val="auto"/>
        </w:rPr>
      </w:pPr>
    </w:p>
    <w:p>
      <w:pPr>
        <w:ind w:left="73" w:right="20"/>
        <w:spacing w:after="0" w:line="255" w:lineRule="auto"/>
        <w:rPr>
          <w:sz w:val="20"/>
          <w:szCs w:val="20"/>
          <w:color w:val="auto"/>
        </w:rPr>
      </w:pPr>
      <w:r>
        <w:rPr>
          <w:rFonts w:ascii="Arial" w:cs="Arial" w:eastAsia="Arial" w:hAnsi="Arial"/>
          <w:sz w:val="18"/>
          <w:szCs w:val="18"/>
          <w:color w:val="auto"/>
        </w:rPr>
        <w:t>operating expenses and capital expenditure requirements through at least . We have based this estimate on assumptions that may prove to be wrong, and we could use our capital resources sooner than we currently expect. Our future capital requirements for ensovibep, MP0310, MP0317 or our preclinical programs will depend on many factors, including:</w:t>
      </w:r>
    </w:p>
    <w:p>
      <w:pPr>
        <w:spacing w:after="0" w:line="122" w:lineRule="exact"/>
        <w:rPr>
          <w:sz w:val="20"/>
          <w:szCs w:val="20"/>
          <w:color w:val="auto"/>
        </w:rPr>
      </w:pPr>
    </w:p>
    <w:p>
      <w:pPr>
        <w:ind w:left="313" w:hanging="313"/>
        <w:spacing w:after="0"/>
        <w:tabs>
          <w:tab w:leader="none" w:pos="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our current or any future product candidates;</w:t>
      </w:r>
    </w:p>
    <w:p>
      <w:pPr>
        <w:spacing w:after="0" w:line="157" w:lineRule="exact"/>
        <w:rPr>
          <w:rFonts w:ascii="Arial" w:cs="Arial" w:eastAsia="Arial" w:hAnsi="Arial"/>
          <w:sz w:val="18"/>
          <w:szCs w:val="18"/>
          <w:color w:val="auto"/>
        </w:rPr>
      </w:pPr>
    </w:p>
    <w:p>
      <w:pPr>
        <w:ind w:left="313" w:hanging="313"/>
        <w:spacing w:after="0"/>
        <w:tabs>
          <w:tab w:leader="none" w:pos="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identify and decide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13"/>
          </w:cols>
          <w:pgMar w:left="247" w:top="1440" w:right="339" w:bottom="1440" w:gutter="0" w:footer="0" w:header="0"/>
        </w:sectPr>
      </w:pPr>
    </w:p>
    <w:bookmarkStart w:id="19" w:name="page20"/>
    <w:bookmarkEnd w:id="19"/>
    <w:p>
      <w:pPr>
        <w:spacing w:after="0" w:line="130" w:lineRule="exact"/>
        <w:rPr>
          <w:sz w:val="20"/>
          <w:szCs w:val="20"/>
          <w:color w:val="auto"/>
        </w:rPr>
      </w:pPr>
    </w:p>
    <w:p>
      <w:pPr>
        <w:ind w:left="333" w:right="60" w:hanging="333"/>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any future product candidates;</w:t>
      </w:r>
    </w:p>
    <w:p>
      <w:pPr>
        <w:spacing w:after="0" w:line="89" w:lineRule="exact"/>
        <w:rPr>
          <w:rFonts w:ascii="Arial" w:cs="Arial" w:eastAsia="Arial" w:hAnsi="Arial"/>
          <w:sz w:val="18"/>
          <w:szCs w:val="18"/>
          <w:color w:val="auto"/>
        </w:rPr>
      </w:pPr>
    </w:p>
    <w:p>
      <w:pPr>
        <w:ind w:left="333" w:right="160" w:hanging="333"/>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filing patent applications, maintaining and enforcing patents or defending against infringement, misappropriation or other claims raised by third parties;</w:t>
      </w:r>
    </w:p>
    <w:p>
      <w:pPr>
        <w:spacing w:after="0" w:line="102" w:lineRule="exact"/>
        <w:rPr>
          <w:rFonts w:ascii="Arial" w:cs="Arial" w:eastAsia="Arial" w:hAnsi="Arial"/>
          <w:sz w:val="18"/>
          <w:szCs w:val="18"/>
          <w:color w:val="auto"/>
        </w:rPr>
      </w:pPr>
    </w:p>
    <w:p>
      <w:pPr>
        <w:ind w:left="313" w:hanging="313"/>
        <w:spacing w:after="0"/>
        <w:tabs>
          <w:tab w:leader="none" w:pos="3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maintenance of our existing license and collaboration agreements and the entry into new license and collaboration agreements;</w:t>
      </w:r>
    </w:p>
    <w:p>
      <w:pPr>
        <w:spacing w:after="0" w:line="157" w:lineRule="exact"/>
        <w:rPr>
          <w:rFonts w:ascii="Arial" w:cs="Arial" w:eastAsia="Arial" w:hAnsi="Arial"/>
          <w:sz w:val="18"/>
          <w:szCs w:val="18"/>
          <w:color w:val="auto"/>
        </w:rPr>
      </w:pPr>
    </w:p>
    <w:p>
      <w:pPr>
        <w:ind w:left="333" w:right="560" w:hanging="333"/>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89" w:lineRule="exact"/>
        <w:rPr>
          <w:rFonts w:ascii="Arial" w:cs="Arial" w:eastAsia="Arial" w:hAnsi="Arial"/>
          <w:sz w:val="18"/>
          <w:szCs w:val="18"/>
          <w:color w:val="auto"/>
        </w:rPr>
      </w:pPr>
    </w:p>
    <w:p>
      <w:pPr>
        <w:ind w:left="333" w:right="540" w:hanging="333"/>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potential commercialization of our current or any future product candidates, if approved, and costs involved in the creation of an effective sales and marketing organization; and</w:t>
      </w:r>
    </w:p>
    <w:p>
      <w:pPr>
        <w:spacing w:after="0" w:line="102" w:lineRule="exact"/>
        <w:rPr>
          <w:rFonts w:ascii="Arial" w:cs="Arial" w:eastAsia="Arial" w:hAnsi="Arial"/>
          <w:sz w:val="18"/>
          <w:szCs w:val="18"/>
          <w:color w:val="auto"/>
        </w:rPr>
      </w:pPr>
    </w:p>
    <w:p>
      <w:pPr>
        <w:ind w:left="333" w:right="720" w:hanging="333"/>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our product candidates, if approved.</w:t>
      </w:r>
    </w:p>
    <w:p>
      <w:pPr>
        <w:spacing w:after="0" w:line="103" w:lineRule="exact"/>
        <w:rPr>
          <w:sz w:val="20"/>
          <w:szCs w:val="20"/>
          <w:color w:val="auto"/>
        </w:rPr>
      </w:pPr>
    </w:p>
    <w:p>
      <w:pPr>
        <w:ind w:left="73" w:right="80"/>
        <w:spacing w:after="0" w:line="272" w:lineRule="auto"/>
        <w:rPr>
          <w:sz w:val="20"/>
          <w:szCs w:val="20"/>
          <w:color w:val="auto"/>
        </w:rPr>
      </w:pPr>
      <w:r>
        <w:rPr>
          <w:rFonts w:ascii="Arial" w:cs="Arial" w:eastAsia="Arial" w:hAnsi="Arial"/>
          <w:sz w:val="17"/>
          <w:szCs w:val="17"/>
          <w:color w:val="auto"/>
        </w:rPr>
        <w:t>Our ability to raise additional funds will depend on financial, economic and market conditions and other factors, over which we may have no or limited control. Further, as a Swiss corporation, we have less flexibility to raise capital than U.S. companies, particularly in a quick and efficient manner. As a result, we may not be able to access the capital markets as frequently as comparable U.S. companies. See the Risk Factor entitled “Our status as a Swiss corporation means that our shareholders enjoy certain rights that may limit our flexibility to raise capital, issue dividends and otherwise manage ongoing capital needs” for additional information related to our ability to timely raise capital. If adequate funds are not available on commercially acceptable terms or at all when needed, we may be forced to delay, reduce or terminate the development or commercialization of all or part of our research programs or product candidates or we may be unable to take advantage of future business opportunities.</w:t>
      </w:r>
    </w:p>
    <w:p>
      <w:pPr>
        <w:spacing w:after="0" w:line="96" w:lineRule="exact"/>
        <w:rPr>
          <w:sz w:val="20"/>
          <w:szCs w:val="20"/>
          <w:color w:val="auto"/>
        </w:rPr>
      </w:pPr>
    </w:p>
    <w:p>
      <w:pPr>
        <w:ind w:left="73"/>
        <w:spacing w:after="0" w:line="263" w:lineRule="auto"/>
        <w:rPr>
          <w:sz w:val="20"/>
          <w:szCs w:val="20"/>
          <w:color w:val="auto"/>
        </w:rPr>
      </w:pPr>
      <w:r>
        <w:rPr>
          <w:rFonts w:ascii="Arial" w:cs="Arial" w:eastAsia="Arial" w:hAnsi="Arial"/>
          <w:sz w:val="18"/>
          <w:szCs w:val="18"/>
          <w:b w:val="1"/>
          <w:bCs w:val="1"/>
          <w:i w:val="1"/>
          <w:iCs w:val="1"/>
          <w:color w:val="auto"/>
        </w:rPr>
        <w:t>The effects of health epidemics, including the ongoing COVID-19 coronavirus pandemic, in regions where we, or the third parties on which we rely, have business operations could adversely impact our business, including our preclinical studies and clinical trials, as well as the business or operations of third parties with whom we conduct business.</w:t>
      </w:r>
    </w:p>
    <w:p>
      <w:pPr>
        <w:spacing w:after="0" w:line="116" w:lineRule="exact"/>
        <w:rPr>
          <w:sz w:val="20"/>
          <w:szCs w:val="20"/>
          <w:color w:val="auto"/>
        </w:rPr>
      </w:pPr>
    </w:p>
    <w:p>
      <w:pPr>
        <w:ind w:left="73" w:right="40"/>
        <w:spacing w:after="0" w:line="271" w:lineRule="auto"/>
        <w:rPr>
          <w:sz w:val="20"/>
          <w:szCs w:val="20"/>
          <w:color w:val="auto"/>
        </w:rPr>
      </w:pPr>
      <w:r>
        <w:rPr>
          <w:rFonts w:ascii="Arial" w:cs="Arial" w:eastAsia="Arial" w:hAnsi="Arial"/>
          <w:sz w:val="17"/>
          <w:szCs w:val="17"/>
          <w:color w:val="auto"/>
        </w:rPr>
        <w:t>In December 2019, a novel strain of coronavirus disease that causes COVID-19 was identified in Wuhan, China. The SARS-CoV-2 coronavirus has spread to a number of countries globally, and the disease outbreak was declared a pandemic by the World Health Organization in March 2020. More recently, other, potentially more infectious, variants of the SARS-CoV-2 coronavirus have been identified. The outbreak and government measures and regulations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requested most of our employees that are not required to work in the laboratory to work remotely. As the result of the pandemic, we may experience disruptions that could impact our business, preclinical studies and clinical trials, including:</w:t>
      </w:r>
    </w:p>
    <w:p>
      <w:pPr>
        <w:spacing w:after="0" w:line="111" w:lineRule="exact"/>
        <w:rPr>
          <w:sz w:val="20"/>
          <w:szCs w:val="20"/>
          <w:color w:val="auto"/>
        </w:rPr>
      </w:pPr>
    </w:p>
    <w:p>
      <w:pPr>
        <w:ind w:left="393" w:hanging="312"/>
        <w:spacing w:after="0"/>
        <w:tabs>
          <w:tab w:leader="none" w:pos="3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commencing enrollment of patients or healthy volunteers in our clinical trials;</w:t>
      </w:r>
    </w:p>
    <w:p>
      <w:pPr>
        <w:spacing w:after="0" w:line="144" w:lineRule="exact"/>
        <w:rPr>
          <w:rFonts w:ascii="Arial" w:cs="Arial" w:eastAsia="Arial" w:hAnsi="Arial"/>
          <w:sz w:val="18"/>
          <w:szCs w:val="18"/>
          <w:color w:val="auto"/>
        </w:rPr>
      </w:pPr>
    </w:p>
    <w:p>
      <w:pPr>
        <w:ind w:left="413" w:right="520" w:hanging="332"/>
        <w:spacing w:after="0" w:line="277" w:lineRule="auto"/>
        <w:tabs>
          <w:tab w:leader="none" w:pos="4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securing clinical trial site locations, and delays or difficulties in clinical site initiation, including difficulties in recruiting clinical site investigators and clinical site staff;</w:t>
      </w:r>
    </w:p>
    <w:p>
      <w:pPr>
        <w:spacing w:after="0" w:line="102" w:lineRule="exact"/>
        <w:rPr>
          <w:rFonts w:ascii="Arial" w:cs="Arial" w:eastAsia="Arial" w:hAnsi="Arial"/>
          <w:sz w:val="18"/>
          <w:szCs w:val="18"/>
          <w:color w:val="auto"/>
        </w:rPr>
      </w:pPr>
    </w:p>
    <w:p>
      <w:pPr>
        <w:ind w:left="393" w:hanging="312"/>
        <w:spacing w:after="0"/>
        <w:tabs>
          <w:tab w:leader="none" w:pos="3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of submissions to, and approvals of, regulatory authorities;</w:t>
      </w:r>
    </w:p>
    <w:p>
      <w:pPr>
        <w:spacing w:after="0" w:line="157" w:lineRule="exact"/>
        <w:rPr>
          <w:rFonts w:ascii="Arial" w:cs="Arial" w:eastAsia="Arial" w:hAnsi="Arial"/>
          <w:sz w:val="18"/>
          <w:szCs w:val="18"/>
          <w:color w:val="auto"/>
        </w:rPr>
      </w:pPr>
    </w:p>
    <w:p>
      <w:pPr>
        <w:ind w:left="413" w:right="360" w:hanging="332"/>
        <w:spacing w:after="0" w:line="277" w:lineRule="auto"/>
        <w:tabs>
          <w:tab w:leader="none" w:pos="4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73"/>
          </w:cols>
          <w:pgMar w:left="247" w:top="1440" w:right="379" w:bottom="1440" w:gutter="0" w:footer="0" w:header="0"/>
        </w:sectPr>
      </w:pPr>
    </w:p>
    <w:bookmarkStart w:id="20" w:name="page21"/>
    <w:bookmarkEnd w:id="20"/>
    <w:p>
      <w:pPr>
        <w:spacing w:after="0" w:line="130" w:lineRule="exact"/>
        <w:rPr>
          <w:sz w:val="20"/>
          <w:szCs w:val="20"/>
          <w:color w:val="auto"/>
        </w:rPr>
      </w:pPr>
    </w:p>
    <w:p>
      <w:pPr>
        <w:ind w:left="340" w:right="4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102"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or delays in the operations of regulatory authorities, which may impact review and approval timelines, including delays in receiving approval from local regulatory authorities to initiate our planned clinical trials;</w:t>
      </w:r>
    </w:p>
    <w:p>
      <w:pPr>
        <w:spacing w:after="0" w:line="102" w:lineRule="exact"/>
        <w:rPr>
          <w:rFonts w:ascii="Arial" w:cs="Arial" w:eastAsia="Arial" w:hAnsi="Arial"/>
          <w:sz w:val="18"/>
          <w:szCs w:val="18"/>
          <w:color w:val="auto"/>
        </w:rPr>
      </w:pPr>
    </w:p>
    <w:p>
      <w:pPr>
        <w:ind w:left="340" w:right="400" w:hanging="332"/>
        <w:spacing w:after="0" w:line="27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102" w:lineRule="exact"/>
        <w:rPr>
          <w:rFonts w:ascii="Arial" w:cs="Arial" w:eastAsia="Arial" w:hAnsi="Arial"/>
          <w:sz w:val="18"/>
          <w:szCs w:val="18"/>
          <w:color w:val="auto"/>
        </w:rPr>
      </w:pPr>
    </w:p>
    <w:p>
      <w:pPr>
        <w:ind w:left="340" w:right="26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facilities; 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5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example, our Phase 1 trial of ensovibep, our lead COVID-19 antiviral product candidate, has been delayed due to an inability to dose healthy volunteers due to government restrictions in the UK, starting at the end of 2020, in response to the pandemic.</w:t>
      </w:r>
    </w:p>
    <w:p>
      <w:pPr>
        <w:spacing w:after="0" w:line="10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COVID-19 pandemic continues to rapidly evolve. The extent to which the outbreak ultimately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Switzerland, the United States and other countries, business closures or business disruptions and the effectiveness of actions taken in countries around the world to contain and treat the disease.</w:t>
      </w:r>
    </w:p>
    <w:p>
      <w:pPr>
        <w:spacing w:after="0" w:line="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holders of our common shares or purchasers of ADSs in this offering, restrict our operations or require us to relinquish rights to our technologies or product candidates.</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operations with our existing cash, cash equivalents and current financial assets, the net proceeds from this offering, revenue from our collaborations and interest income from the investment of our cash, cash equivalents and financial assets. In order to further advance development of our product candidates, discover additional product candidates and pursue our other business objectives, however, we will need to seek additional funds.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cannot guarantee that future financing will be available in sufficient amounts or on commercially reasonable terms, if at all. Moreover, the terms of any financing may adversely affect the holdings or the rights of holders of our common shares or the ADSs and the issuance of additional securities, whether equity or debt, by us, or the possibility of such issuance, may cause the market price of the ADSs and our common shares to decline. The sale of additional equity or convertible securities would dilute all of our existing shareholders and the terms of these securities may include liquidation or other preferences that adversely affect your rights as a holder of ADSs.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Further, any additional fundraising efforts may divert our management from its day-to-day activities, which may adversely affect our ability to develop and commercialize our product candidates.</w:t>
      </w:r>
    </w:p>
    <w:p>
      <w:pPr>
        <w:spacing w:after="0" w:line="10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of our product candidates,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be unable to expand our operations or otherwise capitalize on our business opportunities, as desired, which could materially affect our business,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Development and Clinical Testing of Our Product Candidates</w:t>
      </w:r>
    </w:p>
    <w:p>
      <w:pPr>
        <w:spacing w:after="0" w:line="1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DARPin platform to identify and develop product candidates. If we or our collaborators are unable to successfully develop and commercialize product candidates based on our platforms or experience significant delays in doing so, our business may be harmed.</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heavily dependent on the success our DARPin platform technology and the product candidates currently in our core programs. Our commercial prospects will be heavily dependent on product candidates identified and developed using our DARPin platform. To date, we have invested substantially all of our efforts and financial resources to identify, acquire intellectual property for, and develop our DARPin platform technology and our programs, including conducting preclinical studies and early-stage clinical trials, and providing general and administrative support for these operations.</w:t>
      </w:r>
    </w:p>
    <w:p>
      <w:pPr>
        <w:spacing w:after="0" w:line="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may not be successful in our efforts to further develop our DARPin platform technology and current product candidates. We are not permitted to market or promote any of our product candidates before we receive regulatory approval from the FDA, EMA or comparable foreign regulatory authorities, and we may never receive such regulatory approval for any of our product candidates. Each of our product candidates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spacing w:after="0" w:line="1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All of our product candidates are in preclinical or various stages of clinical development. Clinical drug development is a lengthy and expensive process with uncertain timelines and uncertain outcomes. If clinical trials of our product candidates, particularly ensovibep and MP0310 and product candidates that we have licensed to our partners, including abicipar, are prolonged, delayed or not commercially viable, we or our collaborators may be unable to obtain required regulatory approvals, and therefore may be unable to commercialize our product candidates on a timely basis or at all, which will adversely affect our business.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obtain the requisite regulatory approvals to market and sell any of our product candidates, we or our collaborators for such candidates must demonstrate through extensive preclinical studies and clinical trials that our products are safe, pure and potent or effective in humans. Further,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Prior to obtaining approval to commercialize a product candidate in the United States or abroad, we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Additionally, clinical testing is expensive and can take many years to complete, and its outcome is inherently uncertain. Failure can occur at any time during the clinical trial process and our future clinical trial results may not be successful.</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For example, our Phase 1 trial of ensovibep, our lead COVID-19 antiviral product candidate, has been delayed due to an inability to dose healthy volunteers due to government restrictions in the UK, starting at the end of 2020, in response to the pandemic.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suspended, or terminated for a variety of reasons, including the following:</w:t>
      </w:r>
    </w:p>
    <w:p>
      <w:pPr>
        <w:spacing w:after="0" w:line="15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obtain regulatory approval to commence a trial;</w:t>
      </w:r>
    </w:p>
    <w:p>
      <w:pPr>
        <w:spacing w:after="0" w:line="144"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or IRB, or ethics committee approval at each site;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third-party actions claiming infringement by our product candidates in clinical trials and obtaining injunctions interfering with our progress;</w:t>
      </w:r>
    </w:p>
    <w:p>
      <w:pPr>
        <w:spacing w:after="0" w:line="144"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or tolerability concerns could cause us or our collaborators, as applicable, to suspend or terminate a trial if we or our collaborators find that the participants are being exposed to unacceptable health risks;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44"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meet their contractual obligations to us in a timely manner, or at all;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in clinical trials;</w:t>
      </w:r>
    </w:p>
    <w:p>
      <w:pPr>
        <w:spacing w:after="0" w:line="157"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difficulty in certain countries in identifying the sub-populations that we are trying to treat in a particular trial, which may delay enrollment and reduce the power of a clinical trial to detect statistically significant results; and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 and</w:t>
      </w:r>
    </w:p>
    <w:p>
      <w:pPr>
        <w:spacing w:after="0" w:line="157" w:lineRule="exact"/>
        <w:rPr>
          <w:rFonts w:ascii="Arial" w:cs="Arial" w:eastAsia="Arial" w:hAnsi="Arial"/>
          <w:sz w:val="18"/>
          <w:szCs w:val="18"/>
          <w:color w:val="auto"/>
        </w:rPr>
      </w:pPr>
    </w:p>
    <w:p>
      <w:pPr>
        <w:ind w:left="340" w:right="220" w:hanging="332"/>
        <w:spacing w:after="0" w:line="26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potential clinical trials, cause delays in clinical trials, or delays or difficulties in shipping and delivering in a timely manner supplies, samples or products required for our operations.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or ethics committees, by the Data Review Committee, or DRC, or Data Safety Monitoring Board, or DSMB, for such trial or by the EMA,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EMA, the FDA or other regulatory authorities resulting in the imposition of a clinical hold, unforeseen safety issues or adverse side effects, including those relating to the class to which our product candidates belong, failure to demonstrate a benefit from using a drug, changes in governmental regulations or administrative actions or lack of adequate funding to continue the clinical trial. For example, changes in local regulations as part of a response to the COVID-19 pandemic may require us to change the ways in which our clinical trials are conducted, which may result in unexpected costs, or cause us to discontinue the clinical trials altogether. If we experience delays in the completion of, or termination of, any clinical trial of our product candidates, the commercial prospects of our product candidates will be harmed.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lead to the denial of regulatory approval of our product candidates or result in the development of our product candidates being stopped early.</w:t>
      </w:r>
    </w:p>
    <w:p>
      <w:pPr>
        <w:spacing w:after="0" w:line="15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must be conducted in accordance with the FDA, the EMA and other applicable regulatory authorities' legal requirements and regulations, and are subject to oversight by these governmental agencies and IRBs at the medical institutions where the clinical trials are conducted or ethics committees. In addition, clinical trials must be conducted with supplies of our product candidates produced under current good manufacturing practices, or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or investigators fail to enroll participants for our clinical trials, fail to conduct the study to GCP standards or are delayed for a significant time in the execution of trials, including achieving full enrollment, we may be affected by increased costs, program delays or both, which may harm our business.</w:t>
      </w:r>
    </w:p>
    <w:p>
      <w:pPr>
        <w:spacing w:after="0" w:line="1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 conducting clinical trials in multiple countries, such as the Phase 2/3 global registration study for ensovibep, our lead COVID-19 antiviral product candidate, which we expect to commence in ,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adhering to good clinical practices, regulations and other foreign regulatory schemes, as well as political and economic risks relevant to such foreign countries.</w:t>
      </w:r>
    </w:p>
    <w:p>
      <w:pPr>
        <w:spacing w:after="0" w:line="12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addition, future clinical trials that could be conducted in countries outside Switzerland, the European Union and the United States may subject us to further delays and expenses as a result of increased shipment costs, additional regulatory requirements and the engagement of non-European Union and non-U.S. CROs, as well as expose us to risks associated with clinical investigators who are unknown to the FDA or the EMA, and different standards of diagnosis, screening and medical care.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platform to build a pipeline of product candidates with commercial value.</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key element of our strategy is to use and expand our platform to build a pipeline of product candidates and progress these product candidates through clinical development. So far none of the products candidates originating from our platform has received marketing approval from the FDA or other regulatory authorities. The scientific discoveries that form the basis for our efforts to discover and develop targeted oncology therapeutic candidates for cancer patients are relatively new. The scientific evidence to support the feasibility of developing product candidates based on these discoveries is both preliminary and limited. There can be no assurance that any development problems we may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characteristics that indicate that they are unlikely to be products that will receive marketing approval from the FDA or other regulatory authorities or achieve market acceptance.</w:t>
      </w:r>
    </w:p>
    <w:p>
      <w:pPr>
        <w:spacing w:after="0" w:line="11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Our COVID-19 antiviral product candidates may face significant competition from vaccines and other treatments for COVID-19 that are in development.</w:t>
      </w:r>
    </w:p>
    <w:p>
      <w:pPr>
        <w:spacing w:after="0" w:line="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Many biotechnology and pharmaceutical companies are developing treatments for COVID-19 or vaccines against severe acute respiratory syndrome coronavirus 2, or SARS-CoV-2, the virus that causes COVID-19, and any treatment we may develop could face significant competition. Many of these companies, which include large pharmaceutical companies, have greater resources for development, manufacturing and established commercialization capabilities. These companies may develop treatments more rapidly or effectively than we do, may develop a treatment that becomes the standard of care, may develop a treatment at a lower cost, superior formulation or more convenient way of administration, or may be more successful at commercializing an approved treatment, all of which could adversely impact our business. As a result, we or our partner Novartis may not be 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 successfully commercialize our COVID-19 antiviral product candidates for the treatment of COVID-19, even if approved, or compete with other treatments or vaccines, which could adversely impact our business and operations.</w:t>
      </w:r>
    </w:p>
    <w:p>
      <w:pPr>
        <w:spacing w:after="0" w:line="8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Preclinical drug development is uncertain. Some or all of our preclinical programs may experience delays or may never advance to clinical trials, which would adversely affect our ability to obtain regulatory approvals or commercialize these product candidates on a timely basis or at all, which would have an adverse effect on our business.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order to obtain FDA or EMA approval to market a new pharmaceutical or biological product we must demonstrate proof of safety, purity and potency or efficacy in humans. To meet these requirements we will have to conduct adequate and well-controlled clinical trials. Before we can commence clinical trials for a product candidate, we must complete extensive preclinical testing and studies that support our planned Investigational New Drug application, or IND, in the United States, or a Clinical Trial Authorization Application, or CTA, in Europe. We cannot be certain of the timely completion or outcome of our preclinical testing and studies and cannot predict if the FDA or EMA will accept our proposed clinical programs or if the outcome of our preclinical testing and studies will ultimately support the further development of these product candidates. Thus, we cannot be sure that we will be able to submit INDs or CTAs for our preclinical programs on the timelines we expect, if at all, and we cannot be sure that submission of INDs or CTAs will result in the FDA or EMA allowing clinical trials to begin.</w:t>
      </w:r>
    </w:p>
    <w:p>
      <w:pPr>
        <w:spacing w:after="0" w:line="12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Conducting preclinical testing is a lengthy, time-consuming and expensive process. The length of time may vary substantially according to the type, complexity, novelty and intended use of the product candidate, and often can be several years or more per product candidate. Delays associated with product candidates for which we are directly conducting preclinical testing and studies may cause us to incur additional operating expenses. We may encounter similar or different safety issues in this trial or our other clinical trials in the future. Moreover, we may continue to be affected by delays associated with the preclinical testing and studies of certain product candidates conducted by our potential partners over which we have no control. The commencement and rate of completion of preclinical studies and studies for a product candidate may be delayed by many factors, including, for example:</w:t>
      </w:r>
    </w:p>
    <w:p>
      <w:pPr>
        <w:spacing w:after="0" w:line="8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generate sufficient preclinical or other in vivo or in vitro data to support the initiation of clinical studies;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157"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EMA not allowing us to rely on previous findings of safety and efficacy for other similar but approved products and published scientific literature.</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purity and potency or efficacy to obtain the requisite regulatory approvals for any of our product candidates or product candidates employing our technology.</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Positive results from early preclinical studies of our product candidates would not necessarily be predictive of the results of later preclinical studies and any ongoing or future clinical trials of our product candidates. If we were to achieve positive results from preclinical studies, but were unable to then replicate those positive results in our later preclinical studies and ongoing future clinical trials, we might be unable to successfully develop, obtain regulatory or marketing approval for and commercialize our product candidates.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Any positive results from our preclinical studies of our product candidates may not necessarily be predictive of the results from required later preclinical studies and clinical trials.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 For example, while we have observed biological activity in patient samples following administration of an initial dose in our ongoing MP0310 Phase I clinical trial, there can be no assurance that such biological activity will be similarly observed and maintained following administration of additional doses or any drop in biological activity could be overcome with additional development regarding more frequent dosing regimens, in each case with respect to our ongoing MP0310 Phase 1 trial or in future clinical trials with respect to our MP0310 program or in any of our other current or future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1440" w:right="379" w:bottom="1440" w:gutter="0" w:footer="0" w:header="0"/>
        </w:sectPr>
      </w:pPr>
    </w:p>
    <w:bookmarkStart w:id="25" w:name="page26"/>
    <w:bookmarkEnd w:id="25"/>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candidates, including MP0317, the second candidate in our oncology program. In addition, positive results in later stage clinical trials of one of our product candidates in an indication may not be predictive of the safety or efficacy of our other product candidates in other indications, even if they employ a similar mechanism of action.</w:t>
      </w:r>
    </w:p>
    <w:p>
      <w:pPr>
        <w:spacing w:after="0" w:line="103"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clinical trials after achieving positive results in early-stage development and we cannot be certain that we will not face similar setbacks. For example, immuno-oncology therapeutics can result in the creation of anti-drug antibodies that can neutralize the effects of the product, or require that higher doses be used to obtain a therapeutic effect.</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Whether anti-drug antibodies will be created and how they react can often not be predicted from nonclinical or even clinical studies, and their detection or appearance can be delayed.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Some of our product candidates utilize a novel mechanism of action which may result in greater research and development expenses, regulatory issues that could delay or prevent approval, or discovery of unknown or unanticipated adverse effects.</w:t>
      </w:r>
    </w:p>
    <w:p>
      <w:pPr>
        <w:spacing w:after="0" w:line="10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Some of our product candidates, such as AMG 506 (MP0310) and MP0317, the lead product candidates from our oncology program, utilize novel mechanisms of action which may result in greater research and development expenses, regulatory issues that could delay or prevent approval, or discovery of unknown or unanticipated adverse effects.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mechanisms of action also means that fewer people are trained in or experienced with product candidates of such type, which may make it more difficult to find, hire and retain personnel for research, development and manufacturing positions. Any such events could adversely impact our business prospects,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successfully validate, develop and obtain regulatory approval for companion diagnostics could harm our product development strategy.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one of the key elements of our clinical development strategy, we seek to identify patient subsets within a disease category who may derive selective and meaningful benefit from the product candidates we are developing. In collaboration with partners, we may develop companion diagnostics to help us to more accurately identify patients within a particular subset, both during our clinical trials and in connection with the commercialization of our product candidates.</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as medical devices and require separate regulatory approval prior to commercialization. The FDA generally expects contemporaneous regulatory approvals of the companion diagnostic and the therapeutic product. We do not develop companion diagnostics internally and thus we are dependent on the sustained cooperation and effort of third-party collaborators in developing and obtaining regulatory approval for these companion diagnostics. We and our collaborators may encounter difficulties in developing and obtaining approval for the companion diagnostics, including issues relating to selectivity/specificity, analytical validation, reproducibility or clinical validation. Any delay or failure by our collaborators to develop or obtain regulatory approval of the companion diagnostics could delay or prevent approval of our product candidates.</w:t>
      </w:r>
    </w:p>
    <w:p>
      <w:pPr>
        <w:spacing w:after="0" w:line="1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our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products. In addition, the diagnostic company with whom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3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contract may decide to discontinue selling or manufacturing the companion diagnostic that we anticipate using in connection with development and commercialization of our product candidates or our relationship with such diagnostic company may otherwise terminate.</w:t>
      </w:r>
    </w:p>
    <w:p>
      <w:pPr>
        <w:spacing w:after="0" w:line="6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16" w:lineRule="exact"/>
        <w:rPr>
          <w:sz w:val="20"/>
          <w:szCs w:val="20"/>
          <w:color w:val="auto"/>
        </w:rPr>
      </w:pPr>
    </w:p>
    <w:p>
      <w:pPr>
        <w:jc w:val="both"/>
        <w:ind w:right="4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 stage trials.</w:t>
      </w:r>
    </w:p>
    <w:p>
      <w:pPr>
        <w:spacing w:after="0" w:line="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harm our business and operating results.</w:t>
      </w:r>
    </w:p>
    <w:p>
      <w:pPr>
        <w:spacing w:after="0" w:line="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and interim data should be viewed with caution until the final data are available. Adverse changes in the final data compared to the interim data could significantly harm our business prospects.</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the number of patients in certain of our clinical trials is small, the results from such trials may be less reliable than results achieved in larger clinical trials.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study design that is considered appropriate includes a sufficiently large sample size with appropriate statistical power to allow a meaningful interpretation of the results. The preliminary results of studies with smaller sample sizes can be disproportionately influenced by the impact the treatment had on a few individuals, which limits the ability to generalize the results across a broader community, thus making the study results less reliable than studies with a larger number of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If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1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the EMA or other comparable foreign authorities. While our preclinical and clinical studies for our product candidates to date have generally been well tolerated from a risk-benefit perspective, the results from ongoing and future trials may not support this conclusion.</w:t>
      </w:r>
    </w:p>
    <w:p>
      <w:pPr>
        <w:spacing w:after="0" w:line="1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results of future clinical studies may show that our product candidates cause undesirable or unacceptable side effects or even death. In such an event, our trials could be suspended or terminated and the FDA, the EMA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prospects significantly. Further, because all of our product candidates and preclinical programs are based on our DARPin technology, any adverse safety or efficacy findings related to any product candidate or preclinical program may adversely impact the viability of our other product candidates or preclinical programs.</w:t>
      </w:r>
    </w:p>
    <w:p>
      <w:pPr>
        <w:spacing w:after="0" w:line="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such products, a number of potentially significant negative consequences could result, including:</w:t>
      </w:r>
    </w:p>
    <w:p>
      <w:pPr>
        <w:spacing w:after="0" w:line="89"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our approved product off the market;</w:t>
      </w:r>
    </w:p>
    <w:p>
      <w:pPr>
        <w:spacing w:after="0" w:line="157" w:lineRule="exact"/>
        <w:rPr>
          <w:rFonts w:ascii="Arial" w:cs="Arial" w:eastAsia="Arial" w:hAnsi="Arial"/>
          <w:sz w:val="18"/>
          <w:szCs w:val="18"/>
          <w:color w:val="auto"/>
        </w:rPr>
      </w:pPr>
    </w:p>
    <w:p>
      <w:pPr>
        <w:ind w:left="340" w:right="88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02"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and mitigation strategy, or REMS, plan to ensure that the benefits of the product outweigh its risks;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has negative side effects, public perception of our DARPin platform and commercial opportunities for all of our current and future product candidates could be adversely affected.</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Adverse side effects that may be caused by any of our product candidates could negatively impact the public perception of and commercial opportunities for all of our product candidates. The clinical and commercial success of our product candidates will depend in part on the absence of negative side effects caused by our product candidates. Even if an adverse side effect that results from one of our product candidates is unlikely to occur in our other product candidates, all of our product candidates could be adversely affected because the negative side effect may be perceived to be a likely side effect of all of our product candidates. In the clinical trials performed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AbbVie for abicipar in wet AMD, for example, ocular inflammation has been reported as an undesirable side effect. In June 2020, the FDA sent a CRL to AbbVie stating that ocular inflammation results in an unfavorable benefit-risk ratio in the treatment of nAMD. However unlikely it is that ocular inflammation will be a side effect of our other product candidates in indications outside of ophthalmology, the public may perceive our DARPin technology or our product candidates to pose a heightened risk of inflammation, thus negatively affecting the commercial opportunities of our current and future product candidates. Additionally, in our ongoing Phase 1 clinical trial of MP0310 in FAP positive cancer patients, we observed protocol defined infusion-related reactions, or IRRs, in 12 of 23 patients. These adverse events may negatively affect the perception of the DARPin technology platform, the commercial opportunity for our product candidates or cause us to suspend clinical trials.</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0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market for pharmaceutical products is highly competitive. Our competitors include many established pharmaceutical companies, biotechnology companies, universities and other research or commercial institutions, many of which have substantially greater financial, research and development resources than us. Large pharmaceutical companies, in particular, have extensive experience in clinical testing, obtaining regulatory approvals, recruiting patients and manufacturing pharmaceutical products.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the development of our products. The fields in which we operate are characterized by rapid technological change and innovation. There can be no assurance that our competitors are not currently developing, or will not in the future develop, technologies and products that are equally or more effective or are more economically attractive as any of our current or future technology or product. Competing products or technology platforms may gain faster or greater market acceptance than our products or technology platform and medical advances or rapid technological development by competitors may result in our product candidates or technology platforms becoming non-competitive or obsolete before we are able to recover our research and development and commercialization expenses. Additionally, certain of our product candidates may be administered in combination with approved pharmaceutical products. Our ability to develop and ultimately commercialize our product candidates used in combination with other therapies will depend on our ability to access these drugs on commercially reasonable terms for the clinical trials and their availability for use with the commercialized product, if approved. We cannot be certain that current or potential future commercial relationships will provide us with a sufficient supply of these drugs on commercially reasonable terms or at all. If we, our product candidates or our technology platforms do not compete effectively, it may have an adverse effect on our business and results of operation.</w:t>
      </w:r>
    </w:p>
    <w:p>
      <w:pPr>
        <w:spacing w:after="0" w:line="1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our research and development efforts and business could be adversely affected.</w:t>
      </w:r>
    </w:p>
    <w:p>
      <w:pPr>
        <w:spacing w:after="0" w:line="8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Identifying and qualifying patients to participate in our clinical trials is critical to our success.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Since some of our product candidates could be focused on addressing sub-groups of cancer patients, there are limited patient pools from which to draw in order to complete our clinical trials in a timely and cost-effective manner. Furthermore, if the actual number of patients with these pathologies is smaller than we anticipate, we may encounter difficulties in enrolling patients in our clinical trials, thereby delaying or preventing development and approval of our drug candidates. Even once enrolled we may be unable to retain a sufficient number of patients to complete any of our trials.</w:t>
      </w:r>
    </w:p>
    <w:p>
      <w:pPr>
        <w:spacing w:after="0" w:line="1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Furthermore, our efforts to build relationships with patient communities may not succeed, which could result in delays in patient enrollment in our clinical trials. In addition, any negative results we may report in clinical trials of one of our product candidates may make it difficult or impossible to recruit and retain patients in other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of that same product candidate.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Changes in government regulations in response to the COVID-19 outbreak may require us to change the ways in which our clinical trials are conducted, which could result in delays. For example, our Phase 1 trial of ensovibep has been delayed due to an inability to dose healthy volunteers due to government restrictions in the UK, starting at the end of 2020, in response to the pandemic.</w:t>
      </w:r>
    </w:p>
    <w:p>
      <w:pPr>
        <w:spacing w:after="0" w:line="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Additionally, our ability to successfully initiate, enroll and complete clinical trials in foreign countries is subject to numerous risks unique to conducting business in foreign countries, including:</w:t>
      </w:r>
    </w:p>
    <w:p>
      <w:pPr>
        <w:spacing w:after="0" w:line="103"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identifying and partnering with qualified local consultants, physicians and partners; and</w:t>
      </w:r>
    </w:p>
    <w:p>
      <w:pPr>
        <w:spacing w:after="0" w:line="144" w:lineRule="exact"/>
        <w:rPr>
          <w:rFonts w:ascii="Arial" w:cs="Arial" w:eastAsia="Arial" w:hAnsi="Arial"/>
          <w:sz w:val="18"/>
          <w:szCs w:val="18"/>
          <w:color w:val="auto"/>
        </w:rPr>
      </w:pPr>
    </w:p>
    <w:p>
      <w:pPr>
        <w:ind w:left="340" w:right="82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research and products.</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0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and our corporate collaborators in clinical trials, and the potential sale of any approved products in the future, may expose us to liability claims. These claims might be made by patients who use the product, healthcare providers, pharmaceutical companies, our corporate collaborators or others selling such products. Any claims against us, regardless of their merit, could be difficult and costly to defend and could adversely affect the market for our product candidates or any prospects for commercialization of our product candidates. 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8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 and injury to our reputation;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Although we maintain adequate clinical trial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an adverse effect on our business and results of operations.</w:t>
      </w:r>
    </w:p>
    <w:p>
      <w:pPr>
        <w:spacing w:after="0" w:line="1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conduct clinical trials for our product candidates outside the United States, and the FDA and similar foreign regulatory authorities may not accept data from such trials.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conduct clinical trials outside the United States, including in Europe and are likely to continue to do so in these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00"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if obtained at all,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or product candidates licensed to our partners and it is possible that none of such existing product candidates or any product candidates we may seek to develop in the future will ever obtain regulatory approval.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58" w:lineRule="exact"/>
        <w:rPr>
          <w:sz w:val="20"/>
          <w:szCs w:val="20"/>
          <w:color w:val="auto"/>
        </w:rPr>
      </w:pPr>
    </w:p>
    <w:p>
      <w:pPr>
        <w:ind w:left="340" w:right="30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 including the size of our clinical trials or the doses tested;</w:t>
      </w:r>
    </w:p>
    <w:p>
      <w:pPr>
        <w:spacing w:after="0" w:line="89"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pure and potent or effective for its proposed indication;</w:t>
      </w:r>
    </w:p>
    <w:p>
      <w:pPr>
        <w:spacing w:after="0" w:line="102" w:lineRule="exact"/>
        <w:rPr>
          <w:rFonts w:ascii="Arial" w:cs="Arial" w:eastAsia="Arial" w:hAnsi="Arial"/>
          <w:sz w:val="18"/>
          <w:szCs w:val="18"/>
          <w:color w:val="auto"/>
        </w:rPr>
      </w:pPr>
    </w:p>
    <w:p>
      <w:pPr>
        <w:ind w:left="340" w:right="76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44"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preclinical studies or clinical trials or may require us to test additional dose regimens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30" w:lineRule="exact"/>
        <w:rPr>
          <w:sz w:val="20"/>
          <w:szCs w:val="20"/>
          <w:color w:val="auto"/>
        </w:rPr>
      </w:pPr>
    </w:p>
    <w:p>
      <w:pPr>
        <w:ind w:left="340" w:right="140" w:hanging="332"/>
        <w:spacing w:after="0" w:line="308"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or BLA, to the FDA or other submission or to obtain regulatory approval in the United States, the European Union or elsewhere;</w:t>
      </w:r>
    </w:p>
    <w:p>
      <w:pPr>
        <w:spacing w:after="0" w:line="65" w:lineRule="exact"/>
        <w:rPr>
          <w:rFonts w:ascii="Arial" w:cs="Arial" w:eastAsia="Arial" w:hAnsi="Arial"/>
          <w:sz w:val="17"/>
          <w:szCs w:val="17"/>
          <w:color w:val="auto"/>
        </w:rPr>
      </w:pPr>
    </w:p>
    <w:p>
      <w:pPr>
        <w:ind w:left="340" w:right="8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0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The FDA, the EMA and other comparable foreign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0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We may seek fast-track designation for some or all of our product candidates, but we may not receive such designation, and even if we do, it may not lead to a faster development or regulatory review or approval process, and will not increase the likelihood that such product candidates will receive marketing approval.</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may seek fast-track designation and review for some or all of our product candidates. For example, our clinical development strategy for ensovibep, our</w:t>
      </w:r>
    </w:p>
    <w:p>
      <w:pPr>
        <w:spacing w:after="0" w:line="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lead COVID-19 antiviral therapeutic product candidate, aims to achieve potential emergency use authorization in . If a drug is intended for the treatment of a serious or life-threatening condition or disease, and nonclinical or clinical data demonstrate the potential to address an unmet medical need, the product may qualify for FDA fast track designation, for which sponsors must apply. The FDA has broad discretion whether or not to grant this designation. Thus, even if we or our collaborators believe a particular product candidate is eligible for this designation, the FDA may decide not to grant it. Moreover, even if we do receive fast track designation, we or our collaborators may not experience a faster development process, review or approval compared to conventional FDA procedures. In addition, the FDA may withdraw fast track designation if it believes that the designation is no longer supported by data from the clinical development program.</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recordkeeping, exporting and importing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 marketing testing, including Phase 4 clinical trials, and surveillance to monitor the safety and efficacy of the product candidate.</w:t>
      </w:r>
    </w:p>
    <w:p>
      <w:pPr>
        <w:spacing w:after="0" w:line="12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9" w:lineRule="exact"/>
        <w:rPr>
          <w:sz w:val="20"/>
          <w:szCs w:val="20"/>
          <w:color w:val="auto"/>
        </w:rPr>
      </w:pPr>
    </w:p>
    <w:p>
      <w:pPr>
        <w:ind w:left="340" w:right="560" w:hanging="332"/>
        <w:spacing w:after="0" w:line="277"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30"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restitutions, disgorgement of profits or revenues, warning letters, untitled letters or holds on clinical trials;</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by the FDA, the EMA or comparable foreign regulatory authorities to approve pending applications or supplements to approved applications filed by us or suspension or revocation of approvals;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based on the physician’s independent medical judgement.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0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 candidates are classified as biologics in the United States and, therefore, can only be sold if we obtain a BLA from the FDA. The holder of a BLA is obligated to monitor and report adverse events and any failure of a product to meet the specifications in the BLA. The holder of a BLA must also submit new or supplemental applications and obtain FDA approval for certain changes to the approved product, product labeling or manufacturing process. Failure to comply with a BLA or any other ongoing regulatory obligation may result in suspension of approval to manufacture or distribute the relevant product, as well as fines or imprisonment for violations.</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or one of our distributors, licensees or co-marketers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the policies and executive actions of the Biden administration may impact our business and industry. It is difficult to predict how these policies and executive actions will be implemented, and the extent to which they will impact the FDA’s ability to exercise its regulatory authority. If these policies or executive actions impose constraints on FDA’s ability to engage in oversight and implementation activities in the normal course, our business may be negatively impacted.</w:t>
      </w:r>
    </w:p>
    <w:p>
      <w:pPr>
        <w:spacing w:after="0" w:line="9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and have in the past decided to, prioritize development of certain product candidates over other potential candidates. These decisions may prove to have been wrong and may adversely affect our revenues.</w:t>
      </w:r>
    </w:p>
    <w:p>
      <w:pPr>
        <w:spacing w:after="0" w:line="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decisions to delay, terminate or collaborate with third parties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0"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our business, financial condition and results of operations could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Commercialization of Our Product Candidates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the European Union and other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in March 2010, the Patient Protection and Affordable Care Act, as amended by the Health Care and Education Reconciliation Act of 2010, or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58" w:lineRule="exact"/>
        <w:rPr>
          <w:sz w:val="20"/>
          <w:szCs w:val="20"/>
          <w:color w:val="auto"/>
        </w:rPr>
      </w:pPr>
    </w:p>
    <w:p>
      <w:pPr>
        <w:ind w:left="340" w:right="180" w:hanging="332"/>
        <w:spacing w:after="0" w:line="263"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116" w:lineRule="exact"/>
        <w:rPr>
          <w:rFonts w:ascii="Arial" w:cs="Arial" w:eastAsia="Arial" w:hAnsi="Arial"/>
          <w:sz w:val="18"/>
          <w:szCs w:val="18"/>
          <w:color w:val="auto"/>
        </w:rPr>
      </w:pPr>
    </w:p>
    <w:p>
      <w:pPr>
        <w:ind w:left="340" w:right="160" w:hanging="332"/>
        <w:spacing w:after="0" w:line="308"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5" w:lineRule="exact"/>
        <w:rPr>
          <w:rFonts w:ascii="Arial" w:cs="Arial" w:eastAsia="Arial" w:hAnsi="Arial"/>
          <w:sz w:val="17"/>
          <w:szCs w:val="17"/>
          <w:color w:val="auto"/>
        </w:rPr>
      </w:pPr>
    </w:p>
    <w:p>
      <w:pPr>
        <w:ind w:left="340" w:right="60" w:hanging="332"/>
        <w:spacing w:after="0" w:line="286" w:lineRule="auto"/>
        <w:tabs>
          <w:tab w:leader="none" w:pos="3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97" w:lineRule="exact"/>
        <w:rPr>
          <w:rFonts w:ascii="Arial" w:cs="Arial" w:eastAsia="Arial" w:hAnsi="Arial"/>
          <w:sz w:val="17"/>
          <w:szCs w:val="17"/>
          <w:color w:val="auto"/>
        </w:rPr>
      </w:pPr>
    </w:p>
    <w:p>
      <w:pPr>
        <w:ind w:left="340" w:right="2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the types of entities eligible for the 340B drug discount program;</w:t>
      </w:r>
    </w:p>
    <w:p>
      <w:pPr>
        <w:spacing w:after="0" w:line="144" w:lineRule="exact"/>
        <w:rPr>
          <w:rFonts w:ascii="Arial" w:cs="Arial" w:eastAsia="Arial" w:hAnsi="Arial"/>
          <w:sz w:val="18"/>
          <w:szCs w:val="18"/>
          <w:color w:val="auto"/>
        </w:rPr>
      </w:pPr>
    </w:p>
    <w:p>
      <w:pPr>
        <w:ind w:left="340" w:right="320" w:hanging="332"/>
        <w:spacing w:after="0" w:line="263"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the Medicare Part D coverage gap discount program, which requires manufacturers to now provide 70% point-of-sale-discount off the negotiated price of applicable products to eligible beneficiaries during their coverage gap period as a condition for the manufacturers' outpatient products to be covered under Medicare Part 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within Centers for Medicare &amp; Medicaid, or CMS, to test innovative payment and service delivery models to lower Medicare and Medicaid spending, potentially including prescription product spending.</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includes a provision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440" w:right="379" w:bottom="1440" w:gutter="0" w:footer="0" w:header="0"/>
        </w:sectPr>
      </w:pPr>
    </w:p>
    <w:bookmarkStart w:id="34" w:name="page35"/>
    <w:bookmarkEnd w:id="34"/>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the ACA was enacted. For example, on August 2, 2011, the Budget Control Act of 2011, among other things, created measures for spending reductions by U.S.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2021 unless additional U.S.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Recently there has also been heightened governmental scrutiny over the manner in which manufacturers set prices for their marketed products.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5" w:name="page36"/>
    <w:bookmarkEnd w:id="35"/>
    <w:p>
      <w:pPr>
        <w:spacing w:after="0" w:line="13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 It is also possible that additional governmental action will be taken in response to the COVID-19 pandemic.</w:t>
      </w:r>
    </w:p>
    <w:p>
      <w:pPr>
        <w:spacing w:after="0" w:line="10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expect that additional U.S. federal healthcare reform measures will be adopted in the future, particularly in light of the new presidential administration, any of which could limit the amounts that the U.S. federal government will pay for healthcare products and services, which could result in reduced demand for our product candidates or additional pricing pressures.</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healthcare laws, regulation and enforcement. Our failure to comply with these laws could harm our results of operations and financial conditions.</w:t>
      </w:r>
    </w:p>
    <w:p>
      <w:pPr>
        <w:spacing w:after="0" w:line="10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Although we do not currently have any products on the market, our current and future operations may be directly, or indirectly through our relationships with healthcare providers, healthcare institutions, patients, customers and third-party payors, subject to various U.S. federal and state healthcare laws and regulations, including, without limitation, the U.S. federal Anti-Kickback Statute. Healthcare providers, physicians and others play a primary role in the recommendation and prescription of any products for which we obtain marketing approval. These laws impact, among other things, our proposed sales, marketing and education programs and constrain our business and financial arrangements and relationships with third-party payors, healthcare professionals and healthcare institutions who participate in our clinical research programs, healthcare professionals and others who recommend, purchase, or provide our approved products,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our current and future operations are subject to additional healthcare-related statutory and regulatory requirements and enforcement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foreign regulatory authorities in jurisdictions in which we conduct our business. The laws that may affect our ability to operate include:</w:t>
      </w:r>
    </w:p>
    <w:p>
      <w:pPr>
        <w:spacing w:after="0" w:line="144" w:lineRule="exact"/>
        <w:rPr>
          <w:sz w:val="20"/>
          <w:szCs w:val="20"/>
          <w:color w:val="auto"/>
        </w:rPr>
      </w:pPr>
    </w:p>
    <w:p>
      <w:pPr>
        <w:ind w:left="340" w:right="80" w:hanging="332"/>
        <w:spacing w:after="0" w:line="279"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w:t>
      </w:r>
    </w:p>
    <w:p>
      <w:pPr>
        <w:spacing w:after="0" w:line="103" w:lineRule="exact"/>
        <w:rPr>
          <w:rFonts w:ascii="Arial" w:cs="Arial" w:eastAsia="Arial" w:hAnsi="Arial"/>
          <w:sz w:val="17"/>
          <w:szCs w:val="17"/>
          <w:color w:val="auto"/>
        </w:rPr>
      </w:pPr>
    </w:p>
    <w:p>
      <w:pPr>
        <w:ind w:left="340" w:hanging="332"/>
        <w:spacing w:after="0" w:line="301"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U.S. federal civil and criminal false claims and civil monetary penalties laws, including, without limitation, the civil False Claims Act (which can be enforced through "qui tam," or whistleblower actions, by private citizens on behalf of the federal government), which prohibits, among other things, individuals or entities from knowingly presenting, or causing to be presented, to the U.S. federal government, claims for payment or approval that are false or fraudulent or for knowingly making a false statement to avoid, decrease or conceal an obligation to pay money to the U.S. federal government;</w:t>
      </w:r>
    </w:p>
    <w:p>
      <w:pPr>
        <w:spacing w:after="0" w:line="89" w:lineRule="exact"/>
        <w:rPr>
          <w:rFonts w:ascii="Arial" w:cs="Arial" w:eastAsia="Arial" w:hAnsi="Arial"/>
          <w:sz w:val="16"/>
          <w:szCs w:val="16"/>
          <w:color w:val="auto"/>
        </w:rPr>
      </w:pPr>
    </w:p>
    <w:p>
      <w:pPr>
        <w:jc w:val="both"/>
        <w:ind w:left="340" w:right="20" w:hanging="332"/>
        <w:spacing w:after="0" w:line="311"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67"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by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24"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102" w:lineRule="exact"/>
        <w:rPr>
          <w:rFonts w:ascii="Arial" w:cs="Arial" w:eastAsia="Arial" w:hAnsi="Arial"/>
          <w:sz w:val="18"/>
          <w:szCs w:val="18"/>
          <w:color w:val="auto"/>
        </w:rPr>
      </w:pPr>
    </w:p>
    <w:p>
      <w:pPr>
        <w:ind w:left="340" w:hanging="332"/>
        <w:spacing w:after="0" w:line="272" w:lineRule="auto"/>
        <w:tabs>
          <w:tab w:leader="none" w:pos="3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U.S. federal physician payment transparency legislation, commonly referred to as Physician Payments Sunshine Act, and its implementing regulations, which requires certain manufacturers of drugs, devices, biologics and medical supplies that are reimbursable under Medicare, Medicaid, or the Children's Health Insurance Program to report annually to CMS information related to certain payments and other transfers of value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in the previous year to physician assistants, nurse practitioners, clinical nurse specialists, certified registered nurse anesthetists, anesthesiologist assistants, and certified nurse midwives;</w:t>
      </w:r>
    </w:p>
    <w:p>
      <w:pPr>
        <w:spacing w:after="0" w:line="96" w:lineRule="exact"/>
        <w:rPr>
          <w:rFonts w:ascii="Arial" w:cs="Arial" w:eastAsia="Arial" w:hAnsi="Arial"/>
          <w:sz w:val="17"/>
          <w:szCs w:val="17"/>
          <w:color w:val="auto"/>
        </w:rPr>
      </w:pPr>
    </w:p>
    <w:p>
      <w:pPr>
        <w:ind w:left="340" w:hanging="332"/>
        <w:spacing w:after="0" w:line="25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30"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circumstances, many of which differ from each other in significant ways and often are not preempted by HIPAA, thus complicating compliance efforts; and</w:t>
      </w:r>
    </w:p>
    <w:p>
      <w:pPr>
        <w:spacing w:after="0" w:line="89" w:lineRule="exact"/>
        <w:rPr>
          <w:sz w:val="20"/>
          <w:szCs w:val="20"/>
          <w:color w:val="auto"/>
        </w:rPr>
      </w:pPr>
    </w:p>
    <w:p>
      <w:pPr>
        <w:ind w:left="340" w:right="280" w:hanging="332"/>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above laws, including reporting requirements detailing interactions with and payments to healthcare providers.</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the curtailment or restructuring of our operations.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of us being found in violation of these laws is increased by the fact that many of them have not been fully interpreted by the regulatory authorities or the courts, and their provisions are open to a variety of interpretations. For example, the definition of the “remuneration” under the U.S. federal Anti-Kickback Statute has been interpreted to include anything of value. Further, courts have found that if “one purpose” of remuneration is to induce referrals, the U.S. federal Anti-Kickback Statute is violated.</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recent healthcare reform legislation has strengthened federal and state healthcare fraud and abuse laws. For example, the ACA amends the intent requirement of the U.S.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U.S. federal Anti-Kickback Statute constitutes a false or fraudulent claim for purposes of the civil False Claims Act. Because of the breadth of these laws and the narrowness of the statutory exceptions and regulatory safe harbors available, it is possible that some of our business activities could be subject to challenge under one or more of such laws.</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2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The successful commercialization of our product candidates will depend in part on the extent to which governmental authorities and health insurers establish adequate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products such as our product candidates, assuming approval. Our ability to achieve acceptable levels of coverage and reimbursement for products by third-party payors will have an effect on our ability to successfully commercialize, and attract additional collaboration partners to invest in the development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9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generic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pricing of existing drugs may limit the amount we will be able to charge for our product candidate. Third-party payors may deny or revoke the reimbursement status of a given drug product or establish prices for new or existing marketed products at levels that are too low to enable us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is significant uncertainty related to the third-party payor coverage and reimbursement of newly approved products. In the United States, third-party payors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 care providers who use such therapies. It is difficult to predict at this time what third-party payors will decide with respect to the coverage and reimbursement for our product candidates.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Moreover, increasing efforts by governmental and third-party payors in the European Union, the United States and abroad to cap or reduce healthcare costs may cause such organizations to limit both coverage and the level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3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future commercial success of our product candidates will depend on the degree of market acceptance of our potential products among physicians, patients, healthcare payors and the medical community.</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product candidates are at varying stages of development and we may never have a product that is commercially successful. To date, we have no product authorized for marketing. Our lead product candidates are in the relatively early stages of clinical development. Our lead product candidates will require further clinical investigation, regulatory review, significant marketing efforts and substantial investment before they can provide us with any revenues. Furthermore, when available on the market, our products may not achieve an adequate level of acceptance by physicians, patients and the medical community, and we may not become profitable. If our products are not accepted, we may need to increase our efforts to educate the medical community and third-party payors on the benefits of our products, which may require significant resources and may never be successful. Market acceptance of our future products by physicians, patients and healthcare payors will depend on a number of factors, many of which are beyond our control, including:</w:t>
      </w:r>
    </w:p>
    <w:p>
      <w:pPr>
        <w:spacing w:after="0" w:line="99"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wording of the product label;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product candidate;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by physicians, patients and healthcare payors of each product as safe and effective;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relative convenience, ease of use, ease of administration and other perceived advantages over alternative products;</w:t>
      </w:r>
    </w:p>
    <w:p>
      <w:pPr>
        <w:spacing w:after="0" w:line="157"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from third-party payors and the willingness of patients to pay out-of-pocket in the absence of adequate reimbursement;</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prevalence and severity of adverse events or publicity;</w:t>
      </w:r>
    </w:p>
    <w:p>
      <w:pPr>
        <w:spacing w:after="0" w:line="157" w:lineRule="exact"/>
        <w:rPr>
          <w:rFonts w:ascii="Arial" w:cs="Arial" w:eastAsia="Arial" w:hAnsi="Arial"/>
          <w:sz w:val="18"/>
          <w:szCs w:val="18"/>
          <w:color w:val="auto"/>
        </w:rPr>
      </w:pPr>
    </w:p>
    <w:p>
      <w:pPr>
        <w:ind w:left="340" w:right="26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precautions or warnings listed in the summary of product characteristics, patient information leaflet, package labeling or instructions for use;</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 with our products in relation to alternative treatments;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products are approved for inclusion and reimbursed on formularies of hospitals and managed care organizations; and</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our products are designated in the label, under physician treatment guidelines or under reimbursement guidelines as a first-line, second-line, third-line or last-line therapy.</w:t>
      </w:r>
    </w:p>
    <w:p>
      <w:pPr>
        <w:spacing w:after="0" w:line="10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If our product candidates fail to gain market acceptance, this will have a material adverse impact on our ability to generate revenues to provide a satisfactory, or any, return on our investments. Even if a potential product displays a favorable efficacy and safety profile in preclinical studies and clinical trials, market acceptance of the product will not be fully known until after it is launched. Furthermore, even if some products achieve market acceptance, the market may prove not to be large enough to allow us to generate significant revenues. In addition, upon exercise by Novartis of its option to in-license ensovibep and MP0423, we would be entitled to royalties on future commercial sales in certain territories but have agreed to forgo royalties in other territories, including lower income countries; if our product candidates are commercialized more largely in territories for which we have agreed to forgo royalties, this could have a material adverse impact on our revenues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collaboration partners.</w:t>
      </w:r>
    </w:p>
    <w:p>
      <w:pPr>
        <w:spacing w:after="0" w:line="8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products. To achieve commercial success for any approved product, we must develop or acquire a sales and marketing organization, outsource these functions to third parties or enter into collaboration or license arrangements with third parties.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the extent possible, we may establish our own sales and marketing capabilities and promote our product candidates if and when regulatory approval has been obtained in the major European Union countries and the United States for certain of our product candidates. There are risks involved should we decide to establish our own sales and marketing capabilities or enter into arrangements with third parties to perform these services. Even if we establish sales and marketing capabilities, we may fail to launch or market our products effectively since we have no experience in the sales and marketing of pharmaceutical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11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any future products;</w:t>
      </w:r>
    </w:p>
    <w:p>
      <w:pPr>
        <w:spacing w:after="0" w:line="15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marketing and promotion above those anticipated by us.</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enter into arrangements with third parties to perform sales and marketing services, our product revenues or profitability could be lower than if we were to market and sell any products that we develop ourselves. Such collaborative arrangements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9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do not establish sales and marketing capabilities successfully, either on our own or in collaboration with third parties, we may not be successful in commercializing our products, which in turn would have a material adverse effect on our business, prospects, financial condition and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potency of their product. The law is complex and is still being interpreted and implemented by the FDA. As a result, its ultimate impact, implementation and meaning are subject to uncertainty.</w:t>
      </w:r>
    </w:p>
    <w:p>
      <w:pPr>
        <w:spacing w:after="0" w:line="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or any future product candidates may be delayed, and our business will be harmed.</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planning purposes, we estimate the timing of achieving various scientific, clinical, regulatory, and other product development objectives. These milestones may include our expectations regarding the commencement or completion of scientific studies and clinical trials, regulatory submissions or commercialization objectives. From time to time, we may publicly announce the expected timing of some of these milestones, such as the completion of an ongoing clinical trial, the initiation of clinical trials, receipt of regulatory approval, or the commercial launch of a product. The achievement of many of these milestones may be outside of our control. All of these milestones are based on a variety of assumptions, which may cause the timing of achieving the milestones to vary considerably from our estimates, including:</w:t>
      </w:r>
    </w:p>
    <w:p>
      <w:pPr>
        <w:spacing w:after="0" w:line="11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receipt of approvals by the FDA, EMA and comparable foreign regulatory authorities, and the timing thereof;</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approved products, if any;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commercial product manufacturing, as well as sales and marketing activities.</w:t>
      </w:r>
    </w:p>
    <w:p>
      <w:pPr>
        <w:spacing w:after="0" w:line="1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our current or any future product candidates may be delayed, and our business, results of operations, financial condition, and prospects may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and Industry</w:t>
      </w:r>
    </w:p>
    <w:p>
      <w:pPr>
        <w:spacing w:after="0" w:line="15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Nearly all aspects of our activities are subject to substantial regulation. No assurance can be given that any of our product candidates will fulfill regulatory compliance. Failure to comply with such regulations could result in delays, suspension, refusals and withdrawal of approvals, as well as fines.</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international biopharmaceutical and medical technology industry is highly regulated by the FDA, the EMA and other comparable foreign authorities and by other national or supra-national regulatory authorities that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42" w:name="page43"/>
    <w:bookmarkEnd w:id="42"/>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substantial requirements covering nearly all aspects of our activities notably on research and development, manufacturing, preclinical tests, clinical trials, labeling, marketing, sales, storage, record keeping, promotion and pricing of our product candidates. Such regulation is further subject to regular review by the FDA, the EMA and other comparable foreign authorities which may result in changes in applicable regulation. If we do not comply with one or more of these requirements in a timely manner, or at all, our product development could experience significant delays as a result of the FDA, the EMA or other comparable regulatory authorities recommending non-approval or restrictions on approval of a product candidate, leading to an inability to successfully commercialize any of our product candidates, which would materially harm our business. Any failure of any of our product candidates in clinical studies or to receive regulatory approval could have a material adverse effect on our business, results of operations and financial condition. If any of our product candidates fails to obtain approval on the basis of any applicable condensed regulatory approval process, this will prevent such product candidate from obtaining approval in a shortened time frame, or at all, resulting in increased expenses which would materially harm our business.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Compliance with requirements laid down by local regulatory authorities is necessary in each country where we, or any of our partners or licensees, conduct said activities in whole or in part. Local regulatory authorities notably include the EMA and the FDA. In order to market our future products in regions such as the European Economic Area, United States of America, Asia Pacific and many other foreign jurisdictions, we must obtain separate regulatory approvals. The approval procedures vary among countries and can require additional clinical testing, and the time required to obtain approval may differ from that required to obtain for example FDA or EMA approval. Moreover, clinical studies conducted in one country may not be accepted by regulatory authorities in other countries. Approval by the FDA or EMA does not ensure approval by the comparable foreign authorities in other countries, and approval by one or more foreign regulatory authorities does not ensure approval by regulatory authorities in other foreign countries or by the FDA or EMA.</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There can be no assurance that our product candidates will fulfil the criteria required to obtain necessary regulatory approval to access the market. Also, at this time, we cannot guarantee or know the exact nature, precise timing and detailed costs of the efforts that will be necessary to complete the remainder of the development of our research programs and products candidates. Each of the FDA, the EMA and other comparable foreign authorities may impose its own requirements, may discontinue an approval or revoke a license, may refuse to grant approval, or may require additional data before granting approval, notwithstanding that approval may have been granted by the FDA, the EMA or one or more other comparable foreign authority. The FDA, the EMA or other comparable foreign authorities may also approve a product candidate for fewer or more limited indications or patient sub-segments than requested or may grant approval subject to the performance of post-marketing studies. The EMA's, the FDA's or other regulatory authority's approval may be delayed, limited or denied for a number of reasons, most of which are beyond our control. Such reasons could include, among others, the production process or site not meeting the applicable requirements for the manufacture of regulated products, or the products not meeting applicable requirements for safety, purity or potency, or efficacy, during the clinical development stage or after marketing. No assurance can be given that clinical trials will be approved the FDA, the EMA or other comparable foreign authorities or that products will be approved for marketing by such regulatory authorities in any pre-determined indication or intended use. Any of the FDA, the EMA and other comparable foreign authorities may disagree with our interpretation of data submitted for their review.</w:t>
      </w:r>
    </w:p>
    <w:p>
      <w:pPr>
        <w:spacing w:after="0" w:line="11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and our collaborative partners are, or may become subject to, numerous ongoing other regulatory obligations, such as data protection, environmental, health and safety laws and restrictions on the experimental use of animals. The costs of compliance with such applicable regulations, requirements or guidelines could be substantial, and failure to comply could result in sanctions, including fines, injunctions, civil penalties, denial of applications for marketing authorization of our products, delays, suspension or withdrawal of approvals, license revocation, seizures or recalls of products, operating restrictions and criminal prosecutions, any of which could significantly increase our or our collaborative partners' costs or delay the development and commercialization of our product candidates.</w:t>
      </w:r>
    </w:p>
    <w:p>
      <w:pPr>
        <w:spacing w:after="0" w:line="1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commercialized in a timely manner, or otherwise prevent those agencies from performing normal functions on which the operation of our business may rely, which could negatively impact our business.</w:t>
      </w:r>
    </w:p>
    <w:p>
      <w:pPr>
        <w:spacing w:after="0" w:line="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0"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4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9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Because we are subject to environmental, health and safety laws and regulations, we may become exposed to liability and substantial expenses in connection with environmental compliance or remediation activities which may adversely affect our business.</w:t>
      </w:r>
    </w:p>
    <w:p>
      <w:pPr>
        <w:spacing w:after="0" w:line="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We cannot eliminate the risk of contamination or injury from these materials. In the event of contamination or injury resulting from our use of hazardous materials, we could be held liable for any resulting damages, and any liability could exceed our resources. We also incur significant costs associated with civil or criminal fines and penalties for failure to comply with such laws and regulations.</w:t>
      </w:r>
    </w:p>
    <w:p>
      <w:pPr>
        <w:spacing w:after="0" w:line="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professional liability insurance and our accident insurance, which cover for costs and expenses we may incur due to environmental liability that may be asserted against us or due to injuries to our employees resulting from the use of hazardous materials, may not provide adequate coverage against potential liabilities.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 and our financial condition and results of operations may be adversely affected.</w:t>
      </w:r>
    </w:p>
    <w:p>
      <w:pPr>
        <w:spacing w:after="0" w:line="12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wastes associated with our product candidates or products, we could be held liable for any resulting damages, suffer reputational harm or experience a disruption in the manufacture and supply of our product candidates or products.</w:t>
      </w:r>
    </w:p>
    <w:p>
      <w:pPr>
        <w:spacing w:after="0" w:line="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 which could have a material adverse effect on our business.</w:t>
      </w:r>
    </w:p>
    <w:p>
      <w:pPr>
        <w:spacing w:after="0" w:line="11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vendors and collaboration partners may engage in fraudulent conduct or other illegal activities. Misconduct by these parties could include intentional, reckless and negligent conduct or unauthorized activities that violate: the regulations of the FDA, the EMA and other comparable foreign authorities, including those laws that require the reporting of true, complete and accurate information to such authorities; manufacturing standards; federal and state data privacy, security, fraud and abuse and other healthcare laws and regulations in the United States and abroad; or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individual imprisonment, additional reporting requirements and oversight if we become subject to a corporate integrity agreement or similar agreement to resolve allegations of non-compliance with these laws, other sanctions, contractual damages, reputational harm, diminished profits and future earnings and curtailment of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high dependency on public perception of our products may negatively influence the success of these products.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of our product candidates are approved for commercial sale, we will be highly dependent upon consumer perceptions of the safety and quality of our products. We could be adversely affected if we were subject to negative publicity or if any of our products or any similar products distributed by other companies prove to be, or are asserted to be, harmful to patients. Because of our dependence upon consumer perception, any adverse publicity associated with illness or other adverse effects resulting from patients' use or misuse of our products or any similar products distributed by other companies could have a material adverse impact on our business and results of operations.</w:t>
      </w:r>
    </w:p>
    <w:p>
      <w:pPr>
        <w:spacing w:after="0" w:line="12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Future adverse events in research into the oncology and virology fields that we focus our research efforts on, or the biopharmaceutical industry more generally,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successfully identify, develop and commercialize additional products or product candidates could impair our ability to grow.</w:t>
      </w:r>
    </w:p>
    <w:p>
      <w:pPr>
        <w:spacing w:after="0" w:line="15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Although a substantial amount of our efforts will focus on the continued preclinical and clinical testing and potential approval of our product candidates in our current pipeline, a key element of our long-term growth strategy is to develop and market additional products and product candidates. Because we have limited managerial resources, research programs to identify product candidates will require substantial additional technical, financial and human resources, whether or not any product candidates are ultimately identified. The success of this strategy depends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partly upon our ability to identify, select and develop promising product candidates and products. Our technology platforms may fail to discover and to generate additional product candidates that are suitable for further development. All product candidates are prone to risks of failure typical of pharmaceutical product development, including the possibility that a product candidate may not be suitable for clinical development as a result of its harmful side effects, limited efficacy or other characteristics that indicate that it is unlikely to be a product that will receive approval by the FDA, the EMA and other comparable foreign regulatory authorities and achieve market acceptance. If we do not successfully develop and commercialize product candidates based upon our DARPin technology approach, we may not be able to obtain product or collaboration revenues in future periods, which would adversely affect our business and results of operations.</w:t>
      </w:r>
    </w:p>
    <w:p>
      <w:pPr>
        <w:spacing w:after="0" w:line="11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DARPin product candidate or indication and fail to capitalize on DARPin product candidates or indications that may be more profitable or for which there is a greater likelihood of success.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we have limited financial and managerial resources, we focus on research programs and DARPin product candidates for specific indications, mode of actions or targets. As a result, we may forego or delay pursuit of opportunities with other DARPin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DARPin product candidates for specific indications may not yield any commercially viable products.</w:t>
      </w:r>
    </w:p>
    <w:p>
      <w:pPr>
        <w:spacing w:after="0" w:line="12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we do not accurately evaluate the commercial potential or target market for a particular DARPin product candidate, we may relinquish valuable rights to that product candidate through collaboration, licensing or other royalty arrangements in cases in which it would have been advantageous for us to retain sole development and commercialization rights.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Service or supply failures, or other failures, business interruptions or other disasters affecting the manufacturing facilities of any party participating in the supply chain would adversely affect our ability to supply our products.</w:t>
      </w:r>
    </w:p>
    <w:p>
      <w:pPr>
        <w:spacing w:after="0" w:line="10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product candidates are biologics and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Also, certain raw materials or other products necessary for the manufacture and formulation of our product candidates, some of which are difficult to source, are provided by single-source unaffiliated third-party suppliers. The COVID-19 pandemic has caused delays and difficulties in the timely shipping and delivery of supplies, samples and products required for our clinical trials. In addition, we rely on certain third parties to perform filling, finishing, distribution, laboratory testing and other services related to the manufacture of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supply product candidates, which could materially and adversely affect our business and future prospects.</w:t>
      </w:r>
    </w:p>
    <w:p>
      <w:pPr>
        <w:spacing w:after="0" w:line="10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develop our DARPin platform and other current or future product candidates, in combination with other therapies, which exposes us to additional risks.</w:t>
      </w:r>
    </w:p>
    <w:p>
      <w:pPr>
        <w:spacing w:after="0" w:line="10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may develop our DARPin platform and other current or future product candidates in combination with one or more currently approved therapies. Even if any product candidates we develop were to receive marketing approval or be commercialized for use in combination with other existing therapies, we would continue to be subject to the risks that the FDA or comparable foreign regulatory authorities could revoke approval of the therapy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combination with our DARPin platform or any other current or future product candidates or that safety, efficacy, manufacturing, or supply issues could arise with these existing therapies. This could result in our own product candidates being removed from the market or being less successful commercially.</w:t>
      </w:r>
    </w:p>
    <w:p>
      <w:pPr>
        <w:spacing w:after="0" w:line="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also evaluate our DARPin platform or any other current or future product candidates in combination with one or more other therapies that have not yet been approved for marketing by the FDA or comparable foreign regulatory authorities. For example, we entered into a collaboration agreement with Amgen in December 2018 to evaluate AMG 506 (MP0310) in combination with Amgen`s oncology pipeline products, including its investigational bispecific TCE, or BiTE®, molecules. We will not be able to market and sell our DARPin product candidates or any product candidate we develop in combination with any such unapproved therapies that do not ultimately obtain marketing approval. These unapproved therapies may face the same risks described with respect to our product candidates, including the emergence of adverse events and delays in their clinical trials. If the FDA or comparable foreign regulatory authorities do not approve these other therapies or revoke their approval of, or if safety, efficacy, manufacturing, or supply issues arise with, the therapies we choose to evaluate in combination with our DARPin product candidates or any other product candidate we develop, we may be unable to obtain approval of or market our DARPin product candidates or any other product candidate we develop.</w:t>
      </w:r>
    </w:p>
    <w:p>
      <w:pPr>
        <w:spacing w:after="0" w:line="9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Data protection (i.e., laws and regulations that address privacy and data security) has become a significant issue in the United States, Europe and in many other countries and jurisdictions where we operate our business. We and any potential collaborators may be subject to U.S. federal, state, and foreign data protection laws, rules and regulations. In the United States, numerous federal and state laws, rules and regulations, including federal health information privacy laws, state data breach notification laws, state health information privacy laws, and federal and state consumer protection laws (e.g., Section 5 of the Federal Trade Commission Act), that govern the collection, use, storage, retention, security, disclosure, and transfer of personal information, including health-related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the Health Information Technology for Economic and Clinical Health Act of 2009, and their respective implementing regulations. Depending on the facts and circumstances, we may be subject to civil, criminal, and administrative penalties if we knowingly obtain, use, or disclose individually identifiable health information in a manner that is not authorized or permitted by HIPAA.</w:t>
      </w:r>
    </w:p>
    <w:p>
      <w:pPr>
        <w:spacing w:after="0" w:line="8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Several jurisdictions, including the United States, Switzerland, the EU, its member states, the United Kingdom, Japan, Australia, among others, have adopted legislation and regulations that govern, increase or change the requirements governing the collection, use, storage, retention, security, disclosure and transfer of the personal information of individuals in these jurisdictions. In the United States, the state of California enacted legislation, the California Consumer Privacy Act, or CCPA, effective January 1, 2020, which increases the requirements governing the collection, use, security, disclosure and transfer of the personal information of individuals in the state of California. Further, California voters recently passed the California Privacy Rights Act (CPRA), which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These laws and regulations are complex and change frequently, at times due to changes in political climate, and existing laws and regulations are subject to different and conflicting interpretations, which adds to the complexity of processing personal data from these jurisdictions. These laws have the potential to increase costs of compliance, risks of noncompliance and penalties for noncompliance.</w:t>
      </w:r>
    </w:p>
    <w:p>
      <w:pPr>
        <w:spacing w:after="0" w:line="10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EU’s General Data Protection Regulation, or GDPR, as well as EU member state implementing legislation, apply to the collection and processing of personal data, including health-related information, by companies located in the EU, and in certain circumstances, outside of the EU, and processing personal information of individuals located in the EU. EU member states are also able to legislate separately on health and genetic data, and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comply with these local laws where we operate. Additionally, the United Kingdom implemented the Data Protection Act, effective May 2018 and statutorily amended in 2019, that contains provisions, including its own derogations, for how the GDPR is applied in the United Kingdom. These developments could increase the risk of non-compliance and the costs of providing our products and operating our business in a compliant manner. From the beginning of 2021 (when the transitional period following Brexit expired), companies have to continue to comply with the GDPR and also the Data Protection Act. The Swiss Federal Act on Data Protection, or DPA, also applies to the collection and processing of personal data, including health-related information, by companies located in Switzerland, or in certain circumstances, by companies located outside of Switzerland. The DPA has been revised and adopted by the Swiss Parliament, and the revised version and its revised ordinances are expected to enter into force in 2022. This revised law may result in an increase of costs of compliance, risks of noncompliance and penalties for noncompliance. Similarly, on June 5, 2020, Japan passed amendments to its Act on the Protection of Personal data, or APPI. The APPI broadly regulates the processing of personal data in a manner comparable to the GDPR, and violators of the APPI face substantial penalties.</w:t>
      </w:r>
    </w:p>
    <w:p>
      <w:pPr>
        <w:spacing w:after="0" w:line="10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data privacy and security laws impose strict obligations related to the collection, use, storage, retention, security, disclosure, and transfer of personal data, including health-related information. This includes several requirements relating to (i) obtaining, in some situations, the consent of the individuals to whom the personal data relates, (ii) the information provided to the individuals about how their personal data is used, (iii) ensuring the security and confidentiality of the personal data, (iv) the obligation to notify regulatory authorities and affected individuals of personal data breaches, (v) extensive internal privacy governance obligations, and (vi) obligations to honor rights of individuals in relation to their personal data (for example, the right to access, correct and delete their personal data).</w:t>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GDPR prohibits the transfer of personal data to countries outside of the EEA, such as the United States, which are not considered by the European Commission to provide an adequate level of data protection. The transfer of personal data to countries outside of the EEA must be subject to an approved compliance mechanism. Switzerland has adopted similar restrictions under the DPA. On July 16, 2020, the Court of Justice of the European Union issued a decision invalidating the EU-US Privacy Shield framework, which companies had generally relied upon for the transfer of data from the European Union (“EU”) to the United States, on the grounds that the EU-US Privacy Shield failed to offer adequate protections to EU personal data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made clear that reliance on Standard Contractual Clauses alone may not necessarily be sufficient in all circumstances. The use of Standard Contractual Clauses for the transfer of personal data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Standard Contractual Clauses, for cross-border data transfers. To comply with this guidance, we may need to implement additional safeguards to further enhance the security of personal data transferred out of the EEA, which could increase our compliance costs, expose us to further regulatory scrutiny and liability, and adversely affect our business. Further, the European Commission published new versions of the Standard Contractual Clauses for comment and is expected to finalize and implement the new Standard Contractual Clauses in early 2021. Any inability to transfer personal data to the United States from the EEA, Switzerland or the United Kingdom in compliance with the GDPR and European data protection laws may impede our ability to attract and retain customers and adversely affect our business and financial position. We may also be required to incur significant costs and increase our foreign data processing capabilities in an effort to comply with these requirements, and there is no assurance they will be successful.</w:t>
      </w:r>
    </w:p>
    <w:p>
      <w:pPr>
        <w:spacing w:after="0" w:line="11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Potential pecuniary fines for noncompliant companies may be up to the greater of €20 million or 4% of annual global revenue for GDPR breaches, and separately £17.5 million or 4% of annual global revenue for United Kingdom law breaches. The GDPR and United Kingdom data protection law have increased our responsibility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liability in relation to personal data that we process, and we may be required to put in place additional potential mechanisms to ensure compliance with the EU, United Kingdom and Swiss data protection rules.</w:t>
      </w:r>
    </w:p>
    <w:p>
      <w:pPr>
        <w:spacing w:after="0" w:line="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Dependence on Third Parties</w:t>
      </w:r>
    </w:p>
    <w:p>
      <w:pPr>
        <w:spacing w:after="0" w:line="15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harmed.</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and third-party CROs mandated by us or by our partners,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GCP requirements, which are regulations and guidelines enforced by the FDA, the EMA and comparable foreign regulatory authorities for all of our products in clinical development. Regulatory authorities enforce these GCPs through periodic inspections of trial sponsors, principal investigators and trial sites. If we, our investigators or any of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8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also face the risk of potential infringement, unauthorized disclosure, misappropriation or other violation of our intellectual property by our third party contractors or CROs, which may reduce our trade secret protection and allow our potential competitors or other third parties to access and exploit our proprietary technology. Our third party contractors or CROs also may use our proprietary information and intellectual property in such a way as to invite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440" w:right="379" w:bottom="1440" w:gutter="0" w:footer="0" w:header="0"/>
        </w:sectPr>
      </w:pPr>
    </w:p>
    <w:bookmarkStart w:id="49" w:name="page50"/>
    <w:bookmarkEnd w:id="49"/>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litigation or other intellectual property-related proceedings that could jeopardize or invalidate our proprietary information and intellectual property. For more information regarding our intellectual property, see “Risk Factors—Risks Related to Intellectual Property”.</w:t>
      </w:r>
    </w:p>
    <w:p>
      <w:pPr>
        <w:spacing w:after="0" w:line="8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There are a limited number of third-party service providers that specialize or have the expertise required to achieve our business objectives. If any of our relationships with these third-party CROs or clinical investigators terminate, we may not be able to enter into arrangements with alternative CROs or investigators or to do so on commercially reasonable terms. Switching or adding additional CROs (or investigators)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1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and will continue to rely on collaborative partners regarding the development of our research programs and product candidates. If we are not able to maintain our current relationships or enter into new strategic relationships our business, financial condition, commercialization prospects and results of operations may be adversely affected.</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and expect to continue to be, dependent on partnerships with partners relating to the development and commercialization of our existing and future research programs and product candidates.</w:t>
      </w:r>
    </w:p>
    <w:p>
      <w:pPr>
        <w:spacing w:after="0" w:line="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currently have a collaborative research relationship with the pharmaceutical companies Novartis AG, or Novartis, Amgen Inc., or Amgen, and Allergan, an AbbVie, Inc. company, or AbbVie, for the development of product candidates resulting from such collaborations. We had, have and will continue to have discussions on potential partnering opportunities with various pharmaceutical companies. If we fail to enter into or maintain collaborations on reasonable terms or at all, our ability to develop our existing or future research programs and product candidates could be delayed, the commercial potential of our products could change and our costs of development and commercialization could increase. Furthermore, we may find that our programs require the use of intellectual property rights and other proprietary rights held by third parties, and the growth of our business may depend in part on our ability to acquire, in-license or use these intellectual property and other proprietary rights.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on collaborative partners subjects us to a number of risks, including, but not limited to, the following:</w:t>
      </w:r>
    </w:p>
    <w:p>
      <w:pPr>
        <w:spacing w:after="0" w:line="158" w:lineRule="exact"/>
        <w:rPr>
          <w:sz w:val="20"/>
          <w:szCs w:val="20"/>
          <w:color w:val="auto"/>
        </w:rPr>
      </w:pPr>
    </w:p>
    <w:p>
      <w:pPr>
        <w:ind w:left="340" w:right="72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collaboration partner devotes to our research programs and product candidates;</w:t>
      </w:r>
    </w:p>
    <w:p>
      <w:pPr>
        <w:spacing w:after="0" w:line="89" w:lineRule="exact"/>
        <w:rPr>
          <w:rFonts w:ascii="Arial" w:cs="Arial" w:eastAsia="Arial" w:hAnsi="Arial"/>
          <w:sz w:val="18"/>
          <w:szCs w:val="18"/>
          <w:color w:val="auto"/>
        </w:rPr>
      </w:pPr>
    </w:p>
    <w:p>
      <w:pPr>
        <w:ind w:left="340" w:right="2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collaboration agreements where we are solely or partially responsible for funding development expenses through a defined milestone event, the payments we receive from the collaboration partner may not be sufficient to cover the expenses we have or would need to incur in order to achieve that milestone event;</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be required to relinquish significant rights, including intellectual property or other proprietary rights, marketing and distribution rights;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anticipated payments under any partnership agreement (e.g., royalty payments for licensed products) may not materialize;</w:t>
      </w:r>
    </w:p>
    <w:p>
      <w:pPr>
        <w:spacing w:after="0" w:line="144"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rely on the information and data received from third parties regarding their research programs and product candidates and will not have control of the process conducted by the third party in gathering and composing such data and information.</w:t>
      </w:r>
    </w:p>
    <w:p>
      <w:pPr>
        <w:spacing w:after="0" w:line="102" w:lineRule="exact"/>
        <w:rPr>
          <w:rFonts w:ascii="Arial" w:cs="Arial" w:eastAsia="Arial" w:hAnsi="Arial"/>
          <w:sz w:val="18"/>
          <w:szCs w:val="18"/>
          <w:color w:val="auto"/>
        </w:rPr>
      </w:pPr>
    </w:p>
    <w:p>
      <w:pPr>
        <w:ind w:left="340" w:right="20" w:hanging="332"/>
        <w:spacing w:after="0" w:line="263"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rights to develop and commercialize our product candidates subject to collaborations revert to us for any reason, we may not have sufficient financial resources to develop such product candidates, which may result in us failing to recognize any value from our investments in developing such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0" w:lineRule="exact"/>
        <w:rPr>
          <w:sz w:val="20"/>
          <w:szCs w:val="20"/>
          <w:color w:val="auto"/>
        </w:rPr>
      </w:pPr>
    </w:p>
    <w:p>
      <w:pPr>
        <w:ind w:left="340" w:right="120" w:hanging="332"/>
        <w:spacing w:after="0" w:line="27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collaborative partner may decide not to pursue, or discontinue the collaborative development of, our product candidates; for example, Novartis may decline to exercise its option to in-license ensovibep and MP0423, our COVID-19 antiviral product candidates;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collaborative partner may develop a competing product either by itself or in collaboration with others, including one or more of our competitors;</w:t>
      </w:r>
    </w:p>
    <w:p>
      <w:pPr>
        <w:spacing w:after="0" w:line="169" w:lineRule="exact"/>
        <w:rPr>
          <w:rFonts w:ascii="Arial" w:cs="Arial" w:eastAsia="Arial" w:hAnsi="Arial"/>
          <w:sz w:val="17"/>
          <w:szCs w:val="17"/>
          <w:color w:val="auto"/>
        </w:rPr>
      </w:pPr>
    </w:p>
    <w:p>
      <w:pPr>
        <w:ind w:left="340" w:right="560" w:hanging="332"/>
        <w:spacing w:after="0" w:line="27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collaborative partners' willingness or ability to complete their obligations under our partnership arrangements may be adversely affected by business combinations or significant changes in a collaborative partner's business strategy;</w:t>
      </w:r>
    </w:p>
    <w:p>
      <w:pPr>
        <w:spacing w:after="0" w:line="102"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experience delays in, or increases in the costs of, the development of our research programs and product candidates due to the termination or expiration of collaborative research and development arrangements;</w:t>
      </w:r>
    </w:p>
    <w:p>
      <w:pPr>
        <w:spacing w:after="0" w:line="89"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have disagreements with collaborative partners, including disagreements over proprietary rights, contract interpretation or the preferred course of development, that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19" w:lineRule="exact"/>
        <w:rPr>
          <w:rFonts w:ascii="Arial" w:cs="Arial" w:eastAsia="Arial" w:hAnsi="Arial"/>
          <w:sz w:val="18"/>
          <w:szCs w:val="18"/>
          <w:color w:val="auto"/>
        </w:rPr>
      </w:pPr>
    </w:p>
    <w:p>
      <w:pPr>
        <w:jc w:val="both"/>
        <w:ind w:left="340" w:right="200" w:hanging="332"/>
        <w:spacing w:after="0" w:line="263" w:lineRule="auto"/>
        <w:tabs>
          <w:tab w:leader="none" w:pos="3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collaborative partners may not properly maintain, enforce or defend our intellectual property rights or other proprietary information or may such use proprietary information in such a way as to invite litigation or other intellectual property-related proceedings that could jeopardize or invalidate our intellectual property or proprietary information or expose us to potential litigation; or</w:t>
      </w:r>
    </w:p>
    <w:p>
      <w:pPr>
        <w:spacing w:after="0" w:line="116" w:lineRule="exact"/>
        <w:rPr>
          <w:rFonts w:ascii="Arial" w:cs="Arial" w:eastAsia="Arial" w:hAnsi="Arial"/>
          <w:sz w:val="18"/>
          <w:szCs w:val="18"/>
          <w:color w:val="auto"/>
        </w:rPr>
      </w:pPr>
    </w:p>
    <w:p>
      <w:pPr>
        <w:ind w:left="340" w:right="40" w:hanging="332"/>
        <w:spacing w:after="0" w:line="286" w:lineRule="auto"/>
        <w:tabs>
          <w:tab w:leader="none" w:pos="3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collaborative partners may infringe, misappropriate or otherwise violate the intellectual property or other proprietary rights of third parties, which may expose us to litigation and potential liability, and collaborators may also allege that we are liable for potential infringement, misappropriation or other violations of third-party intellectual property or proprietary rights during the research and development work for the collaboration.</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clinical trials, the likelihood of regulatory approval,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9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drug supplies and we intend to rely on third parties to produce commercial supplies of any approved product candidate.</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do not currently have the infrastructure or capability internally to manufacture our product candidates for use in the conduct of our clinical studies or for commercial supply, if our products are approved. Instead, we rely on, and expect to continue to rely on contract manufacturing organizations, or CMOs. We currently rely mainly on a few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1440" w:right="379" w:bottom="1440" w:gutter="0" w:footer="0" w:header="0"/>
        </w:sectPr>
      </w:pPr>
    </w:p>
    <w:bookmarkStart w:id="51" w:name="page52"/>
    <w:bookmarkEnd w:id="51"/>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CMOs for the manufacturing of our product candidate materials. Any replacement of our CMOs could require significant effort and expertise because there may be a limited number of qualified CMOs. 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were to experience an unexpected loss of supply of or if any supplier were unable to meet our demand for any of our product candidates, we could experience delays in our research or planned clinical studies or commercialization. We could be unable to find alternative suppliers of acceptable quality, in the appropriate volumes and at an acceptable cost. Moreover, our suppliers are subject to strict manufacturing requirements and rigorous testing requirements, which could limit or delay production. The long transition periods necessary to switch manufacturers and suppliers, if necessary, would significantly delay our clinical studies and the commercialization of our products, if approved, which would adversely affect our business and results of operation.</w:t>
      </w:r>
    </w:p>
    <w:p>
      <w:pPr>
        <w:spacing w:after="0" w:line="1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complying with the manufacturing regulations of the FDA, the EMA and other comparable foreign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our CMOs and subsequently against us, including the seizure of products and shutting down of production. We and any of these third-party suppliers may also be subject to audits by the FDA, the EMA or other comparable foreign authorities. If any of our third-party suppliers fails to comply with cGMP or other applicable manufacturing regulations, our ability to develop and commercialize the products could suffer significant interruptions. We face risks inherent in relying on our CMOs, as any disruption, such as a fire, natural hazards or vandalism at any such CMO could significantly interrupt our manufacturing capability.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11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manufacturing of all of our product candidates requires using cells which are stored in a cell bank. We have one master cell bank for each product manufactured in accordance with cGMP. Working cell banks have not yet been manufactured. Half of each master cell bank is stored at a separate site so that in case of a catastrophic event at one site we believe sufficient vials of the master cell banks are left at the alternative storage site to continue manufacturing. We believe sufficient working cell banks could be produced from the vials of the master cell bank stored at a given site to assure product supply for the future. However, it is possible that we could lose multiple cell banks and have our manufacturing significantly impacted by the need to replace these cell banks, which could materially adversely affect our business, prospects, financial condition and results of operations.</w:t>
      </w:r>
    </w:p>
    <w:p>
      <w:pPr>
        <w:spacing w:after="0" w:line="8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do not and will not have access to all information regarding the product candidates we license to our collaboration partners. Consequently, our ability to inform our shareholders about the status of such product candidates, and to make informed operational and investment decisions about the product candidates to which we have retained development and commercialization rights, may be limited.</w:t>
      </w:r>
    </w:p>
    <w:p>
      <w:pPr>
        <w:spacing w:after="0" w:line="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do not and will not have access to all information regarding the product candidates being developed and potentially commercialized by Novartis, Amgen or AbbVie, including potentially material information about clinical trial design and execution, safety reports from clinical trials, spontaneous safety reports if the product is later approved and marketed, regulatory affairs, process development, manufacturing, marketing and other areas known by Novartis, Amgen or AbbVie. In addition, we have confidentiality obligations under our agreement with Novartis, Amgen or AbbVie. Thus, our ability to keep our shareholders informed about the status of product candidates under our collaboration will be limited by the degree to which Novartis, Amgen or AbbVie keeps us informed and allows us to disclose such information to the public. If Novartis, Amgen or AbbVie fails to keep us informed about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1440" w:right="379" w:bottom="1440" w:gutter="0" w:footer="0" w:header="0"/>
        </w:sectPr>
      </w:pPr>
    </w:p>
    <w:bookmarkStart w:id="52" w:name="page53"/>
    <w:bookmarkEnd w:id="52"/>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clinical development and regulatory approval of our collaboration and product candidates licensed to it, we may make operational and investment decisions that we would not have made had we been fully informed, which may materially and adversely affect our business and operations.</w:t>
      </w:r>
    </w:p>
    <w:p>
      <w:pPr>
        <w:spacing w:after="0" w:line="6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Our financial prospects are dependent upon the manufacture, development and marketing efforts of our licensees. Our licensees may act in their best interest rather than in our best interest, which could materially adversely affect our business, financial condition and results of operations.</w:t>
      </w:r>
    </w:p>
    <w:p>
      <w:pPr>
        <w:spacing w:after="0" w:line="5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rely on our licensees to manufacture, fund and conduct the clinical development and commercialization of product candidates, and our licensees have complete control over such activities. Our ability to generate revenue in the near term will depend primarily on the successful development, regulatory approval, marketing and commercialization of product candidates by our licensees. Such success is subject to significant uncertainty, and we have limited control over the manufacturing processes of such product candidates as well as the resources, time and effort that licensees may devote to such product candidates. Any of several events or factors could have a material adverse effect on our ability to generate revenue from our licensee’s potential commercialization of product candidates.</w:t>
      </w:r>
    </w:p>
    <w:p>
      <w:pPr>
        <w:spacing w:after="0" w:line="1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our licensees have the right to make decisions regarding the development and commercialization of product candidates under the collaborations without consulting us and may make decisions with which we do not agree. For example, in June 2020, AbbVie received a Complete Response Letter, or CRL, for the Biologics License Application, or BLA, of abicipar, and may decide to discontinue the development and commercialization of abicipar. Conflicts between our licensees and us may arise if there is a dispute about the progress of the clinical development of a product candidate, the achievement and payment of a milestone amount or the ownership of intellectual property developed during the course of our collaboration agreements. If any of our licenses terminate with our licensees, it may be necessary for us to assume responsibility at our own expense for the development of the applicable product candidates. In that event, we would likely be required to limit the size and scope of one or more of our programs or increase our expenditures and seek additional funding, which may not be available on acceptable terms or at all, which would materially adversely affect our business,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and the DARPin technology, the prosecution, grant, enforcement, defense and maintenance of which may be challenging and costly. Failure to obtain, maintain, enforce or protect these rights adequately could harm our ability to compete and impair our business.</w:t>
      </w:r>
    </w:p>
    <w:p>
      <w:pPr>
        <w:spacing w:after="0" w:line="11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commercial success depends in part on obtaining and maintaining patents and other forms of intellectual property rights for our product candidates, methods used to manufacture those products and methods for treating patients using those products, or on licensing in such rights. Failure to obtain, maintain, enforce, protect or extend adequate patent and other intellectual property rights could adversely affect our ability to develop and market our products and product candidates or pursue collaborations with partners for our product candidates.</w:t>
      </w:r>
    </w:p>
    <w:p>
      <w:pPr>
        <w:spacing w:after="0" w:line="9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cannot be certain that patents will be issued or granted with respect to applications that are currently pending, or that issued or granted patents will not later be found to be invalid or unenforceable. The patent position of biopharmaceutical companies is generally uncertain because it involves complex legal and factual considerations, and has been the subject of much litigation in recent years. The standards applied by the United States Patent and Trademark Office, or USPTO, the European Patent Office, or EPO, and other foreign patent offices in granting patents are not always identical or applied uniformly or predictably. For example, there is no uniform worldwide policy regarding patentable subject matter or the scope of claims allowable in biopharmaceutical patents. Consequently, patents may not issue from our pending patent applications or, if issued, patents may vary in scope depending on the jurisdiction. As such, we do not know the degree of future protection that we will have on our proprietary products and technology in the various jurisdictions. The scope of patent protection that the USPTO, the EPO and other foreign patent offices will grant with respect to the DARPin product candidates in our product pipeline is uncertain. It is possible that the USPTO, the EPO and other foreign patent offices will not allow broad claims that cover DARPin product candidates closely related to our product candidates or to the specific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building blocks. As a result, upon receipt of EMA or FDA approval, competitors may be free to market other products almost identical to ours, thereby decreasing our market share.</w:t>
      </w:r>
    </w:p>
    <w:p>
      <w:pPr>
        <w:spacing w:after="0" w:line="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patent prosecution process is expensive, time-consuming and complex, and we and our current or future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development and commercialization activities before it is too late to obtain patent protection for them.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Further, the issuance, scope, validity, enforceability and commercial value of our and our current or future licensors’, licensees' or collaboration partners’ patent rights are highly uncertain. Our and our licensors’ pending and future patent applications may not result in patents being issued that protect our technology or products, in whole or in part, or that effectively prevent others from commercializing competitive technologies and products. Moreover, in some circumstances, we may not have the right to control the preparation, filing, prosecution and maintenance of the licensed patent applications or other intellectual property, or to maintain the patents, or may not have the first right to enforce the intellectual property. We may need to enter into new license or royalty agreements, covering technology that we license from or license to third parties or have developed in collaboration with our collaboration partners and are reliant on patent procurement activities of our licensors, licensees or collaboration partners. Therefore, we may not be able to adequately influence the patent prosecution or enforcement of these patents and patent applications,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If our current or future licensors, licensees or collaboration partners fail to obtain, maintain, protect or enforce such patents and other intellectual property rights, such rights may be reduced or lost. If our licensors, licensees or collaboration partners are not fully cooperative or disagree with us as to the preparation, filing, prosecution, maintenance, defense or enforcement of any licensed patent rights, such patent rights could be compromised. The patent examination process may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patents and patent applications has been found. If such prior art exists, it may invalidate patents in whole or in part or prevent patents from issuing from pending patent applications. Even if patents do successfully issue and even if such patents cover our product candidates, third parties may initiate an opposition, interference, re-examination, post-grant review, inter partes review, nullification, revocation, derivation, or other actions in court or before patent offices challenging the validity, enforceability or scope of such patents, which may result in the patent claims being narrowed, invalidated, or held unenforceable. Such proceedings have a higher impact in the biopharmaceutical industry than in other industries, given that biopharmaceutical products are often protected by only one or few patents. Our and our licensors’, licensees’ or collaboration partners’ patent applications cannot be enforced against third parties practicing the technology claimed in such applications unless and until a patent issues from such applications, and then only to the extent the issued claims cover the practiced technology. An adverse determination in any such proceeding could reduce the scope of, invalidate, or render unenforceable our patent rights, and allow third parties to commercialize our technology or products and compete directly with us, without payment to us. Such proceedings also may result in substantial cost and require significant time from our scientists and management, even if the eventual outcome is favorable to us.</w:t>
      </w:r>
    </w:p>
    <w:p>
      <w:pPr>
        <w:spacing w:after="0" w:line="1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the issuance of a patent is not conclusive as to its inventorship, scope, validity or enforceability. Even if our patent applications or those of our licensors, licensees or collaboration partners issue as patents, they may not issue in a form that will provide us with any meaningful protection, prevent competitors or other third parties from competing with us, or otherwise provide us with any competitive advantage. Any patents may be challenged, narrowed, circumvented or invalidated by third parties. Consequently, we do not know whether any of our DARPin platform advances or product candidates will be protectable or remain protected by valid and enforceable patents.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440" w:right="359" w:bottom="1440" w:gutter="0" w:footer="0" w:header="0"/>
        </w:sectPr>
      </w:pPr>
    </w:p>
    <w:bookmarkStart w:id="54" w:name="page55"/>
    <w:bookmarkEnd w:id="54"/>
    <w:p>
      <w:pPr>
        <w:spacing w:after="0" w:line="13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competitors or other third parties may be able to circumvent our patents by developing similar or alternative technologies or products in a non-infringing manner.</w:t>
      </w:r>
    </w:p>
    <w:p>
      <w:pPr>
        <w:spacing w:after="0" w:line="8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publications of discoveries in the scientific literature often lag behind the actual discoveries, and patent applications are confidential for a period of time after filing, and some remain so until issued. Therefore, we cannot be certain that we or our licensors, licensees or collaborators were the first to make the inventions claimed in any patent application, or were the first to file any patent application related to a product candidate. Furthermore, as to the United States, if third parties have filed such patent applications on or before March 15, 2013,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if the other party is able to obtain a compulsory license.</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product candidates are commercialized. As a result, our intellectual property may not provide us with sufficient rights to exclude others from commercializing products similar or identical to ours, including generic versions of such products. Moreover, it is possible that some future patents and patent applications owned or in-licensed by us may be co-owned with third parties, including our collaboration partners and other third parties with whom we conduct research and development.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1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Furthermore, it is possible that some future patents and patent applications owned or in-licensed by us may be subject to a reservation of rights by one or more third parties. For example, this may happen if the research resulting in certain of our owned or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have a material adverse effect on our competitive position, business, financial conditions, results of operations, and prospects.</w:t>
      </w:r>
    </w:p>
    <w:p>
      <w:pPr>
        <w:spacing w:after="0" w:line="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fail in enforcing our intellectual property rights and issued patents covering one or more of our product candidates or DARPin technology could be found invalid or unenforceable if challenged in court.</w:t>
      </w:r>
    </w:p>
    <w:p>
      <w:pPr>
        <w:spacing w:after="0" w:line="10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To protect our competitive position, we or our licensors or collaboration partners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than we or our licensors or collaboration partners can. Accordingly, despite our or our licensors' or collaboration partners’ efforts, we or our licensors or collaboration partners may not be able to prevent third parties from infringing upon, misappropriating or otherwise violating intellectual property rights we own or control, particularly in countries where the laws may not protect those rights as fully as in the European Union and the United States. We may fail in enforcing our rights, in which case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0"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competitors may be permitted to use our technology without being required to pay us any license fees. In addition, litigation involving our patents carries the risk that one or more of our patents will be held invalid (in whole or in part, on a claim-by-claim basis) or unenforceable. Such an adverse court ruling could allow third parties to commercialize our products or use our DARPin technology, and then compete directly with us, without payment to us.</w:t>
      </w:r>
    </w:p>
    <w:p>
      <w:pPr>
        <w:spacing w:after="0" w:line="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or one of our licensors or collaboration partners were to initiate legal proceedings against a third party to enforce a patent covering one of our product candidates or our technology, including our DARPin technology, the defendant could counterclaim that our patent is invalid or unenforceable. In patent litigation in the United States and Europe, defendant counterclaims alleging invalidity or unenforceability are commonplace. Third parties could also raise challenges to the validity of patent claims before administrative bodies in the United States, Europe or other foreign jurisdictions,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claims in such a way that they no longer cover our technology or DARPin platform, or any product candidates that we may develop. A claim for a validity challenge may be based on failure to meet any of several statutory requirements, including lack of novelty, obviousness or non-enablement. A claim for unenforceability could involve an allegation that someone connected with prosecution of the patent withheld relevant information from or made a misleading statement to the USPTO, the EPO or other patent offices during prosecution. The outcome following legal assertions of invalidity and unenforceability is unpredictable. With respect to the validity of our issued patents, for example, we cannot be certain that there is no invalidating prior art, of which we, our licensors or collaboration partners and the patent examiner were unaware during prosecution. If a third party were to prevail on a legal assertion of invalidity or unenforceability, we would lose part or all of the patent protection afforded by the affected patent. Such a loss of patent protection could have a material adverse impact on our business. Further, litigation could result in substantial costs and diversion of management resources, and reputational harm, regardless of the outcome, which could harm our business and financial results.</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Intellectual property litigation could cause us to spend substantial resources and distract our personnel from their normal responsibilities and negative outcomes could result in adverse effects on our business.</w:t>
      </w:r>
    </w:p>
    <w:p>
      <w:pPr>
        <w:spacing w:after="0" w:line="1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success depends, in part, on our ability to operate without infringing the patents and other proprietary intellectual property rights of third parties. This is generally referred to as having the “freedom to operate.” The biotechnology and pharmaceutical industries in which we plan to operate are subject to frequent and extensive litigation regarding patents and other intellectual property rights. In addition, companies producing therapeutics in the oncology and immuno-oncology fields have employed intellectual property litigation as a means to gain an advantage over their competitors. As a result, we may be required to defend against claims of intellectual property infringement, misappropriation or other violation that may be asserted by third parties against us and, if the outcome of any such litigation is adverse to us, it may affect our ability to compete effectively.</w:t>
      </w:r>
    </w:p>
    <w:p>
      <w:pPr>
        <w:spacing w:after="0" w:line="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competitive position may suffer if patents issued to third parties or other third-party intellectual property rights cover our products or elements thereof, our manufacture or uses relevant to our products or development plans, the targets of our product candidates, or other attributes of our product candidates or our technology. In such cases, we may not be in a position to develop or commercialize the applicable products or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relevant patent has not expired at the time of approval of such product candidate and the patent owner were to bring an infringement action against us, we may have to argue that our product, its manufacture, importation or use does not infringe, misappropriate or otherwise violate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There is no assurance that a court would find in our favor on questions of infringement or validity. In the event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patent is successfully asserted against us such that the patent is found to be valid and enforceable and infringed by our product, unless we obtain a license to such a patent, which may not be available on commercially reasonable terms or at all, we could be prevented from continuing to develop or commercialize our product. Similarly, the targets for certain of our product candidates have also been the subject of research by other companies, which have filed patent applications or own issued patents on aspects related to the targets or their uses. There can be no assurance that any such patents will not be asserted against us or that we will not need to seek licenses from such third parties. We may not be able to secure such licenses on acceptable terms, if at all, and any such litigation would be costly and time-consuming.</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also possible that we failed to identify relevant patents or applications. For example, certain U.S. applications filed after November 29, 2000 that will not be filed outside the United States may remain confidential until patents issue. In general, patent applications in the United States and elsewhere are published approximately 18 months after the earliest filing from which priority is claimed, with such earliest filing date being commonly referred to as the priority date. Therefore, patent applications covering our products or platform technology could have been filed by others without our knowledge, in particular with respect to our COVID-19 antiviral product candidates. Furthermore, we operate in a highly competitive field, and given our limited resources, it is unreasonable to monitor all patent applications purporting to gain broad coverage in the areas in which we are active. Additionally, claims in pending patent applications which have been published can, subject to certain limitations, be later amended in a manner that could cover our platform technologies, our products or the use of our products.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Third-party intellectual property right holders, including our competitors, may actively bring infringement, misappropriation or other claims against us. We may not be able to successfully settle or otherwise resolve such claims. If we are unable to successfully settle future claims on terms acceptable to us, we may be required to engage in or continue costly, unpredictable and time-consuming litigation and may be prevented from or experience substantial delays in marketing our products.</w:t>
      </w:r>
    </w:p>
    <w:p>
      <w:pPr>
        <w:spacing w:after="0" w:line="1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fail in any such dispute, in addition to being forced to pay damages, we or our licensees may be temporarily or permanently prohibited from commercializing any of our product candidates that are held to be infringing, misappropriating or violating any third-party intellectual property rights. We might also be forced to redesign product candidates so that we no longer infringe, misappropriate or otherwise violate third-party intellectual property rights, which may result in significant cost or delay to us or be technically infeasible, or to seek a license to any such third-party intellectual property rights that we are found to infringe, misappropriate or otherwise violate,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or our licensors or collaboration partners to make substantial royalty and other payments. In addition, we could be found liable for monetary damages, including treble damages and attorneys' fees, if we are found to have willfully infringed a patent. Any of these events, even if we were to ultimately prevail, could require us to divert substantial financial and management resources that we would otherwise be able to devote to our business.</w:t>
      </w:r>
    </w:p>
    <w:p>
      <w:pPr>
        <w:spacing w:after="0" w:line="10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involvement in litigation, and in any interference, derivation, reexamination, inter partes review, post grant review, opposition or other post-grant proceedings or other intellectual property proceedings inside and outside of the European Union or the United States, even if resolved in our favor, may cause us to incur significant expenses, distract our technical and management personnel from their normal responsibilities and cause substantial delays in marketing our products. In addition, there could be public announcements of the results of hearings, motions, other interim proceedings or developments, or of final verdicts and if securities analysts or investors perceive these results to be negative, this could have a substantial adverse effect on the price of the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collaboration partners’ patents and patent applications is challenged or threatened, it could dissuade companies from collaborating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 Any of the foregoing could have a material adverse effect on our competitive position, business, financial conditions, results of operations and prospects.</w:t>
      </w:r>
    </w:p>
    <w:p>
      <w:pPr>
        <w:spacing w:after="0" w:line="10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are subject, in part, to the terms and conditions of licenses granted to us by others, and we may not be successful in obtaining or maintaining additional necessary rights related to our product candidates through acquisitions and in-licenses.</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rely upon licenses to certain patent rights and other intellectual property from third parties that are important or necessary to the development of our product candidates. For example, in November 2004 we entered into a license agreement with the University of Zurich under which we are granted rights to intellectual property that are necessary to the development and commercialization of our DARPin platform and are otherwise important to our business. We may also need to obtain additional licenses to advance the development and commercialization of any product candidates we may develop. Additionally, we have in the past collaborated and may in the future collaborate with U.S. and/or European academic institutions to accelerate our preclinical research or development under written agreements with these institutions. In some instances,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 Our current license and collaborations agreements also impose, and we expect that future agreements will likely impose various reporting, prosecution, diligence, fee payment, royalty and other obligations on us. If there is any conflict, dispute, disagreement or issue of non-performance between us and our licensing or collaboration partners regarding our rights or obligations under the agreements, including any such conflict, dispute or disagreement arising from our alleged failure to satisfy payment obligations under any such agreement, we may owe damages, the counterparty may have a right to terminate the affected agreement, and our and our licensees' ability to utilize the affected intellectual property in drug discovery and development efforts, and our ability to enter into collaboration or marketing agreements for an affected product candidate, may be adversely affected. Our business could also suffer if a licensor or collaborator fails to abide by the terms of the agreement, if any licensed patents or other rights are found to be invalid or unenforceable, or if we are unable to enter into necessary licenses on acceptable terms or at all. Any of these events could have a material adverse effect on our competitive position, business, financial conditions, results of operations, and prospects. For more information regarding our license and collaboration agreements, see “Business—License and Collaboration Agreements.”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If our current or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current or future licensors may have relied on third party consultants or collaborators or on funds from third parties such that our licensors are not the sole and exclusive owners of the patents we in-licensed. This could have a material adverse effect on our competitive position, business, financial conditions, results of operations and prospects.</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Because our programs may require the use of proprietary rights held by third parties, the growth of our business may depend in part on our ability to acquire, in-license, maintain or use these proprietary rights. We may be unable to acquire or in-license, on reasonable terms or at all,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0"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in the future we do undertake any acquisitions, the process of integrating an acquired business, technology, service, products or product candidates into our business may result in unforeseen operating difficulties and expenditures, including diversions of resources and management’s attention from our core business, or any acquired intellectual property may be subject to claims of invalidity or unenforceability or held to be invalid. In addition, we may fail to retain key executives and employees of the companies we acquire, which may reduce the value of the acquisition or give rise to additional integration costs. Future acquisitions could result in additional issuances of equity securities that would dilute the ownership of existing shareholders. Future acquisitions could also result in the incurrence of debt, actual or contingent liabilities or the amortization of expenses related to other intangible assets, any of which could adversely affect our operating results. In addition, we may fail to realize the anticipated benefits of any acquisition. Any of the foregoing could have a material adverse effect on our competitive position, business, financial conditions, results of operations and prospects.</w:t>
      </w:r>
    </w:p>
    <w:p>
      <w:pPr>
        <w:spacing w:after="0" w:line="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determined to be infringing on other marks or names. We may not be able to protect our rights to these trademarks and trade names, which we need to build name recognition among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rights senior to ours, it could interfere with our use of our current trademarks throughout the world.</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Amendments and similar non-U.S. legislation for extending the term of patents covering each of our product candidates, our business may be materially harmed.</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Patents have a limited duration. In the United States, if all maintenance fees are timely paid, the natural expiration of a patent is generally 20 years from its earliest effective U.S. non-provisional filing date. Various extensions may be available, but the life of a patent, and the protection it affords, is limited. Even if patents covering our product candidates, their manufacture, or use are obtained, once the patent life has expired, we may be open to competition from competitive medications, including biosimilar medications or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at least not long enough to recoup the costs incurred in developing our products.</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Act and similar legislation in the European Union and several other relevant countries around the world. The Hatch-Waxman Act permits a patent term extension of up to five years for a patent covering an approved product as compensation for effective patent term lost during product development and the FDA regulatory review process. The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the length of the extension could be less than we request. If we are unable to obtain patent term extension or the term of any such extension is less than we request, the period during which we can enforce our patent rights for the applicable product will be shortened and our competitors may be able to enter the market with competing products sooner than we expect, and our business, financial condition, results of operations, and prospects could be materially harmed.</w:t>
      </w:r>
    </w:p>
    <w:p>
      <w:pPr>
        <w:spacing w:after="0" w:line="106"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The base patents relating to the DARPin base technology we use to generate our DARPin product candidates, which we exclusively license from the University of Zurich, are expected to expire in September 2021, after which our competitors may be able to utilize the technology claimed in such patents, which may materially adversely affect our business and competitive position.</w:t>
      </w:r>
    </w:p>
    <w:p>
      <w:pPr>
        <w:spacing w:after="0" w:line="9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hold an exclusive license from the University of Zurich on patent applications and patents relating to the DARPin base technology that we use to generate our DARPin product candidates. The base patents under this license agreement will expire in September 2021, except that one U.S. patent under the license agreement will expire in 2023. After the patents expire or the potential termination of the license agreement, our competitors may be able to utilize the technology claimed in such patents to develop product candidates that compete with ours. We have elected to terminate the license agreement effective October 2021. In addition, we are exploring entering into a non-exclusive license with the University of Zurich for the remaining U.S. patent that will expire in 2023. If we do not enter into such non-exclusive license, a third party may obtain an exclusive license to the patent that will expire in 2023. Any of these events could harm our reputation as being the leader in the DARPin technology, and could have an adverse effect on our competitive position, business, financial conditions, results of operations and prospects.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w:t>
      </w:r>
    </w:p>
    <w:p>
      <w:pPr>
        <w:spacing w:after="0" w:line="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and the European Union. Consequently, we may not be able to prevent third parties from practicing our inventions in all countries outside the United States and the European Union, or from selling or importing products made using our inventions in and into all countries outside the United States and the European Union.</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often file our first patent application, or our priority filing, at the EPO or the USPTO. International applications under the Patent Cooperation Treaty, or PCT, are usually filed within twelve months after the priority filing. Based on the PCT filing, national and regional patent applications may be filed in additional jurisdictions where we believe our product candidates may be marketed. We have so far not filed for patent protection in all national and regional jurisdictions where such protection may be available. In addition, we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Competitors may use our or our licensors’ or collaboration partners’ technologies in jurisdictions where we have not obtained patent protection to develop their own products and, further, may export otherwise infringing products to territories where we and our licensors or collaboration partners have patent protection, but enforcement is not as strong as that in the United States and the European Union. These products may compete with our product candidates, and our and our licensors' or collaboration partners' patents or other intellectual property rights may not be effective or sufficient to prevent them from competing.</w:t>
      </w:r>
    </w:p>
    <w:p>
      <w:pPr>
        <w:spacing w:after="0" w:line="10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United States and the European Union,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results of operations may be adversely affected.</w:t>
      </w:r>
    </w:p>
    <w:p>
      <w:pPr>
        <w:spacing w:after="0" w:line="7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Proceedings to defend or enforce our and our licensors' or collaboration partners' patent rights in foreign jurisdictions could result in substantial costs and divert our and our licensors' or collaboration partners' efforts and attention from other aspects of our business, could put our and our licensors' or collaboration partners' patents at risk of being invalidated or interpreted narrowly,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If we or our licensors or collaborators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9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the agreements pursuant to which we license intellectual property rights from third parties, or otherwise experience disruptions to our business relationships with our licensors, we could lose the rights to intellectual property that are important to our business.</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a party to agreements under which we are granted rights to intellectual property that are important to our business, including our license agreement with the University of Zurich, and we expect that we may need to enter into additional license agreements in the future. Under certain license agreements, we may not control the preparation, filing, prosecution or maintenance of the licensed intellectual property, or may not have the first right to enforce or defend the intellectual property. In those cases, we may not be able to adequately influence patent prosecution, enforcement or defense, or prevent inadvertent lapses of coverage due to failure to pay maintenance fees and we cannot be certain that these patents and patent applications will be prepared, filed, prosecuted, maintained, enforced, and defended in a manner consistent with the best interests of our business and that does not compromise the patent rights. Existing license agreements impose, and we expect that future license agreements will impose, various development obligations as well as other obligations, such as payment of royalties. If we fail to comply with our obligations under these agreements, the licensor may have the right to terminate the license. The termination of any license agreements or failure to adequately protect such license agreements could prevent us from commercializing product candidates covered by the licensed intellectual property. For more information regarding our license and collaboration agreements, see “Business—License and Collaboration Agreements.”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58"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57"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otherwise violate intellectual property of the licensor that is not subject to the licensing agreement;</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current or future collaboration relationships;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16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It is possible that we may be unable to obtain any necessary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including our DARPin product candidates, manufacturing methods or future methods or products resulting in either an injunction prohibiting our manufacture or sales, or, with respect to our sales, an obligation on our part to pay royalties or other forms of compensation to third parties, which could be significant.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340" w:right="12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or substantially equivalent to our product candidates but that are not covered by the claims of the patents that we own or have exclusively licensed.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third parties may have an adverse effect on our business.</w:t>
      </w:r>
    </w:p>
    <w:p>
      <w:pPr>
        <w:spacing w:after="0" w:line="157" w:lineRule="exact"/>
        <w:rPr>
          <w:rFonts w:ascii="Arial" w:cs="Arial" w:eastAsia="Arial" w:hAnsi="Arial"/>
          <w:sz w:val="18"/>
          <w:szCs w:val="18"/>
          <w:color w:val="auto"/>
        </w:rPr>
      </w:pPr>
    </w:p>
    <w:p>
      <w:pPr>
        <w:ind w:left="340" w:right="12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current or future licensors or strategic partners might not have been the first to conceive or reduce to practice the inventions covered by the issued patent or pending patent application that we own or have licensed.</w:t>
      </w:r>
    </w:p>
    <w:p>
      <w:pPr>
        <w:spacing w:after="0" w:line="89"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current or future licensors or strategic partners might not have been the first to file patent applications covering certain of our or their inventions.</w:t>
      </w:r>
    </w:p>
    <w:p>
      <w:pPr>
        <w:spacing w:after="0" w:line="102"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current or future patent applications will not lead to issued patents.</w:t>
      </w:r>
    </w:p>
    <w:p>
      <w:pPr>
        <w:spacing w:after="0" w:line="144"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own or license may not provide us with any competitive advantage, or may be held invalid or unenforceable, including as a result of legal challenges by our competitors.</w:t>
      </w:r>
    </w:p>
    <w:p>
      <w:pPr>
        <w:spacing w:after="0" w:line="102"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2" w:lineRule="exact"/>
        <w:rPr>
          <w:rFonts w:ascii="Arial" w:cs="Arial" w:eastAsia="Arial" w:hAnsi="Arial"/>
          <w:sz w:val="18"/>
          <w:szCs w:val="18"/>
          <w:color w:val="auto"/>
        </w:rPr>
      </w:pPr>
    </w:p>
    <w:p>
      <w:pPr>
        <w:ind w:left="340" w:right="140" w:hanging="332"/>
        <w:spacing w:after="0" w:line="263" w:lineRule="auto"/>
        <w:tabs>
          <w:tab w:leader="none" w:pos="3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products or technologies could use the intellectual property of third parties without obtaining a proper license, rendering us susceptible to claims of infringement, misappropriation or other violation of such third parties’ intellectual property rights;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 and</w:t>
      </w:r>
    </w:p>
    <w:p>
      <w:pPr>
        <w:spacing w:after="0" w:line="157" w:lineRule="exact"/>
        <w:rPr>
          <w:rFonts w:ascii="Arial" w:cs="Arial" w:eastAsia="Arial" w:hAnsi="Arial"/>
          <w:sz w:val="18"/>
          <w:szCs w:val="18"/>
          <w:color w:val="auto"/>
        </w:rPr>
      </w:pPr>
    </w:p>
    <w:p>
      <w:pPr>
        <w:ind w:left="340" w:right="100" w:hanging="332"/>
        <w:spacing w:after="0" w:line="342"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in particular, our product candidates may in the future be tested for new indications, and if one proves to be effective against a specific new indication, we may be confronted with existing patents covering such indication.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1440" w:right="399" w:bottom="1440" w:gutter="0" w:footer="0" w:header="0"/>
        </w:sectPr>
      </w:pPr>
    </w:p>
    <w:bookmarkStart w:id="62" w:name="page63"/>
    <w:bookmarkEnd w:id="62"/>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laws or patent jurisprudence could diminish the value of patents in general, thereby impairing our ability to protect our products.</w:t>
      </w:r>
    </w:p>
    <w:p>
      <w:pPr>
        <w:spacing w:after="0" w:line="17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success is heavily dependent on the extent of our intellectual property rights, particularly patents. Obtaining, defending and enforcing patents in the biopharmaceutical industry involves both technological and legal complexity and is costly, time-consuming and inherently uncertain. Changes in either the patent laws or interpretation of the patent laws in the European Union, United States or other jurisdictions could increase the uncertainties and costs surrounding the prosecution of patent applications and the enforcement or defense of issued patents. The Leahy-Smith America Invents Act, or the AIA, was enacted in the United States in September 2011, resulting in significant changes to the U.S. patent system.</w:t>
      </w:r>
    </w:p>
    <w:p>
      <w:pPr>
        <w:spacing w:after="0" w:line="1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As of March 16, 2013, under the AIA, the United States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Therefore, a third party that files a patent application in the USPTO before us could therefore be awarded a patent covering an invention even if we had made the invention before it was made by the third party. This will require us to be cognizant of the time from invention to filing of a patent application, and circumstances could prevent or dissuade us from promptly filing patent applications on our inventions.</w:t>
      </w:r>
    </w:p>
    <w:p>
      <w:pPr>
        <w:spacing w:after="0" w:line="1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AIA also includes a number of significant changes that affect the way patent applications will be prosecuted and also may affect patent litigation. These include changes that limit where a patentee may file a patent infringement suit and that allow third party submissions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other applicable bodies in the European Union and other foreign jurisdictions, the laws and regulations governing patents could change in unpredictable ways that could weaken our ability to obtain new patents or to defend and enforce our existing patents and patents that we might obtain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consider proprietary trade secrets, confidential know-how and unpatented know-how to be important to our business and competitive position. We may rely on trade secrets or confidential know-how to protect our technology, especially where patent protection is believed to be of limited value. However, trade secrets and confidential know-how are difficult to protect.</w:t>
      </w:r>
    </w:p>
    <w:p>
      <w:pPr>
        <w:spacing w:after="0" w:line="10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CROs and advisors to enter into confidentiality agreements with us. We cannot guarantee that we have entered into such agreements with each party that may have or have had access to our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secrets or proprietary technology and processes and, despite these efforts, any of these parties may unintentionally or willfully breach the agreements and disclose our confidential information to competitors, and such agreements may not provide an adequate remedy in the event of unauthorized disclosure of confidential information. Enforcing a claim that a third party illegally disclosed or misappropriated trade secrets or confidential know-how is expensive, time-consuming and unpredictable. In addition, the enforceability of confidentiality agreements and trade secrets may vary from jurisdiction to jurisdiction. Furthermore, if a third party lawfully obtained or independently developed any of our trade secrets, we would have no right to prevent such third party from using that technology or information to compete with us or from disclosing it to others, which could harm our competitive position. Additionally, if the steps taken to maintain our trade secrets are deemed inadequate, we may have insufficient recourse against third parties for misappropriating our trade secrets.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Failure to effectively maintain and protect trade secrets or confidential know-how could adversely affect our competitive position. Moreover, our competitors may independently develop substantially equivalent proprietary information and may even apply for patent protection in respect of the same. If successful in obtaining such patent protection, our competitors may be able to limit our use of our trade secrets or confidential know-how.</w:t>
      </w:r>
    </w:p>
    <w:p>
      <w:pPr>
        <w:spacing w:after="0" w:line="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or claiming ownership of what we regard as our own intellectual property.</w:t>
      </w:r>
    </w:p>
    <w:p>
      <w:pPr>
        <w:spacing w:after="0" w:line="10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Many of our consultants and employees, including our senior management, were previously employed at other biotechnology or pharmaceutical companies, including our competitors or potential competitors. Some of these consultants and employees executed proprietary rights, non-disclosure and non-competition agreements in connection with such previous employment. Although we try to ensure that our consultants and employees do not use the proprietary information or know-how of others in their work for us, we may be subject to claims that we or these consultants and employees have used or disclosed confidential information or intellectual property, including trade secrets or other proprietary information, of any such consultant's or employee's current or former employer, or have breached their non-competition agreement. Litigation may be necessary to defend against such claims.</w:t>
      </w:r>
    </w:p>
    <w:p>
      <w:pPr>
        <w:spacing w:after="0" w:line="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we or our licensors may be subject to claims that former employees, consultants, collaborators or other third parties have an interest in our owned or in-licensed patents or other intellectual property as an inventor or co-inventor. While it is our policy to require our consultants and employees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1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0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Periodic maintenance and annuity fees on any of our owned or licensed patents and patent applications are due to be paid to the USPTO, the EPO and other foreign patent agencies in several stages over the lifetime of the patents and patent applications. The USPTO, the EPO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earlier with similar products or technology, which would have an adverse effect on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Organization and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success depends upon the continued contributions of our key management, scientific and technical personnel, many of whom have been instrumental for us and have substantial experience with our therapies and related technologies. These key management individuals include the members of our board of directors and executive management, including Dr. Patrick Amstutz, our Chief Executive Officer, Dr. Michael Tobias Stumpp, our Chief Operating Officer, Andreas Emmenegger, our Chief Financial Officer, and Dr. Nicolas Leupin, our Chief Medical Officer.</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loss of key managers and senior scientists could delay our research and development activities. In addition, our ability to compete in the highly competitive biotechnology and pharmaceutical industries, and particularly, in the oncology and immuno-oncology fields, depends upon our ability to attract and retain highly qualified management, scientific and medical personnel. Many other biotechnology and pharmaceutical companies and academic institutions that we compete against for qualified personnel have greater financial and other resources, different risk profiles and a longer history in the industry than we do. Therefore, we might not be able to attract or retain these key persons on conditions that are economically acceptable. Furthermore, we will need to recruit new managers and qualified scientific personnel to develop our business if we expand into fields that will require additional skills. Additionally, there is a larger pool of qualified scientific and medical personnel in the United States than in Switzerland, and we may need to increase our presence in the United States in order to attract and retain the necessary human resources. Our inability to attract and retain these key persons could prevent us from achieving our objectives and implementing our business strategy, which could have an adverse effect on our business and prospects.</w:t>
      </w:r>
    </w:p>
    <w:p>
      <w:pPr>
        <w:spacing w:after="0" w:line="9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to experience growth in the number of our employees and the scope of our operations, particularly in the areas of drug development, regulatory affairs, sales and marketing and support functions such as finance, human resources, legal, intellectual property, information technology and administration. To manage our anticipated future growth, we must continue to implement and improve our managerial, operational and financial systems, expand our facilities and continue to recruit and train additional qualified personnel. Due to our limited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integrate efficiently or achieve the expected benefits of any acquisitions of complementary businesses, product candidates or technologies.</w:t>
      </w:r>
    </w:p>
    <w:p>
      <w:pPr>
        <w:spacing w:after="0" w:line="1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Since our inception in 2004, we have grown organically without any acquisitions. Should we in the future contemplate to acquire any complementary business, product candidates or technologies, our ability to integrate and manage acquired businesses, product candidates or technologies effectively will depend upon a number of factors including the size of the acquired business, the complexity of any product candidate or technology and the resulting difficulty of integrating the acquired business's operations, if any. Our relationship with current employees or employees of any acquired business may become impaired. We may also be subject to unexpected claims and liabilities arising from such acquisitions. These claims and liabilities could be costly to defend, could be material to our financial position and might exceed either the limitations of any applicable indemnification provisions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financial resources of the indemnifying parties. There can also be no assurance that we will be able to assess ongoing profitability and identify all actual or potential liabilities of a business, product candidate or technology prior to its acquisition. If we acquire businesses, product candidates or technologies that result in assuming unforeseen liabilities in respect of which it has not obtained contractual protections or for which protection is not available, this could materially adversely affect our business, prospects,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w:t>
      </w:r>
    </w:p>
    <w:p>
      <w:pPr>
        <w:spacing w:after="0" w:line="103"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weakness, including inflation, increase of interest rates, or political instability in particular economies and markets;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potentially reduced ability to obtain, maintain, protect and enforce intellectual property rights and other proprietary rights;</w:t>
      </w:r>
    </w:p>
    <w:p>
      <w:pPr>
        <w:spacing w:after="0" w:line="144"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currency exchange rates of the euro, U.S. dollar and Swiss franc and currency controls;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international markets;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57"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stock options granted under our employee stock plan;</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340" w:right="440" w:hanging="332"/>
        <w:spacing w:after="0" w:line="342" w:lineRule="auto"/>
        <w:tabs>
          <w:tab w:leader="none" w:pos="3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56" w:lineRule="exact"/>
        <w:rPr>
          <w:rFonts w:ascii="Arial" w:cs="Arial" w:eastAsia="Arial" w:hAnsi="Arial"/>
          <w:sz w:val="16"/>
          <w:szCs w:val="16"/>
          <w:color w:val="auto"/>
        </w:rPr>
      </w:pPr>
    </w:p>
    <w:p>
      <w:pPr>
        <w:ind w:left="340" w:right="8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resulting from claims against us by third parties, including claims of breach of noncompete and confidentiality provisions of our employees' former employment agreements with such third parties;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57" w:lineRule="exact"/>
        <w:rPr>
          <w:rFonts w:ascii="Arial" w:cs="Arial" w:eastAsia="Arial" w:hAnsi="Arial"/>
          <w:sz w:val="18"/>
          <w:szCs w:val="18"/>
          <w:color w:val="auto"/>
        </w:rPr>
      </w:pPr>
    </w:p>
    <w:p>
      <w:pPr>
        <w:ind w:left="340" w:right="44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interruptions resulting from cyber-attacks, geo-political actions, including war and terrorism, or natural disasters including earthquakes, typhoons, floods and fires.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1440" w:right="399" w:bottom="1440" w:gutter="0" w:footer="0" w:header="0"/>
        </w:sectPr>
      </w:pPr>
    </w:p>
    <w:bookmarkStart w:id="66" w:name="page67"/>
    <w:bookmarkEnd w:id="66"/>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regarding U.S. dollars, euros, British pounds and Swiss francs. Our functional currency is the Swiss franc and the majority of our operating expenses are paid in Swiss francs, but we also may receive payments from our business partners, including Amgen and AbbVie, in U.S. dollars or euros and we regularly acquire services, consumables and materials in U.S. dollars and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developments relating to the United Kingdom's referendum vote in favor of withdrawal from the European Union could adversely affect us.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European Union, or Brexit. As a result of this vote, the United Kingdom left the European Union on January 31, 2020, commonly referred to as Brexit. Pursuant to the formal withdrawal arrangements agreed between the United Kingdom and the European Union, the United Kingdom was subject to a transition period until December 31, 2020, or the Transition Period, during which European Union rules continued to apply. The Trade and Cooperation Agreement, or the Trade and Cooperation Agreement, which outlines the future trading relationship between the United Kingdom and the European Union was agreed in December 2020. The effects of Brexit have been and are expected to continue to be far-reaching. Brexit and the perceptions as to its impact may adversely affect business activity and economic conditions in Europe and globally and could continue to contribute to instability in global financial and foreign exchange markets. Since a significant proportion of the regulatory framework in the United Kingdom applicable to our business and our product candidates is derived from European Union directives and regulations, Brexit has had, and may continue to have, a material impact upon the regulatory regime with respect to the development, manufacture, importation, approval and commercialization of our product candidates in the United Kingdom. For example, Great Britain is no longer covered by the centralized procedures for obtaining European Union-wide marketing authorizations and a separate marketing authorization will be required to market our product candidates in Great Britain and the European Union, should any development or manufacturing of our product candidates take place in Great Britain.</w:t>
      </w:r>
    </w:p>
    <w:p>
      <w:pPr>
        <w:spacing w:after="0" w:line="11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It is currently unclear whether the MHRA is sufficiently prepared to handle the increased volume of marketing authorization applications that it is likely to receive. Any delay in obtaining, or an inability to obtain, any marketing approvals, as a result of Brexit or otherwise, could make it more difficult to commercialize, or prevent us from commercializing our product candidates in the European Union or in the United Kingdom and restrict our ability to generate revenue and achieve and sustain profitability. While the Trade and Cooperation Agreement provides for the tariff-free trade of medicinal products between the United Kingdom and the European Union, there may be additional non-tariff costs to such trade which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significant additional expenses (when compared to the position prior to the end of the Transition Period) to operate our business, which could significantly and materially harm or delay our ability to generate revenues or achieve profitability of our business.</w:t>
      </w:r>
    </w:p>
    <w:p>
      <w:pPr>
        <w:spacing w:after="0" w:line="8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11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As a result of the Brexit, other European countries may seek to conduct referenda with respect to their continuing membership in the European Union. Given these possibilities and others we may not anticipate, as well as the lack of comparable precedent, we cannot be certain of the full extent to which Brexit could adversely affect our business, results of operations and financial condition.</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exposed to unanticipated changes in tax laws and regulations, adjustments to our tax provisions, exposure to additional tax liabilities, or forfeiture of our tax assets.</w:t>
      </w:r>
    </w:p>
    <w:p>
      <w:pPr>
        <w:spacing w:after="0" w:line="8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determination of our provision for income taxes and other tax liabilities requires significant judgment, including the adoption of certain accounting policies and our determination of whether we will be able to obtain a future tax benefit from our deferred tax assets. We cannot guarantee that our interpretations will not be challenged by the relevant tax authorities, or that the relevant tax laws and regulations, or the interpretation thereof, including through tax rulings, by the relevant tax authorities, will not be subject to change. Any adverse outcome of such a challenge may lead to adjustments in the amounts recorded in our financial statements, and could have a material adverse effect on our operating results and financial condition.</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subject to laws and regulations on tax levies and other charges or contributions in different countries, including transfer pricing and tax regulations applicable to the compensation of personnel and third parties. Transactions between current group companies, as well as additional companies that may form part of our group in the future, are subject to transfer pricing regulations, which may be subject to change or our existing transfer pricing system could be challenged by the relevant tax authority, and any such changes or challenges could adversely affect us.</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effective tax rate could be adversely affected by changes in tax laws, treaties and regulations, both internationally and domestically, or the interpretation thereof by the relevant tax authorities, including changes to the U.K. research and development tax credit regime or the "patent box" regime, possible changes to the corporate income tax base, changes to the additional deduction for expenditure on research and development personnel in Switzerland and other tax incentives . An increase in our effective tax rate could have an adverse effect on our business, financial position, results of operations and cash flows.</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we may not be able to use, or changes in tax regulations may affect the use of, certain tax assets or credits that we have generated in prior years. For instance, as of December 31, 2020, we had substantial tax loss carry forwards. In general, some of these tax loss carry forwards may be forfeited in whole, or in part, as a result of various transactions, or their utilization may be restricted by statutory law in the relevant jurisdiction. Any corporate reorganization by us or any transaction relating to our shareholding structure may result in partial or complete forfeiture of tax loss carry forwards. If not used, tax loss carryforwards for Swiss corporate income tax purposes expire seven years after the tax year in which they were incurred. Due to our limited income, there is a high risk that our tax loss carryforwards will expire in part or in their entirety and therefore will not be able to be used to offset future taxable income for Swiss corporate income tax purposes. Furthermore, any tax loss carry forwards that we report on our Swiss tax returns are subject to review and confirmation by the competent Swiss tax authorities in their tax assessment of the tax year for which the tax loss carryforwards are used to offset taxable income. Consequently, we are exposed to the risk that the competent Swiss tax authorities may not accept the reported tax loss carryforwards in part or in their entirety.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0"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jurisdictions in which we operate that have differing statutory tax rates;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57" w:lineRule="exact"/>
        <w:rPr>
          <w:rFonts w:ascii="Arial" w:cs="Arial" w:eastAsia="Arial" w:hAnsi="Arial"/>
          <w:sz w:val="18"/>
          <w:szCs w:val="18"/>
          <w:color w:val="auto"/>
        </w:rPr>
      </w:pPr>
    </w:p>
    <w:p>
      <w:pPr>
        <w:ind w:left="340" w:right="640" w:hanging="332"/>
        <w:spacing w:after="0" w:line="308" w:lineRule="auto"/>
        <w:tabs>
          <w:tab w:leader="none" w:pos="3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any deferred tax assets that are based on estimates of our future results, the prudence and feasibility of possible tax planning strategies, and the economic and political environments in which we do business;</w:t>
      </w:r>
    </w:p>
    <w:p>
      <w:pPr>
        <w:spacing w:after="0" w:line="78" w:lineRule="exact"/>
        <w:rPr>
          <w:rFonts w:ascii="Arial" w:cs="Arial" w:eastAsia="Arial" w:hAnsi="Arial"/>
          <w:sz w:val="17"/>
          <w:szCs w:val="17"/>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outcome of any current or future tax audits, examinations, or administrative appeals;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limitations or adverse findings regarding our ability to do business in some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business, results of operations and financial condition.</w:t>
      </w:r>
    </w:p>
    <w:p>
      <w:pPr>
        <w:spacing w:after="0" w:line="15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As a result of changes in, or in the interpretation of, tax laws, treaties, rulings, regulations or agreements of Switzerland or any other country in which we currently operate or may in the future operate, the loss of a major tax dispute or a challenge to our operating structure, intercompany pricing policies or the taxable presence of our existing or any future subsidiaries in certain countries, or other factors, our effective income tax rates may increase in the future, which could adversely affect our net income and cash flows.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changes in the interpretation thereof by the tax authorities in jurisdictions in which we currently do or may in the future elect to do business. Our effective income tax rate may be affected by changes in or interpretations of tax laws, treaties, rulings, regulations or agreements in any such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w:t>
      </w:r>
    </w:p>
    <w:p>
      <w:pPr>
        <w:spacing w:after="0" w:line="9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Due to the Swiss corporate tax law reform that took effect on January 1, 2020, all Swiss cantons, including the Canton of Zurich, have abolished previously existing cantonal tax privileges. Therefore, since January 1, 2020, we are subject to standard cantonal taxation. The standard effective corporate tax rate in Schlieren, Canton of Zurich, can change from time to time. The standard combined (federal, cantonal, municipal) effective corporate income tax rate, except for dividend income for which we could claim a participation exemption, for 2021 in Schlieren, Canton of Zurich, will be approximately 19.41%.</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We urge our shareholders to consult with their legal and tax advisors with respect to the potential tax consequences of investing in or holding our ADSs.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Offering and the ADSs</w:t>
      </w:r>
    </w:p>
    <w:p>
      <w:pPr>
        <w:spacing w:after="0" w:line="1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The price of the ADSs may be volatile and may fluctuate due to factors beyond our control. An active public trading market may not develop and/or may not be sustained following this offering. And you may not be able to resell the ADSs at or above the public offering price.</w:t>
      </w:r>
    </w:p>
    <w:p>
      <w:pPr>
        <w:spacing w:after="0" w:line="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Prior to this offering, while our common shares have been traded on the SIX Swiss Exchange, there has been no public market on a U.S. national securities exchange for the ADSs or our common shares in the United States. If you purchase ADSs in this offering, you may not be able to resell those ADSs at or above the public offering price. The trading price of the common shares has fluctuated, and is likely to continue to fluctuate substantially. The trading price of those securities depends on a number of factors, including those described in this "Risk Factors" section, many of which are beyond our control and may not be related to our operating performance. In addition, although we anticipate our ADSs being approved for listing on the Nasdaq Global Market, an active trading market for our ADSs may never develop or be sustained following this offering. The offering price of our ADSs will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through negotiations between us and the underwriters. This offering price may not be indicative of the market price of our ADSs or common shares after this offering.</w:t>
      </w:r>
    </w:p>
    <w:p>
      <w:pPr>
        <w:spacing w:after="0" w:line="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market price of the ADSs and our common shares may fluctuate significantly due to a variety of factors, many of which are beyond our control, including:</w:t>
      </w:r>
    </w:p>
    <w:p>
      <w:pPr>
        <w:spacing w:after="0" w:line="10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reported or conducted by us, strategic partners or competitors;</w:t>
      </w:r>
    </w:p>
    <w:p>
      <w:pPr>
        <w:spacing w:after="0" w:line="157"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product candidates or entering into strategic relationships on terms that are not deemed to be favorable to us;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impact of the COVID-19 pandemic on the economy or financial markets;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price and volume fluctuations attributable to inconsistent trading volume levels of the ADSs and/or common shares.</w:t>
      </w:r>
    </w:p>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the ADSs and common shares to fluctuate substantially, regardless of our actual operating performance, which may limit or prevent investors from readily selling their ADSs or common shares and may otherwise negatively affect the liquidity of the ADSs and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U.S.-listed public company, and our board of directors will be required to devote substantial time to new compliance initiatives and corporate governance practices.</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in the United States, and particularly after we no longer qualify as an emerging growth company, we will incur significant legal, accounting and other expenses that we did not incur as a public company listed only on the SIX Swiss Exchange. We are a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organized under the laws of Switzerland in accordance with articles 620 et seqq. CO and subject to the listing rules and the applicable regulations for companies listed on the SIX Swiss Exchange, the Sarbanes-Oxley Act of 2002, the Dodd-Frank Wall Street Reform and Consumer Protection Act, the listing requirements of the Nasdaq Stock Market, or Nasdaq, and other applicable securities rules and regulations that impose various requirements on non-U.S. reporting public companies, including the establishment and maintenance of effective disclosure and financial controls and certain additional corporate governance practices. Our board of directors and other personnel will be required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9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Certain significant shareholders will continue to own a substantial number of our securities and as a result, may be able to exercise significant influence over the outcome of shareholder votes. These shareholders may have different interests from us or your interests.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have a number of significant shareholders. For an overview of our current significant shareholders, please see "Principal Shareholders." Following the</w:t>
      </w:r>
    </w:p>
    <w:p>
      <w:pPr>
        <w:spacing w:after="0" w:line="46"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completion of this offering, these significant shareholders and their affiliates, in the aggregate, will own approximately % of our common shares (including common shares represented by the ADSs).</w:t>
      </w:r>
    </w:p>
    <w:p>
      <w:pPr>
        <w:spacing w:after="0" w:line="11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Currently, we are not aware that any of our existing shareholders have entered or will enter into a shareholders' agreement with respect to the exercise of their voting rights. Nevertheless, depending on the level of attendance at our general meetings of shareholders, or the General Meeting, these significant shareholders could have the ability to significantly influence the outcome of decisions taken at any such General Meeting. Any such voting by these shareholders may not be in accordance with our interests or those of our other shareholders. Among other consequences, this concentration of ownership may have the effect of delaying or preventing a change in control and might therefore negatively affect the market price of the ADSs.</w:t>
      </w:r>
    </w:p>
    <w:p>
      <w:pPr>
        <w:spacing w:after="0" w:line="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securities could adversely affect the price of the shares and dilute shareholders.</w:t>
      </w:r>
    </w:p>
    <w:p>
      <w:pPr>
        <w:spacing w:after="0" w:line="10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If our existing shareholders sell, or indicate an intent to sell, substantial amounts of our securities in the public market, the trading price of the ADSs and our common shares could decline significantly and, in case of the ADSs, could decline below the public offering price in this offering. Upon completion of</w:t>
      </w:r>
    </w:p>
    <w:p>
      <w:pPr>
        <w:ind w:right="140"/>
        <w:spacing w:after="0" w:line="281" w:lineRule="auto"/>
        <w:rPr>
          <w:sz w:val="20"/>
          <w:szCs w:val="20"/>
          <w:color w:val="auto"/>
        </w:rPr>
      </w:pPr>
      <w:r>
        <w:rPr>
          <w:rFonts w:ascii="Arial" w:cs="Arial" w:eastAsia="Arial" w:hAnsi="Arial"/>
          <w:sz w:val="16"/>
          <w:szCs w:val="16"/>
          <w:color w:val="auto"/>
        </w:rPr>
        <w:t>this offering, we will have outstanding common shares outstanding (including common shares represented by the ADSs), approximately of which, subject to limited exceptions, are subject to a 90-day contractual lock-up. The representatives of the underwriters may permit us and the holders of the shares subject to lock-up agreements to sell shares or ADSs prior to the expiration of the lock-up agreements. See "Underwriting." After the lock-up agreements pertaining to this offering expire, and based on the number of common shares (including common shares represented by ADSs) outstanding</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upon completion of this offering, these additional common shares will be eligible for sale in the public market, all of which shares are held by directors and certain members of our executive management and will be subject to volume limitations under Rule 144 under the Securities Act of 1933, as amended, or the Securities Act, for sales in the United States. In addition, common shares subject to outstanding options under our equity incentive plans and the common shares reserved for future issuance under our equity incentive plan will become eligible for sale in the public market in the future, subject to certain legal and contractual limitations.</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intend to register all common shares that we may issue under our equity compensation plans. Once we register these common shares, they can be freely sold in the public market upon issuance, subject to volume limitations applicable to affiliates and the lock-up agreements described in the "Shares and ADSs Eligible for Future Sale" section of this prospectus.</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our articles of association or Swiss corporate law might deter acquisition bids for us that might be considered favorable and prevent or frustrate any attempt to replace or remove the then board of directors.</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Provisions of our articles of association may make it more difficult for a third party to acquire control of us. For example, our board of directors is authorized to deny the preemptive rights of shareholders and allocate them to third parties as a defense of an actual, threatened or potential takeover bid, in relation to which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upon consultation with an independent financial adviser retained by it, has not recommended to the shareholders acceptance on the basis that the board of directors has not found the takeover bid to be financially fair to the shareholders.</w:t>
      </w:r>
    </w:p>
    <w:p>
      <w:pPr>
        <w:spacing w:after="0" w:line="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several provisions of Swiss corporate law and certain other provisions of Swiss law, such as obligations to disclose significant shareholdings and merger control regulations, that apply to us may make an unsolicited tender offer, merger, change in management or other change in control of our company more difficult. These provisions could discourage potential takeover attempts that other shareholders may consider to be in their best interest and could adversely affect the market price of our securities. These provisions may also have the effect of depriving ADS holders of the opportunity to sell their ADSs at a premium. In addition, the board of directors of Swiss companies may in certain instances, and subject to prior authorization by the shareholders, deter or frustrate public takeover bids through dilutive issuances of equity securities (pursuant to the authorized capital) or through share buy-backs.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ADSs in this offering, you will suffer immediate dilution of your investment.</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public offering price of the ADSs is substantially higher than the as adjusted net tangible book value per ADS. Therefore, if you purchase ADSs in this offering, you will pay a price per ADS that substantially exceeds our as adjusted net tangible book value per ADS after this offering. To the extent outstanding options are exercised, you will incur further dilution. Based on the assumed public offering price of $ per ADS, you will experience</w:t>
      </w:r>
    </w:p>
    <w:p>
      <w:pPr>
        <w:ind w:right="380"/>
        <w:spacing w:after="0" w:line="260" w:lineRule="auto"/>
        <w:rPr>
          <w:sz w:val="20"/>
          <w:szCs w:val="20"/>
          <w:color w:val="auto"/>
        </w:rPr>
      </w:pPr>
      <w:r>
        <w:rPr>
          <w:rFonts w:ascii="Arial" w:cs="Arial" w:eastAsia="Arial" w:hAnsi="Arial"/>
          <w:sz w:val="18"/>
          <w:szCs w:val="18"/>
          <w:color w:val="auto"/>
        </w:rPr>
        <w:t>immediate dilution of $ per ADS, representing the difference between our as adjusted net tangible book value per ADS after giving effect to this offering and the public offering price. See "Dilution."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5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board of directors will have broad discretion in the application of the net proceeds from this offering and could spend the proceeds in ways that do not improve our results of operations or enhance the value of the ADSs. The failure by our board of directors to apply these funds effectively could result in financial losses that could have a material adverse effect on our business, cause the price of the ADSs to decline and delay the development of our product candidates. Pending their use, we may invest the net proceeds from this offering in a manner that does not produce income or that loses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may increase the risk of holding ADSs and common shares.</w:t>
      </w:r>
    </w:p>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Due to the international scope of our operations, our assets, earnings and cash flows are influenced by movements in exchange rates of several currencies, particularly the euro, U.S. dollar and Swiss franc. Our functional currency is the Swiss franc, and the majority of our operating expenses are paid in Swiss franc, but we also receive or may receive payments from business partners in U.S. dollars, and we regularly acquire services, consumables and materials in U.S. dollars and euros. Further, potential future revenue may be derived from abroad, particularly from the United States or the European Union. As a result, our business and the price of the ADSs and common shares may be affected by fluctuations in foreign exchange rates between the Swiss franc and these other currencies, which may also have a significant impact on our reported results of operations and cash flows from period to period. Besides natural hedging, currently, we do not have any exchange rate hedging arrangements in place.</w:t>
      </w:r>
    </w:p>
    <w:p>
      <w:pPr>
        <w:spacing w:after="0" w:line="1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Moreover, because our common shares currently trade on the SIX Swiss Exchange in Swiss francs, and the ADSs will trade on the Nasdaq Global Market in U.S. dollars, fluctuations in the exchange rate between the U.S. dollar and the Swiss franc may result in temporary differences between the value of the ADSs and the value of our common shares, which may result in heavy trading by investors seeking to exploit such differences.</w:t>
      </w:r>
    </w:p>
    <w:p>
      <w:pPr>
        <w:spacing w:after="0" w:line="98"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We will be traded on more than one market and this may result in price variations and adversely affect the liquidity and value of the ADSs; in addition, investors may not be able to easily move common shares for trading between such markets. Furthermore, because of this dual listing, securities and stock exchange laws, regulations and rules will apply to us that may be irreconcilable or otherwise difficult to comply with contemporaneously.</w:t>
      </w:r>
    </w:p>
    <w:p>
      <w:pPr>
        <w:spacing w:after="0" w:line="5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common shares have traded on the SIX Swiss Exchange since 2014 and our ADSs will be traded on the Nasdaq Global Market. Trading in our ADSs or common shares on these markets takes place in different currencies (U.S. dollars on the Nasdaq Global Market and Swiss Francs on the SIX Swiss Exchange), and at different times (resulting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different time zones, different trading days and different public holidays in the United States and Switzerland). The trading prices of our common shares and our ADSs on these two markets may differ due to these and other factors. Any decrease in the price of our common shares on the SIX Swiss Exchange could cause a decrease in the trading price of our ADSs on the Nasdaq Global Market. Investors could seek to sell or buy our common shares to take advantage of any price differences between the markets through a practice referred to as arbitrage. Any arbitrage activity could create unexpected volatility in both our share prices on one exchange and the common shares available for trading on the other exchange. In addition, holders of ADSs cannot immediately surrender their ADSs and withdraw the underlying common shares for trading on the other market without effecting necessary procedures with the depositary. This could result in time delays and additional cost for holders of ADSs.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Upon completion of this offering, our ADSs will be admitted to trading and listed on the Nasdaq Global Market, while our common shares will continue to be admitted to trading and listed on the SIX Swiss Exchange. Because different types of our equity securities will be admitted to trading and listed on two different stock exchanges in two different jurisdictions, two sets of securities laws and regulations and stock exchange rules will apply to us contemporaneously. It cannot be excluded that the laws, regulations and/or rules of one jurisdiction or trading venue may require us to effect disclosures or filings or grant shareholders and/or holders of our ADSs certain rights that would be unlawful under the laws, regulations and/or rules of the respective other jurisdiction or trading venue. For this or other reasons, it may prove difficult or impossible for us to at all times comply with the laws, regulations and/or rules of both jurisdictions and trading venues at the same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are not treated as holders of our common shares.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By participating in this offering you will become a holder of ADSs with underlying common shares in a Swiss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Holders of ADSs are not treated as holders of our common shares, unless they withdraw the common shares underlying their ADSs in accordance with the deposit agreement and applicable laws and regulations. The depositary is the holder of the common shares underlying the ADSs. Holders of ADSs therefore do not have any rights as holders of our common shares, other than the rights that they have pursuant to the deposit agreement. See "Description of American Depositary Shares."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the transfer of their ADSs and the withdrawal of the underlying common shares.</w:t>
      </w:r>
    </w:p>
    <w:p>
      <w:pPr>
        <w:spacing w:after="0" w:line="1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common shares. Temporary delays in the cancellation of your ADSs and withdrawal of the underlying common shares may arise because the depositary has closed its transfer books or we have closed our transfer books, the transfer of common shares is blocked to permit voting at a shareholders' meeting or we are paying a dividend on our common shares. In addition, ADS holders may not be able to cancel their ADSs and withdraw the underlying common shares when they owe money for fees, taxes and similar charges and when it is necessary to prohibit withdrawals in order to comply with any laws or governmental regulations that apply to ADSs or to the withdrawal of common shares or other deposited securities. See "Description of American Depositary Shares—Withdrawal of Common Shares Upon Cancellation of ADSs."</w:t>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1440" w:right="379" w:bottom="1440" w:gutter="0" w:footer="0" w:header="0"/>
        </w:sectPr>
      </w:pPr>
    </w:p>
    <w:bookmarkStart w:id="73" w:name="page74"/>
    <w:bookmarkEnd w:id="73"/>
    <w:p>
      <w:pPr>
        <w:spacing w:after="0" w:line="13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depositary to terminate the ADS facility at any time for any reason. For example, terminations may occur if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but will have no right to any compensation whatsoever.</w:t>
      </w:r>
    </w:p>
    <w:p>
      <w:pPr>
        <w:spacing w:after="0" w:line="1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The deposit agreement governing the ADSs representing our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116" w:lineRule="exact"/>
        <w:rPr>
          <w:sz w:val="20"/>
          <w:szCs w:val="20"/>
          <w:color w:val="auto"/>
        </w:rPr>
      </w:pPr>
    </w:p>
    <w:p>
      <w:pPr>
        <w:jc w:val="both"/>
        <w:ind w:right="240"/>
        <w:spacing w:after="0" w:line="286" w:lineRule="auto"/>
        <w:rPr>
          <w:sz w:val="20"/>
          <w:szCs w:val="20"/>
          <w:color w:val="auto"/>
        </w:rPr>
      </w:pPr>
      <w:r>
        <w:rPr>
          <w:rFonts w:ascii="Arial" w:cs="Arial" w:eastAsia="Arial" w:hAnsi="Arial"/>
          <w:sz w:val="16"/>
          <w:szCs w:val="16"/>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w:t>
      </w:r>
    </w:p>
    <w:p>
      <w:pPr>
        <w:spacing w:after="0" w:line="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8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2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Moreover, as the jury trial waiver relates to claims arising out of or relating to the ADSs or the deposit agreement, we believe that, as a matter of construction of the clause, the waiver would likely to continue to apply to ADS holders who withdraw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from the ADS facility with respect to claims arising before the cancellation of the ADSs and the withdrawal of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and the waiver would most likely not apply to ADS holders who subsequently withdraw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represented by ADSs from the ADS facility with respect to claims arising after the withdrawal. However, to our knowledge, there has been no case law on the applicability of the jury trial waiver to ADS holders who withdraw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shares represented by the ADSs from the ADS facility.</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You will not have the same voting rights as the holders of our common shares and may not receive voting materials in time to be able to exercise your right to vote.</w:t>
      </w:r>
    </w:p>
    <w:p>
      <w:pPr>
        <w:spacing w:after="0" w:line="10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Except as described in this prospectus and the deposit agreement, holders of the ADSs will not be able to exercise voting rights attaching to the common shares represented by the ADSs. Under the terms of the deposit agreement, holders of the ADSs may instruct the depositary to vote the common shares underlying their ADSs.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holders of ADSs will not be able to exercise their right to vote unless they withdraw the common shares underlying their ADSs in accordance with the deposit agreement and applicable laws and regulations to vote them in person or by proxy in accordance with applicable Swiss laws and regulations and our articles of association. Even so, ADS holders may not know about a meeting far enough in advance to withdraw those common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common shares underlying their ADSs. In addition, regardless of whether timely voting instructions are provided to the depositary, at our request, the depositary will represent all common shares underlying the ADSs for the purpose of establishing a quorum at a meeting of our shareholders. A shareholder is only entitled to participate in, and vote at, the meeting of shareholders, provided that its shares are recorded in its name at midnight (Central European Time) at the end of the 28th day preceding the date of the meeting of shareholders.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common shares are not voted as they have requested or if their shares cannot be voted.</w:t>
      </w:r>
    </w:p>
    <w:p>
      <w:pPr>
        <w:spacing w:after="0" w:line="200" w:lineRule="exact"/>
        <w:rPr>
          <w:sz w:val="20"/>
          <w:szCs w:val="20"/>
          <w:color w:val="auto"/>
        </w:rPr>
      </w:pP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beneficial owner of our common shares that is not registered in our shareholders register may not be able to exercise certain rights attached to the common shares.</w:t>
      </w:r>
    </w:p>
    <w:p>
      <w:pPr>
        <w:spacing w:after="0" w:line="10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financial rights attached to our common shares transfer to a holder of those shares upon purchasing such shares in a stock market transaction. Any voting rights or rights related to voting rights only transfer once the acquirer has been registered in the shareholders' register as shareholder of such common shares. A beneficial owner that is not directly registered in the shareholders' register can enjoy the financial rights, voting rights and rights related to voting rights only through the entity that acts as nominee or depositary for those common shares and is recorded in the shareholders' register as the shareholder of record of those shares. This is also the case if you hold ADSs. It is possible that a nominee or a depositary will be unwilling to exercise certain rights attached to the common shares, such as rights that require litigation. Therefore, failing to register in the shareholders' register may result in your inability to exercise certain rights as a shareholder.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5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In addition, payment of any future dividends to shareholders would be subject to shareholder approval at our General Meeting, upon proposal of the board of directors, which proposal would be subject to the approval of the majority of the non-executive directors after taking into account various factors including our business prospects, cash requirements, financial performance and new product development. In addition, certain limitations apply to the payment of future dividends pursuant to Swiss law and our articles of association. See "Description of Share Capital and Articles of Association." For the taxation of future dividend payments, see "Swiss Tax-Implications for U.S. Holders." In addition, payment of future cash dividends may be made only if our shareholders' equity exceeds the sum of our paid-in and called-up share capital plus the reserves required to be maintained by Swiss law or by our articles of association. Accordingly, investors cannot rely on cash dividend income from ADSs and any returns on an investment in the ADSs will likely depend entirely upon any future appreciation in the price of the ADSs.</w:t>
      </w:r>
    </w:p>
    <w:p>
      <w:pPr>
        <w:spacing w:after="0" w:line="1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registration of the authorized share capital increase in the commercial register may be blocked and the shareholders’ resolutions regarding the creation of the underlying authorized share capital may be challenged.</w:t>
      </w:r>
    </w:p>
    <w:p>
      <w:pPr>
        <w:spacing w:after="0" w:line="8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offering is based on, among other things, approval by the Company’s shareholders at the annual general meeting to be held on April 21 , 2021 of resolutions regarding the creation of authorized share capital necessary to source the common shares underlying the ADSs to be sold in this offering, and subject to, among other things,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execution by our board of directors of the share capital increase by which the common shares underlying the ADSs to be sold in this offering will be created, and the related filings that will need to be made prior to the completion of this offering. The issuance of new common shares will become effective upon registration in the commercial register. As with all share capital increases in Switzerland, the shareholders’ resolutions regarding such share capital increase may be challenged in court within two months after such shareholders’ meeting and/or the registration of the capital increase in the commercial register may be blocked temporarily by a preliminary injunction or permanently by order of a competent court. Either action would prevent or delay the completion of this offering.</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our common shares represented by our ADS or any value for them if it is illegal or impractical to make them available to holders of ADSs.</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that the depositary for our ADSs will agree to pay to you or distribute the cash dividends or other distributions it or the custodian receives on our common shares or other deposited securities after deducting its fees and expenses. You will receive these distributions in proportion to the number of our common shares your ADSs represent. However, in accordance with the limitations that we expect will be set forth in the deposit agreement, it may be unlawful or impractical to make a distribution available to holders of ADSs. We have no obligation to take any other action to permit the distribution of our ADSs, common shares, rights or anything else to holders of our ADSs. This means that you may not receive the distributions we make on our common shares or any value from them if it is unlawful or impracticable to make them available to you. These restrictions may have a material adverse effect on the value of your ADSs.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shares outside Switzerland and ADS holders may not be able to exercise pre-emptive rights.</w:t>
      </w:r>
    </w:p>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Under Swiss law, shareholders may receive certain pre-emptive rights to subscribe on a pro rata basis for issuance of equity or other securities that are convertible into equity. Due to laws and regulations in their respective jurisdictions, however, non-Swiss shareholders may not be able to exercise such rights unless we take action to register or otherwise qualify the rights offering under the laws of that jurisdiction. There can be no assurance that we would take any such action and we reserve the right to determine whether we should take such action in any jurisdiction. If shareholders in such jurisdictions were unable to exercise their subscription rights, their ownership interest in the Company would be diluted.</w:t>
      </w:r>
    </w:p>
    <w:p>
      <w:pPr>
        <w:spacing w:after="0" w:line="1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ADS holders have no pre-emptive rights to subscribe to newly issued shares unless we grant such rights to the foreign depositary. The right to exercise such pre-emptive rights is set out in the agreement between the ADS holder and the depositary.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jurisdictions.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organizational rules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holder of ADSs.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in Schlieren, Canton of Zurich, Switzerland, or where the relevant member of our board of directors is domiciled. In addition, under Swiss law, any claims by our shareholders against us must be brought exclusively to the competent courts in Schlieren, Canton of Zurich, Switzerland. See “Description of Share Capital and Articles of Association” and “Comparison of Shareholder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June 19, 2020, the Swiss Parliament approved legislation that will modernize certain aspects of Swiss corporate law. See "Description of Share Capital and Articles of Association—Certain Important Provisions of our Articles of Association, Organizational Rules and Swiss Law." The new legislation, which will alter the rights of shareholders under Swiss law, is currently expected to come into force in 2023 or later. There can be no assurance that Swiss law will not once again change in the future, which could adversely affect the rights of our shareholders or holders of our ADSs. Furthermore, there can be no guarantee that Swiss law does or will protect our shareholders or the holders of our ADSs in a similar fashion as the laws of U.S. jurisdictions would, in particular as regards corporate law principles, if we were a U.S.-incorporated company.</w:t>
      </w:r>
    </w:p>
    <w:p>
      <w:pPr>
        <w:spacing w:after="0" w:line="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common shares are issued under the laws of Switzerland, which may not provide investors with the same protections provided by incorporation in Delaware.</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law is contained in this prospectus. See "Description of Share Capital and Articles of Association," "Limitations Affecting Shareholders of a Swiss Company" and "Comparison of Shareholder Rights." There can be no assurance that Swiss law will not change in the future or that it will provide investors with the same protections afforded to investors of a Delaware corporation, which could adversely affect the rights of investors.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incorporated under the laws of Switzerland and our registered office and domicile is located in Schlieren, Switzerland. Substantially all of our assets are located outside the United States. A number of our directors and executive officers are not residents of the United States. As a result, it may not be possible for investors to effect service of process within the United States upon such persons or to enforce judgments obtained against them or us in U.S. courts, including judgments predicated upon the civil liability provisions of the U.S. federal securities laws.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w:t>
      </w:r>
    </w:p>
    <w:p>
      <w:pPr>
        <w:spacing w:after="0" w:line="12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United States currently does not have a treaty with Switzerland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Switzerland. In order to obtain a judgment which is enforceable in Switzerland, the party in whose favor a final and conclusive judgment of the U.S. court has been rendered will be required to file its claim with a court of competent jurisdiction in Switzerland. Such party may submit to the Swiss court the final judgment rendered by the U.S. court. If and to the extent that the Swiss court finds that the jurisdiction of the U.S. court has been based on grounds which are internationally acceptable and that proper legal procedures have been observed, the court of Switzerland will, in principle, give binding effect to the judgment of the U.S. court, unless such judgment contravenes principles of public policy of Switzerland. Also, mandatory provisions of Swiss law may be applicable regardless of any other law that would otherwise apply. Swiss courts may deny the recognition and enforcement of punitive damages or other awards. Moreover, a Swiss court may reduce the amount of damages granted by a U.S. court and recognize damages only to the extent that they are necessary to compensate actual losses or damages. Enforcement and recognition of judgments of U.S. courts in Switzerland are solely governed by the provisions of the Swiss Federal Private International Law Act. This statute provides in principle that a judgment rendered by a non-Swiss court may be enforced in Switzerland only if:</w:t>
      </w:r>
    </w:p>
    <w:p>
      <w:pPr>
        <w:spacing w:after="0" w:line="100"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440" w:right="359" w:bottom="1440" w:gutter="0" w:footer="0" w:header="0"/>
        </w:sectPr>
      </w:pPr>
    </w:p>
    <w:bookmarkStart w:id="77" w:name="page78"/>
    <w:bookmarkEnd w:id="77"/>
    <w:p>
      <w:pPr>
        <w:spacing w:after="0" w:line="130" w:lineRule="exact"/>
        <w:rPr>
          <w:sz w:val="20"/>
          <w:szCs w:val="20"/>
          <w:color w:val="auto"/>
        </w:rPr>
      </w:pPr>
    </w:p>
    <w:p>
      <w:pPr>
        <w:ind w:left="340" w:right="160" w:hanging="332"/>
        <w:spacing w:after="0" w:line="27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8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us or members of our board of directors or certain experts named herein who are residents of Switzerland or countries other than the United States any judgments obtained in U.S. courts in civil and commercial matters, including judgments under the U.S. federal securities laws.</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share capital registered in the commercial register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only under certain limited conditions.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"Limitations Affecting Shareholders of a Swiss Company" and "Comparison of Shareholder Rights.”</w:t>
      </w:r>
    </w:p>
    <w:p>
      <w:pPr>
        <w:spacing w:after="0" w:line="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Swiss law does not require that a majority of our board of directors consist of independent directors. Our board of directors therefore may include fewer independent directors than would be required if we were subject to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78" w:name="page79"/>
    <w:bookmarkEnd w:id="78"/>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Listing Rule 5605(b)(1). In addition, we are not subject to Nasdaq Listing Rule 5605(b)(2), which requires that independent directors regularly have scheduled meetings at which only independent directors are present.</w:t>
      </w:r>
    </w:p>
    <w:p>
      <w:pPr>
        <w:spacing w:after="0" w:line="8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Although Swiss law also requires that we adopt a compensation committee, we follow home country requirements with respect to such committee. As a result, our practice varies from the requirements of Nasdaq Listing Rule 5605(d), which sets forth certain requirements as to the responsibilities, composition and independence of compensation committees. In addition, in accordance with Swiss law, we have opted not to implement a nominating committee.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independent director oversight of director nominations requirements of Nasdaq Listing Rule 5605(e).</w:t>
      </w:r>
    </w:p>
    <w:p>
      <w:pPr>
        <w:spacing w:after="0" w:line="1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To this extent, our practice varies from the requirements of Nasdaq Listing Rule 5635, which generally requires an issuer to obtain shareholder approval for the issuance of securities in connection with such events.</w:t>
      </w:r>
    </w:p>
    <w:p>
      <w:pPr>
        <w:spacing w:after="0" w:line="12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Association—Certain Important Provisions of our Articles of Association, Organizational Rules and Swiss Law.” As a result of the above, you may not have the same protections afforded to shareholders of companies that are not foreign private issuers.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0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2022 (the end of our second fiscal quarter in the fiscal year after this offering), which would require us to comply with all of the periodic disclosure and current reporting requirements of the Exchange Act applicable to U.S. domestic issuers as of January 1, 2022. In order to maintain our current status as a foreign private issuer, either (a) a majority of our common shares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lost foreign private issuer status, we would be required to comply with the Exchange Act reporting and other requirements applicable to U.S. domestic issuers, which are more detailed and extensive than the requirements for foreign private issuers. We would be required to change our accounting from reporting under IFRS to reporting under U.S. generally accepted accounting principles. We would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the ADSs less attractive to investors.</w:t>
      </w:r>
    </w:p>
    <w:p>
      <w:pPr>
        <w:spacing w:after="0" w:line="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an "emerging growth company," as defined in the U.S. Jumpstart Our Business Startups Act of 2012, or the JOBS Act. For as long as we continue to be an "emerging growth company," we may take advantage of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1440" w:right="359" w:bottom="1440" w:gutter="0" w:footer="0" w:header="0"/>
        </w:sectPr>
      </w:pPr>
    </w:p>
    <w:bookmarkStart w:id="79" w:name="page80"/>
    <w:bookmarkEnd w:id="79"/>
    <w:p>
      <w:pPr>
        <w:spacing w:after="0" w:line="13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from various reporting requirements that are applicable to other public companies that are not "emerging growth companies," including not being required to comply with the auditor attestation requirements of Section 404 of the Sarbanes-Oxley Act,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compared to three and five years, respectively, for comparable data reported by other public companies. We may take advantage of these exemptions until we are no longer an "emerging growth company." We could be an "emerging growth company" for up to the last day of the fiscal year ending after the fifth anniversary of our initial U.S. public offering, although circumstances could cause us to lose that status earlier, including if the aggregate market value of our common shares held by non-affiliates exceeds $700 million as of any June 30 (the end of our second fiscal quarter) before that time, in which case we would no longer be an "emerging growth company" as of the following December 31 (our fiscal year-end). We cannot predict if investors will find the ADSs less attractive because we may rely on these exemptions. If some investors find the ADSs less attractive as a result, there may be a less active trading market for the ADSs and the price of the ADSs may be more volatile.</w:t>
      </w:r>
    </w:p>
    <w:p>
      <w:pPr>
        <w:spacing w:after="0" w:line="10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ADSs representing our shares or our shares.</w:t>
      </w:r>
    </w:p>
    <w:p>
      <w:pPr>
        <w:spacing w:after="0" w:line="11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ADSs representing our shares or our shares.</w:t>
      </w: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will be required to assess the effectiveness of our internal controls annually beginning with our second annual report to be filed with the SEC. However, for as long as we are an “emerging growth company” under the JOBS Act, our independent registered public accounting firm will not be required to attest to the effectiveness of our internal controls over financial reporting pursuant to Section 404 of the Sarbanes-Oxley Act.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become classified as a passive foreign investment company, U.S. holders of ADSs may suffer adverse tax consequences as a result.</w:t>
      </w:r>
    </w:p>
    <w:p>
      <w:pPr>
        <w:spacing w:after="0" w:line="18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will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or ADSs) and rents and royalties other than rents and royalties which are received from unrelated parties in connection with the active conduct of a trade or business. If we are characterized as a PFIC, U.S. holders of our ADSs may suffer adverse tax consequences, including having gains realized on the sale of our ADSs treated as ordinary income rather than capital gain, the loss of the preferential rate applicable to dividends received on ADSs by individuals who are U.S. holders, and having interest charges apply to certain distributions by us and gains from the sales of our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status as a PFIC will depend on the nature and composition of our income and the nature, composition and value of our assets. Our status may also depend, in part, on how quickly we utilize the cash proceeds from this or any future offering of our common shares or ADSs in our business. Based upon the value of our assets and the nature and composition of our income and assets, we believe we may have been classified as a PFIC for the taxable year ended December 31, 2020, although no assurances can be made in this regard. We have not yet determined whether we were a PFIC for the taxable year ended December 31, 2020. In addition, we may be classified as a PFIC for the taxable year ended December 31, 2021. Because the determination of whether we are a PFIC for any taxable year is a factual determination made annually after the end of each taxable year, there can be no assurance that we will not be considered a PFIC in any taxable year. Accordingly, our U.S. counsel expresses no opinion with respect to our PFIC status for our taxable year ended December 31, 2020, and also expresses no opinion with regard to our expectations regarding our PFIC status in the future.</w:t>
      </w:r>
    </w:p>
    <w:p>
      <w:pPr>
        <w:spacing w:after="0" w:line="84"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tax consequences that would apply if we are classified as a PFIC would be different from those described above if a U.S. holder of ADSs were able to make a valid qualified electing fund, or QEF, election. At this time, we do not expect to provide U.S. holders of ADSs with the information necessary for a U.S. shareholder to make a QEF election. Accordingly, prospective investors should assume that a QEF election will not be available.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depend on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availability and integrity of such confidential information. We have established physical, electronic and organizational security measures designed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have access to our confidential information. While we have taken steps to protect the security of the information that we handle, there can be no assurance that any security measures that we or our third-party vendors have implemented will be effective against current or future security threats. Our internal information technology systems and infrastructure, and those of our current and any future collaborators, contractors consultants, vendors,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or intentional or accidental actions or omissions to act by persons inside our organization, or persons with access to systems inside our organization.</w:t>
      </w:r>
    </w:p>
    <w:p>
      <w:pPr>
        <w:spacing w:after="0" w:line="10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lost or stolen devices, security incidents, and data security breaches, which could lead to the loss of confidential information or other intellectual property. As a result of the COVID-19 pandemic, we may face increased risks of a security breach or disruption due to our reliance on internet technology and the number of our employees who are working remotely, which may create additional opportunities for cybercriminals to exploit vulnerabilities.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1440" w:right="359" w:bottom="1440" w:gutter="0" w:footer="0" w:header="0"/>
        </w:sectPr>
      </w:pPr>
    </w:p>
    <w:bookmarkStart w:id="81" w:name="page82"/>
    <w:bookmarkEnd w:id="81"/>
    <w:p>
      <w:pPr>
        <w:spacing w:after="0" w:line="13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unexpected interruptions, delays, cessation of service, negative publicity, and other harm to our business, our reputation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Any security compromise affecting us, our partners or our industry, whether real or perceived, could harm our reputation, erode confidence in the effectiveness of our security measures, and lead to regulatory scrutiny. Moreover, if a computer security breach affects our systems or results in the unauthorized access to or unauthorized use, disclosure, release or other unauthorized processing of personal information, our reputation could be materially damaged. In addition, such a breach may require notification to governmental agencies, the media or individuals pursuant to various federal, state, and foreign privacy and security laws, if applicable, including HIPAA, as amended HITECH, and its implementing rules and regulations, as well as regulations promulgated by the Federal Trade Commission, state data breach notification laws, and the GDPR. We would also be exposed to a risk of loss, governmental investigations or enforcement, or litigation and potential liability, any of which could materially adversely affect our business, results of operations and financial condition.</w:t>
      </w:r>
    </w:p>
    <w:p>
      <w:pPr>
        <w:spacing w:after="0" w:line="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coverage of us, or publish inaccurate or unfavorable research about our business, the price of the ADSs and our trading volume could decline.</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trading market for the ADSs and our common shares will depend in part on the research and reports that securities or industry analysts publish about us or our business. If no or too few securities or industry analysts cover us, the trading price for the ADSs and our common shares would likely be negatively affected. If one or more of the analysts who cover us downgrade the ADSs or our common shares or publish inaccurate or unfavorable research about our business, the price of the ADSs and our common shares would likely decline. If one or more of these analysts cease coverage of us or fail to publish reports on us regularly, demand for the ADSs and our common shares could decrease, which might cause the price of the ADSs and our common shares and trading volume to decline.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14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biopharmaceutical companies have experienced significant share price volatility in recent years. If we were to be sued, it could result in substantial costs and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1440" w:right="379" w:bottom="1440" w:gutter="0" w:footer="0" w:header="0"/>
        </w:sectPr>
      </w:pPr>
    </w:p>
    <w:bookmarkStart w:id="82" w:name="page83"/>
    <w:bookmarkEnd w:id="8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30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prospectus, particularly the sections of this prospectus titled “Prospectus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Forward looking statements are based on our management's beliefs and assumptions and on information currently available to our management. When used in this prospectus, the words “anticipate,” “believe,” “can,” “could,” “estimate,” “expect,” “intend,” “designed,” “may,” “might,” “plan,” “potential,” “predict,” “objective,” “should,” or the negative of these and similar expressions identify forward-looking statements. Forward-looking statements include, but are not limited to, statements about:</w:t>
      </w:r>
    </w:p>
    <w:p>
      <w:pPr>
        <w:spacing w:after="0" w:line="99"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clinical trials and preclinical studies, and our research and development programs;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of regulatory filings and the likelihood of favorable regulatory outcomes and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regulatory treatment of our product candidates;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developments in the European Union, United States and other countries;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contract on commercially reasonable terms with third-party suppliers and manufacturers;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strategy and the development of our product candidates and technology platforms;</w:t>
      </w:r>
    </w:p>
    <w:p>
      <w:pPr>
        <w:spacing w:after="0" w:line="15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obtain and maintain for intellectual property rights covering our product candidates and technology and our ability to protect and enforce such rights;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on, misappropriating or otherwise violating the intellectual property rights of others;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third parties with whom we contract to successfully conduct, supervise and monitor clinical trials for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potential benefits of our strategic collaboration agreements and our ability to enter into future strategic arrangements;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COVID-19 on our business, operations and prospects and on our clinical trials;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30"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therapies;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expected use of proceeds from the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future trading price of the ADSs and impact of securities analysts reports on these prices;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offering.</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440" w:right="359" w:bottom="1440" w:gutter="0" w:footer="0" w:header="0"/>
        </w:sectPr>
      </w:pPr>
    </w:p>
    <w:bookmarkStart w:id="84" w:name="page85"/>
    <w:bookmarkEnd w:id="84"/>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MARKET, INDUSTRY AND OTHER DATA</w:t>
      </w: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which we believe to be reliable.</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See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1440" w:right="379" w:bottom="1440" w:gutter="0" w:footer="0" w:header="0"/>
        </w:sectPr>
      </w:pPr>
    </w:p>
    <w:bookmarkStart w:id="85" w:name="page86"/>
    <w:bookmarkEnd w:id="85"/>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TRADEMARKS AND SERVICE MARKS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We own trademark registrations for “Molecular Partners</w:t>
      </w:r>
      <w:r>
        <w:rPr>
          <w:rFonts w:ascii="Arial" w:cs="Arial" w:eastAsia="Arial" w:hAnsi="Arial"/>
          <w:sz w:val="23"/>
          <w:szCs w:val="23"/>
          <w:color w:val="auto"/>
          <w:vertAlign w:val="superscript"/>
        </w:rPr>
        <w:t>®</w:t>
      </w:r>
      <w:r>
        <w:rPr>
          <w:rFonts w:ascii="Arial" w:cs="Arial" w:eastAsia="Arial" w:hAnsi="Arial"/>
          <w:sz w:val="18"/>
          <w:szCs w:val="18"/>
          <w:color w:val="auto"/>
        </w:rPr>
        <w:t>” and “DARPin</w:t>
      </w:r>
      <w:r>
        <w:rPr>
          <w:rFonts w:ascii="Arial" w:cs="Arial" w:eastAsia="Arial" w:hAnsi="Arial"/>
          <w:sz w:val="23"/>
          <w:szCs w:val="23"/>
          <w:color w:val="auto"/>
          <w:vertAlign w:val="superscript"/>
        </w:rPr>
        <w:t>®</w:t>
      </w:r>
      <w:r>
        <w:rPr>
          <w:rFonts w:ascii="Arial" w:cs="Arial" w:eastAsia="Arial" w:hAnsi="Arial"/>
          <w:sz w:val="18"/>
          <w:szCs w:val="18"/>
          <w:color w:val="auto"/>
        </w:rPr>
        <w:t>” in Switzerland, the European Union, the United States and Japan.</w:t>
      </w:r>
    </w:p>
    <w:p>
      <w:pPr>
        <w:spacing w:after="0" w:line="10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All other trade names, trademarks and service marks of other companies appearing in this prospectus are the property of their respective holders. Solely for convenience, the trademarks and trade names in this prospectus may be referred to without the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1440" w:right="399" w:bottom="1440" w:gutter="0" w:footer="0" w:header="0"/>
        </w:sectPr>
      </w:pPr>
    </w:p>
    <w:bookmarkStart w:id="86" w:name="page87"/>
    <w:bookmarkEnd w:id="86"/>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USE OF PROCEEDS</w:t>
      </w:r>
    </w:p>
    <w:p>
      <w:pPr>
        <w:spacing w:after="0" w:line="305" w:lineRule="exact"/>
        <w:rPr>
          <w:sz w:val="20"/>
          <w:szCs w:val="20"/>
          <w:color w:val="auto"/>
        </w:rPr>
      </w:pPr>
    </w:p>
    <w:p>
      <w:pPr>
        <w:spacing w:after="0"/>
        <w:tabs>
          <w:tab w:leader="none" w:pos="6460" w:val="left"/>
          <w:tab w:leader="none" w:pos="7280" w:val="left"/>
        </w:tabs>
        <w:rPr>
          <w:sz w:val="20"/>
          <w:szCs w:val="20"/>
          <w:color w:val="auto"/>
        </w:rPr>
      </w:pPr>
      <w:r>
        <w:rPr>
          <w:rFonts w:ascii="Arial" w:cs="Arial" w:eastAsia="Arial" w:hAnsi="Arial"/>
          <w:sz w:val="18"/>
          <w:szCs w:val="18"/>
          <w:color w:val="auto"/>
        </w:rPr>
        <w:t>We estimate that we will receive net proceeds from this offering of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a public offering price of</w:t>
      </w:r>
    </w:p>
    <w:p>
      <w:pPr>
        <w:spacing w:after="0" w:line="23" w:lineRule="exact"/>
        <w:rPr>
          <w:sz w:val="20"/>
          <w:szCs w:val="20"/>
          <w:color w:val="auto"/>
        </w:rPr>
      </w:pPr>
    </w:p>
    <w:p>
      <w:pPr>
        <w:spacing w:after="0"/>
        <w:tabs>
          <w:tab w:leader="none" w:pos="520" w:val="left"/>
          <w:tab w:leader="none" w:pos="1380" w:val="left"/>
          <w:tab w:leader="none" w:pos="10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7"/>
          <w:szCs w:val="17"/>
          <w:color w:val="auto"/>
        </w:rPr>
        <w:t>) per American Depositary Shares, or ADS, based on the closing price of our common shares on the SIX Swiss Exchange on</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2021, after deducting underwriting discounts and commissions and estimated offering expenses payable by us, and assuming no exercise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underwriters’ option to purchase additional ADSs. If the underwriters exercise in full their options to purchase additional ADSs, we estimate that we will</w:t>
      </w:r>
    </w:p>
    <w:p>
      <w:pPr>
        <w:spacing w:after="0" w:line="38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receive net proceeds from this offering of approximately $ (CHF ) million, assuming a public offering price of $ (CHF ) per ADS, based on the closing price of our common shares on the SIX Swiss Exchange on , 2021, after deducting underwriting discounts and commissions and estimated offering expenses payable by us.</w:t>
      </w:r>
    </w:p>
    <w:p>
      <w:pPr>
        <w:spacing w:after="0" w:line="1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Each $1.00 (CHF ) increase (decrease) in the assumed offering price of $ (CHF ) per common share, based on the closing price of our common shares on the SIX Swiss Exchange on , 2021, would increase or decrease our net proceeds from the offering by $ (CHF ) million, assuming</w:t>
      </w:r>
    </w:p>
    <w:p>
      <w:pPr>
        <w:ind w:right="400"/>
        <w:spacing w:after="0" w:line="281" w:lineRule="auto"/>
        <w:rPr>
          <w:sz w:val="20"/>
          <w:szCs w:val="20"/>
          <w:color w:val="auto"/>
        </w:rPr>
      </w:pPr>
      <w:r>
        <w:rPr>
          <w:rFonts w:ascii="Arial" w:cs="Arial" w:eastAsia="Arial" w:hAnsi="Arial"/>
          <w:sz w:val="16"/>
          <w:szCs w:val="16"/>
          <w:color w:val="auto"/>
        </w:rPr>
        <w:t>the number of ADSs offered by us, as set forth on the cover page of this prospectus, remains the same and after deducting underwriting discounts and commissions. We may also increase or decrease the number of ADSs we are offering. An increase or decrease of 1,000,000 ADSs offered by us would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increase or decrease the net proceeds to us from the sale of the ADSs we are offering by $ (CHF ) million, assuming that the assumed offering price remains the same and after deducting underwriting discounts and commissions. The actual net proceeds payable to us will adjust based on the actual number of ADSs offered by us, the actual offering price and other terms of the offering determined at pricing.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40" w:type="dxa"/>
            <w:vAlign w:val="bottom"/>
            <w:gridSpan w:val="4"/>
          </w:tcPr>
          <w:p>
            <w:pPr>
              <w:spacing w:after="0"/>
              <w:rPr>
                <w:sz w:val="20"/>
                <w:szCs w:val="20"/>
                <w:color w:val="auto"/>
              </w:rPr>
            </w:pPr>
            <w:r>
              <w:rPr>
                <w:rFonts w:ascii="Arial" w:cs="Arial" w:eastAsia="Arial" w:hAnsi="Arial"/>
                <w:sz w:val="18"/>
                <w:szCs w:val="18"/>
                <w:color w:val="auto"/>
                <w:w w:val="92"/>
              </w:rPr>
              <w:t>We currently expect to use the net proceeds from this offering, together with our existing cash and cash equivalents of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1520" w:type="dxa"/>
            <w:vAlign w:val="bottom"/>
          </w:tcPr>
          <w:p>
            <w:pPr>
              <w:ind w:left="180"/>
              <w:spacing w:after="0"/>
              <w:rPr>
                <w:sz w:val="20"/>
                <w:szCs w:val="20"/>
                <w:color w:val="auto"/>
              </w:rPr>
            </w:pPr>
            <w:r>
              <w:rPr>
                <w:rFonts w:ascii="Arial" w:cs="Arial" w:eastAsia="Arial" w:hAnsi="Arial"/>
                <w:sz w:val="18"/>
                <w:szCs w:val="18"/>
                <w:color w:val="auto"/>
              </w:rPr>
              <w:t>) million as</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of</w:t>
            </w:r>
          </w:p>
        </w:tc>
        <w:tc>
          <w:tcPr>
            <w:tcW w:w="2680" w:type="dxa"/>
            <w:vAlign w:val="bottom"/>
            <w:gridSpan w:val="2"/>
          </w:tcPr>
          <w:p>
            <w:pPr>
              <w:ind w:left="680"/>
              <w:spacing w:after="0"/>
              <w:rPr>
                <w:sz w:val="20"/>
                <w:szCs w:val="20"/>
                <w:color w:val="auto"/>
              </w:rPr>
            </w:pPr>
            <w:r>
              <w:rPr>
                <w:rFonts w:ascii="Arial" w:cs="Arial" w:eastAsia="Arial" w:hAnsi="Arial"/>
                <w:sz w:val="18"/>
                <w:szCs w:val="18"/>
                <w:color w:val="auto"/>
              </w:rPr>
              <w:t>, 2021, as follows:</w:t>
            </w:r>
          </w:p>
        </w:tc>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800" w:type="dxa"/>
            <w:vAlign w:val="bottom"/>
          </w:tcPr>
          <w:p>
            <w:pPr>
              <w:ind w:left="60"/>
              <w:spacing w:after="0"/>
              <w:rPr>
                <w:sz w:val="20"/>
                <w:szCs w:val="20"/>
                <w:color w:val="auto"/>
              </w:rPr>
            </w:pPr>
            <w:r>
              <w:rPr>
                <w:rFonts w:ascii="Arial" w:cs="Arial" w:eastAsia="Arial" w:hAnsi="Arial"/>
                <w:sz w:val="18"/>
                <w:szCs w:val="18"/>
                <w:color w:val="auto"/>
              </w:rPr>
              <w:t>(CHF</w:t>
            </w: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1"/>
              </w:rPr>
              <w:t>) million to fund our planned Phase 1 clinical trial for MP0317, the second product candidate in our oncology</w:t>
            </w:r>
          </w:p>
        </w:tc>
      </w:tr>
      <w:tr>
        <w:trPr>
          <w:trHeight w:val="230"/>
        </w:trPr>
        <w:tc>
          <w:tcPr>
            <w:tcW w:w="24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w w:val="93"/>
              </w:rPr>
              <w:t>program, to completion;</w:t>
            </w:r>
          </w:p>
        </w:tc>
        <w:tc>
          <w:tcPr>
            <w:tcW w:w="8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800" w:type="dxa"/>
            <w:vAlign w:val="bottom"/>
          </w:tcPr>
          <w:p>
            <w:pPr>
              <w:ind w:left="60"/>
              <w:spacing w:after="0"/>
              <w:rPr>
                <w:sz w:val="20"/>
                <w:szCs w:val="20"/>
                <w:color w:val="auto"/>
              </w:rPr>
            </w:pPr>
            <w:r>
              <w:rPr>
                <w:rFonts w:ascii="Arial" w:cs="Arial" w:eastAsia="Arial" w:hAnsi="Arial"/>
                <w:sz w:val="18"/>
                <w:szCs w:val="18"/>
                <w:color w:val="auto"/>
              </w:rPr>
              <w:t>(CHF</w:t>
            </w: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3"/>
              </w:rPr>
              <w:t>) million to advance the development of our infectious disease program including completion of a Phase 1</w:t>
            </w:r>
          </w:p>
        </w:tc>
      </w:tr>
      <w:tr>
        <w:trPr>
          <w:trHeight w:val="230"/>
        </w:trPr>
        <w:tc>
          <w:tcPr>
            <w:tcW w:w="240" w:type="dxa"/>
            <w:vAlign w:val="bottom"/>
          </w:tcPr>
          <w:p>
            <w:pPr>
              <w:spacing w:after="0"/>
              <w:rPr>
                <w:sz w:val="20"/>
                <w:szCs w:val="20"/>
                <w:color w:val="auto"/>
              </w:rPr>
            </w:pPr>
          </w:p>
        </w:tc>
        <w:tc>
          <w:tcPr>
            <w:tcW w:w="1880" w:type="dxa"/>
            <w:vAlign w:val="bottom"/>
          </w:tcPr>
          <w:p>
            <w:pPr>
              <w:ind w:left="100"/>
              <w:spacing w:after="0"/>
              <w:rPr>
                <w:sz w:val="20"/>
                <w:szCs w:val="20"/>
                <w:color w:val="auto"/>
              </w:rPr>
            </w:pPr>
            <w:r>
              <w:rPr>
                <w:rFonts w:ascii="Arial" w:cs="Arial" w:eastAsia="Arial" w:hAnsi="Arial"/>
                <w:sz w:val="18"/>
                <w:szCs w:val="18"/>
                <w:color w:val="auto"/>
              </w:rPr>
              <w:t>program for MP0423;</w:t>
            </w:r>
          </w:p>
        </w:tc>
        <w:tc>
          <w:tcPr>
            <w:tcW w:w="80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5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800" w:type="dxa"/>
            <w:vAlign w:val="bottom"/>
          </w:tcPr>
          <w:p>
            <w:pPr>
              <w:ind w:left="60"/>
              <w:spacing w:after="0"/>
              <w:rPr>
                <w:sz w:val="20"/>
                <w:szCs w:val="20"/>
                <w:color w:val="auto"/>
              </w:rPr>
            </w:pPr>
            <w:r>
              <w:rPr>
                <w:rFonts w:ascii="Arial" w:cs="Arial" w:eastAsia="Arial" w:hAnsi="Arial"/>
                <w:sz w:val="18"/>
                <w:szCs w:val="18"/>
                <w:color w:val="auto"/>
              </w:rPr>
              <w:t>(CHF</w:t>
            </w:r>
          </w:p>
        </w:tc>
        <w:tc>
          <w:tcPr>
            <w:tcW w:w="8220" w:type="dxa"/>
            <w:vAlign w:val="bottom"/>
            <w:gridSpan w:val="3"/>
          </w:tcPr>
          <w:p>
            <w:pPr>
              <w:ind w:left="340"/>
              <w:spacing w:after="0"/>
              <w:rPr>
                <w:sz w:val="20"/>
                <w:szCs w:val="20"/>
                <w:color w:val="auto"/>
              </w:rPr>
            </w:pPr>
            <w:r>
              <w:rPr>
                <w:rFonts w:ascii="Arial" w:cs="Arial" w:eastAsia="Arial" w:hAnsi="Arial"/>
                <w:sz w:val="18"/>
                <w:szCs w:val="18"/>
                <w:color w:val="auto"/>
                <w:w w:val="94"/>
              </w:rPr>
              <w:t>) million to advance our liquid tumor portfolio initially in acute myeloid leukemia, or AML, through Phase 1</w:t>
            </w:r>
          </w:p>
        </w:tc>
      </w:tr>
    </w:tbl>
    <w:p>
      <w:pPr>
        <w:ind w:left="340"/>
        <w:spacing w:after="0"/>
        <w:rPr>
          <w:sz w:val="20"/>
          <w:szCs w:val="20"/>
          <w:color w:val="auto"/>
        </w:rPr>
      </w:pPr>
      <w:r>
        <w:rPr>
          <w:rFonts w:ascii="Arial" w:cs="Arial" w:eastAsia="Arial" w:hAnsi="Arial"/>
          <w:sz w:val="18"/>
          <w:szCs w:val="18"/>
          <w:color w:val="auto"/>
        </w:rPr>
        <w:t>clinical development, and leveraging our CD3 platform to develop additional product candidates thereafter; and</w:t>
      </w:r>
    </w:p>
    <w:p>
      <w:pPr>
        <w:spacing w:after="0" w:line="143"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remainder to fund the advancement of our platform and other potential product candidates, working capital and other general corporate purposes.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currently have no specific plans as to how the net proceeds from this offering will be allocated beyond the expected uses specified above and therefore management will retain discretion with respect to the use of the remainder of the net proceeds of this offering. We may also use a portion of the net proceeds to acquire, license or invest in complementary products, technologies or businesses; however, we currently have no agreements, plans or commitments to complete any such transaction.</w:t>
      </w:r>
    </w:p>
    <w:p>
      <w:pPr>
        <w:spacing w:after="0" w:line="10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that we may commence in the future, as well as any collaboration that we may enter into with third parties for our product candidates and any unforeseen cash needs. As a result, our future financing needs remain uncertain and our management will retain broad discretion over the allocation of the net proceeds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term deposits, short-term, investment-grade, interest-bearing instruments and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1440" w:right="459" w:bottom="1440" w:gutter="0" w:footer="0" w:header="0"/>
        </w:sectPr>
      </w:pPr>
    </w:p>
    <w:bookmarkStart w:id="88" w:name="page89"/>
    <w:bookmarkEnd w:id="88"/>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DIVIDEND POLICY</w:t>
      </w: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declared or paid any dividends on our common shares and we do not anticipate paying dividends on our equity securities in the foreseeable future. Instead, we intend to retain any earnings for use in the operation and expansion of our business, including for continued advancement of our proprietary DARPin product candidates, investment in research and development, building up our late-stage clinical development and, eventually, commercialization abilities. As a result, investors in our common shares or ADSs will benefit in the foreseeable future only if the common shares or ADSs appreciate in value.</w:t>
      </w:r>
    </w:p>
    <w:p>
      <w:pPr>
        <w:spacing w:after="0" w:line="1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order for us to declare and pay dividends, the distribution must be approved by shareholders holding an absolute majority of the common shares represented at the general meeting of shareholders. Our board of directors may propose distributions in the form of a common dividend or in the form of a distribution of cash or property that is based upon a reduction of our share capital recorded in the commercial register.</w:t>
      </w:r>
    </w:p>
    <w:p>
      <w:pPr>
        <w:spacing w:after="0" w:line="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Common dividends may be paid only if we have sufficient distributable profits from previous years (</w:t>
      </w:r>
      <w:r>
        <w:rPr>
          <w:rFonts w:ascii="Arial" w:cs="Arial" w:eastAsia="Arial" w:hAnsi="Arial"/>
          <w:sz w:val="16"/>
          <w:szCs w:val="16"/>
          <w:i w:val="1"/>
          <w:iCs w:val="1"/>
          <w:color w:val="auto"/>
        </w:rPr>
        <w:t>Gewinnvortrag</w:t>
      </w:r>
      <w:r>
        <w:rPr>
          <w:rFonts w:ascii="Arial" w:cs="Arial" w:eastAsia="Arial" w:hAnsi="Arial"/>
          <w:sz w:val="16"/>
          <w:szCs w:val="16"/>
          <w:color w:val="auto"/>
        </w:rPr>
        <w:t>) or freely distributable reserves to allow the distribution of a dividend, in each case, as presented on our annual statutory standalone balance sheet prepared in accordance with Swiss company law after deduction of allocated statutory reserves and reserves required by our articles of association (</w:t>
      </w:r>
      <w:r>
        <w:rPr>
          <w:rFonts w:ascii="Arial" w:cs="Arial" w:eastAsia="Arial" w:hAnsi="Arial"/>
          <w:sz w:val="16"/>
          <w:szCs w:val="16"/>
          <w:i w:val="1"/>
          <w:iCs w:val="1"/>
          <w:color w:val="auto"/>
        </w:rPr>
        <w:t>Statuten</w:t>
      </w:r>
      <w:r>
        <w:rPr>
          <w:rFonts w:ascii="Arial" w:cs="Arial" w:eastAsia="Arial" w:hAnsi="Arial"/>
          <w:sz w:val="16"/>
          <w:szCs w:val="16"/>
          <w:color w:val="auto"/>
        </w:rPr>
        <w:t>). Our auditor must confirm that a proposal made by the board of directors to shareholders regarding the appropriation of our available earnings conforms to the requirements of the Swiss Code of Obligations of March 30, 1911, as amended, the CO, and our articles of association. In order for us to pay dividends to our shareholders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a shareholders’ meeting must approve by the absolute majority of votes represented the reclassification of such reserves from capital contributions to freely distributable reserves (</w:t>
      </w:r>
      <w:r>
        <w:rPr>
          <w:rFonts w:ascii="Arial" w:cs="Arial" w:eastAsia="Arial" w:hAnsi="Arial"/>
          <w:sz w:val="16"/>
          <w:szCs w:val="16"/>
          <w:i w:val="1"/>
          <w:iCs w:val="1"/>
          <w:color w:val="auto"/>
        </w:rPr>
        <w:t>frei verfügbare Reserven</w:t>
      </w:r>
      <w:r>
        <w:rPr>
          <w:rFonts w:ascii="Arial" w:cs="Arial" w:eastAsia="Arial" w:hAnsi="Arial"/>
          <w:sz w:val="16"/>
          <w:szCs w:val="16"/>
          <w:color w:val="auto"/>
        </w:rPr>
        <w:t>) (to the extent permissible by the CO). Furthermore, dividends can be paid out of reserves from capital reserves only if the same amount is paid out of the annual profit or ordinary reserves. Dividends and distributions against reserves from capital contributions are usually due and payable after the shareholders’ resolution relating to the allocation of profit and distribution against reserves from capital contributions (if applicable) has been passed at the shareholders’ meeting or at a later date as determined by the shareholders’ dividend resolution. Under Swiss law, the statute of limitations with respect to dividend payments is five years. Dividends not collected within five years after their due date accrue to us and will be allocated to our general reserves. Dividends paid on common shares are subject to Swiss federal withholding tax, except if paid out of reserves from capital contributions. See “Swiss Tax Implications for U.S. Holders—Swiss Tax Considerations—Swiss Federal Withholding Tax” for a summary of certain Swiss tax consequences regarding dividends and other distributions distributed to holders of our common shares. As of December 31, 2020, we had reserves from capital contributions in an aggregate amount of CHF 275,557,000 of which CHF 127,557,000 were legal capital reserves and CHF 148,000,000 were free reserves.</w:t>
      </w:r>
    </w:p>
    <w:p>
      <w:pPr>
        <w:spacing w:after="0" w:line="109"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A distribution of cash or property that is based on a reduction of our share capital requires a special audit report confirming that the claims of our creditors remain fully covered by our assets despite the reduction in the share capital recorded in the commercial register. Upon approval by the general meeting of the shareholders of the capital reduction, our board of directors must give public notice of the capital reduction in the Swiss Official Gazette of Commerce three times and notify our creditors that they may request, within two months of the third publication, satisfaction of or security for their claims.</w:t>
      </w:r>
    </w:p>
    <w:p>
      <w:pPr>
        <w:spacing w:after="0" w:line="1"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Distributions of cash or property that are based upon a capital reduction are not subject to Swiss federal withholding tax. See “Swiss Tax Implications for U.S. Holders—Swiss Tax Considerations—Swiss Federal Withholding Tax” for a summary of certain Swiss tax consequences regarding distributions paid on the common shares that are based upon a capital reduction. For a description of share capital reductions under the revised Swiss corporate law expected to enter into force in 2023, see "Description of Share Capital and Articles of Association—Dividends and Other Distributions."</w:t>
      </w:r>
    </w:p>
    <w:p>
      <w:pPr>
        <w:spacing w:after="0" w:line="9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Dividend distributions, if any in the future, will be declared and paid in Swiss francs and converted into U.S. dollars with respect to the ADSs, as provided in the deposit agreement.</w:t>
      </w:r>
    </w:p>
    <w:p>
      <w:pPr>
        <w:spacing w:after="0" w:line="8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89" w:name="page90"/>
    <w:bookmarkEnd w:id="89"/>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the taxation of dividends, see the section in this prospectus entitled “Swiss Tax Implications for U.S. Holders—Swiss Tax Considerations—Swiss Federal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180"/>
          </w:cols>
          <w:pgMar w:left="320" w:top="1440" w:right="1399" w:bottom="1440" w:gutter="0" w:footer="0" w:header="0"/>
        </w:sectPr>
      </w:pPr>
    </w:p>
    <w:bookmarkStart w:id="90" w:name="page91"/>
    <w:bookmarkEnd w:id="90"/>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CAPITALIZATION</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capitalization as of December 31, 2020:</w:t>
      </w:r>
    </w:p>
    <w:p>
      <w:pPr>
        <w:sectPr>
          <w:pgSz w:w="11900" w:h="16838" w:orient="portrait"/>
          <w:cols w:equalWidth="0" w:num="1">
            <w:col w:w="11240"/>
          </w:cols>
          <w:pgMar w:left="320" w:top="1440" w:right="3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on an actual basis; and</w:t>
      </w:r>
    </w:p>
    <w:p>
      <w:pPr>
        <w:spacing w:after="0" w:line="178" w:lineRule="exact"/>
        <w:rPr>
          <w:sz w:val="20"/>
          <w:szCs w:val="20"/>
          <w:color w:val="auto"/>
        </w:rPr>
      </w:pPr>
    </w:p>
    <w:p>
      <w:pPr>
        <w:sectPr>
          <w:pgSz w:w="11900" w:h="16838" w:orient="portrait"/>
          <w:cols w:equalWidth="0" w:num="2">
            <w:col w:w="80" w:space="240"/>
            <w:col w:w="1092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80" w:hanging="4"/>
        <w:spacing w:after="0" w:line="271" w:lineRule="auto"/>
        <w:rPr>
          <w:sz w:val="20"/>
          <w:szCs w:val="20"/>
          <w:color w:val="auto"/>
        </w:rPr>
      </w:pPr>
      <w:r>
        <w:rPr>
          <w:rFonts w:ascii="Arial" w:cs="Arial" w:eastAsia="Arial" w:hAnsi="Arial"/>
          <w:sz w:val="18"/>
          <w:szCs w:val="18"/>
          <w:color w:val="auto"/>
        </w:rPr>
        <w:t>and on an as adjusted basis to reflect the issuance and sale of</w:t>
      </w:r>
      <w:r>
        <w:rPr>
          <w:sz w:val="20"/>
          <w:szCs w:val="20"/>
          <w:color w:val="auto"/>
        </w:rPr>
        <w:t xml:space="preserve"> </w:t>
      </w:r>
      <w:r>
        <w:rPr>
          <w:rFonts w:ascii="Arial" w:cs="Arial" w:eastAsia="Arial" w:hAnsi="Arial"/>
          <w:sz w:val="18"/>
          <w:szCs w:val="18"/>
          <w:color w:val="auto"/>
        </w:rPr>
        <w:t>ADSs in this offering at an assumed offering price of $ (CHF ) per ADS, based on the closing price of our common shares on the SIX Swiss Exchange on , 2021, after deducting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80" w:space="260"/>
            <w:col w:w="10900"/>
          </w:cols>
          <w:pgMar w:left="320" w:top="1440" w:right="339" w:bottom="1440" w:gutter="0" w:footer="0" w:header="0"/>
          <w:type w:val="continuous"/>
        </w:sectPr>
      </w:pP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capitalization following this offering will be adjusted based on the actual public offering price and other terms of this offering determined at pricing, including the amount by which actual offering expenses are higher or lower than estimated. The table should be read in conjunction with the information contained in “Use of Proceeds,” “Selected Financial Data” and “Management’s Discussion and Analysis of Financial Condition and Results of Operations,” as well as our financial statements and the related notes included elsewhere in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 December 31, 2020</w:t>
            </w:r>
          </w:p>
        </w:tc>
      </w:tr>
      <w:tr>
        <w:trPr>
          <w:trHeight w:val="215"/>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25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Actual</w:t>
            </w:r>
          </w:p>
        </w:tc>
        <w:tc>
          <w:tcPr>
            <w:tcW w:w="1960" w:type="dxa"/>
            <w:vAlign w:val="bottom"/>
            <w:tcBorders>
              <w:bottom w:val="single" w:sz="8" w:color="auto"/>
            </w:tcBorders>
          </w:tcPr>
          <w:p>
            <w:pPr>
              <w:jc w:val="right"/>
              <w:spacing w:after="0" w:line="215" w:lineRule="exact"/>
              <w:rPr>
                <w:sz w:val="20"/>
                <w:szCs w:val="20"/>
                <w:color w:val="auto"/>
              </w:rPr>
            </w:pPr>
            <w:r>
              <w:rPr>
                <w:rFonts w:ascii="Arial" w:cs="Arial" w:eastAsia="Arial" w:hAnsi="Arial"/>
                <w:sz w:val="16"/>
                <w:szCs w:val="16"/>
                <w:b w:val="1"/>
                <w:bCs w:val="1"/>
                <w:color w:val="auto"/>
              </w:rPr>
              <w:t>As adjusted</w:t>
            </w:r>
            <w:r>
              <w:rPr>
                <w:rFonts w:ascii="Arial" w:cs="Arial" w:eastAsia="Arial" w:hAnsi="Arial"/>
                <w:sz w:val="21"/>
                <w:szCs w:val="21"/>
                <w:b w:val="1"/>
                <w:bCs w:val="1"/>
                <w:color w:val="auto"/>
                <w:vertAlign w:val="superscript"/>
              </w:rPr>
              <w:t>(1)</w:t>
            </w:r>
          </w:p>
        </w:tc>
      </w:tr>
      <w:tr>
        <w:trPr>
          <w:trHeight w:val="223"/>
        </w:trPr>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and short-term time deposits</w:t>
            </w:r>
          </w:p>
        </w:tc>
        <w:tc>
          <w:tcPr>
            <w:tcW w:w="25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173,721</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1495"/>
              <w:spacing w:after="0"/>
              <w:rPr>
                <w:sz w:val="20"/>
                <w:szCs w:val="20"/>
                <w:color w:val="auto"/>
              </w:rPr>
            </w:pPr>
            <w:r>
              <w:rPr>
                <w:rFonts w:ascii="Arial" w:cs="Arial" w:eastAsia="Arial" w:hAnsi="Arial"/>
                <w:sz w:val="18"/>
                <w:szCs w:val="18"/>
                <w:color w:val="auto"/>
                <w:w w:val="97"/>
              </w:rPr>
              <w:t>CHF</w:t>
            </w:r>
          </w:p>
        </w:tc>
      </w:tr>
      <w:tr>
        <w:trPr>
          <w:trHeight w:val="196"/>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175"/>
        </w:trPr>
        <w:tc>
          <w:tcPr>
            <w:tcW w:w="466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88"/>
              </w:rPr>
              <w:t>Share capital, 29,146,992 shares issued and outstanding, actual;</w:t>
            </w:r>
          </w:p>
        </w:tc>
        <w:tc>
          <w:tcPr>
            <w:tcW w:w="334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shares issued and</w:t>
            </w: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adjusted</w:t>
            </w:r>
          </w:p>
        </w:tc>
        <w:tc>
          <w:tcPr>
            <w:tcW w:w="2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4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299,479</w:t>
            </w: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losses</w:t>
            </w:r>
          </w:p>
        </w:tc>
        <w:tc>
          <w:tcPr>
            <w:tcW w:w="25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(195,174)</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r>
      <w:tr>
        <w:trPr>
          <w:trHeight w:val="196"/>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4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shareholders' equity</w:t>
            </w:r>
          </w:p>
        </w:tc>
        <w:tc>
          <w:tcPr>
            <w:tcW w:w="25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107,220</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r>
      <w:tr>
        <w:trPr>
          <w:trHeight w:val="196"/>
        </w:trPr>
        <w:tc>
          <w:tcPr>
            <w:tcW w:w="4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0"/>
        </w:trPr>
        <w:tc>
          <w:tcPr>
            <w:tcW w:w="46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Total capitalization</w:t>
            </w:r>
          </w:p>
        </w:tc>
        <w:tc>
          <w:tcPr>
            <w:tcW w:w="25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107,220</w:t>
            </w:r>
          </w:p>
        </w:tc>
        <w:tc>
          <w:tcPr>
            <w:tcW w:w="1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1495"/>
              <w:spacing w:after="0"/>
              <w:rPr>
                <w:sz w:val="20"/>
                <w:szCs w:val="20"/>
                <w:color w:val="auto"/>
              </w:rPr>
            </w:pPr>
            <w:r>
              <w:rPr>
                <w:rFonts w:ascii="Arial" w:cs="Arial" w:eastAsia="Arial" w:hAnsi="Arial"/>
                <w:sz w:val="18"/>
                <w:szCs w:val="18"/>
                <w:color w:val="auto"/>
                <w:w w:val="97"/>
              </w:rPr>
              <w:t>CHF</w:t>
            </w:r>
          </w:p>
        </w:tc>
      </w:tr>
    </w:tbl>
    <w:p>
      <w:pPr>
        <w:spacing w:after="0" w:line="219" w:lineRule="exact"/>
        <w:rPr>
          <w:sz w:val="20"/>
          <w:szCs w:val="20"/>
          <w:color w:val="auto"/>
        </w:rPr>
      </w:pPr>
    </w:p>
    <w:p>
      <w:pPr>
        <w:spacing w:after="0"/>
        <w:tabs>
          <w:tab w:leader="none" w:pos="300" w:val="left"/>
          <w:tab w:leader="none" w:pos="1520" w:val="left"/>
          <w:tab w:leader="none" w:pos="4980" w:val="left"/>
          <w:tab w:leader="none" w:pos="5700" w:val="left"/>
        </w:tabs>
        <w:rPr>
          <w:sz w:val="20"/>
          <w:szCs w:val="20"/>
          <w:color w:val="auto"/>
        </w:rPr>
      </w:pPr>
      <w:r>
        <w:rPr>
          <w:rFonts w:ascii="Arial" w:cs="Arial" w:eastAsia="Arial" w:hAnsi="Arial"/>
          <w:sz w:val="13"/>
          <w:szCs w:val="13"/>
          <w:color w:val="auto"/>
        </w:rPr>
        <w:t>(1)</w:t>
        <w:tab/>
        <w:t>Each $1.00 (CHF</w:t>
      </w:r>
      <w:r>
        <w:rPr>
          <w:sz w:val="20"/>
          <w:szCs w:val="20"/>
          <w:color w:val="auto"/>
        </w:rPr>
        <w:tab/>
      </w:r>
      <w:r>
        <w:rPr>
          <w:rFonts w:ascii="Arial" w:cs="Arial" w:eastAsia="Arial" w:hAnsi="Arial"/>
          <w:sz w:val="13"/>
          <w:szCs w:val="13"/>
          <w:color w:val="auto"/>
        </w:rPr>
        <w:t>) increase or decrease in the assumed offering price of $</w:t>
      </w:r>
      <w:r>
        <w:rPr>
          <w:sz w:val="20"/>
          <w:szCs w:val="20"/>
          <w:color w:val="auto"/>
        </w:rPr>
        <w:tab/>
      </w:r>
      <w:r>
        <w:rPr>
          <w:rFonts w:ascii="Arial" w:cs="Arial" w:eastAsia="Arial" w:hAnsi="Arial"/>
          <w:sz w:val="13"/>
          <w:szCs w:val="13"/>
          <w:color w:val="auto"/>
        </w:rPr>
        <w:t>(CHF</w:t>
      </w:r>
      <w:r>
        <w:rPr>
          <w:sz w:val="20"/>
          <w:szCs w:val="20"/>
          <w:color w:val="auto"/>
        </w:rPr>
        <w:tab/>
      </w:r>
      <w:r>
        <w:rPr>
          <w:rFonts w:ascii="Arial" w:cs="Arial" w:eastAsia="Arial" w:hAnsi="Arial"/>
          <w:sz w:val="12"/>
          <w:szCs w:val="12"/>
          <w:color w:val="auto"/>
        </w:rPr>
        <w:t>) per ADS, based on the closing price of our common shares on the SIX Swiss Exchange 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2"/>
          <w:szCs w:val="12"/>
          <w:color w:val="auto"/>
        </w:rPr>
        <w:t>, 2021, would increase or decrease each of as adjusted cash and cash equivalents and short-term time deposits, as adjusted total shareholders' equity and as adjusted total capitalization by</w:t>
      </w:r>
    </w:p>
    <w:p>
      <w:pPr>
        <w:spacing w:after="0" w:line="24" w:lineRule="exact"/>
        <w:rPr>
          <w:sz w:val="20"/>
          <w:szCs w:val="20"/>
          <w:color w:val="auto"/>
        </w:rPr>
      </w:pPr>
    </w:p>
    <w:p>
      <w:pPr>
        <w:ind w:left="340"/>
        <w:spacing w:after="0"/>
        <w:tabs>
          <w:tab w:leader="none" w:pos="1640" w:val="left"/>
          <w:tab w:leader="none" w:pos="2340" w:val="left"/>
        </w:tabs>
        <w:rPr>
          <w:sz w:val="20"/>
          <w:szCs w:val="20"/>
          <w:color w:val="auto"/>
        </w:rPr>
      </w:pPr>
      <w:r>
        <w:rPr>
          <w:rFonts w:ascii="Arial" w:cs="Arial" w:eastAsia="Arial" w:hAnsi="Arial"/>
          <w:sz w:val="13"/>
          <w:szCs w:val="13"/>
          <w:color w:val="auto"/>
        </w:rPr>
        <w:t>approximately $</w:t>
      </w:r>
      <w:r>
        <w:rPr>
          <w:sz w:val="20"/>
          <w:szCs w:val="20"/>
          <w:color w:val="auto"/>
        </w:rPr>
        <w:tab/>
      </w:r>
      <w:r>
        <w:rPr>
          <w:rFonts w:ascii="Arial" w:cs="Arial" w:eastAsia="Arial" w:hAnsi="Arial"/>
          <w:sz w:val="13"/>
          <w:szCs w:val="13"/>
          <w:color w:val="auto"/>
        </w:rPr>
        <w:t>(CHF</w:t>
      </w:r>
      <w:r>
        <w:rPr>
          <w:sz w:val="20"/>
          <w:szCs w:val="20"/>
          <w:color w:val="auto"/>
        </w:rPr>
        <w:tab/>
      </w:r>
      <w:r>
        <w:rPr>
          <w:rFonts w:ascii="Arial" w:cs="Arial" w:eastAsia="Arial" w:hAnsi="Arial"/>
          <w:sz w:val="12"/>
          <w:szCs w:val="12"/>
          <w:color w:val="auto"/>
        </w:rPr>
        <w:t>), assuming that the number of ADSs, as set forth on the cover page of this prospectus, remains the same and after deducting underwriting commissions and</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estimated offering expenses payable by us. Subject to applicable law, we may also increase or decrease the number of ADSs we are offering. Each increase or decrease of 1,000,000 ADSs offered by us,</w:t>
      </w:r>
    </w:p>
    <w:p>
      <w:pPr>
        <w:spacing w:after="0" w:line="24" w:lineRule="exact"/>
        <w:rPr>
          <w:sz w:val="20"/>
          <w:szCs w:val="20"/>
          <w:color w:val="auto"/>
        </w:rPr>
      </w:pPr>
    </w:p>
    <w:p>
      <w:pPr>
        <w:ind w:left="340" w:right="120"/>
        <w:spacing w:after="0" w:line="270" w:lineRule="auto"/>
        <w:rPr>
          <w:sz w:val="20"/>
          <w:szCs w:val="20"/>
          <w:color w:val="auto"/>
        </w:rPr>
      </w:pPr>
      <w:r>
        <w:rPr>
          <w:rFonts w:ascii="Arial" w:cs="Arial" w:eastAsia="Arial" w:hAnsi="Arial"/>
          <w:sz w:val="13"/>
          <w:szCs w:val="13"/>
          <w:color w:val="auto"/>
        </w:rPr>
        <w:t>set forth on the cover page of this prospectus, would increase or decrease each of as adjusted total shareholders' equity and as adjusted total capitalization by approximately $ (CHF ), assuming that the assumed offering price remains the same, and after deducting underwriting commissions and estimated offering expenses payable by us. The as adjusted information discussed above is illustrative only and will change based on the actual offering price, the actual number of ADSs offered by us and other terms of the offering determined at pricing.</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number of common shares to be outstanding after this offering is based on a total of 29,146,992 common shares outstanding as of December 31, 2020 and excludes:</w:t>
      </w:r>
    </w:p>
    <w:p>
      <w:pPr>
        <w:spacing w:after="0" w:line="89" w:lineRule="exact"/>
        <w:rPr>
          <w:sz w:val="20"/>
          <w:szCs w:val="20"/>
          <w:color w:val="auto"/>
        </w:rPr>
      </w:pPr>
    </w:p>
    <w:p>
      <w:pPr>
        <w:ind w:left="340" w:right="220" w:hanging="332"/>
        <w:spacing w:after="0" w:line="277"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382,059 common shares issuable upon the exercise of options at a weighted average price of CHF 6.42 ($7.26) per common share granted under our employee stock option plans and long-term equity incentive plans but not exercised as of December 31, 2020;</w:t>
      </w:r>
    </w:p>
    <w:p>
      <w:pPr>
        <w:spacing w:after="0" w:line="102"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445,198 PSUs and 87,906 RSUs granted under our employee stock option plans and long-term equity incentive plans but not vested as of December 31, 2020; and</w:t>
      </w:r>
    </w:p>
    <w:p>
      <w:pPr>
        <w:spacing w:after="0" w:line="102"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180,389 PSUs (net of forfeitures after December 31, 2020 of 13,305 previously granted PSUs) and 29,519 RSUs that we granted pursuant to our long-term equity incentive plans after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type w:val="continuous"/>
        </w:sectPr>
      </w:pPr>
    </w:p>
    <w:bookmarkStart w:id="91" w:name="page92"/>
    <w:bookmarkEnd w:id="91"/>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DILUTION</w:t>
      </w: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you invest in our ADSs in this offering, your ownership interest will be diluted to the extent of the difference between the public offering price per ADS in this offering and the as adjusted net tangible book value per ADS after this offering. Our net tangible book value as of December 31, 2020 was CHF 106.9 million ($120.9 million), or CHF 3.67 ($4.15) per ADS. Net tangible book value per common share was determined by dividing our total assets less our intangible assets and our total liabilities by the number of common shares outstanding as of December 31, 2020, and excludes 382,059 common shares issuable upon the exercise of options at a weighted average price of CHF 6.42 ($7.26) per common share granted under our employee stock option plans and long-term equity incentive plans, but not exercised as of December 31, 2020, and 445,198 PSUs and 87,906 RSUs granted under our employee stock option plans and long-term equity incentive plans, but not vested as of December 31,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gridSpan w:val="10"/>
          </w:tcPr>
          <w:p>
            <w:pPr>
              <w:spacing w:after="0"/>
              <w:rPr>
                <w:sz w:val="20"/>
                <w:szCs w:val="20"/>
                <w:color w:val="auto"/>
              </w:rPr>
            </w:pPr>
            <w:r>
              <w:rPr>
                <w:rFonts w:ascii="Arial" w:cs="Arial" w:eastAsia="Arial" w:hAnsi="Arial"/>
                <w:sz w:val="18"/>
                <w:szCs w:val="18"/>
                <w:color w:val="auto"/>
                <w:w w:val="96"/>
              </w:rPr>
              <w:t>After giving effect to the receipt of the estimated net proceeds from our sale of ADSs in the offering, assuming a public offering price $</w:t>
            </w:r>
          </w:p>
        </w:tc>
        <w:tc>
          <w:tcPr>
            <w:tcW w:w="440" w:type="dxa"/>
            <w:vAlign w:val="bottom"/>
          </w:tcPr>
          <w:p>
            <w:pPr>
              <w:spacing w:after="0"/>
              <w:rPr>
                <w:sz w:val="20"/>
                <w:szCs w:val="20"/>
                <w:color w:val="auto"/>
              </w:rPr>
            </w:pPr>
            <w:r>
              <w:rPr>
                <w:rFonts w:ascii="Arial" w:cs="Arial" w:eastAsia="Arial" w:hAnsi="Arial"/>
                <w:sz w:val="18"/>
                <w:szCs w:val="18"/>
                <w:color w:val="auto"/>
                <w:w w:val="97"/>
              </w:rPr>
              <w:t>(CHF</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gridSpan w:val="5"/>
          </w:tcPr>
          <w:p>
            <w:pPr>
              <w:spacing w:after="0"/>
              <w:rPr>
                <w:sz w:val="20"/>
                <w:szCs w:val="20"/>
                <w:color w:val="auto"/>
              </w:rPr>
            </w:pPr>
            <w:r>
              <w:rPr>
                <w:rFonts w:ascii="Arial" w:cs="Arial" w:eastAsia="Arial" w:hAnsi="Arial"/>
                <w:sz w:val="18"/>
                <w:szCs w:val="18"/>
                <w:color w:val="auto"/>
                <w:w w:val="94"/>
              </w:rPr>
              <w:t>per ADS, based on the closing price of our common shares on the SIX Swiss Exchange on</w:t>
            </w:r>
          </w:p>
        </w:tc>
        <w:tc>
          <w:tcPr>
            <w:tcW w:w="4420" w:type="dxa"/>
            <w:vAlign w:val="bottom"/>
            <w:gridSpan w:val="7"/>
          </w:tcPr>
          <w:p>
            <w:pPr>
              <w:jc w:val="right"/>
              <w:spacing w:after="0"/>
              <w:rPr>
                <w:sz w:val="20"/>
                <w:szCs w:val="20"/>
                <w:color w:val="auto"/>
              </w:rPr>
            </w:pPr>
            <w:r>
              <w:rPr>
                <w:rFonts w:ascii="Arial" w:cs="Arial" w:eastAsia="Arial" w:hAnsi="Arial"/>
                <w:sz w:val="18"/>
                <w:szCs w:val="18"/>
                <w:color w:val="auto"/>
                <w:w w:val="95"/>
              </w:rPr>
              <w:t>, 2021, and the application of the estimated net proceeds</w:t>
            </w:r>
          </w:p>
        </w:tc>
      </w:tr>
      <w:tr>
        <w:trPr>
          <w:trHeight w:val="216"/>
        </w:trPr>
        <w:tc>
          <w:tcPr>
            <w:tcW w:w="10700" w:type="dxa"/>
            <w:vAlign w:val="bottom"/>
            <w:gridSpan w:val="11"/>
          </w:tcPr>
          <w:p>
            <w:pPr>
              <w:spacing w:after="0"/>
              <w:rPr>
                <w:sz w:val="20"/>
                <w:szCs w:val="20"/>
                <w:color w:val="auto"/>
              </w:rPr>
            </w:pPr>
            <w:r>
              <w:rPr>
                <w:rFonts w:ascii="Arial" w:cs="Arial" w:eastAsia="Arial" w:hAnsi="Arial"/>
                <w:sz w:val="18"/>
                <w:szCs w:val="18"/>
                <w:color w:val="auto"/>
                <w:w w:val="92"/>
              </w:rPr>
              <w:t>therefrom as described under “Use of Proceeds,” our as adjusted net tangible book value at December 31, 2020 would have been approximately</w:t>
            </w:r>
          </w:p>
        </w:tc>
        <w:tc>
          <w:tcPr>
            <w:tcW w:w="54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CHF</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ind w:left="220"/>
              <w:spacing w:after="0"/>
              <w:rPr>
                <w:sz w:val="20"/>
                <w:szCs w:val="20"/>
                <w:color w:val="auto"/>
              </w:rPr>
            </w:pPr>
            <w:r>
              <w:rPr>
                <w:rFonts w:ascii="Arial" w:cs="Arial" w:eastAsia="Arial" w:hAnsi="Arial"/>
                <w:sz w:val="18"/>
                <w:szCs w:val="18"/>
                <w:color w:val="auto"/>
              </w:rPr>
              <w:t>), or CHF</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20" w:type="dxa"/>
            <w:vAlign w:val="bottom"/>
            <w:gridSpan w:val="6"/>
          </w:tcPr>
          <w:p>
            <w:pPr>
              <w:ind w:left="160"/>
              <w:spacing w:after="0"/>
              <w:rPr>
                <w:sz w:val="20"/>
                <w:szCs w:val="20"/>
                <w:color w:val="auto"/>
              </w:rPr>
            </w:pPr>
            <w:r>
              <w:rPr>
                <w:rFonts w:ascii="Arial" w:cs="Arial" w:eastAsia="Arial" w:hAnsi="Arial"/>
                <w:sz w:val="18"/>
                <w:szCs w:val="18"/>
                <w:color w:val="auto"/>
                <w:w w:val="89"/>
              </w:rPr>
              <w:t>) per common share. This represents an immediate increase in net tangible book value per ADS of</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CHF</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380" w:type="dxa"/>
            <w:vAlign w:val="bottom"/>
            <w:gridSpan w:val="5"/>
          </w:tcPr>
          <w:p>
            <w:pPr>
              <w:ind w:left="220"/>
              <w:spacing w:after="0"/>
              <w:rPr>
                <w:sz w:val="20"/>
                <w:szCs w:val="20"/>
                <w:color w:val="auto"/>
              </w:rPr>
            </w:pPr>
            <w:r>
              <w:rPr>
                <w:rFonts w:ascii="Arial" w:cs="Arial" w:eastAsia="Arial" w:hAnsi="Arial"/>
                <w:sz w:val="18"/>
                <w:szCs w:val="18"/>
                <w:color w:val="auto"/>
                <w:w w:val="94"/>
              </w:rPr>
              <w:t>) to existing shareholders and an immediate dilution in net tangible book value per ADS of CHF</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w w:val="99"/>
              </w:rPr>
              <w:t>) to you, or</w:t>
            </w:r>
          </w:p>
        </w:tc>
        <w:tc>
          <w:tcPr>
            <w:tcW w:w="440" w:type="dxa"/>
            <w:vAlign w:val="bottom"/>
          </w:tcPr>
          <w:p>
            <w:pPr>
              <w:spacing w:after="0"/>
              <w:rPr>
                <w:sz w:val="20"/>
                <w:szCs w:val="20"/>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w w:val="94"/>
              </w:rPr>
              <w:t>%.</w:t>
            </w:r>
          </w:p>
        </w:tc>
      </w:tr>
      <w:tr>
        <w:trPr>
          <w:trHeight w:val="351"/>
        </w:trPr>
        <w:tc>
          <w:tcPr>
            <w:tcW w:w="6820" w:type="dxa"/>
            <w:vAlign w:val="bottom"/>
            <w:gridSpan w:val="5"/>
          </w:tcPr>
          <w:p>
            <w:pPr>
              <w:spacing w:after="0"/>
              <w:rPr>
                <w:sz w:val="20"/>
                <w:szCs w:val="20"/>
                <w:color w:val="auto"/>
              </w:rPr>
            </w:pPr>
            <w:r>
              <w:rPr>
                <w:rFonts w:ascii="Arial" w:cs="Arial" w:eastAsia="Arial" w:hAnsi="Arial"/>
                <w:sz w:val="18"/>
                <w:szCs w:val="18"/>
                <w:color w:val="auto"/>
              </w:rPr>
              <w:t>The following table illustrates this dilution on an ADS basis.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3"/>
        </w:trPr>
        <w:tc>
          <w:tcPr>
            <w:tcW w:w="3040" w:type="dxa"/>
            <w:vAlign w:val="bottom"/>
            <w:tcBorders>
              <w:bottom w:val="single" w:sz="8" w:color="auto"/>
            </w:tcBorders>
            <w:gridSpan w:val="4"/>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229"/>
        </w:trPr>
        <w:tc>
          <w:tcPr>
            <w:tcW w:w="3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Assumed public offering price per ADS</w:t>
            </w:r>
          </w:p>
        </w:tc>
        <w:tc>
          <w:tcPr>
            <w:tcW w:w="3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420" w:type="dxa"/>
            <w:vAlign w:val="bottom"/>
            <w:gridSpan w:val="4"/>
          </w:tcPr>
          <w:p>
            <w:pPr>
              <w:ind w:left="40"/>
              <w:spacing w:after="0"/>
              <w:rPr>
                <w:sz w:val="20"/>
                <w:szCs w:val="20"/>
                <w:color w:val="auto"/>
              </w:rPr>
            </w:pPr>
            <w:r>
              <w:rPr>
                <w:rFonts w:ascii="Arial" w:cs="Arial" w:eastAsia="Arial" w:hAnsi="Arial"/>
                <w:sz w:val="18"/>
                <w:szCs w:val="18"/>
                <w:color w:val="auto"/>
              </w:rPr>
              <w:t>Net tangible book value per ADS as of December 31, 2020</w:t>
            </w:r>
          </w:p>
        </w:tc>
        <w:tc>
          <w:tcPr>
            <w:tcW w:w="3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CHF</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9"/>
        </w:trPr>
        <w:tc>
          <w:tcPr>
            <w:tcW w:w="400" w:type="dxa"/>
            <w:vAlign w:val="bottom"/>
            <w:shd w:val="clear" w:color="auto" w:fill="CCEEFF"/>
          </w:tcPr>
          <w:p>
            <w:pPr>
              <w:spacing w:after="0"/>
              <w:rPr>
                <w:sz w:val="19"/>
                <w:szCs w:val="19"/>
                <w:color w:val="auto"/>
              </w:rPr>
            </w:pPr>
          </w:p>
        </w:tc>
        <w:tc>
          <w:tcPr>
            <w:tcW w:w="6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Increase in net tangible book value per ADS attributable to new investors</w:t>
            </w:r>
          </w:p>
        </w:tc>
        <w:tc>
          <w:tcPr>
            <w:tcW w:w="36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09"/>
        </w:trPr>
        <w:tc>
          <w:tcPr>
            <w:tcW w:w="68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As adjusted net tangible book value per ADS after this offering</w:t>
            </w:r>
          </w:p>
        </w:tc>
        <w:tc>
          <w:tcPr>
            <w:tcW w:w="3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CHF</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r>
      <w:tr>
        <w:trPr>
          <w:trHeight w:val="223"/>
        </w:trPr>
        <w:tc>
          <w:tcPr>
            <w:tcW w:w="25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Dilution per ADS to new investors</w:t>
            </w:r>
          </w:p>
        </w:tc>
        <w:tc>
          <w:tcPr>
            <w:tcW w:w="480" w:type="dxa"/>
            <w:vAlign w:val="bottom"/>
            <w:tcBorders>
              <w:bottom w:val="single" w:sz="8" w:color="auto"/>
            </w:tcBorders>
            <w:shd w:val="clear" w:color="auto" w:fill="CCEEFF"/>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dilution information discussed above is illustrative only and will change based on the actual offering price and other terms of the offering determined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spacing w:after="0"/>
              <w:rPr>
                <w:sz w:val="20"/>
                <w:szCs w:val="20"/>
                <w:color w:val="auto"/>
              </w:rPr>
            </w:pPr>
            <w:r>
              <w:rPr>
                <w:rFonts w:ascii="Arial" w:cs="Arial" w:eastAsia="Arial" w:hAnsi="Arial"/>
                <w:sz w:val="18"/>
                <w:szCs w:val="18"/>
                <w:color w:val="auto"/>
                <w:w w:val="98"/>
              </w:rPr>
              <w:t>at pricing. Each $1.00 (CHF</w:t>
            </w:r>
          </w:p>
        </w:tc>
        <w:tc>
          <w:tcPr>
            <w:tcW w:w="4440" w:type="dxa"/>
            <w:vAlign w:val="bottom"/>
            <w:gridSpan w:val="3"/>
          </w:tcPr>
          <w:p>
            <w:pPr>
              <w:ind w:left="200"/>
              <w:spacing w:after="0"/>
              <w:rPr>
                <w:sz w:val="20"/>
                <w:szCs w:val="20"/>
                <w:color w:val="auto"/>
              </w:rPr>
            </w:pPr>
            <w:r>
              <w:rPr>
                <w:rFonts w:ascii="Arial" w:cs="Arial" w:eastAsia="Arial" w:hAnsi="Arial"/>
                <w:sz w:val="18"/>
                <w:szCs w:val="18"/>
                <w:color w:val="auto"/>
                <w:w w:val="93"/>
              </w:rPr>
              <w:t>) increase or decrease in the assumed offering price of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3720" w:type="dxa"/>
            <w:vAlign w:val="bottom"/>
          </w:tcPr>
          <w:p>
            <w:pPr>
              <w:ind w:left="180"/>
              <w:spacing w:after="0"/>
              <w:rPr>
                <w:sz w:val="20"/>
                <w:szCs w:val="20"/>
                <w:color w:val="auto"/>
              </w:rPr>
            </w:pPr>
            <w:r>
              <w:rPr>
                <w:rFonts w:ascii="Arial" w:cs="Arial" w:eastAsia="Arial" w:hAnsi="Arial"/>
                <w:sz w:val="18"/>
                <w:szCs w:val="18"/>
                <w:color w:val="auto"/>
              </w:rPr>
              <w:t>) per ADS, based on the closing price of our</w:t>
            </w: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common shares on the SIX Swiss Exchange on</w:t>
            </w:r>
          </w:p>
        </w:tc>
        <w:tc>
          <w:tcPr>
            <w:tcW w:w="6980" w:type="dxa"/>
            <w:vAlign w:val="bottom"/>
            <w:gridSpan w:val="4"/>
          </w:tcPr>
          <w:p>
            <w:pPr>
              <w:spacing w:after="0"/>
              <w:rPr>
                <w:sz w:val="20"/>
                <w:szCs w:val="20"/>
                <w:color w:val="auto"/>
              </w:rPr>
            </w:pPr>
            <w:r>
              <w:rPr>
                <w:rFonts w:ascii="Arial" w:cs="Arial" w:eastAsia="Arial" w:hAnsi="Arial"/>
                <w:sz w:val="18"/>
                <w:szCs w:val="18"/>
                <w:color w:val="auto"/>
              </w:rPr>
              <w:t>, 2021, would increase or decrease our as adjusted net tangible book value by</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approximately CHF</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w w:val="93"/>
              </w:rPr>
              <w:t>), or approximately CHF</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60" w:type="dxa"/>
            <w:vAlign w:val="bottom"/>
            <w:gridSpan w:val="3"/>
          </w:tcPr>
          <w:p>
            <w:pPr>
              <w:ind w:left="180"/>
              <w:spacing w:after="0"/>
              <w:rPr>
                <w:sz w:val="20"/>
                <w:szCs w:val="20"/>
                <w:color w:val="auto"/>
              </w:rPr>
            </w:pPr>
            <w:r>
              <w:rPr>
                <w:rFonts w:ascii="Arial" w:cs="Arial" w:eastAsia="Arial" w:hAnsi="Arial"/>
                <w:sz w:val="18"/>
                <w:szCs w:val="18"/>
                <w:color w:val="auto"/>
                <w:w w:val="94"/>
              </w:rPr>
              <w:t>) per ADS, and the dilution to new investors participating in the offering would be</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approximately CHF</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940" w:type="dxa"/>
            <w:vAlign w:val="bottom"/>
            <w:gridSpan w:val="5"/>
          </w:tcPr>
          <w:p>
            <w:pPr>
              <w:ind w:left="160"/>
              <w:spacing w:after="0"/>
              <w:rPr>
                <w:sz w:val="20"/>
                <w:szCs w:val="20"/>
                <w:color w:val="auto"/>
              </w:rPr>
            </w:pPr>
            <w:r>
              <w:rPr>
                <w:rFonts w:ascii="Arial" w:cs="Arial" w:eastAsia="Arial" w:hAnsi="Arial"/>
                <w:sz w:val="18"/>
                <w:szCs w:val="18"/>
                <w:color w:val="auto"/>
                <w:w w:val="89"/>
              </w:rPr>
              <w:t>) per ADS, assuming that the number of ADSs offered by us, as set forth on the cover page of this prospectus, remains the</w:t>
            </w:r>
          </w:p>
        </w:tc>
      </w:tr>
    </w:tbl>
    <w:p>
      <w:pPr>
        <w:spacing w:after="0"/>
        <w:rPr>
          <w:sz w:val="20"/>
          <w:szCs w:val="20"/>
          <w:color w:val="auto"/>
        </w:rPr>
      </w:pPr>
      <w:r>
        <w:rPr>
          <w:rFonts w:ascii="Arial" w:cs="Arial" w:eastAsia="Arial" w:hAnsi="Arial"/>
          <w:sz w:val="16"/>
          <w:szCs w:val="16"/>
          <w:color w:val="auto"/>
        </w:rPr>
        <w:t>same, and after deducting underwriting discounts and commissions. We may also increase or decrease the number of ADSs we are offering. An increase of</w:t>
      </w:r>
    </w:p>
    <w:p>
      <w:pPr>
        <w:spacing w:after="0" w:line="38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1,000,000 ADSs offered by us would increase the as adjusted net tangible book value by approximately CHF ($ ), or CHF ($ ) per ADS, and the dilution to new investors participating in the offering would be CHF ($ ) per ADS, assuming that the assumed offering price remains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same, and after deducting underwriting discounts and commissions. Similarly, a decrease of 1,000,000 ADSs offered by us would decrease the as adjusted</w:t>
      </w:r>
    </w:p>
    <w:p>
      <w:pPr>
        <w:spacing w:after="0" w:line="386"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net tangible book value by approximately CHF ($ ), or CHF ($ ) per ADS, and the dilution to new investors participating in the offering would be CHF ($ ) per ADS, assuming that the assumed offering price remains the same, and after deducting underwriting discounts and</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commissions. The as adjusted information discussed above is illustrative only and will be adjusted based on the actual offering price, the actual number of ADSs offered by us, and other terms of the offering determined at pricing.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option to purchase additional ADSs in full, the as adjusted net tangible book value per share after the offering would</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be CHF ($ ) per ADS, the increase in the as adjusted net tangible book value to existing shareholders would be CHF ($ ) per ADS, and the dilution to new investors participating in the offering would be CHF ($ ) per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rPr>
              <w:t>The following table sets forth, as of</w:t>
            </w:r>
          </w:p>
        </w:tc>
        <w:tc>
          <w:tcPr>
            <w:tcW w:w="8300" w:type="dxa"/>
            <w:vAlign w:val="bottom"/>
            <w:gridSpan w:val="11"/>
          </w:tcPr>
          <w:p>
            <w:pPr>
              <w:jc w:val="right"/>
              <w:ind w:right="16"/>
              <w:spacing w:after="0"/>
              <w:rPr>
                <w:sz w:val="20"/>
                <w:szCs w:val="20"/>
                <w:color w:val="auto"/>
              </w:rPr>
            </w:pPr>
            <w:r>
              <w:rPr>
                <w:rFonts w:ascii="Arial" w:cs="Arial" w:eastAsia="Arial" w:hAnsi="Arial"/>
                <w:sz w:val="18"/>
                <w:szCs w:val="18"/>
                <w:color w:val="auto"/>
                <w:w w:val="91"/>
              </w:rPr>
              <w:t>, 2021, consideration paid to us in cash for common shares purchased from us by our existing shareholders and</w:t>
            </w:r>
          </w:p>
        </w:tc>
      </w:tr>
      <w:tr>
        <w:trPr>
          <w:trHeight w:val="216"/>
        </w:trPr>
        <w:tc>
          <w:tcPr>
            <w:tcW w:w="10100" w:type="dxa"/>
            <w:vAlign w:val="bottom"/>
            <w:gridSpan w:val="13"/>
          </w:tcPr>
          <w:p>
            <w:pPr>
              <w:spacing w:after="0"/>
              <w:rPr>
                <w:sz w:val="20"/>
                <w:szCs w:val="20"/>
                <w:color w:val="auto"/>
              </w:rPr>
            </w:pPr>
            <w:r>
              <w:rPr>
                <w:rFonts w:ascii="Arial" w:cs="Arial" w:eastAsia="Arial" w:hAnsi="Arial"/>
                <w:sz w:val="18"/>
                <w:szCs w:val="18"/>
                <w:color w:val="auto"/>
                <w:w w:val="93"/>
              </w:rPr>
              <w:t>by new investors participating in this offering (including common shares represented by ADSs), based on an assumed offering price of $</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(CHF   )</w:t>
            </w:r>
          </w:p>
        </w:tc>
      </w:tr>
      <w:tr>
        <w:trPr>
          <w:trHeight w:val="216"/>
        </w:trPr>
        <w:tc>
          <w:tcPr>
            <w:tcW w:w="6920" w:type="dxa"/>
            <w:vAlign w:val="bottom"/>
            <w:gridSpan w:val="9"/>
          </w:tcPr>
          <w:p>
            <w:pPr>
              <w:spacing w:after="0"/>
              <w:rPr>
                <w:sz w:val="20"/>
                <w:szCs w:val="20"/>
                <w:color w:val="auto"/>
              </w:rPr>
            </w:pPr>
            <w:r>
              <w:rPr>
                <w:rFonts w:ascii="Arial" w:cs="Arial" w:eastAsia="Arial" w:hAnsi="Arial"/>
                <w:sz w:val="18"/>
                <w:szCs w:val="18"/>
                <w:color w:val="auto"/>
                <w:w w:val="95"/>
              </w:rPr>
              <w:t>per ADS, based on the closing price of our common shares on the SIX Swiss Exchange on</w:t>
            </w:r>
          </w:p>
        </w:tc>
        <w:tc>
          <w:tcPr>
            <w:tcW w:w="4320" w:type="dxa"/>
            <w:vAlign w:val="bottom"/>
            <w:gridSpan w:val="5"/>
          </w:tcPr>
          <w:p>
            <w:pPr>
              <w:jc w:val="right"/>
              <w:ind w:right="116"/>
              <w:spacing w:after="0"/>
              <w:rPr>
                <w:sz w:val="20"/>
                <w:szCs w:val="20"/>
                <w:color w:val="auto"/>
              </w:rPr>
            </w:pPr>
            <w:r>
              <w:rPr>
                <w:rFonts w:ascii="Arial" w:cs="Arial" w:eastAsia="Arial" w:hAnsi="Arial"/>
                <w:sz w:val="18"/>
                <w:szCs w:val="18"/>
                <w:color w:val="auto"/>
                <w:w w:val="99"/>
              </w:rPr>
              <w:t>, 2021, and before deducting underwriting discounts</w:t>
            </w:r>
          </w:p>
        </w:tc>
      </w:tr>
      <w:tr>
        <w:trPr>
          <w:trHeight w:val="230"/>
        </w:trPr>
        <w:tc>
          <w:tcPr>
            <w:tcW w:w="4940" w:type="dxa"/>
            <w:vAlign w:val="bottom"/>
            <w:gridSpan w:val="6"/>
          </w:tcPr>
          <w:p>
            <w:pPr>
              <w:spacing w:after="0"/>
              <w:rPr>
                <w:sz w:val="20"/>
                <w:szCs w:val="20"/>
                <w:color w:val="auto"/>
              </w:rPr>
            </w:pPr>
            <w:r>
              <w:rPr>
                <w:rFonts w:ascii="Arial" w:cs="Arial" w:eastAsia="Arial" w:hAnsi="Arial"/>
                <w:sz w:val="18"/>
                <w:szCs w:val="18"/>
                <w:color w:val="auto"/>
                <w:w w:val="93"/>
              </w:rPr>
              <w:t>and commissions and estimated offering expenses payable by us: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69"/>
        </w:trPr>
        <w:tc>
          <w:tcPr>
            <w:tcW w:w="1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364"/>
        </w:trPr>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ADSs purchased</w:t>
            </w: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Total consideration</w:t>
            </w:r>
          </w:p>
        </w:tc>
        <w:tc>
          <w:tcPr>
            <w:tcW w:w="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Average price</w:t>
            </w:r>
          </w:p>
        </w:tc>
      </w:tr>
      <w:tr>
        <w:trPr>
          <w:trHeight w:val="207"/>
        </w:trPr>
        <w:tc>
          <w:tcPr>
            <w:tcW w:w="16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Number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6"/>
                <w:szCs w:val="16"/>
                <w:b w:val="1"/>
                <w:bCs w:val="1"/>
                <w:color w:val="auto"/>
              </w:rPr>
              <w:t>Percent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ADS</w:t>
            </w:r>
          </w:p>
        </w:tc>
      </w:tr>
      <w:tr>
        <w:trPr>
          <w:trHeight w:val="226"/>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Existing shareholders</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7"/>
              </w:rPr>
              <w:t>CHF</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CHF</w:t>
            </w:r>
          </w:p>
        </w:tc>
        <w:tc>
          <w:tcPr>
            <w:tcW w:w="1140" w:type="dxa"/>
            <w:vAlign w:val="bottom"/>
            <w:shd w:val="clear" w:color="auto" w:fill="CCEEFF"/>
          </w:tcPr>
          <w:p>
            <w:pPr>
              <w:spacing w:after="0"/>
              <w:rPr>
                <w:sz w:val="19"/>
                <w:szCs w:val="19"/>
                <w:color w:val="auto"/>
              </w:rPr>
            </w:pPr>
          </w:p>
        </w:tc>
      </w:tr>
      <w:tr>
        <w:trPr>
          <w:trHeight w:val="22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4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r>
      <w:tr>
        <w:trPr>
          <w:trHeight w:val="223"/>
        </w:trPr>
        <w:tc>
          <w:tcPr>
            <w:tcW w:w="1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7"/>
              </w:rPr>
              <w:t>CHF</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CHF</w:t>
            </w:r>
          </w:p>
        </w:tc>
        <w:tc>
          <w:tcPr>
            <w:tcW w:w="1140" w:type="dxa"/>
            <w:vAlign w:val="bottom"/>
            <w:tcBorders>
              <w:bottom w:val="single" w:sz="8" w:color="auto"/>
            </w:tcBorders>
            <w:shd w:val="clear" w:color="auto" w:fill="CCEEFF"/>
          </w:tcPr>
          <w:p>
            <w:pPr>
              <w:spacing w:after="0"/>
              <w:rPr>
                <w:sz w:val="19"/>
                <w:szCs w:val="19"/>
                <w:color w:val="auto"/>
              </w:rPr>
            </w:pPr>
          </w:p>
        </w:tc>
      </w:tr>
      <w:tr>
        <w:trPr>
          <w:trHeight w:val="438"/>
        </w:trPr>
        <w:tc>
          <w:tcPr>
            <w:tcW w:w="1600" w:type="dxa"/>
            <w:vAlign w:val="bottom"/>
          </w:tcPr>
          <w:p>
            <w:pPr>
              <w:spacing w:after="0"/>
              <w:rPr>
                <w:sz w:val="20"/>
                <w:szCs w:val="20"/>
                <w:color w:val="auto"/>
              </w:rPr>
            </w:pPr>
            <w:r>
              <w:rPr>
                <w:rFonts w:ascii="Arial" w:cs="Arial" w:eastAsia="Arial" w:hAnsi="Arial"/>
                <w:sz w:val="18"/>
                <w:szCs w:val="18"/>
                <w:color w:val="auto"/>
              </w:rPr>
              <w:t>Each $1.00 (CHF</w:t>
            </w:r>
          </w:p>
        </w:tc>
        <w:tc>
          <w:tcPr>
            <w:tcW w:w="4580" w:type="dxa"/>
            <w:vAlign w:val="bottom"/>
            <w:gridSpan w:val="6"/>
          </w:tcPr>
          <w:p>
            <w:pPr>
              <w:ind w:left="40"/>
              <w:spacing w:after="0"/>
              <w:rPr>
                <w:sz w:val="20"/>
                <w:szCs w:val="20"/>
                <w:color w:val="auto"/>
              </w:rPr>
            </w:pPr>
            <w:r>
              <w:rPr>
                <w:rFonts w:ascii="Arial" w:cs="Arial" w:eastAsia="Arial" w:hAnsi="Arial"/>
                <w:sz w:val="18"/>
                <w:szCs w:val="18"/>
                <w:color w:val="auto"/>
              </w:rPr>
              <w:t>) increase or decrease in the assumed offering price of $</w:t>
            </w:r>
          </w:p>
        </w:tc>
        <w:tc>
          <w:tcPr>
            <w:tcW w:w="740" w:type="dxa"/>
            <w:vAlign w:val="bottom"/>
            <w:gridSpan w:val="2"/>
          </w:tcPr>
          <w:p>
            <w:pPr>
              <w:jc w:val="right"/>
              <w:ind w:right="170"/>
              <w:spacing w:after="0"/>
              <w:rPr>
                <w:sz w:val="20"/>
                <w:szCs w:val="20"/>
                <w:color w:val="auto"/>
              </w:rPr>
            </w:pPr>
            <w:r>
              <w:rPr>
                <w:rFonts w:ascii="Arial" w:cs="Arial" w:eastAsia="Arial" w:hAnsi="Arial"/>
                <w:sz w:val="18"/>
                <w:szCs w:val="18"/>
                <w:color w:val="auto"/>
              </w:rPr>
              <w:t>(CHF</w:t>
            </w:r>
          </w:p>
        </w:tc>
        <w:tc>
          <w:tcPr>
            <w:tcW w:w="4320" w:type="dxa"/>
            <w:vAlign w:val="bottom"/>
            <w:gridSpan w:val="5"/>
          </w:tcPr>
          <w:p>
            <w:pPr>
              <w:jc w:val="right"/>
              <w:ind w:right="116"/>
              <w:spacing w:after="0"/>
              <w:rPr>
                <w:sz w:val="20"/>
                <w:szCs w:val="20"/>
                <w:color w:val="auto"/>
              </w:rPr>
            </w:pPr>
            <w:r>
              <w:rPr>
                <w:rFonts w:ascii="Arial" w:cs="Arial" w:eastAsia="Arial" w:hAnsi="Arial"/>
                <w:sz w:val="18"/>
                <w:szCs w:val="18"/>
                <w:color w:val="auto"/>
                <w:w w:val="96"/>
              </w:rPr>
              <w:t>) per ADS, based on the closing price of our common</w:t>
            </w:r>
          </w:p>
        </w:tc>
      </w:tr>
      <w:tr>
        <w:trPr>
          <w:trHeight w:val="216"/>
        </w:trPr>
        <w:tc>
          <w:tcPr>
            <w:tcW w:w="2940" w:type="dxa"/>
            <w:vAlign w:val="bottom"/>
            <w:gridSpan w:val="3"/>
          </w:tcPr>
          <w:p>
            <w:pPr>
              <w:spacing w:after="0"/>
              <w:rPr>
                <w:sz w:val="20"/>
                <w:szCs w:val="20"/>
                <w:color w:val="auto"/>
              </w:rPr>
            </w:pPr>
            <w:r>
              <w:rPr>
                <w:rFonts w:ascii="Arial" w:cs="Arial" w:eastAsia="Arial" w:hAnsi="Arial"/>
                <w:sz w:val="18"/>
                <w:szCs w:val="18"/>
                <w:color w:val="auto"/>
                <w:w w:val="95"/>
              </w:rPr>
              <w:t>shares on the SIX Swiss Exchange on</w:t>
            </w:r>
          </w:p>
        </w:tc>
        <w:tc>
          <w:tcPr>
            <w:tcW w:w="8300" w:type="dxa"/>
            <w:vAlign w:val="bottom"/>
            <w:gridSpan w:val="11"/>
          </w:tcPr>
          <w:p>
            <w:pPr>
              <w:jc w:val="right"/>
              <w:ind w:right="516"/>
              <w:spacing w:after="0"/>
              <w:rPr>
                <w:sz w:val="20"/>
                <w:szCs w:val="20"/>
                <w:color w:val="auto"/>
              </w:rPr>
            </w:pPr>
            <w:r>
              <w:rPr>
                <w:rFonts w:ascii="Arial" w:cs="Arial" w:eastAsia="Arial" w:hAnsi="Arial"/>
                <w:sz w:val="18"/>
                <w:szCs w:val="18"/>
                <w:color w:val="auto"/>
                <w:w w:val="97"/>
              </w:rPr>
              <w:t>, 2021, would increase or decrease the total consideration paid by new investors participating in the</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offering by CHF</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220" w:type="dxa"/>
            <w:vAlign w:val="bottom"/>
            <w:gridSpan w:val="12"/>
          </w:tcPr>
          <w:p>
            <w:pPr>
              <w:jc w:val="right"/>
              <w:ind w:right="236"/>
              <w:spacing w:after="0"/>
              <w:rPr>
                <w:sz w:val="20"/>
                <w:szCs w:val="20"/>
                <w:color w:val="auto"/>
              </w:rPr>
            </w:pPr>
            <w:r>
              <w:rPr>
                <w:rFonts w:ascii="Arial" w:cs="Arial" w:eastAsia="Arial" w:hAnsi="Arial"/>
                <w:sz w:val="18"/>
                <w:szCs w:val="18"/>
                <w:color w:val="auto"/>
                <w:w w:val="92"/>
              </w:rPr>
              <w:t>) million, assuming that the number of ADSs offered by us, as set forth on the cover page of the prospectus, remains the</w:t>
            </w:r>
          </w:p>
        </w:tc>
      </w:tr>
    </w:tbl>
    <w:p>
      <w:pPr>
        <w:ind w:right="180"/>
        <w:spacing w:after="0" w:line="281" w:lineRule="auto"/>
        <w:rPr>
          <w:sz w:val="20"/>
          <w:szCs w:val="20"/>
          <w:color w:val="auto"/>
        </w:rPr>
      </w:pPr>
      <w:r>
        <w:rPr>
          <w:rFonts w:ascii="Arial" w:cs="Arial" w:eastAsia="Arial" w:hAnsi="Arial"/>
          <w:sz w:val="16"/>
          <w:szCs w:val="16"/>
          <w:color w:val="auto"/>
        </w:rPr>
        <w:t>same and before deducting underwriting discounts and commissions. We may also increase or decrease the number of ADSs we are offering. An increase or decrease in 1,000,000 ADSs offered by us would increase or decrease the total consideration paid by new investors participating in the offering by</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CHF ($ ) million, assuming that the assumed offering price remains the same and before deducting underwriting discounts and commissions. The as adjusted information discussed above is illustrative only and will be adjusted based on the actual offering price, the actual number of ADSs offered by us and other terms of the offering determined at pricing.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In addition, if the underwriters exercise their option to purchase additional ADSs in full, the number of shares held by the existing shareholders after this</w:t>
      </w:r>
    </w:p>
    <w:p>
      <w:pPr>
        <w:spacing w:after="0" w:line="46"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offering would be reduced to , or % of the total number of common shares (including common shares represented by ADSs) outstanding after this offering, and the number of shares held by new investors participating in this offering (including common shares represented by ADSs) would</w:t>
      </w:r>
    </w:p>
    <w:p>
      <w:pPr>
        <w:spacing w:after="0"/>
        <w:tabs>
          <w:tab w:leader="none" w:pos="1520" w:val="left"/>
          <w:tab w:leader="none" w:pos="2180" w:val="left"/>
        </w:tabs>
        <w:rPr>
          <w:sz w:val="20"/>
          <w:szCs w:val="20"/>
          <w:color w:val="auto"/>
        </w:rPr>
      </w:pPr>
      <w:r>
        <w:rPr>
          <w:rFonts w:ascii="Arial" w:cs="Arial" w:eastAsia="Arial" w:hAnsi="Arial"/>
          <w:sz w:val="18"/>
          <w:szCs w:val="18"/>
          <w:color w:val="auto"/>
        </w:rPr>
        <w:t>increase to</w:t>
      </w:r>
      <w:r>
        <w:rPr>
          <w:sz w:val="20"/>
          <w:szCs w:val="20"/>
          <w:color w:val="auto"/>
        </w:rPr>
        <w:tab/>
      </w:r>
      <w:r>
        <w:rPr>
          <w:rFonts w:ascii="Arial" w:cs="Arial" w:eastAsia="Arial" w:hAnsi="Arial"/>
          <w:sz w:val="18"/>
          <w:szCs w:val="18"/>
          <w:color w:val="auto"/>
        </w:rPr>
        <w:t>, or</w:t>
      </w:r>
      <w:r>
        <w:rPr>
          <w:sz w:val="20"/>
          <w:szCs w:val="20"/>
          <w:color w:val="auto"/>
        </w:rPr>
        <w:tab/>
      </w:r>
      <w:r>
        <w:rPr>
          <w:rFonts w:ascii="Arial" w:cs="Arial" w:eastAsia="Arial" w:hAnsi="Arial"/>
          <w:sz w:val="16"/>
          <w:szCs w:val="16"/>
          <w:color w:val="auto"/>
        </w:rPr>
        <w:t>% of the total number of common shares outstanding after this offering (including common shares represented by ADSs).</w:t>
      </w:r>
    </w:p>
    <w:p>
      <w:pPr>
        <w:spacing w:after="0" w:line="1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tables and calculations above are based on the number of common shares that will be outstanding after this offering is based on 29,146,922 common shares outstanding as of December 31, 2020 and excludes:</w:t>
      </w:r>
    </w:p>
    <w:p>
      <w:pPr>
        <w:spacing w:after="0" w:line="103" w:lineRule="exact"/>
        <w:rPr>
          <w:sz w:val="20"/>
          <w:szCs w:val="20"/>
          <w:color w:val="auto"/>
        </w:rPr>
      </w:pPr>
    </w:p>
    <w:p>
      <w:pPr>
        <w:ind w:left="340" w:right="220" w:hanging="332"/>
        <w:spacing w:after="0" w:line="277" w:lineRule="auto"/>
        <w:tabs>
          <w:tab w:leader="none" w:pos="3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382,059 common shares issuable upon the exercise of options at a weighted average price of CHF 6.42 ($7.26) per common share granted under our employee stock option plans and long-term equity incentive plans but not exercised as of December 31, 2020;</w:t>
      </w:r>
    </w:p>
    <w:p>
      <w:pPr>
        <w:spacing w:after="0" w:line="89"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445,198 PSUs and 87,906 RSUs granted under our employee stock option plans and long-term equity incentive plans but not vested as of December 31, 2020; and</w:t>
      </w:r>
    </w:p>
    <w:p>
      <w:pPr>
        <w:spacing w:after="0" w:line="102"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180,389 PSUs (net of forfeitures after December 31, 2020 of 13,305 previously granted PSUs) and 29,519 RSUs that we granted pursuant to our long-term equity incentive plans after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SELECTED FINANCIAL DATA</w:t>
      </w: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The following selected statement of comprehensive loss data for the years ended December 31, 2020 and 2019 and the selected statement of financial position data as of December 31, 2020 and 2019 have been derived from our audited consolidated financial statements included elsewhere in this prospectus. Our audited consolidated financial statements have been prepared in accordance with International Financial Reporting Standards, or IFRS, as issued by the International Accounting Standards Board, or IASB.</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Our historical results for any prior period do not necessarily indicate our results to be expected for any future period. The following selected financial data for the periods and as of the dates indicated are qualified by reference to and should be read in conjunction with our financial statements and related notes beginning on page F-1 of this prospectus, as well as the sections entitled “Management’s Discussion and Analysis of Financial Condition and Results of Operations” and “Exchange Rate Information” included elsewhere in this prospectus.</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We maintain our books and records in Swiss franc, and we prepare our financial statements in accordance with IFRS as issued by the IASB. We report our financial results in Swiss franc. For the convenience of the reader, we have translated Swiss franc amounts as of and for the year ended December 31, 2020 into U.S. dollars at the noon buying rate of the Federal Reserve Bank of New York on December 31, 2020, which was CHF 1.00 to $1.1311. These translations should not be considered representations that any such amounts have been, could have been or could be converted into U.S. dollars at that or any other exchange rate as of that or any other date.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Comprehensive Loss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Borders>
              <w:top w:val="single" w:sz="8" w:color="auto"/>
            </w:tcBorders>
          </w:tcPr>
          <w:p>
            <w:pPr>
              <w:spacing w:after="0"/>
              <w:rPr>
                <w:sz w:val="16"/>
                <w:szCs w:val="16"/>
                <w:color w:val="auto"/>
              </w:rPr>
            </w:pPr>
          </w:p>
        </w:tc>
        <w:tc>
          <w:tcPr>
            <w:tcW w:w="3680" w:type="dxa"/>
            <w:vAlign w:val="bottom"/>
            <w:tcBorders>
              <w:top w:val="single" w:sz="8" w:color="auto"/>
            </w:tcBorders>
            <w:gridSpan w:val="2"/>
          </w:tcPr>
          <w:p>
            <w:pPr>
              <w:jc w:val="right"/>
              <w:ind w:right="1331"/>
              <w:spacing w:after="0"/>
              <w:rPr>
                <w:sz w:val="20"/>
                <w:szCs w:val="20"/>
                <w:color w:val="auto"/>
              </w:rPr>
            </w:pPr>
            <w:r>
              <w:rPr>
                <w:rFonts w:ascii="Arial" w:cs="Arial" w:eastAsia="Arial" w:hAnsi="Arial"/>
                <w:sz w:val="16"/>
                <w:szCs w:val="16"/>
                <w:b w:val="1"/>
                <w:bCs w:val="1"/>
                <w:color w:val="auto"/>
              </w:rPr>
              <w:t>For the year ended</w:t>
            </w:r>
          </w:p>
        </w:tc>
        <w:tc>
          <w:tcPr>
            <w:tcW w:w="2520" w:type="dxa"/>
            <w:vAlign w:val="bottom"/>
            <w:tcBorders>
              <w:top w:val="single" w:sz="8" w:color="auto"/>
            </w:tcBorders>
          </w:tcPr>
          <w:p>
            <w:pPr>
              <w:jc w:val="center"/>
              <w:ind w:right="212"/>
              <w:spacing w:after="0"/>
              <w:rPr>
                <w:sz w:val="20"/>
                <w:szCs w:val="20"/>
                <w:color w:val="auto"/>
              </w:rPr>
            </w:pPr>
            <w:r>
              <w:rPr>
                <w:rFonts w:ascii="Arial" w:cs="Arial" w:eastAsia="Arial" w:hAnsi="Arial"/>
                <w:sz w:val="16"/>
                <w:szCs w:val="16"/>
                <w:b w:val="1"/>
                <w:bCs w:val="1"/>
                <w:color w:val="auto"/>
                <w:w w:val="90"/>
              </w:rPr>
              <w:t>For the year ended</w:t>
            </w:r>
          </w:p>
        </w:tc>
      </w:tr>
      <w:tr>
        <w:trPr>
          <w:trHeight w:val="213"/>
        </w:trPr>
        <w:tc>
          <w:tcPr>
            <w:tcW w:w="5040" w:type="dxa"/>
            <w:vAlign w:val="bottom"/>
          </w:tcPr>
          <w:p>
            <w:pPr>
              <w:spacing w:after="0"/>
              <w:rPr>
                <w:sz w:val="18"/>
                <w:szCs w:val="18"/>
                <w:color w:val="auto"/>
              </w:rPr>
            </w:pPr>
          </w:p>
        </w:tc>
        <w:tc>
          <w:tcPr>
            <w:tcW w:w="3680" w:type="dxa"/>
            <w:vAlign w:val="bottom"/>
            <w:tcBorders>
              <w:bottom w:val="single" w:sz="8" w:color="auto"/>
            </w:tcBorders>
            <w:gridSpan w:val="2"/>
          </w:tcPr>
          <w:p>
            <w:pPr>
              <w:jc w:val="right"/>
              <w:ind w:right="1311"/>
              <w:spacing w:after="0"/>
              <w:rPr>
                <w:sz w:val="20"/>
                <w:szCs w:val="20"/>
                <w:color w:val="auto"/>
              </w:rPr>
            </w:pPr>
            <w:r>
              <w:rPr>
                <w:rFonts w:ascii="Arial" w:cs="Arial" w:eastAsia="Arial" w:hAnsi="Arial"/>
                <w:sz w:val="16"/>
                <w:szCs w:val="16"/>
                <w:b w:val="1"/>
                <w:bCs w:val="1"/>
                <w:color w:val="auto"/>
              </w:rPr>
              <w:t>December 31, 2020</w:t>
            </w:r>
          </w:p>
        </w:tc>
        <w:tc>
          <w:tcPr>
            <w:tcW w:w="252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w w:val="90"/>
              </w:rPr>
              <w:t>December 31, 2019</w:t>
            </w:r>
          </w:p>
        </w:tc>
      </w:tr>
      <w:tr>
        <w:trPr>
          <w:trHeight w:val="210"/>
        </w:trPr>
        <w:tc>
          <w:tcPr>
            <w:tcW w:w="5040" w:type="dxa"/>
            <w:vAlign w:val="bottom"/>
          </w:tcPr>
          <w:p>
            <w:pPr>
              <w:spacing w:after="0"/>
              <w:rPr>
                <w:sz w:val="18"/>
                <w:szCs w:val="18"/>
                <w:color w:val="auto"/>
              </w:rPr>
            </w:pPr>
          </w:p>
        </w:tc>
        <w:tc>
          <w:tcPr>
            <w:tcW w:w="1700" w:type="dxa"/>
            <w:vAlign w:val="bottom"/>
          </w:tcPr>
          <w:p>
            <w:pPr>
              <w:jc w:val="right"/>
              <w:ind w:right="192"/>
              <w:spacing w:after="0"/>
              <w:rPr>
                <w:sz w:val="20"/>
                <w:szCs w:val="20"/>
                <w:color w:val="auto"/>
              </w:rPr>
            </w:pPr>
            <w:r>
              <w:rPr>
                <w:rFonts w:ascii="Arial" w:cs="Arial" w:eastAsia="Arial" w:hAnsi="Arial"/>
                <w:sz w:val="16"/>
                <w:szCs w:val="16"/>
                <w:b w:val="1"/>
                <w:bCs w:val="1"/>
                <w:color w:val="auto"/>
              </w:rPr>
              <w:t>in CHF thousands</w:t>
            </w:r>
          </w:p>
        </w:tc>
        <w:tc>
          <w:tcPr>
            <w:tcW w:w="1980" w:type="dxa"/>
            <w:vAlign w:val="bottom"/>
          </w:tcPr>
          <w:p>
            <w:pPr>
              <w:jc w:val="right"/>
              <w:ind w:right="491"/>
              <w:spacing w:after="0"/>
              <w:rPr>
                <w:sz w:val="20"/>
                <w:szCs w:val="20"/>
                <w:color w:val="auto"/>
              </w:rPr>
            </w:pPr>
            <w:r>
              <w:rPr>
                <w:rFonts w:ascii="Arial" w:cs="Arial" w:eastAsia="Arial" w:hAnsi="Arial"/>
                <w:sz w:val="16"/>
                <w:szCs w:val="16"/>
                <w:b w:val="1"/>
                <w:bCs w:val="1"/>
                <w:color w:val="auto"/>
              </w:rPr>
              <w:t>in USD thousands</w:t>
            </w:r>
          </w:p>
        </w:tc>
        <w:tc>
          <w:tcPr>
            <w:tcW w:w="2520" w:type="dxa"/>
            <w:vAlign w:val="bottom"/>
          </w:tcPr>
          <w:p>
            <w:pPr>
              <w:jc w:val="center"/>
              <w:ind w:right="212"/>
              <w:spacing w:after="0"/>
              <w:rPr>
                <w:sz w:val="20"/>
                <w:szCs w:val="20"/>
                <w:color w:val="auto"/>
              </w:rPr>
            </w:pPr>
            <w:r>
              <w:rPr>
                <w:rFonts w:ascii="Arial" w:cs="Arial" w:eastAsia="Arial" w:hAnsi="Arial"/>
                <w:sz w:val="16"/>
                <w:szCs w:val="16"/>
                <w:b w:val="1"/>
                <w:bCs w:val="1"/>
                <w:color w:val="auto"/>
                <w:w w:val="92"/>
              </w:rPr>
              <w:t>in CHF thousands</w:t>
            </w:r>
          </w:p>
        </w:tc>
      </w:tr>
      <w:tr>
        <w:trPr>
          <w:trHeight w:val="23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9,344</w:t>
            </w:r>
          </w:p>
        </w:tc>
        <w:tc>
          <w:tcPr>
            <w:tcW w:w="19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10,569</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(56,075)</w:t>
            </w:r>
          </w:p>
        </w:tc>
        <w:tc>
          <w:tcPr>
            <w:tcW w:w="1980" w:type="dxa"/>
            <w:vAlign w:val="bottom"/>
          </w:tcPr>
          <w:p>
            <w:pPr>
              <w:jc w:val="right"/>
              <w:ind w:right="351"/>
              <w:spacing w:after="0"/>
              <w:rPr>
                <w:sz w:val="20"/>
                <w:szCs w:val="20"/>
                <w:color w:val="auto"/>
              </w:rPr>
            </w:pPr>
            <w:r>
              <w:rPr>
                <w:rFonts w:ascii="Arial" w:cs="Arial" w:eastAsia="Arial" w:hAnsi="Arial"/>
                <w:sz w:val="18"/>
                <w:szCs w:val="18"/>
                <w:color w:val="auto"/>
              </w:rPr>
              <w:t>(63,426)</w:t>
            </w:r>
          </w:p>
        </w:tc>
        <w:tc>
          <w:tcPr>
            <w:tcW w:w="2520" w:type="dxa"/>
            <w:vAlign w:val="bottom"/>
          </w:tcPr>
          <w:p>
            <w:pPr>
              <w:jc w:val="right"/>
              <w:spacing w:after="0"/>
              <w:rPr>
                <w:sz w:val="20"/>
                <w:szCs w:val="20"/>
                <w:color w:val="auto"/>
              </w:rPr>
            </w:pPr>
            <w:r>
              <w:rPr>
                <w:rFonts w:ascii="Arial" w:cs="Arial" w:eastAsia="Arial" w:hAnsi="Arial"/>
                <w:sz w:val="18"/>
                <w:szCs w:val="18"/>
                <w:color w:val="auto"/>
              </w:rPr>
              <w:t>(43,498)</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(11,595)</w:t>
            </w:r>
          </w:p>
        </w:tc>
        <w:tc>
          <w:tcPr>
            <w:tcW w:w="19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(13,115)</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Operating result</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(58,326)</w:t>
            </w:r>
          </w:p>
        </w:tc>
        <w:tc>
          <w:tcPr>
            <w:tcW w:w="1980" w:type="dxa"/>
            <w:vAlign w:val="bottom"/>
          </w:tcPr>
          <w:p>
            <w:pPr>
              <w:jc w:val="right"/>
              <w:ind w:right="351"/>
              <w:spacing w:after="0"/>
              <w:rPr>
                <w:sz w:val="20"/>
                <w:szCs w:val="20"/>
                <w:color w:val="auto"/>
              </w:rPr>
            </w:pPr>
            <w:r>
              <w:rPr>
                <w:rFonts w:ascii="Arial" w:cs="Arial" w:eastAsia="Arial" w:hAnsi="Arial"/>
                <w:sz w:val="18"/>
                <w:szCs w:val="18"/>
                <w:color w:val="auto"/>
              </w:rPr>
              <w:t>(65,973)</w:t>
            </w:r>
          </w:p>
        </w:tc>
        <w:tc>
          <w:tcPr>
            <w:tcW w:w="2520" w:type="dxa"/>
            <w:vAlign w:val="bottom"/>
          </w:tcPr>
          <w:p>
            <w:pPr>
              <w:jc w:val="right"/>
              <w:spacing w:after="0"/>
              <w:rPr>
                <w:sz w:val="20"/>
                <w:szCs w:val="20"/>
                <w:color w:val="auto"/>
              </w:rPr>
            </w:pPr>
            <w:r>
              <w:rPr>
                <w:rFonts w:ascii="Arial" w:cs="Arial" w:eastAsia="Arial" w:hAnsi="Arial"/>
                <w:sz w:val="18"/>
                <w:szCs w:val="18"/>
                <w:color w:val="auto"/>
              </w:rPr>
              <w:t>(36,660)</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367</w:t>
            </w:r>
          </w:p>
        </w:tc>
        <w:tc>
          <w:tcPr>
            <w:tcW w:w="198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415</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(4,816)</w:t>
            </w:r>
          </w:p>
        </w:tc>
        <w:tc>
          <w:tcPr>
            <w:tcW w:w="1980" w:type="dxa"/>
            <w:vAlign w:val="bottom"/>
          </w:tcPr>
          <w:p>
            <w:pPr>
              <w:jc w:val="right"/>
              <w:ind w:right="351"/>
              <w:spacing w:after="0"/>
              <w:rPr>
                <w:sz w:val="20"/>
                <w:szCs w:val="20"/>
                <w:color w:val="auto"/>
              </w:rPr>
            </w:pPr>
            <w:r>
              <w:rPr>
                <w:rFonts w:ascii="Arial" w:cs="Arial" w:eastAsia="Arial" w:hAnsi="Arial"/>
                <w:sz w:val="18"/>
                <w:szCs w:val="18"/>
                <w:color w:val="auto"/>
              </w:rPr>
              <w:t>(5,447)</w:t>
            </w:r>
          </w:p>
        </w:tc>
        <w:tc>
          <w:tcPr>
            <w:tcW w:w="252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Result before income taxes</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(62,775)</w:t>
            </w:r>
          </w:p>
        </w:tc>
        <w:tc>
          <w:tcPr>
            <w:tcW w:w="19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(71,005)</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(36,271)</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70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980" w:type="dxa"/>
            <w:vAlign w:val="bottom"/>
          </w:tcPr>
          <w:p>
            <w:pPr>
              <w:jc w:val="right"/>
              <w:ind w:right="411"/>
              <w:spacing w:after="0"/>
              <w:rPr>
                <w:sz w:val="20"/>
                <w:szCs w:val="20"/>
                <w:color w:val="auto"/>
              </w:rPr>
            </w:pPr>
            <w:r>
              <w:rPr>
                <w:rFonts w:ascii="Arial" w:cs="Arial" w:eastAsia="Arial" w:hAnsi="Arial"/>
                <w:sz w:val="18"/>
                <w:szCs w:val="18"/>
                <w:color w:val="auto"/>
              </w:rPr>
              <w:t>12</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 attributable to shareholders</w:t>
            </w: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(62,764)</w:t>
            </w:r>
          </w:p>
        </w:tc>
        <w:tc>
          <w:tcPr>
            <w:tcW w:w="19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(70,992)</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(36,288)</w:t>
            </w:r>
          </w:p>
        </w:tc>
      </w:tr>
      <w:tr>
        <w:trPr>
          <w:trHeight w:val="230"/>
        </w:trPr>
        <w:tc>
          <w:tcPr>
            <w:tcW w:w="50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Basic and diluted net result per share</w:t>
            </w:r>
            <w:r>
              <w:rPr>
                <w:rFonts w:ascii="Arial" w:cs="Arial" w:eastAsia="Arial" w:hAnsi="Arial"/>
                <w:sz w:val="23"/>
                <w:szCs w:val="23"/>
                <w:color w:val="auto"/>
                <w:vertAlign w:val="superscript"/>
              </w:rPr>
              <w:t>(1)</w:t>
            </w:r>
          </w:p>
        </w:tc>
        <w:tc>
          <w:tcPr>
            <w:tcW w:w="1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(2.51)</w:t>
            </w:r>
          </w:p>
        </w:tc>
        <w:tc>
          <w:tcPr>
            <w:tcW w:w="1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(2.84)</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bl>
    <w:p>
      <w:pPr>
        <w:spacing w:after="0" w:line="70"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See Note 21 to our audited financial statements appearing elsewhere in this prospectus for a description of the method used to compute basic and diluted net result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Financial Position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2"/>
            <w:vMerge w:val="restart"/>
          </w:tcPr>
          <w:p>
            <w:pPr>
              <w:ind w:left="1280"/>
              <w:spacing w:after="0"/>
              <w:rPr>
                <w:sz w:val="20"/>
                <w:szCs w:val="20"/>
                <w:color w:val="auto"/>
              </w:rPr>
            </w:pPr>
            <w:r>
              <w:rPr>
                <w:rFonts w:ascii="Arial" w:cs="Arial" w:eastAsia="Arial" w:hAnsi="Arial"/>
                <w:sz w:val="16"/>
                <w:szCs w:val="16"/>
                <w:b w:val="1"/>
                <w:bCs w:val="1"/>
                <w:color w:val="auto"/>
                <w:w w:val="94"/>
              </w:rPr>
              <w:t>As of December 31, 2020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As of December 31,</w:t>
            </w:r>
          </w:p>
        </w:tc>
        <w:tc>
          <w:tcPr>
            <w:tcW w:w="0" w:type="dxa"/>
            <w:vAlign w:val="bottom"/>
          </w:tcPr>
          <w:p>
            <w:pPr>
              <w:spacing w:after="0"/>
              <w:rPr>
                <w:sz w:val="1"/>
                <w:szCs w:val="1"/>
                <w:color w:val="auto"/>
              </w:rPr>
            </w:pPr>
          </w:p>
        </w:tc>
      </w:tr>
      <w:tr>
        <w:trPr>
          <w:trHeight w:val="213"/>
        </w:trPr>
        <w:tc>
          <w:tcPr>
            <w:tcW w:w="6660" w:type="dxa"/>
            <w:vAlign w:val="bottom"/>
          </w:tcPr>
          <w:p>
            <w:pPr>
              <w:spacing w:after="0"/>
              <w:rPr>
                <w:sz w:val="18"/>
                <w:szCs w:val="18"/>
                <w:color w:val="auto"/>
              </w:rPr>
            </w:pPr>
          </w:p>
        </w:tc>
        <w:tc>
          <w:tcPr>
            <w:tcW w:w="3080" w:type="dxa"/>
            <w:vAlign w:val="bottom"/>
            <w:tcBorders>
              <w:bottom w:val="single" w:sz="8" w:color="auto"/>
            </w:tcBorders>
            <w:gridSpan w:val="2"/>
            <w:vMerge w:val="continue"/>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1500" w:type="dxa"/>
            <w:vAlign w:val="bottom"/>
          </w:tcPr>
          <w:p>
            <w:pPr>
              <w:ind w:left="10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Pr>
          <w:p>
            <w:pPr>
              <w:ind w:left="160"/>
              <w:spacing w:after="0"/>
              <w:rPr>
                <w:sz w:val="20"/>
                <w:szCs w:val="20"/>
                <w:color w:val="auto"/>
              </w:rPr>
            </w:pPr>
            <w:r>
              <w:rPr>
                <w:rFonts w:ascii="Arial" w:cs="Arial" w:eastAsia="Arial" w:hAnsi="Arial"/>
                <w:sz w:val="16"/>
                <w:szCs w:val="16"/>
                <w:b w:val="1"/>
                <w:bCs w:val="1"/>
                <w:color w:val="auto"/>
              </w:rPr>
              <w:t>in USD thousands</w:t>
            </w:r>
          </w:p>
        </w:tc>
        <w:tc>
          <w:tcPr>
            <w:tcW w:w="1480" w:type="dxa"/>
            <w:vAlign w:val="bottom"/>
          </w:tcPr>
          <w:p>
            <w:pPr>
              <w:jc w:val="right"/>
              <w:ind w:right="13"/>
              <w:spacing w:after="0"/>
              <w:rPr>
                <w:sz w:val="20"/>
                <w:szCs w:val="20"/>
                <w:color w:val="auto"/>
              </w:rPr>
            </w:pPr>
            <w:r>
              <w:rPr>
                <w:rFonts w:ascii="Arial" w:cs="Arial" w:eastAsia="Arial" w:hAnsi="Arial"/>
                <w:sz w:val="16"/>
                <w:szCs w:val="16"/>
                <w:b w:val="1"/>
                <w:bCs w:val="1"/>
                <w:color w:val="auto"/>
                <w:w w:val="99"/>
              </w:rPr>
              <w:t>in CHF thousands</w:t>
            </w:r>
          </w:p>
        </w:tc>
        <w:tc>
          <w:tcPr>
            <w:tcW w:w="0" w:type="dxa"/>
            <w:vAlign w:val="bottom"/>
          </w:tcPr>
          <w:p>
            <w:pPr>
              <w:spacing w:after="0"/>
              <w:rPr>
                <w:sz w:val="1"/>
                <w:szCs w:val="1"/>
                <w:color w:val="auto"/>
              </w:rPr>
            </w:pPr>
          </w:p>
        </w:tc>
      </w:tr>
      <w:tr>
        <w:trPr>
          <w:trHeight w:val="23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plus short-term time deposits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173,721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196,496</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95,080</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187,546</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212,133</w:t>
            </w:r>
          </w:p>
        </w:tc>
        <w:tc>
          <w:tcPr>
            <w:tcW w:w="1480" w:type="dxa"/>
            <w:vAlign w:val="bottom"/>
          </w:tcPr>
          <w:p>
            <w:pPr>
              <w:jc w:val="right"/>
              <w:spacing w:after="0"/>
              <w:rPr>
                <w:sz w:val="20"/>
                <w:szCs w:val="20"/>
                <w:color w:val="auto"/>
              </w:rPr>
            </w:pPr>
            <w:r>
              <w:rPr>
                <w:rFonts w:ascii="Arial" w:cs="Arial" w:eastAsia="Arial" w:hAnsi="Arial"/>
                <w:sz w:val="18"/>
                <w:szCs w:val="18"/>
                <w:color w:val="auto"/>
              </w:rPr>
              <w:t>104,935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299,479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338,741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182,849</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(80,326)</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(90,857)</w:t>
            </w:r>
          </w:p>
        </w:tc>
        <w:tc>
          <w:tcPr>
            <w:tcW w:w="1480" w:type="dxa"/>
            <w:vAlign w:val="bottom"/>
          </w:tcPr>
          <w:p>
            <w:pPr>
              <w:jc w:val="right"/>
              <w:spacing w:after="0"/>
              <w:rPr>
                <w:sz w:val="20"/>
                <w:szCs w:val="20"/>
                <w:color w:val="auto"/>
              </w:rPr>
            </w:pPr>
            <w:r>
              <w:rPr>
                <w:rFonts w:ascii="Arial" w:cs="Arial" w:eastAsia="Arial" w:hAnsi="Arial"/>
                <w:sz w:val="18"/>
                <w:szCs w:val="18"/>
                <w:color w:val="auto"/>
              </w:rPr>
              <w:t>(50,796)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(195,174)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(220,761)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(130,870)</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107,220</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121,277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12" w:lineRule="exact"/>
        <w:rPr>
          <w:sz w:val="20"/>
          <w:szCs w:val="20"/>
          <w:color w:val="auto"/>
        </w:rPr>
      </w:pPr>
    </w:p>
    <w:p>
      <w:pPr>
        <w:ind w:right="140"/>
        <w:spacing w:after="0" w:line="272"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22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information in "Selected Financial Data" and our Annual Financial Statements, including the notes thereto.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or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For the convenience of the reader, we have translated some Swiss franc amounts as of and for the year ended December 31, 2020 into U.S. dollars at the noon buying rate of the Federal Reserve Bank of New York on December 31, 2020, which was CHF1.00 to $1.1311. These translations should not be considered representations that any such amounts have been, could have been or could be converted into U.S. dollars at that or any other exchange rate as of that or any other date.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molecules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Selected single-domain DARPin modules then serve as building blocks to create our multi-specific DARPin product candidates, which are able to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9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 DARPin modules,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1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in-house DARPin programs are initially focused on infectious diseases, which include our first COVID-19 antiviral therapeutic product candidates, and our oncology program, where we see great potential in the utility and flexibility of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were co-founded by the inventors of our DARPin platform and our operations to date have focused upon organizing and staffing our company, business planning, raising capital, developing our DARPin platform and conducting research and preclinical studies and clinical trials. We do not have any products approved for sale. For the years ended December 31, 2020 and 2019, we incurred negative net results, attributable to shareholders of CHF 62.8 million and CHF 36.3 million, respectively. As of December 31, 2020, we had cumulative losses of CHF 195.2 million.</w:t>
      </w:r>
    </w:p>
    <w:p>
      <w:pPr>
        <w:spacing w:after="0" w:line="10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DARPin product candidates, and seek regulatory approval and pursue commercialization of DARPin products, if approved. Until such time as we can generate significant revenue from product sales, if ever, we expect to finance our operations through a combination of public or private equity and debt financings or other sources, including payments upon achievement of certain development, regulatory and sales milestone events and royalty payments under our existing partnership agreements, and future collaborations with other third parties. We cannot assure you that adequate additional financing will be available to us on acceptable terms, or at all.</w:t>
      </w:r>
    </w:p>
    <w:p>
      <w:pPr>
        <w:spacing w:after="0" w:line="1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inception through December 31, 2020, we have received a total of CHF 277.6 million in funding from our major partnership agreements. From inception through December 31, 2020, we have obtained a total of CHF 271.0 million in seven equity financing rounds, net of cost of capital increases. Since November 2014, we have been listed on the SIX Swiss Exchange, or SIX, under the symbol “MOLN.” As of December 31, 2020, we had cash and cash equivalents plus short-term time deposits of CHF 173.7 million ($196.5 million).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 - COVID-19</w:t>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2019, a novel strain of coronavirus disease that causes COVID-19 was identified in Wuhan, China. The SARS-CoV-2 coronavirus has spread to a number of countries globally, and the disease outbreak was declared a pandemic by the World Health Organization in March 2020. In response, many countries around the world, including European countries and the United States, have imposed quarantines and restrictions on travel and mass gatherings to slow the spread of the virus, and have closed non-essential businesses. We have taken various mitigation measures in response to the pandemic, including requesting most of our employees that are not required to work in the laboratory to work remotely. To date, we have not experienced any material business disruption as a result of the COVID-19 pandemic.</w:t>
      </w:r>
    </w:p>
    <w:p>
      <w:pPr>
        <w:spacing w:after="0" w:line="1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is significant uncertainty as to the duration and likely effects of this disease which may, among other things, materially impact our planned future clinical trials or ability to raise funding in the future. This pandemic or outbreak could result in difficulty securing clinical trial site locations, ability to enroll patients in future trials, CROs, and/or trial monitors and other critical vendors and consultants supporting future trials. For example, our Phase 1 trial of ensovibep, our lead COVID-19 antiviral product candidate, has been delayed due to an inability to dose healthy volunteers due to government restrictions in the UK, starting at the end of 2020, in response to the pandemic. These situations, or others associated with COVID-19, could cause delays in our future clinical trial plans, delays in obtaining regulatory approval for potential products and could increase expected costs, all of which could have a material adverse effect on our business and financial condition.</w:t>
      </w:r>
    </w:p>
    <w:p>
      <w:pPr>
        <w:spacing w:after="0" w:line="1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extent to which COVID-19 will impact our results and operations will depend on future developments that cannot be reliably predicted, including actions to contain or treat the disease and mitigate its impact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1440" w:right="379" w:bottom="1440" w:gutter="0" w:footer="0" w:header="0"/>
        </w:sectPr>
      </w:pPr>
    </w:p>
    <w:bookmarkStart w:id="97" w:name="page98"/>
    <w:bookmarkEnd w:id="97"/>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economies of the affected countries, among others. We will continue to monitor, assess and mitigate the COVID-19 pandemic and its potential impact on our business and operations.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Licensing and Collaboration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and Equity Rights Agreement with Novartis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2020, we entered into an Option and Equity Rights agreement with Novartis, or the Novartis Agreement. Under the Novartis Agreement, we granted Novartis an option to exclusively license global rights of MP0420 and MP0423, our COVID-19 anti-viral DARPin product candidates. Under the terms of the Novartis Agreement, we received a non-refundable cash payment of CHF 20 million for development activities regarding technology transfer and manufacturing for the commercial supply of MP0420. As part of the transaction, Novartis also agreed to acquire CHF 40 million worth of our ordinary shares, at a price of CHF 23 per share.</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Novartis Agreement, we will conduct Phase 1 clinical trials for MP0420. Additionally, if we and Novartis agree, we will perform all remaining preclinical work for MP0423 and conduct the MP0423 Phase 1 trial, and Novartis would pay us two milestone payments of CHF 2.5 million each in case of initiation and completion of such MP0423 Phase 1 trial. Novartis will conduct certain Phase 2/3 clinical trials, with us as legal sponsor of the trials. We are responsible for supplying materials for clinical development of MP0420. We expect to commence a Phase 2/3 clinical trial for MP0420 in and MP0423 is currently being manufactured as we prepare for a Phase 1 clinical trial.</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Novartis exercises its option, we would receive an upfront payment of CHF 150 million. In addition, Novartis would be obligated to pay us a 22% royalty on future commercial sales in certain agreed territories, as we have agreed to forgo royalties in lower-income countries, beginning with the first commercial sale of such a licensed product in a given country of sale and expiring no earlier than ten years after such sale. Upon exercise of such option, Novartis would be responsible for all further development and commercialization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Amgen</w:t>
      </w:r>
    </w:p>
    <w:p>
      <w:pPr>
        <w:spacing w:after="0" w:line="14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December 2018, we entered into a license and collaboration agreement with Amgen, or the Amgen Agreement, for the clinical development and commercialization of MP0310 / AMG 506. Under the terms of the Amgen Agreement, we granted to Amgen an exclusive worldwide, royalty-bearing, sublicensable license under our patents and know-how to develop and commercialize MP0310 / AMG 506. We retain the right to use our technology to perform our obligations under the Amgen Agreement and for all purposes not granted to Amgen, including certain rights to develop and commercialize our DARPin products in combination with MP0310 / AMG 506. MP0310 / AMG 506 is currently in Phase 1a clinical trials.</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received a non-refundable upfront payment of $50 million. In addition, we are eligible to receive up to $497 million in development, regulatory and commercial milestone payments. We are also entitled to receive tiered royalties based on commercial sales levels from low double digit up to the high teens percentages of net sales of licensed products for a specified period beginning with the first commercial sale of such a licensed product in a given country of sale and expiring no earlier than ten years after such sale.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Abicipar Agreement with Allergan, an AbbVie Company</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May 2011, we entered into a license and collaboration agreement with Allergan, or the Allergan Agreement. Under the Allergan Agreement, we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We retain the right to use our technology to perform our obligations under the license agreement, to conduct general research and discovery of DARPin compounds other than those licensed under the license agreement, and for all other uses not granted to Allergan. In addition, we granted Allergan a worldwide, perpetual, irrevocable, fully paid-up, royalty-free, exclusive, sublicensable license under certain joint inventions to make, use, sell, offer for sale and import certain compounds and products (other than DARPin compounds) outside of the field of ophthalmic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3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Allergan is responsible, at its expense, for developing and commercializing abicipar, and must use commercially reasonable efforts to develop, seek regulatory approval for, and commercialize abicipar in certain key countries, including the United States, several major European markets and Japan. Allergan is also solely responsible for manufacture of abicipar, following a manufacturing technology transfer by us to Allergan.</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Allergan paid us an upfront license fee of $45 million in May 2011 and a regulatory milestone fee of $15 million upon the initiation of its Phase 3 clinical trials for nAMD in July 2015. We are also eligible to receive up to an additional $210 million upon the achievement of certain development and regulatory milestone events and $150 million upon the achievement of certain sales milestone events. In addition, we will receive a tiered royalty percentage ranging from the low to mid-teens on worldwide, aggregate annual net sales of abicipar for a specified period beginning with the first commercial sale of such a licensed product in a given country of sale and expiring no earlier than ten years after such sale.</w:t>
      </w:r>
    </w:p>
    <w:p>
      <w:pPr>
        <w:spacing w:after="0" w:line="1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June 2020, Allergan announced that the U.S. Food and Drug Administration issued a Complete Response Letter to the Biologics License Application for abicipar. AbbVie is to determine appropriate next steps with relevant regulatory agencies.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Alliance Agreement with Allergan, an AbbVie Company</w:t>
      </w:r>
    </w:p>
    <w:p>
      <w:pPr>
        <w:spacing w:after="0" w:line="14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August 2012, we entered into an exclusive discovery alliance agreement, or the Discovery Alliance Agreement, under we and Allergan agreed to collaborate to design and develop DARPin products against selected targets that are implicated in causing diseases of the eye. We and Allergan amended the Discovery Alliance Agreement in June 2013, September 2014, August 2016 and December 2017.</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granted Allergan three exclusive options to obtain an exclusive license under our patents and know-how to make, use, sell, offer for sale, and import products containing DARPin compounds directed against the applicable biological target for use with ophthalmological diseases. We also granted Allergan a non-exclusive license under our intellectual property as necessary for Allergan to conduct its activities under the Discovery Alliance Agreement during the research term in the field of ocular diseases. In February 2018, Allergan exercised its last of the three options. Upon execution of each option, Allergan is solely responsible for all downstream development, manufacturing, and commercialization activities, at its expense. Allergan must use commercially reasonable efforts to develop, seek regulatory approval for, and commercialize licensed products. We must use commercially reasonable efforts to perform our research activities under the Discovery Alliance Agreement.</w:t>
      </w:r>
    </w:p>
    <w:p>
      <w:pPr>
        <w:spacing w:after="0" w:line="1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term of the Discovery Alliance Agreement, we may not make, use, sell, offer for sale, import or otherwise develop, manufacture, commercialize or exploit certain DARPin compounds that bind to collaboration targets or their isoforms in the field of ocular diseases, or any DARPin compound that binds VEGF-A.</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received a one-time, non-refundable and non-creditable upfront payment of $40 million and a further $1.5 million upfront payment in connection with a 2014 amendment to the Discovery Alliance Agreement, and Allergan agreed to pay us an option exercise fee of $10 million upon its exercise of further options. In July 2015, Allergan made an accelerated payment of $30 million for the exercise of these options. We are eligible to receive additional success-based payments, including up to $960 million in development, regulatory and sales milestones. In addition, Allergan pays us tiered royalties ranging from the mid-single digits to the low-double digits on worldwide annual net sales of licensed products beginning with the first commercial sale of a licensed product in a given country of sale and expiring no earlier than ten years after such sale.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 Agreement with the Swiss Federal office of Public Health</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2020, we announced the reservation by the Swiss Federal Office of Public Health: Bundesamt für Gesundheit, or FOPH-BAG, of a defined number of initial doses of ensovibep, our lead COVID-19 antiviral therapeutic product candidate. The reservation agreement resulted in a current contract liability of CHF 7.0 million, as presented in the consolidated statement of financial position. The agreement consists of two reservation rights: the first being FOPH-BAG's option to have priority access to the first 200,000 doses produced; and the second being FOPH-BAG's option to obtain access to 5% of the additional planned total production, up to 3,000,000 doses, if such production is undertaken by us. Certain pricing provisions have been pre-negotiated, but remain subject to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therapeutic dose and while there is preferential pricing for the initial doses, which results in a performance obligation, the pricing for any further doses is expected to be at market prices.</w:t>
      </w:r>
    </w:p>
    <w:p>
      <w:pPr>
        <w:spacing w:after="0" w:line="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period ending December 31, 2020, we have met the contractually agreed milestone specified in the contract, meaning that the reservation fee received from the FOPH-BAG is no longer refundable. However, as the fee refers to a reservation right, it will only be recognized as revenue in case of successful development of a final drug and exercise or lapse of the related reservation right or, alternatively, in case the results from the research will not justify further development of the drug.</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Royalties and License Fees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University of Zurich</w:t>
      </w:r>
    </w:p>
    <w:p>
      <w:pPr>
        <w:spacing w:after="0" w:line="14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hold an exclusive. worldwide license from the University of Zurich on patent applications and patents relating to the DARPin base technology. The primary patents under this license agreement will expire in September 2021 and we have elected to terminate the agreement effective October 2021.</w:t>
      </w:r>
    </w:p>
    <w:p>
      <w:pPr>
        <w:spacing w:after="0" w:line="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such license agreement remains in effect, we are required to pay the University of Zurich flat royalties of a low single digit percentage on net sales of licensed products, which vary based on the field in which the licensed product is commercialized. In addition, we are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 Finally, we are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mid-teens. To date we have paid the University of Zurich approximately CHF 10.9 million in various royalty and sublicense-based payments, including a minimum annual payments of at least CHF 50,000 per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described above, we have entered into partnerships pursuant to which we generally have been and will be entitled to upfront fees and milestone payments upon the achievement of pre-determined development, regulatory and sales events. Our revenue to date has primarily consisted of amounts received under our collaboration agreements, including upfront fees, option exercise fees, milestone payments and sponsored research payments. In addition, under the collaboration agreements, we will generally be entitled to royalty payments on the net sales of products ultimately developed and commercialized under our partnerships. For any of our proprietary product candidates that we have not yet licensed, we may decide to retain all or a portion of the commercialization rights. To date, we have not generated any revenue from commercial product sales.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 may vary substantially from quarter to quarter and year to year, depending on the structure and timing of milestone events, as well as the development and marketing strategies of commercialization partners from whom we will be entitled to receive royalty and other payments. We believe that period-to-period comparisons of our results of operations are therefore not meaningful and should not be relied on or to be indicative of our future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operating expenses consist primarily of costs associated with research, preclinical studies and clinical testing, personnel-related costs and, to a lesser extent, royalty and license fees, facility expenses, professional fees for legal, tax, audit and strategic purposes, administrative expenses and depreciation of property, plant and equipment.</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expect our operating expenses to increase substantially as compared to prior periods in connection with our ongoing activities, particularly as we continue the development of our proprietary product candidates, expand our proprietary product pipeline and invest in our DARPin platform. Our operating expenses may vary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from period to period mainly driven by the timing of enrollment of patients in clinical trials and other research and development activities.</w:t>
      </w:r>
    </w:p>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Furthermore, upon the closing of this offering, we expect to incur additional costs associated with operating as a public company in the United States, hiring additional personnel and, potentially, expanding our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primarily of compensation and other expenses related to:</w:t>
      </w:r>
    </w:p>
    <w:p>
      <w:pPr>
        <w:spacing w:after="0" w:line="144"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Research and development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Preclinical studies and clinical trials of our product candidates, including the costs of manufacturing the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Research and services under our partnership agreements;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Attributable facility expenses, including depreciation and amortization of equipment and any intangible research and development assets.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inception through December 31, 2020, we cumulatively have spent a cash amount of approximately CHF 324 million on research and development activities which we classify as research and development expense for financial reporting purposes.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product candidates, including the uncertainty of:</w:t>
      </w:r>
    </w:p>
    <w:p>
      <w:pPr>
        <w:spacing w:after="0" w:line="103"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preclinical studies and other related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157" w:lineRule="exact"/>
        <w:rPr>
          <w:rFonts w:ascii="Arial" w:cs="Arial" w:eastAsia="Arial" w:hAnsi="Arial"/>
          <w:sz w:val="18"/>
          <w:szCs w:val="18"/>
          <w:color w:val="auto"/>
        </w:rPr>
      </w:pPr>
    </w:p>
    <w:p>
      <w:pPr>
        <w:ind w:left="340" w:right="360" w:hanging="332"/>
        <w:spacing w:after="0" w:line="277" w:lineRule="auto"/>
        <w:tabs>
          <w:tab w:leader="none" w:pos="3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current or future product candidates could mean a significant change in the costs and timing associated with the development of such product candidates.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 this time, due to the inherently unpredictable nature of preclinical and clinical development and given the early stage of many of our programs and/or product candidates, we generally do not track our internal research and development expenses on a program-by-program basis as they primarily relate to personnel, research and consumable costs, which are deployed across multiple projects under development. A portion of our research and development costs are external costs, which we do track on a program-by-program basis following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1440" w:right="519" w:bottom="1440" w:gutter="0" w:footer="0" w:header="0"/>
        </w:sectPr>
      </w:pPr>
    </w:p>
    <w:bookmarkStart w:id="101" w:name="page102"/>
    <w:bookmarkEnd w:id="101"/>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nomination to the development candidate stage. Included in table below are our external research and development expenses as well as external clinical and regulatory costs, presented by our most significant programs: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For the year ended</w:t>
            </w:r>
          </w:p>
        </w:tc>
        <w:tc>
          <w:tcPr>
            <w:tcW w:w="1920" w:type="dxa"/>
            <w:vAlign w:val="bottom"/>
            <w:tcBorders>
              <w:top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For the year ended</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For the year ended</w:t>
            </w:r>
          </w:p>
        </w:tc>
      </w:tr>
      <w:tr>
        <w:trPr>
          <w:trHeight w:val="213"/>
        </w:trPr>
        <w:tc>
          <w:tcPr>
            <w:tcW w:w="5560" w:type="dxa"/>
            <w:vAlign w:val="bottom"/>
          </w:tcPr>
          <w:p>
            <w:pPr>
              <w:spacing w:after="0"/>
              <w:rPr>
                <w:sz w:val="18"/>
                <w:szCs w:val="18"/>
                <w:color w:val="auto"/>
              </w:rPr>
            </w:pPr>
          </w:p>
        </w:tc>
        <w:tc>
          <w:tcPr>
            <w:tcW w:w="192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w w:val="97"/>
              </w:rPr>
              <w:t>December 31, 2020</w:t>
            </w:r>
          </w:p>
        </w:tc>
        <w:tc>
          <w:tcPr>
            <w:tcW w:w="192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w w:val="98"/>
              </w:rPr>
              <w:t>December 31, 2020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10"/>
        </w:trPr>
        <w:tc>
          <w:tcPr>
            <w:tcW w:w="5560" w:type="dxa"/>
            <w:vAlign w:val="bottom"/>
          </w:tcPr>
          <w:p>
            <w:pPr>
              <w:spacing w:after="0"/>
              <w:rPr>
                <w:sz w:val="18"/>
                <w:szCs w:val="18"/>
                <w:color w:val="auto"/>
              </w:rPr>
            </w:pPr>
          </w:p>
        </w:tc>
        <w:tc>
          <w:tcPr>
            <w:tcW w:w="1920" w:type="dxa"/>
            <w:vAlign w:val="bottom"/>
            <w:gridSpan w:val="2"/>
          </w:tcPr>
          <w:p>
            <w:pPr>
              <w:ind w:left="280"/>
              <w:spacing w:after="0"/>
              <w:rPr>
                <w:sz w:val="20"/>
                <w:szCs w:val="20"/>
                <w:color w:val="auto"/>
              </w:rPr>
            </w:pPr>
            <w:r>
              <w:rPr>
                <w:rFonts w:ascii="Arial" w:cs="Arial" w:eastAsia="Arial" w:hAnsi="Arial"/>
                <w:sz w:val="16"/>
                <w:szCs w:val="16"/>
                <w:b w:val="1"/>
                <w:bCs w:val="1"/>
                <w:color w:val="auto"/>
              </w:rPr>
              <w:t>in CHF thousands</w:t>
            </w:r>
          </w:p>
        </w:tc>
        <w:tc>
          <w:tcPr>
            <w:tcW w:w="1920" w:type="dxa"/>
            <w:vAlign w:val="bottom"/>
            <w:gridSpan w:val="2"/>
          </w:tcPr>
          <w:p>
            <w:pPr>
              <w:ind w:left="300"/>
              <w:spacing w:after="0"/>
              <w:rPr>
                <w:sz w:val="20"/>
                <w:szCs w:val="20"/>
                <w:color w:val="auto"/>
              </w:rPr>
            </w:pPr>
            <w:r>
              <w:rPr>
                <w:rFonts w:ascii="Arial" w:cs="Arial" w:eastAsia="Arial" w:hAnsi="Arial"/>
                <w:sz w:val="16"/>
                <w:szCs w:val="16"/>
                <w:b w:val="1"/>
                <w:bCs w:val="1"/>
                <w:color w:val="auto"/>
              </w:rPr>
              <w:t>in USD thousands</w:t>
            </w:r>
          </w:p>
        </w:tc>
        <w:tc>
          <w:tcPr>
            <w:tcW w:w="1820" w:type="dxa"/>
            <w:vAlign w:val="bottom"/>
          </w:tcPr>
          <w:p>
            <w:pPr>
              <w:jc w:val="right"/>
              <w:ind w:right="193"/>
              <w:spacing w:after="0"/>
              <w:rPr>
                <w:sz w:val="20"/>
                <w:szCs w:val="20"/>
                <w:color w:val="auto"/>
              </w:rPr>
            </w:pPr>
            <w:r>
              <w:rPr>
                <w:rFonts w:ascii="Arial" w:cs="Arial" w:eastAsia="Arial" w:hAnsi="Arial"/>
                <w:sz w:val="16"/>
                <w:szCs w:val="16"/>
                <w:b w:val="1"/>
                <w:bCs w:val="1"/>
                <w:color w:val="auto"/>
              </w:rPr>
              <w:t>in CHF thousands</w:t>
            </w:r>
          </w:p>
        </w:tc>
      </w:tr>
      <w:tr>
        <w:trPr>
          <w:trHeight w:val="232"/>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External research and development expense</w:t>
            </w: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MP0250</w:t>
            </w:r>
          </w:p>
        </w:tc>
        <w:tc>
          <w:tcPr>
            <w:tcW w:w="1820" w:type="dxa"/>
            <w:vAlign w:val="bottom"/>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7,024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10,641</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MP0274</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MP0310</w:t>
            </w:r>
          </w:p>
        </w:tc>
        <w:tc>
          <w:tcPr>
            <w:tcW w:w="182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2,634</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MP0317</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MP0420 / MP0423</w:t>
            </w:r>
          </w:p>
        </w:tc>
        <w:tc>
          <w:tcPr>
            <w:tcW w:w="1820" w:type="dxa"/>
            <w:vAlign w:val="bottom"/>
          </w:tcPr>
          <w:p>
            <w:pPr>
              <w:jc w:val="right"/>
              <w:spacing w:after="0"/>
              <w:rPr>
                <w:sz w:val="20"/>
                <w:szCs w:val="20"/>
                <w:color w:val="auto"/>
              </w:rPr>
            </w:pPr>
            <w:r>
              <w:rPr>
                <w:rFonts w:ascii="Arial" w:cs="Arial" w:eastAsia="Arial" w:hAnsi="Arial"/>
                <w:sz w:val="18"/>
                <w:szCs w:val="18"/>
                <w:color w:val="auto"/>
              </w:rPr>
              <w:t>8,442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9,549</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development expense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r>
      <w:tr>
        <w:trPr>
          <w:trHeight w:val="22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27,260</w:t>
            </w: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30,834</w:t>
            </w: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20,233</w:t>
            </w: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charge all research and development expenses, including internal patent filing and patent maintenance costs, to research and development expenses when incurred, as the criteria for capitalization are currently not met.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selling, general and administrative costs principally consist of salaries and related benefits, including share-based compensation, for personnel in our executive, finance and other administrative functions. Other selling, general and administrative costs include facility-related costs and professional services fees for auditing, tax and general legal services, as well as expenses associated with the requirements of being a listed public company listed in Switzerland on the SIX.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and financial expenses</w:t>
      </w:r>
    </w:p>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Financial income consists primarily of interest earned on our cash and cash equivalents and short-term time deposits as well as realized and unrealized gains of foreign exchange. The financial expenses are driven by realized and unrealized foreign exchange losses.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We have operating entities in two jurisdictions. In Switzerland, due to losses incurred to-date, we have not paid any income taxes since inception. For our U.S. based activities, we have paid the required tax amounts of both federal and state taxes, which are not material to our financial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taxes</w:t>
      </w:r>
    </w:p>
    <w:p>
      <w:pPr>
        <w:spacing w:after="0" w:line="158"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We are entitled under Swiss laws to carry forward any losses incurred for a period of seven years and can offset our losses carried forward against future taxes. As of December 31, 2020, in Switzerland, we had tax loss carry-forwards totaling CHF 157.9 million. No deferred tax assets have been recognized for these tax loss carry-forwards because it is not probable that such loss carry-forwards can be utilized in the foreseeable future. In addition, no deferred tax assets were recognized on other deductible temporary differences (e.g- pension liabilities) due to the significant tax losses carried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sets forth our statements of income for the years ended December 31, 2020 and 2019 (in thousands CHF and thousands USD for reference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For the year</w:t>
            </w:r>
          </w:p>
        </w:tc>
        <w:tc>
          <w:tcPr>
            <w:tcW w:w="14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For the year</w:t>
            </w:r>
          </w:p>
        </w:tc>
        <w:tc>
          <w:tcPr>
            <w:tcW w:w="1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For the year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ind w:left="820"/>
              <w:spacing w:after="0" w:line="162" w:lineRule="exact"/>
              <w:rPr>
                <w:sz w:val="20"/>
                <w:szCs w:val="20"/>
                <w:color w:val="auto"/>
              </w:rPr>
            </w:pPr>
            <w:r>
              <w:rPr>
                <w:rFonts w:ascii="Arial" w:cs="Arial" w:eastAsia="Arial" w:hAnsi="Arial"/>
                <w:sz w:val="16"/>
                <w:szCs w:val="16"/>
                <w:b w:val="1"/>
                <w:bCs w:val="1"/>
                <w:color w:val="auto"/>
              </w:rPr>
              <w:t>ended</w:t>
            </w:r>
          </w:p>
        </w:tc>
        <w:tc>
          <w:tcPr>
            <w:tcW w:w="1420" w:type="dxa"/>
            <w:vAlign w:val="bottom"/>
            <w:gridSpan w:val="2"/>
          </w:tcPr>
          <w:p>
            <w:pPr>
              <w:ind w:left="820"/>
              <w:spacing w:after="0" w:line="162" w:lineRule="exact"/>
              <w:rPr>
                <w:sz w:val="20"/>
                <w:szCs w:val="20"/>
                <w:color w:val="auto"/>
              </w:rPr>
            </w:pPr>
            <w:r>
              <w:rPr>
                <w:rFonts w:ascii="Arial" w:cs="Arial" w:eastAsia="Arial" w:hAnsi="Arial"/>
                <w:sz w:val="16"/>
                <w:szCs w:val="16"/>
                <w:b w:val="1"/>
                <w:bCs w:val="1"/>
                <w:color w:val="auto"/>
              </w:rPr>
              <w:t>ended</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2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December 31,</w:t>
            </w:r>
          </w:p>
        </w:tc>
        <w:tc>
          <w:tcPr>
            <w:tcW w:w="142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December 31,</w:t>
            </w:r>
          </w:p>
        </w:tc>
        <w:tc>
          <w:tcPr>
            <w:tcW w:w="142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Variance</w:t>
            </w:r>
          </w:p>
        </w:tc>
        <w:tc>
          <w:tcPr>
            <w:tcW w:w="1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6"/>
              </w:rPr>
              <w:t>in CHF</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 CHF</w:t>
            </w: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in USD thousands</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thousands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Revenue from research and development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9,344</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20,383</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collaborations</w:t>
            </w: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20,383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(11,039)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10,569</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(63,426)</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(76,542)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result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(58,326)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(21,666)</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59 %</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(65,973)</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Financial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(62,775)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(36,271)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(26,504)</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(71,005)</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(62,764)</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(36,288)</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(26,476)</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(70,992)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520"/>
        <w:spacing w:after="0" w:line="422" w:lineRule="auto"/>
        <w:rPr>
          <w:sz w:val="20"/>
          <w:szCs w:val="20"/>
          <w:color w:val="auto"/>
        </w:rPr>
      </w:pPr>
      <w:r>
        <w:rPr>
          <w:rFonts w:ascii="Arial" w:cs="Arial" w:eastAsia="Arial" w:hAnsi="Arial"/>
          <w:sz w:val="18"/>
          <w:szCs w:val="18"/>
          <w:b w:val="1"/>
          <w:bCs w:val="1"/>
          <w:i w:val="1"/>
          <w:iCs w:val="1"/>
          <w:color w:val="auto"/>
        </w:rPr>
        <w:t>Comparison of Operations for the Years Ended December 31, 2020 and 2019 Revenues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year ended December 31, 2020, we recognized total revenues of CHF 9.3 million, a decrease of 54% compared to the year ended December 31, 2019, in which we recognized total revenues of CHF 20.4 million. All revenue recognized in 2020 and 2019 was the result of our collaboration agreement with Amgen. We recognize revenue based on the ratio of the associated costs incurred to date and the total forecasted costs to satisfy the performance obligation. During the second half of 2020, we increased our estimate of the total future costs required to satisfy the performance obligation under the collaboration agreement. This increase resulted in a lower amount of revenue recognized for the year ended December 31, 2020, as compared to the prior year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operating expenses in the year ended December 31, 2020 increased by CHF 10.6 million, or 19%, to CHF 67.7 million, compared to CHF 57.0 million in the year ended December 31, 2019. These costs included CHF 4.2 million in non-cash effective share-based compensation costs and increased employee benefits as well as CHF 2.9 million in depreciation and amortization. The two major expense categories were personnel expenses of CHF 33.6 million, representing 50% of total operating expenses, and research consumables and external development expenses, totaling CHF 26.6 million, or 39% of total operating expenses. Personnel expenses for the year ended December 31, 2020 increased, in part, due to increases in our number of full-time employees as compared to the year ended December 31,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Total research and development expenses in the year ended December 31, 2020 increased by CHF 12.6 million, or 29%, to CHF 56.1 million, compared to CHF 43.5 million in the year ended December 31, 2019. This increase was mainly due to progress in our pipeline of product candidates, including our investment in our COVID-19 antiviral</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00"/>
          </w:cols>
          <w:pgMar w:left="320" w:top="1440" w:right="379" w:bottom="1440" w:gutter="0" w:footer="0" w:header="0"/>
          <w:type w:val="continuous"/>
        </w:sectPr>
      </w:pPr>
    </w:p>
    <w:bookmarkStart w:id="103" w:name="page104"/>
    <w:bookmarkEnd w:id="103"/>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product candidates, and increased personnel costs, in part due to increases in our number of full-time employees as compared to the year ended December 31,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Total selling, general and administrative expenses in the year ended December 31, 2020 decreased by CHF 2.0 million, or 15%, to CHF 11.6 million, compared to CHF 13.6 million in the year ended December 31, 2019. This decrease was, mainly due to lower professional fees.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 financial expense</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year ended December 31, 2020, we recorded a negative financial result of CHF 4.4 million, compared to a net positive financial result of CHF 0.4 million in 2019. This loss is primarily attributable to net foreign exchange losses of CHF 4.5 million on our cash and cash equivalents and short-term time deposits positions held in currencies other than the Swiss franc.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years ended December 31, 2020 and 2019, we did not pay or accrue any income taxes in Switzerland. Molecular Partners Inc., our U.S. subsidiary, is subject to U.S. federal corporate income taxes and state income taxes for Massachusetts and California.</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From inception through December 31, 2020, we have raised an aggregate of CHF 271.0 million of net proceeds from the sale of our common shares to founders and investors and collected cash under our partnership agreements in an aggregate of CHF 277.6 million. Our primary uses of cash are to fund our ongoing research and development activities. We currently have no ongoing material financing commitments, such as lines of credit or guarantees.</w:t>
      </w:r>
    </w:p>
    <w:p>
      <w:pPr>
        <w:spacing w:after="0" w:line="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December 31, 2020 and 2019, we had CHF 173.7 million and CHF 95.1 million, respectively, in cash and cash equivalents and short-term time deposits. We are investing our cash in risk-free money market instruments in line with our treasury guidelines to accommodate our financial needs over time.</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current or future collaborators. Furthermore, following the completion of this offering, we expect to incur additional costs associated with operating as a public company in the United States.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As of</w:t>
            </w:r>
          </w:p>
        </w:tc>
        <w:tc>
          <w:tcPr>
            <w:tcW w:w="17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As of</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r>
      <w:tr>
        <w:trPr>
          <w:trHeight w:val="213"/>
        </w:trPr>
        <w:tc>
          <w:tcPr>
            <w:tcW w:w="59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December 31, 2020</w:t>
            </w:r>
          </w:p>
        </w:tc>
        <w:tc>
          <w:tcPr>
            <w:tcW w:w="17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December 31, 2020</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09"/>
        </w:trPr>
        <w:tc>
          <w:tcPr>
            <w:tcW w:w="5960" w:type="dxa"/>
            <w:vAlign w:val="bottom"/>
          </w:tcPr>
          <w:p>
            <w:pPr>
              <w:spacing w:after="0"/>
              <w:rPr>
                <w:sz w:val="18"/>
                <w:szCs w:val="18"/>
                <w:color w:val="auto"/>
              </w:rPr>
            </w:pPr>
          </w:p>
        </w:tc>
        <w:tc>
          <w:tcPr>
            <w:tcW w:w="168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in CHF thousands</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in USD thousands</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in CHF thousands</w:t>
            </w:r>
          </w:p>
        </w:tc>
      </w:tr>
      <w:tr>
        <w:trPr>
          <w:trHeight w:val="232"/>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151,252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time deposits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19,368</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173,721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196,496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95,080</w:t>
            </w:r>
          </w:p>
        </w:tc>
      </w:tr>
      <w:tr>
        <w:trPr>
          <w:trHeight w:val="270"/>
        </w:trPr>
        <w:tc>
          <w:tcPr>
            <w:tcW w:w="59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jc w:val="right"/>
              <w:spacing w:after="0"/>
              <w:rPr>
                <w:sz w:val="20"/>
                <w:szCs w:val="20"/>
                <w:color w:val="auto"/>
              </w:rPr>
            </w:pPr>
            <w:r>
              <w:rPr>
                <w:rFonts w:ascii="Arial" w:cs="Arial" w:eastAsia="Arial" w:hAnsi="Arial"/>
                <w:sz w:val="18"/>
                <w:szCs w:val="18"/>
                <w:color w:val="auto"/>
              </w:rPr>
              <w:t>(21,746)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(24,597)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(19,836)</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in) financing activities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Exchange losses on cash positions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70"/>
        </w:trPr>
        <w:tc>
          <w:tcPr>
            <w:tcW w:w="596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spacing w:after="0"/>
              <w:rPr>
                <w:sz w:val="23"/>
                <w:szCs w:val="23"/>
                <w:color w:val="auto"/>
              </w:rPr>
            </w:pPr>
          </w:p>
        </w:tc>
      </w:tr>
      <w:tr>
        <w:trPr>
          <w:trHeight w:val="22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58,009</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65,614</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(23,246)</w:t>
            </w:r>
          </w:p>
        </w:tc>
      </w:tr>
    </w:tbl>
    <w:p>
      <w:pPr>
        <w:spacing w:after="0" w:line="21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short-term time deposits at December 31, 2020 contain three positions in CHF with two major Swiss banks. The short-term time deposits at December 31, 2019 contain one position in USD with a major Swiss bank.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5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During the year ended December 31, 2020, operating activities used CHF 29.0 million of cash, primarily as a result of the negative net result attributable to shareholders of CHF 62.8 million partially offset by an increase in contract liability of CHF 17.6 million, and non-cash share based compensation costs of CHF 2.9 million.</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year ended December 31, 2019, operating activities used CHF 1.2 million of cash, primarily as a result of the negative net result attributable to shareholders of CHF 36.3 million but largely offset by an increase in trade and other receivables of CHF 49.6 million arising from the Amgen collaboration agreement and a reduction in contract liability of CHF 20.4 million related to that same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5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During the year ended December 31, 2020, we used net cash from investing activities of CHF 21.7 million, and in the year ended December, 31, 2019, we used CHF 19.8 million of cash in investing activities. In both years these amounts are related to net investments into short-term time deposits.</w:t>
      </w:r>
    </w:p>
    <w:p>
      <w:pPr>
        <w:spacing w:after="0" w:line="43"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During the year ended December 31, 2020, a CHF 1.7 million outflow was recorded for the acquisition of property, plant and equipment and intangible assets and a CHF 0.6 million inflow was recorded from interest received. During the year ended December 31, 2019, a CHF 1.9 million outflow was recorded for the acquisition of property, plant and equipment and intangible assets and a CHF 1.4 million inflow was recorded from interest received.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(used in) financing activities</w:t>
      </w:r>
    </w:p>
    <w:p>
      <w:pPr>
        <w:spacing w:after="0" w:line="15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During the year ended December 31, 2020, net cash from financing activities was CHF 113.2 million, primarily related to the proceeds from issuance of new shares, net of transaction costs, that were issued following a financing round completed in July 2020 and as a result of the Option and Equity Rights agreement concluded with Novartis in October 2020.</w:t>
      </w:r>
    </w:p>
    <w:p>
      <w:pPr>
        <w:spacing w:after="0" w:line="10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During the year ended December 31, 2019, net cash used in financing activities was CHF 0.2 million, of which CHF 1.2 million related to the payment of the principal portion of our lease liabilities, offset by CHF 1.0 million received as proceeds from the exercise of employee stock options, net of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net proceeds from this offering, together with our existing cash and cash equivalents and short-term time deposits, will be sufficient to fund</w:t>
      </w:r>
    </w:p>
    <w:p>
      <w:pPr>
        <w:spacing w:after="0" w:line="4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our operating expenses and capital expenditure requirements for at least into . However, our present and future funding requirements may change and will depend on many factors, including, among other things:</w:t>
      </w:r>
    </w:p>
    <w:p>
      <w:pPr>
        <w:spacing w:after="0" w:line="118"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timelines for preclinical and clinical development programs;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in product development plans needed to address any set-backs in our research and development activities;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scope, prioritization and number of clinical trials and research and development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rate of progress and cost of the clinical trials, and other research and development activities;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terms and timing of any collaborative, licensing and other arrangements that may be established;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costs and timing of preparing, filing, prosecuting, maintaining, defending and enforcing patent claims and other intellectual property rights;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need or decision to acquire or license complementary compounds, technologies or complementary businesses or companies;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regulatory approval, manufacturing or commercialization of our product candidates for which we receive marketing approval through partners;</w:t>
      </w:r>
    </w:p>
    <w:p>
      <w:pPr>
        <w:spacing w:after="0" w:line="155" w:lineRule="exact"/>
        <w:rPr>
          <w:rFonts w:ascii="Arial" w:cs="Arial" w:eastAsia="Arial" w:hAnsi="Arial"/>
          <w:sz w:val="17"/>
          <w:szCs w:val="17"/>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timing and outcome of regulatory review of our product candidates;</w:t>
      </w:r>
    </w:p>
    <w:p>
      <w:pPr>
        <w:spacing w:after="0" w:line="157" w:lineRule="exact"/>
        <w:rPr>
          <w:rFonts w:ascii="Arial" w:cs="Arial" w:eastAsia="Arial" w:hAnsi="Arial"/>
          <w:sz w:val="18"/>
          <w:szCs w:val="18"/>
          <w:color w:val="auto"/>
        </w:rPr>
      </w:pPr>
    </w:p>
    <w:p>
      <w:pPr>
        <w:ind w:left="340" w:right="580" w:hanging="332"/>
        <w:spacing w:after="0" w:line="277" w:lineRule="auto"/>
        <w:tabs>
          <w:tab w:leader="none" w:pos="3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and timing of future commercialization activities, including drug manufacturing, marketing, sales and distribution, for any of our product candidates for which we receive marketing approval;</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regulatory policies or laws that affect our operations;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competing medical treatment and market developments.</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our operating expenses to increase over the next several years as we expand our research and development activities. In addition, we do not know whether any additional financings will be available at all or available on commercially acceptable terms when needed.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limiting or restricting our ability to take specific actions, such as incurring additional debt, making capital expenditures or declaring dividends. 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Commitments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December 31, 2019, we did not have any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appearing at the end of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operate primarily in Switzerland, Europe and in the United States and are therefore exposed to market risk, which represents the risk of loss that may impact our financial position due to adverse changes in financial market prices and rates.</w:t>
      </w:r>
    </w:p>
    <w:p>
      <w:pPr>
        <w:spacing w:after="0" w:line="89" w:lineRule="exact"/>
        <w:rPr>
          <w:sz w:val="20"/>
          <w:szCs w:val="20"/>
          <w:color w:val="auto"/>
        </w:rPr>
      </w:pPr>
    </w:p>
    <w:p>
      <w:pPr>
        <w:ind w:right="1860"/>
        <w:spacing w:after="0" w:line="422" w:lineRule="auto"/>
        <w:rPr>
          <w:sz w:val="20"/>
          <w:szCs w:val="20"/>
          <w:color w:val="auto"/>
        </w:rPr>
      </w:pPr>
      <w:r>
        <w:rPr>
          <w:rFonts w:ascii="Arial" w:cs="Arial" w:eastAsia="Arial" w:hAnsi="Arial"/>
          <w:sz w:val="18"/>
          <w:szCs w:val="18"/>
          <w:color w:val="auto"/>
        </w:rPr>
        <w:t xml:space="preserve">As of December 31, 2020, we had cash and cash equivalents plus short-term time deposits of CHF 173.7 million ($196.5 million). </w:t>
      </w:r>
      <w:r>
        <w:rPr>
          <w:rFonts w:ascii="Arial" w:cs="Arial" w:eastAsia="Arial" w:hAnsi="Arial"/>
          <w:sz w:val="18"/>
          <w:szCs w:val="18"/>
          <w:b w:val="1"/>
          <w:bCs w:val="1"/>
          <w:i w:val="1"/>
          <w:iCs w:val="1"/>
          <w:color w:val="auto"/>
        </w:rPr>
        <w:t>Foreign exchange risk</w:t>
      </w:r>
    </w:p>
    <w:p>
      <w:pPr>
        <w:spacing w:after="0" w:line="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operate primarily in Switzerland, Europe and in the United States and our functional currency is the Swiss franc, and as a result, we are exposed to (1) transactional foreign exchange risk when we enter into a transaction in a currency other than our functional currency and (2) translational foreign exchange risk when we translate our financial statements from USD into our functional currency.</w:t>
      </w:r>
    </w:p>
    <w:p>
      <w:pPr>
        <w:spacing w:after="0" w:line="1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order to reduce our foreign exchange exposure, we may enter into currency contracts with selected high-quality financial institutions to hedge against foreign currency exchange rate risks. Our hedging policy is (1) to maximize natural hedging by matching expected future cash flows in the different currencies and (2) to consider hedging some of the remaining expected net currency exposure as the need arises. However, due to market volatilities and uncertainties in the cash flows, a 100% hedging of the currency exposure is impossible.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maximum credit risk on financial instruments corresponds to the carrying amounts of our cash and cash equivalents and receivables. We have not entered into any guarantees or similar obligations that would increase the risk over and above the carrying amounts. As of December 31, 2020, substantially all of our cash and cash equivalents were held at major financial institutions located in Switzerland. We believe that these financial institutions are of high credit quality and continually monitor the credit worthiness of these financial institutions. We enter into partnerships with partners that have the appropriate credit history and a commitment to ethical business practices. Other receivables with credit risk mainly include interest receivables.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Estimates and Judgments</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International Financial Reporting Standards, or IFRS. Our accounts are prepared on a going concern basis. The preparation of our financial statements in conformity with IFRS requires us to make estimates, assumptions and judgments that affect the reported amounts of assets, liabilities, contingent liabilities, income and expenses. These estimates take into consideration historical experience, developments in economic circumstances, known trends and current events, actions that we may undertake in the future and various other factors that we believe are reasonable under the circumstances. These estimates are subject to risks and uncertainties. Our actual results may deviate from these estimates.</w:t>
      </w:r>
    </w:p>
    <w:p>
      <w:pPr>
        <w:spacing w:after="0" w:line="9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prospectus, we believe that the following accounting policy is the most critical to the judgments and estimates used in the preparation of our financial statements.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Fluctuation in revenues is common to biopharmaceutical companies focused on research and development as the revenues are often linked to up-front fees, reservation fees, milestones or license payments as well as income for delivery of drug substance, which occur sporadically. Depending on the complexity of the relevant agreements, judgment (for instance in regards to the performance obligations recognized using the cost based method,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 is recognized based on costs incurred in relation to our estimate of total estimated costs to complete satisfaction of the underlying performance obligations) is required to reflect the substance of the arrangement in the recognition of revenues. Under the cost-based method, our estimate of total costs to be incurred under certain agreements is for example, based on actual project-related contracts and history of similar contracts of other collaborations as well as industry experience. We are required to evaluate whether any changes in operational and/or technical collaboration and project requirements could lead to a change in the timing and/or amount of estimated project costs, and how such changes, if any, impact the recognition of revenue. Other revenue related judgments with regard to the determination of performance obligations under reservation agreements relate to assumptions on future production costs and market prices.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an Emerging Growth Company</w:t>
      </w:r>
    </w:p>
    <w:p>
      <w:pPr>
        <w:spacing w:after="0" w:line="15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1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as an emerging growth company, we may rely on other exemptions and reduced reporting requirements provided by the JOBS Act. Subject to certain conditions set forth in the JOBS Act, we are not required to, among other things, (1) provide an auditor's attestation report on our system of internal controls over financial reporting pursuant to Section 404(b) of the Sarbanes-Oxley Act and (2) comply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These exemptions will apply for a period of five years following the completion of this offering or until we are no longer an "emerging growth company." We would cease to be an emerging growth company if any of the following occurs: 1) we have more than $1.07 billion in annual gross revenue, 2) we have more than $700 million in market value of our equity securities held by non-affiliates or 3) we issue more than $1.0 billion of non-convertible debt over a three-year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Implications of Being a Foreign Private Issuer</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report under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19" w:lineRule="exact"/>
        <w:rPr>
          <w:sz w:val="20"/>
          <w:szCs w:val="20"/>
          <w:color w:val="auto"/>
        </w:rPr>
      </w:pPr>
    </w:p>
    <w:p>
      <w:pPr>
        <w:ind w:left="34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89" w:lineRule="exact"/>
        <w:rPr>
          <w:rFonts w:ascii="Arial" w:cs="Arial" w:eastAsia="Arial" w:hAnsi="Arial"/>
          <w:sz w:val="18"/>
          <w:szCs w:val="18"/>
          <w:color w:val="auto"/>
        </w:rPr>
      </w:pPr>
    </w:p>
    <w:p>
      <w:pPr>
        <w:ind w:left="340" w:right="24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02" w:lineRule="exact"/>
        <w:rPr>
          <w:rFonts w:ascii="Arial" w:cs="Arial" w:eastAsia="Arial" w:hAnsi="Arial"/>
          <w:sz w:val="18"/>
          <w:szCs w:val="18"/>
          <w:color w:val="auto"/>
        </w:rPr>
      </w:pPr>
    </w:p>
    <w:p>
      <w:pPr>
        <w:ind w:left="340" w:right="620" w:hanging="332"/>
        <w:spacing w:after="0" w:line="277" w:lineRule="auto"/>
        <w:tabs>
          <w:tab w:leader="none" w:pos="3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3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 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60"/>
          </w:cols>
          <w:pgMar w:left="320" w:top="1440" w:right="419" w:bottom="1440" w:gutter="0" w:footer="0" w:header="0"/>
        </w:sectPr>
      </w:pPr>
    </w:p>
    <w:bookmarkStart w:id="109" w:name="page110"/>
    <w:bookmarkEnd w:id="109"/>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BUSINESS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clinical stage biopharmaceutical company applying our pioneering DARPin product candidates to treat serious diseases, with a current focus on infectious disease, oncology and ophthalmology. Our DARPin platform, which is designed using ankyrin repeat proteins, allows us to build product candidates with multiple mechanisms of action to address complex biological problems, while potentially offering patients products with higher efficacy and fewer adverse events. We believe that DARPin molecules represent a novel class of drugs with broad therapeutic applications that may overcome many of the limitations of conventional protein and antibody-based therapeutics. Our DARPin product candidates have been extensively tested in preclinical studies and clinical trials, including in approximately 2,000 patients in ophthalmology, infectious disease (SARS-CoV-2) and oncology, and have been observed to be highly active, present differentiated product profiles and be generally well-tolerated.</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were founded in 2004 by the inventors of our DARPin platform. Our senior management, which includes two of our company’s co-founders, have significant prior experience in oncology, research, drug development and finance, and members of our team have served as senior executives at other well-established companies including Argenx, Bavarian Nordic, Celgene, Lonza, Roche and Takeda. Additionally, our board of directors includes current and former senior executives of Biogen, Millennium, Novartis AG, Roche, and Sanofi.</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DARPin Platform</w:t>
      </w:r>
    </w:p>
    <w:p>
      <w:pPr>
        <w:spacing w:after="0" w:line="1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DARPin proteins are designed using natural repeat proteins, a class of binder proteins that are common in humans and most other species. Since our formation, we have gone on to develop and upgrade our DARPin libraries to include over a trillion DARPin modules, which we refer to as single-domains, from which we can select specific DARPin proteins capable of binding to a target protein. Single-domain DARPins bind to a single target and serve as building blocks to create our multi-specific DARPin product candidates that can engage multiple targets. Beyond the benefit of multi-specificity, DARPin constructs can be intelligently designed to be active only under certain conditions, including via slow activation mechanisms, or activation at site-specific tumor microenvironments.</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Starting with a target patient or disease, we can rapidly generate thousands of different DARPin product candidates to interrogate a specific biological target or targets to address an underlying medical need. We are able to perform target-specific screenings not only with our single-domains, but also with numerous multi-specific DARPin candidates constructed from these single-domain DARPin modules, allowing us to screen for the ideal properties within potential multi-specific product candidates. As a result, we believe that we can combine multiple promising biological solutions in one product candidate, as in the case of MP0423, a product candidate from our infectious disease program that is designed to neutralize the spike protein of SARS-CoV-2 using up to three distinct mechanisms. Further, we believe our DARPin platform allows us to identify novel mechanisms of action, as in the case of AMG 506 (MP0310) and MP0317, the lead product candidates from our oncology program, which will only activate immune stimulating targets when clustered on fibroblast activation protein, or FAP, a tumor specific localizer.</w:t>
      </w:r>
    </w:p>
    <w:p>
      <w:pPr>
        <w:spacing w:after="0" w:line="11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a therapeutic class, DARPin proteins demonstrate advantageous development properties including stability, solubility and manufacturing yield-to-cost benefits. In our preclinical studies and clinical trials, we have observed that our DARPin product candidates perform as designed and are well tolerated. As we have advanced our development programs, we have leveraged the insights from each product candidate to inform the development of the next product candidate, starting from a single-domain candidate (abicipar), and advancing to multi-specific candidates which are able to bind more than one target (MP0250 and the subsequently developed product candidates), bind a single target on more than one epitope (MP0274, and more recently MP0420 and MP0423), engage with the immune system (AMG 506 (MP0310) and MP0317, and our acute myeloid leukemia, or AML, program currently in development), and finally, bind a unique set of targets that other modalities cannot (our peptide-MHC, or pMHC, program).</w:t>
      </w:r>
    </w:p>
    <w:p>
      <w:pPr>
        <w:spacing w:after="0" w:line="1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in-house DARPin programs are initially focused on infectious diseases, which include our first COVID-19 antiviral therapeutic product candidates in partnership with Novartis, and our oncology program, where we see great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potential in the utility and flexibility of DARPin molecules to offer differentiated cancer treatments. Given the momentum of our COVID-19 antiviral therapeutic product candidates and the severity of the ongoing COVID-19 pandemic, we are also expanding our research and development activities in our infectious disease program to tackle other current and future viral threats.</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accumulated preclinical and clinical experience developing and testing DARPin product candidates has allowed us to establish an intellectual property portfolio that, as of March 1, 2021, included over 150 granted and over 100 additional pending U.S. and foreign patent applications, across 25 patent families, covering both core and derivative aspects of our DARPin platform.</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Our DARPin platform was invented over twenty years ago by the co-founders of our company, then researchers from the University of Zurich.</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partnered and proprietary product candidates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349240" cy="2691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w:t>
      </w:r>
      <w:r>
        <w:rPr>
          <w:rFonts w:ascii="Arial" w:cs="Arial" w:eastAsia="Arial" w:hAnsi="Arial"/>
          <w:sz w:val="18"/>
          <w:szCs w:val="18"/>
          <w:color w:val="auto"/>
        </w:rPr>
        <w:t xml:space="preserve"> </w:t>
      </w:r>
      <w:r>
        <w:rPr>
          <w:rFonts w:ascii="Arial" w:cs="Arial" w:eastAsia="Arial" w:hAnsi="Arial"/>
          <w:sz w:val="18"/>
          <w:szCs w:val="18"/>
          <w:i w:val="1"/>
          <w:iCs w:val="1"/>
          <w:color w:val="auto"/>
        </w:rPr>
        <w:t>a potential approval. Our partner, Abbvie, is currently evaluating potential next steps.</w:t>
      </w:r>
    </w:p>
    <w:p>
      <w:pPr>
        <w:spacing w:after="0" w:line="8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While our DARPin molecules have distinct features to elicit specific therapeutic actions for a particular target, each DARPin therapeutic modality can be utilized across multiple programs. Our pipeline programs benefit from the learnings of earlier discoveries, such as the use of FAP as a localized activator for both AMG 506 (MP0310) and MP0317, escape prevention for our legacy product candidate MP0250, our new tetra-specific AML program, our COVID-19 therapeutic antiviral product candidates, and molecular handcuffing which is shared between our legacy product candidate MP0274 and our COVID-19 antiviral product candidate MP0423. As we continue to unlock new therapeutic modalities, each insight from earlier discoveries will be leveraged and applied across new product candidates wherever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60"/>
          </w:cols>
          <w:pgMar w:left="320" w:top="1440" w:right="41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22371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580"/>
        <w:spacing w:after="0" w:line="347" w:lineRule="auto"/>
        <w:rPr>
          <w:sz w:val="20"/>
          <w:szCs w:val="20"/>
          <w:color w:val="auto"/>
        </w:rPr>
      </w:pPr>
      <w:r>
        <w:rPr>
          <w:rFonts w:ascii="Arial" w:cs="Arial" w:eastAsia="Arial" w:hAnsi="Arial"/>
          <w:sz w:val="16"/>
          <w:szCs w:val="16"/>
          <w:b w:val="1"/>
          <w:bCs w:val="1"/>
          <w:color w:val="auto"/>
        </w:rPr>
        <w:t xml:space="preserve">Figure 1. </w:t>
      </w:r>
      <w:r>
        <w:rPr>
          <w:rFonts w:ascii="Arial" w:cs="Arial" w:eastAsia="Arial" w:hAnsi="Arial"/>
          <w:sz w:val="16"/>
          <w:szCs w:val="16"/>
          <w:i w:val="1"/>
          <w:iCs w:val="1"/>
          <w:color w:val="auto"/>
        </w:rPr>
        <w:t>Once we develop a DARPin modality for one program, we can utilize it for some or all of the programs that follow. This figure depicts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various therapeutic modalities in use across our pipeline programs. Blue shading reflects the stage of development of each program.</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Infectious Disease Program</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emergence of the COVID-19 pandemic, starting in early 2020, it was apparent that all efforts must be made to explore how DARPin therapeutics can assist in an emerging crisis. The straightforward development path of DARPin antiviral product candidates, enabled by their multi-specific binding mechanism of action, or MOA, allowed us to rapidly move from concept to clinic. To date we have developed two tri-specific COVID-19 antiviral therapeutic product candidates, MP0420, which we refer to as ensovibep, and MP0423. Both are designed to have strong binding and neutralizing potencies targeting multiple epitopes on the SARS-CoV-2 spike protein that are crucial for infection. We expect to commence a Phase 2/3 clinical trial for ensovibep, the lead product candidate in our infectious disease program, in with interim data expected in , and full data expected in . We are presently enrolling up to 40 patients in a Phase 2 study for ensovibep in the Netherlands, which was initiated in April 2021. Ensovibep has demonstrated a favorable tolerability profile in its Phase 1 trial of 23 healthy volunteers since commencement in 2020. Furthermore, we have partnered with Novartis to develop, manufacture and commercialize ensovibep and MP0423, which we believe will allow us to more rapidly develop this product candidate as a therapeutic for the treatment of COVID-19.</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product candidates in our infectious disease program offer a differentiated approach to treating COVID-19 through a single molecule that can engage multiple parts of the SARS-CoV-2 virus simultaneously to neutralize the virus through multiple mechanisms. This offers potentially broader efficacy – across both therapeutic and prophylactic settings – and reduces the potential for the development of viral drug resistance. Preclinical potency data suggests that our COVID-19 antiviral therapeutic product candidates may be administrable as a subcutaneous injection, which could represent a significant advantage for ease of delivery.</w:t>
      </w:r>
    </w:p>
    <w:p>
      <w:pPr>
        <w:spacing w:after="0" w:line="12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COVID-19 antiviral therapeutic product candidates are also engineered with a half-life-enhancing DARPin domain that binds to human serum albumin, or HSA, to support long-lasting activity. HSA is found in elevated levels in the lung, which may provide a further benefit in a respiratory viral setting.</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Ensovibep was observed to be well tolerated in a Phase 1 clinical trial. Additional clinical work is ongoing in a Phase 2 clinical trial exploring the ability of</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ensovibep to halt the spread of the SARS-CoV-2 virus in infected patients, with data expected in . A Phase 2/3 global registrational study, named EMPATHY, is expected to commence in , with interim data expected in , and full data expected in . Subject to the results of these trials and clinical need, our clinical development strategy aims to achieve potential emergency use authorization in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865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1860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 </w:t>
      </w:r>
      <w:r>
        <w:rPr>
          <w:rFonts w:ascii="Arial" w:cs="Arial" w:eastAsia="Arial" w:hAnsi="Arial"/>
          <w:sz w:val="18"/>
          <w:szCs w:val="18"/>
          <w:i w:val="1"/>
          <w:iCs w:val="1"/>
          <w:color w:val="auto"/>
        </w:rPr>
        <w:t>Ensovibep is constructed from three RBD binding DARPin domains and two HSA binding half-life extension DARPin domains.</w:t>
      </w:r>
    </w:p>
    <w:p>
      <w:pPr>
        <w:spacing w:after="0" w:line="1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Given the potential of DARPin therapeutics in treating SARS-CoV-2 through a viral neutralization mechanism, we have been exploring a number of potential infectious diseases which can be treated through multi-specific targeting. This evaluation includes additional work on pandemic threats, tropical diseases, and respiratory viruses such as Respiratory Syncytial Virus, or RSV.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82550</wp:posOffset>
            </wp:positionV>
            <wp:extent cx="5160645" cy="2065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06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i w:val="1"/>
          <w:iCs w:val="1"/>
          <w:color w:val="auto"/>
        </w:rPr>
        <w:t>The DARPin platform has multiple advantages in creating novel antiviral candidate. Among these, DARPin molecules have a mechanistic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advantage of multi-specific, cooperative surface protein binding and inhibition of viral entry into human cells. We are exploring additional viral infectious diseases, including RSV, that can be targeted by our DARPin molecules.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Oncology Program</w:t>
      </w:r>
    </w:p>
    <w:p>
      <w:pPr>
        <w:spacing w:after="0" w:line="152"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We are developing DARPin product candidates in our oncology program to treat diseases with high unmet medical need. To date, our oncology product development efforts have focused on known biological targets while the multi-specificity afforded by our DARPin technology has allowed us to unlock previously difficult-to-address tumor biology and expand the range of addressable tumor biology compared to current standard of care therapies.</w:t>
      </w:r>
    </w:p>
    <w:p>
      <w:pPr>
        <w:spacing w:after="0" w:line="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have used our DARPin library to generate DARPin proteins directed against a broad range of oncology targets. From this library our DARPin technology allows us to construct DARPin product candidates that are only activated within a tumor or its supporting tissue, thereby avoiding systemic activation and minimizing adverse events.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developing AMG 506 (MP0310), the lead product candidate in our oncology program and which is partnered with Amgen, as a tumor-localized, 4-1BB immune-cell activator for the potential treatment of FAP-positive cancers, which include multiple solid tumors. It is widely recognized that 4-1BB represents a promising anti-cancer target, but previous development attempts have resulted in minimal efficacy and/or high levels of systemic toxicity. To avoid potential toxicity concerns, and allow for potentially therapeutically meaningful activation of 4-1BB, we engineered AMG 506 (MP0310) to activate 4-1BB only when bound to FAP. FAP is found in the tumor stroma in high density, and its binding can create a local cluster effect. In our Phase 1 clinical trial, we observed that AMG 506 (MP0310) demonstrated the ability to generate localized immune cell activation with no systemic toxicity in interim data. The dose escalation stage of the Phase 1 clinical trial was initiated in late 2019 to establish safety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320" w:top="1440" w:right="399" w:bottom="1440" w:gutter="0" w:footer="0" w:header="0"/>
        </w:sectPr>
      </w:pPr>
    </w:p>
    <w:bookmarkStart w:id="113" w:name="page114"/>
    <w:bookmarkEnd w:id="113"/>
    <w:p>
      <w:pPr>
        <w:spacing w:after="0" w:line="13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tumor-restricted activation of immune-cells with initial results demonstrating proof of MOA after a single injection and a manageable adverse event profile consistent with MOA. We are currently conducting dosing regimen adaptations to identify the dosing regimen for sustained 4-1BB activation. We believe AMG 506 (MP0310) could be particularly relevant as a combination agent with potential combination studies in collaboration with Amgen .</w:t>
      </w:r>
    </w:p>
    <w:p>
      <w:pPr>
        <w:spacing w:after="0" w:line="6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MP0317, the second product candidate in our oncology program, is designed to bind CD40 and FAP. Similar to AMG 506 (MP0310), we believe that the FAP binding mechanism should allow MP0317 to activate immune cells specifically in the tumor and not in the rest of the body, potentially delivering greater efficacy with fewer side effects. CD40 is an immune agonist that has demonstrated the ability to exert anti-tumor activity, but its utility as a target has been somewhat limited in the clinic due to concerns regarding potential severe adverse events. We have designed MP0317 to increase localized activation of CD40 in the tumor microenvironment and as activation should only occur when both FAP and CD40 are simultaneously engaged, we believe</w:t>
      </w:r>
    </w:p>
    <w:p>
      <w:pPr>
        <w:spacing w:after="0" w:line="2" w:lineRule="exact"/>
        <w:rPr>
          <w:sz w:val="20"/>
          <w:szCs w:val="20"/>
          <w:color w:val="auto"/>
        </w:rPr>
      </w:pPr>
    </w:p>
    <w:p>
      <w:pPr>
        <w:spacing w:after="0"/>
        <w:tabs>
          <w:tab w:leader="none" w:pos="10100" w:val="left"/>
        </w:tabs>
        <w:rPr>
          <w:sz w:val="20"/>
          <w:szCs w:val="20"/>
          <w:color w:val="auto"/>
        </w:rPr>
      </w:pPr>
      <w:r>
        <w:rPr>
          <w:rFonts w:ascii="Arial" w:cs="Arial" w:eastAsia="Arial" w:hAnsi="Arial"/>
          <w:sz w:val="18"/>
          <w:szCs w:val="18"/>
          <w:color w:val="auto"/>
        </w:rPr>
        <w:t>MP0317 will trigger only tumor localized activity with minimal systemic side effects. We expect to enter the clinic with MP0317 in</w:t>
      </w:r>
      <w:r>
        <w:rPr>
          <w:sz w:val="20"/>
          <w:szCs w:val="20"/>
          <w:color w:val="auto"/>
        </w:rPr>
        <w:tab/>
      </w:r>
      <w:r>
        <w:rPr>
          <w:rFonts w:ascii="Arial" w:cs="Arial" w:eastAsia="Arial" w:hAnsi="Arial"/>
          <w:sz w:val="13"/>
          <w:szCs w:val="13"/>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Legacy Oncology Programs</w:t>
      </w:r>
    </w:p>
    <w:p>
      <w:pPr>
        <w:spacing w:after="0" w:line="15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previously developed two oncology product candidates demonstrating clinical proof-of-concept and validating the systemic administration of DARPin therapeutics in patients with both solid and hematologic malignancies. MP0250, a legacy product candidate in our oncology program, was designed to bind to and inhibit vascular endothelial growth factor, or VEGF, and hepatocyte growth factor, or HGF. VEGF supports the growth of new blood vessels that are required to sustain tumor growth and HGF promotes tumor growth. We believe that by binding to and thereby inhibiting the VEGF and HGF pathways, MP0250 evidenced the ability to restore the efficacy of many standard of care cancer therapies, allowing patients who developed resistance to again respond to these therapies. The second legacy product candidate in our oncology program, MP0274, is a DARPin product candidate designed to bind to two different sites, or epitopes, on HER2, a receptor protein that promotes the growth of tumors. We believe that by binding to these two specific epitopes at the same time, MP0274 locked HER2 in an abnormal position thereby rendering it inactive, thereby inhibiting HER-mediated signaling and leading to apoptosis, or programmed cell death, in susceptible tumor cells that over express HER2. Through these legacy product candidates, we have demonstrated therapeutic benefit for patients in the clinic, shown that multi-specific DARPin therapies can be administered safely and with low immunogenicity, and validated the ability of our HSA-binding DARPin technologies to support long-lasting activity. While the activity and tolerability of these product candidates is encouraging, a strategic decision has been made to de-prioritize the product candidates in favor of investing in programs where a clear clinical differentiation could be made through DARPin constructs.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T-Cell Engager Program</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part of our strategic evolution, we are focusing our efforts on creating DARPin product candidates that convey single-agent activity and do not require combination with additional compounds to show efficacy. Executing on this strategy over the last three years, we have developed CD3 T-cell engager, or TCE, therapeutic modalities, designed to activate relevant immune cells against specific cellular targets in a localized, specifically timed fashion. To date, many programs targeting CD3 have suffered from toxicity issues arising from CD3 activation outside the tumor and over-stimulation of the immune system. When dealing with complex, heterogeneous tumors, breakthrough efficacy has also been challenging to attain. In 2020, we made significant progress to integrate the CD3-targeting approach to T-cell engagement into a multi-DARPin format that addresses these key challenges. We are initially focused on targeting AML and other liquid tumors, with initial data presented at the American Academy for Cancer Research, or AACR, annual meeting in 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1783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Figure 4. </w:t>
      </w:r>
      <w:r>
        <w:rPr>
          <w:rFonts w:ascii="Arial" w:cs="Arial" w:eastAsia="Arial" w:hAnsi="Arial"/>
          <w:sz w:val="18"/>
          <w:szCs w:val="18"/>
          <w:i w:val="1"/>
          <w:iCs w:val="1"/>
          <w:color w:val="auto"/>
        </w:rPr>
        <w:t>We can control the activation of our multi-specific T cell to be restricted to a specific location and/or activated slowly to avoid adverse events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related to misdirected or overly strong activity.</w:t>
      </w:r>
    </w:p>
    <w:p>
      <w:pPr>
        <w:spacing w:after="0" w:line="9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use of tumor localization DARPin domains in addition to a CD3-binding DARPin domain has allowed the design of candidates with better tumor specificity, and consequently reduced ‘off-tumor’ effects, potentially enabling the administration of higher dose levels and achieving better efficacy. In preclinical tests against AML cells, DARPin CD3/TCE product candidates delivered highly potent and specific activity and the potential for a reduced systemic immune response.</w:t>
      </w:r>
    </w:p>
    <w:p>
      <w:pPr>
        <w:spacing w:after="0" w:line="11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intend to further expand the ability of our oncology program with DARPin product candidates that ensure CD3 is only targeted locally in the tumor microenvironment and is only activated slowly over time to further control the risk of side effects and provide sustained activity.</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Peptide-MHC DARPin Discovery Program</w:t>
      </w:r>
    </w:p>
    <w:p>
      <w:pPr>
        <w:spacing w:after="0" w:line="15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As we continue to unlock and expand our therapeutic capabilities, pMHC-targeting DARPin molecules represent the next level of immune cell targeting DARPin product candidates. These highly differentiated and specialized therapeutic candidates are designed to engage specific pMHC complexes while avoiding off-target attacks on healthy tissue, potentially delivering greater efficacy with fewer side effects. As pMHC complexes sample intracellular proteins and present them on the surface, specifically recognizing these complexes and binding to them allows pMHC DARPin molecules to identify a whole new array of targets that were previously hidden from external protein binders that are restricted to the extracellular environment. We believe the ability to target these intracellular proteins will allow us to pursue an entirely new set of potentially meaningful targets across the fields of oncology and infectious diseases. The small size and rigid binding surfaces of DARPin molecules make them well suited for binding to pMHC targets that have been difficult to target using the large, flexible structures of antibodies. We have demonstrated proof-of-concept for the ability of DARPin therapeutics to effectively drug pMHC complexes. We are actively screening single-domain DARPin proteins for optimal binding to a range of pMHC complexes, which we expect to use to design DARPin product candidates with specific and potent diseased cell killing effects.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Ophthalmology Program and Collaborations with Allergan, an Abbvie Company</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most clinically advanced DARPin product candidate we have developed is abicipar, a VEGF inhibitor for the treatment of neovascular (wet) age-related macular degeneration, or nAMD, and diabetic macular edema, or DME. Abicipar, which we developed using our DARPin platform, has a longer duration of action and may enable less frequent injections into the eye than the current anti-VEGF treatments while providing equal or better improvements in vision. This program was exclusively licensed to Allergan, an Abbvie company, in 2011. Abicipar has completed two global Phase 3 clinical trials where it met its primary endpoints of non-inferiority to the market leading monthly treatment, Lucentis. Following submission of a Biologics Licensing Application, or BLA, to the U.S. Food and Drug Administration, or FDA, it was determined that the ocular inflammation profile see in the two Phase 2 clinical trials did not provide an adequate risk reward benefit as submitted, and additional work would be required to show the ocular inflammation profile of abicipar would be similar to those products already approved for the treatment of nAMD. Our partner, Abbvie, is currently evaluating potential next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Team</w:t>
      </w:r>
    </w:p>
    <w:p>
      <w:pPr>
        <w:spacing w:after="0" w:line="13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our name indicates, partnership and collaboration are at the core of our company, our research activities and our therapeutic designs. Molecular Partners is an international working environment comprised of 150+ individuals from numerous disciplines who contribute to our shared values of scientific excellence, respectful teamwork and personal aspiration. Whether it stems from our long-standing goal of improving the lives of patients with cancer, or to our more recent efforts to deploy our technology against COVID-19, we are a group dedicated to moving the needle of medicine. We foster true innovation and creative thinking to advance our therapeutic product candidates, and we continue to be inspired by the difference we can make for our patients. Our team members possess a curiosity and a passion to advance our shared goal of providing better treatment options for patients with serious diseases.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Unlock and Expand Custom-Built Biology for Patients</w:t>
      </w:r>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committed to leveraging our proprietary DARPin platform to unlock and expand the inherent advantages of DARPin molecules to potentially deliver innovative therapies to patients suffering from severe disease with significant unmet medical needs.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Key aspects of our strategy include the following:</w:t>
      </w:r>
    </w:p>
    <w:p>
      <w:pPr>
        <w:spacing w:after="0" w:line="158" w:lineRule="exact"/>
        <w:rPr>
          <w:sz w:val="20"/>
          <w:szCs w:val="20"/>
          <w:color w:val="auto"/>
        </w:rPr>
      </w:pPr>
    </w:p>
    <w:p>
      <w:pPr>
        <w:ind w:left="340" w:right="40" w:hanging="332"/>
        <w:spacing w:after="0" w:line="269" w:lineRule="auto"/>
        <w:tabs>
          <w:tab w:leader="none" w:pos="335" w:val="left"/>
        </w:tabs>
        <w:numPr>
          <w:ilvl w:val="0"/>
          <w:numId w:val="55"/>
        </w:numPr>
        <w:rPr>
          <w:rFonts w:ascii="Arial" w:cs="Arial" w:eastAsia="Arial" w:hAnsi="Arial"/>
          <w:sz w:val="17"/>
          <w:szCs w:val="17"/>
          <w:color w:val="auto"/>
        </w:rPr>
      </w:pPr>
      <w:r>
        <w:rPr>
          <w:rFonts w:ascii="Arial" w:cs="Arial" w:eastAsia="Arial" w:hAnsi="Arial"/>
          <w:sz w:val="17"/>
          <w:szCs w:val="17"/>
          <w:color w:val="auto"/>
        </w:rPr>
        <w:t>Unlock novel biological solutions and expand therapeutic applications of clinically validated DARPin approaches. Since our founding in 2004 by the inventors of our DARPin platform, we have been the only company contractually permitted to use, make, develop, sell or offer to sell DARPin molecules with the exception of academic institutions and research organizations. Consequently, we believe we are the world leaders in DARPin engineering and research. With this expertise, we have developed a strategy of unlocking various technical hurdles which may limit other discovery platforms, and then expanding our clinical product candidates based upon each technological solution. Examples of this include the ability to locally activate highly potent, immunostimulatory molecules, potentially opening therapeutic windows which were previously unavailable to patients. With our COVID-19 antiviral therapeutic product candidates, our preclinical data demonstrate how a multi-specific molecule will allow for high viral neutralization, even when faced with multiple viral mutations. Our emerging CD3 discovery programs demonstrate the ability of our DARPin platform to carefully localize an antitumor response and prevent unwanted activation throughout the body, either through slow activation technologies or conditional activation technologies. With each technical breakthrough we achieve, we are able to apply key learnings across our portfolio, leveraging each insight to improve future programs.</w:t>
      </w:r>
    </w:p>
    <w:p>
      <w:pPr>
        <w:spacing w:after="0" w:line="100" w:lineRule="exact"/>
        <w:rPr>
          <w:rFonts w:ascii="Arial" w:cs="Arial" w:eastAsia="Arial" w:hAnsi="Arial"/>
          <w:sz w:val="17"/>
          <w:szCs w:val="17"/>
          <w:color w:val="auto"/>
        </w:rPr>
      </w:pPr>
    </w:p>
    <w:p>
      <w:pPr>
        <w:ind w:left="340" w:right="40" w:hanging="332"/>
        <w:spacing w:after="0" w:line="285" w:lineRule="auto"/>
        <w:tabs>
          <w:tab w:leader="none" w:pos="3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Rapidly advance the clinical development of our COVID-19 antiviral therapeutic product candidates in our infectious disease program in collaboration with Novartis. Our COVID-19 product candidates, ensovibep and MP0423, are two unique tri-specific DARPin product candidates which in preclinical studies have demonstrated the ability to inactivate the SARS-CoV-2 virus through binding to multiple target sites simultaneously. We believe this result offers the potential to both treat and prevent COVID-19 and reduce the likelihood of the development of viral drug resistance, which can result from selection pressure on any single molecular target. A global Phase 2/3 registrational clinical trial is expected to commence for our lead</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COVID-19 antiviral therapeutic product candidate, ensovibep, in . Our clinical strategy aims to achieve potential emergency use authorization in</w:t>
      </w:r>
    </w:p>
    <w:p>
      <w:pPr>
        <w:spacing w:after="0" w:line="21" w:lineRule="exact"/>
        <w:rPr>
          <w:sz w:val="20"/>
          <w:szCs w:val="20"/>
          <w:color w:val="auto"/>
        </w:rPr>
      </w:pPr>
    </w:p>
    <w:p>
      <w:pPr>
        <w:ind w:left="340" w:right="320" w:firstLine="577"/>
        <w:spacing w:after="0" w:line="281" w:lineRule="auto"/>
        <w:tabs>
          <w:tab w:leader="none" w:pos="10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Given the preclinical data from our existing COVID-19 antiviral therapeutic product candidates and the clear fit between the DARPin therapeutic profile and compelling antiviral product profiles, we intend to pursue other high value antiviral indications with unmet global need. We</w:t>
      </w:r>
    </w:p>
    <w:p>
      <w:pPr>
        <w:spacing w:after="0" w:line="1" w:lineRule="exact"/>
        <w:rPr>
          <w:sz w:val="20"/>
          <w:szCs w:val="20"/>
          <w:color w:val="auto"/>
        </w:rPr>
      </w:pPr>
    </w:p>
    <w:p>
      <w:pPr>
        <w:ind w:left="340"/>
        <w:spacing w:after="0"/>
        <w:tabs>
          <w:tab w:leader="none" w:pos="6780" w:val="left"/>
        </w:tabs>
        <w:rPr>
          <w:sz w:val="20"/>
          <w:szCs w:val="20"/>
          <w:color w:val="auto"/>
        </w:rPr>
      </w:pPr>
      <w:r>
        <w:rPr>
          <w:rFonts w:ascii="Arial" w:cs="Arial" w:eastAsia="Arial" w:hAnsi="Arial"/>
          <w:sz w:val="18"/>
          <w:szCs w:val="18"/>
          <w:color w:val="auto"/>
        </w:rPr>
        <w:t>expect to announce a new target indication in our infectious disease program in</w:t>
      </w:r>
      <w:r>
        <w:rPr>
          <w:sz w:val="20"/>
          <w:szCs w:val="20"/>
          <w:color w:val="auto"/>
        </w:rPr>
        <w:tab/>
      </w:r>
      <w:r>
        <w:rPr>
          <w:rFonts w:ascii="Arial" w:cs="Arial" w:eastAsia="Arial" w:hAnsi="Arial"/>
          <w:sz w:val="13"/>
          <w:szCs w:val="13"/>
          <w:color w:val="auto"/>
        </w:rPr>
        <w:t>.</w:t>
      </w:r>
    </w:p>
    <w:p>
      <w:pPr>
        <w:spacing w:after="0" w:line="143" w:lineRule="exact"/>
        <w:rPr>
          <w:sz w:val="20"/>
          <w:szCs w:val="20"/>
          <w:color w:val="auto"/>
        </w:rPr>
      </w:pPr>
    </w:p>
    <w:p>
      <w:pPr>
        <w:ind w:left="340" w:hanging="332"/>
        <w:spacing w:after="0" w:line="257" w:lineRule="auto"/>
        <w:tabs>
          <w:tab w:leader="none" w:pos="3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clinical development of AMG 506 (MP0310) and MP0317, the most advanced product candidates in our oncology program. Utilizing our knowledge of DARPin designs, we have developed a method of locally clustering potent immunostimulatory molecules, which are designed to activate themselves only in the presence of specific conditions. Our lead oncology product candidate, AMG 506 (MP0310), is being developed to locally activate immune cells in the tumor by binding to FAP on tumor stromal cells where it acts as a localizer, and co-stimulating T cells via 4-1BB, an immune modulator protein, for the treatment of FAP-positive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0" w:lineRule="exact"/>
        <w:rPr>
          <w:sz w:val="20"/>
          <w:szCs w:val="20"/>
          <w:color w:val="auto"/>
        </w:rPr>
      </w:pPr>
    </w:p>
    <w:p>
      <w:pPr>
        <w:ind w:left="340" w:right="140"/>
        <w:spacing w:after="0" w:line="287" w:lineRule="auto"/>
        <w:rPr>
          <w:sz w:val="20"/>
          <w:szCs w:val="20"/>
          <w:color w:val="auto"/>
        </w:rPr>
      </w:pPr>
      <w:r>
        <w:rPr>
          <w:rFonts w:ascii="Arial" w:cs="Arial" w:eastAsia="Arial" w:hAnsi="Arial"/>
          <w:sz w:val="16"/>
          <w:szCs w:val="16"/>
          <w:color w:val="auto"/>
        </w:rPr>
        <w:t>In a Phase 1 clinical trial, tumor biopsies from patients demonstrated that AMG 506 (MP0310) activated immune cells locally with minimal systemic side effects. Having unlocked this method of treatment, we are rapidly advancing our second lead oncology product candidate, MP0317, a tumor-localized immune-cell CD40 activator that is also being developed for the potential treatment of FAP-positive cancers. We expect to commence a</w:t>
      </w:r>
    </w:p>
    <w:p>
      <w:pPr>
        <w:spacing w:after="0" w:line="2" w:lineRule="exact"/>
        <w:rPr>
          <w:sz w:val="20"/>
          <w:szCs w:val="20"/>
          <w:color w:val="auto"/>
        </w:rPr>
      </w:pPr>
    </w:p>
    <w:p>
      <w:pPr>
        <w:ind w:left="340"/>
        <w:spacing w:after="0"/>
        <w:tabs>
          <w:tab w:leader="none" w:pos="3560" w:val="left"/>
        </w:tabs>
        <w:rPr>
          <w:sz w:val="20"/>
          <w:szCs w:val="20"/>
          <w:color w:val="auto"/>
        </w:rPr>
      </w:pPr>
      <w:r>
        <w:rPr>
          <w:rFonts w:ascii="Arial" w:cs="Arial" w:eastAsia="Arial" w:hAnsi="Arial"/>
          <w:sz w:val="18"/>
          <w:szCs w:val="18"/>
          <w:color w:val="auto"/>
        </w:rPr>
        <w:t>Phase 1 clinical trial for MP0317 in</w:t>
      </w:r>
      <w:r>
        <w:rPr>
          <w:sz w:val="20"/>
          <w:szCs w:val="20"/>
          <w:color w:val="auto"/>
        </w:rPr>
        <w:tab/>
      </w:r>
      <w:r>
        <w:rPr>
          <w:rFonts w:ascii="Arial" w:cs="Arial" w:eastAsia="Arial" w:hAnsi="Arial"/>
          <w:sz w:val="13"/>
          <w:szCs w:val="13"/>
          <w:color w:val="auto"/>
        </w:rPr>
        <w:t>.</w:t>
      </w:r>
    </w:p>
    <w:p>
      <w:pPr>
        <w:spacing w:after="0" w:line="130" w:lineRule="exact"/>
        <w:rPr>
          <w:sz w:val="20"/>
          <w:szCs w:val="20"/>
          <w:color w:val="auto"/>
        </w:rPr>
      </w:pPr>
    </w:p>
    <w:p>
      <w:pPr>
        <w:ind w:left="340" w:right="60" w:hanging="332"/>
        <w:spacing w:after="0" w:line="271" w:lineRule="auto"/>
        <w:tabs>
          <w:tab w:leader="none" w:pos="3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Expand the clinical applications of our newly unlocked next-generation CD3 capabilities. We plan to generate novel product candidates from our CD3 discovery programs, utilizing the concepts of multi-specific targeting, conditional activation, and slow activation, all of which we believe open an array of new opportunities for modulating the immune system to fight disease. We have developed methods of delivering highly specific CD3, multi-specific product candidates, starting with a tri-specific TCE for the treatment of AML. Preclinical work shows that targeting three distinct tumor-associated antigens, or TAAs, against AML in combination with a CD3 DARPin results in a high anti-tumor response and offers the potential for an improved safety window, and limiting tumor escape. Beyond the multi-specific administration of our CD3 molecules, we have developed the capacity for both ‘slow activation’ and ‘conditional activation’ of T cells in the circulation, giving multiple levels of control over this key immuno-oncologic mechanism, which other T-cell activator approaches have struggled to leverage without accompanying systemic toxicity.</w:t>
      </w:r>
    </w:p>
    <w:p>
      <w:pPr>
        <w:spacing w:after="0" w:line="110" w:lineRule="exact"/>
        <w:rPr>
          <w:rFonts w:ascii="Arial" w:cs="Arial" w:eastAsia="Arial" w:hAnsi="Arial"/>
          <w:sz w:val="17"/>
          <w:szCs w:val="17"/>
          <w:color w:val="auto"/>
        </w:rPr>
      </w:pPr>
    </w:p>
    <w:p>
      <w:pPr>
        <w:ind w:left="340" w:right="20" w:hanging="332"/>
        <w:spacing w:after="0" w:line="291"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Leverage our proprietary libraries to expand the applicability of DARPin therapeutics. DARPin domains are designed to be added to new product candidates in a modular fashion to address novel disease biology. This process enables us to construct and screen multi-specific DARPin molecules for new disease areas and to quickly identify and progress differentiated candidates for our infectious disease and oncology programs. For example, in our oncology program, we are exploring the use of FAP colocalization to selectively activate immune cells in tumors. In pursuit of a sustainable and diversified portfolio, we plan to develop potentially innovative and transformational constructs directed against the most promising targets in our areas of focus. As part of this expansion, we have also developed methods of targeting pMHC complexes, which we believe provides us the capability to investigate a multitude of new targets that have previously been untargetable, both in infectious diseases and oncology.</w:t>
      </w:r>
    </w:p>
    <w:p>
      <w:pPr>
        <w:spacing w:after="0" w:line="98" w:lineRule="exact"/>
        <w:rPr>
          <w:rFonts w:ascii="Arial" w:cs="Arial" w:eastAsia="Arial" w:hAnsi="Arial"/>
          <w:sz w:val="16"/>
          <w:szCs w:val="16"/>
          <w:color w:val="auto"/>
        </w:rPr>
      </w:pPr>
    </w:p>
    <w:p>
      <w:pPr>
        <w:ind w:left="340" w:hanging="332"/>
        <w:spacing w:after="0" w:line="270" w:lineRule="auto"/>
        <w:tabs>
          <w:tab w:leader="none" w:pos="3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Maintain a strategic approach to in-house versus partnered development. To unlock and expand the full potential of our DARPin platform, we intend to independently develop and commercialize product candidates in our core focus areas, where we believe we have a clear clinical and regulatory approval pathway and the resources to commercialize successfully. To complement this approach, we also plan to collaborate with biopharmaceutical companies on product candidates that have promising utility in target areas or patient populations requiring greater global development capabilities or those outside of our strategic focus. This strategy has allowed us to pursue major therapeutic innovations for the DARPin platform, often in parallel, across our infectious disease, oncology and ophthalmology focus areas. To this end, we continue to support our partners across our portfolio as we pursue the advancement of AMG 506 (MP0310) in solid tumors in collaboration with Amgen, the rapid development and approval of our COVID-19 antiviral therapeutic product candidates with Novartis, and abicipar, which has shown clinical benefit in two Phase 3 trials in nAMD, but which requires additional development by our partner Abbvie if it is to achieve regulatory approval.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DARPin Platform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DARPin platform was invented over twenty years ago by the co-founders of our company, then researchers from the University of Zurich. DARPin molecules were discovered as a result of our co-founders’ quest to find a solution beyond antibodies. The ease of use and manufacturing of DARPin binders, along with the ability to design multi-specific molecules, made DARPin technology an ideal platform from which to pursue treatments beyond traditional protein therapeutics. The DARPin base technology we use in our DARPin platform to generate our DARPin product candidates is exclusively licensed to us by the University of Zurich.</w:t>
      </w:r>
    </w:p>
    <w:p>
      <w:pPr>
        <w:spacing w:after="0" w:line="10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Leveraging our DARPin platform, we have designed DARPin product candidates with multiple MOAs that we believe have the potential to offer patients therapeutic options with higher efficacy and fewer adverse events as compared to standard-of-care therapies. Among these multiple MOAs, DARPin product candidates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designed to block growth factors, localize activity, conditionally activate, neutralize viruses, adjust half-life as needed, and initiate cell death. These features, and others, are applied across our portfolio and utilized when required to elicit a specific therapeutic response.</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design our DARPin product candidates using natural ankyrin repeat proteins. Like monoclonal antibodies, or mAbs, ankyrin repeat proteins are a known class of natural binding protein, prevalent in humans and many other species, which display highly specific and strong target binding capacity. Ankyrin repeat proteins, through the ankyrin repeat fold, and mAbs, through the more geometrically complex immuno-globulin, or Ig, fold, have a framework and scaffold that preserves their structure and allows them to carry a variety of potential binding sites. The Ig fold in a mAb consists mainly of structures referred to as beta-sheets, and the ankyrin repeat fold in a single-domain DARPin consists primarily of alpha-helical structures. Since alpha-helical structures are less complex and are frequently easier to manipulate without loss of structure, produce and preserve compared to structures built with beta-sheet folds, we believe that our DARPin product candidates have significant potential advantages over current and future mAb treatments. The figure below highlights a few of the differences between mAbs and single-domain DARPin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79375</wp:posOffset>
            </wp:positionV>
            <wp:extent cx="5349240" cy="2263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Figure 5. </w:t>
      </w:r>
      <w:r>
        <w:rPr>
          <w:rFonts w:ascii="Arial" w:cs="Arial" w:eastAsia="Arial" w:hAnsi="Arial"/>
          <w:sz w:val="18"/>
          <w:szCs w:val="18"/>
          <w:i w:val="1"/>
          <w:iCs w:val="1"/>
          <w:color w:val="auto"/>
        </w:rPr>
        <w:t>In comparison to monoclonal antibodies, we believe the smaller size and simple architecture of DARPin binders make them ideally suited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perform multiple biological functions in a single molecule.</w:t>
      </w:r>
    </w:p>
    <w:p>
      <w:pPr>
        <w:spacing w:after="0" w:line="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the architectural flexibility and novel geometry of single-domain DARPin modules will allow us to develop differentiated drugs with advantages over traditional mAb therapies and to explore therapeutic opportunities unavailable to most other platforms. We are able to generate different single-domain DARPin modules and linkers to create our DARPin product candidates, with multiple MOAs either directed at a single target, or several targets at once. For example, we have generated DARPin molecules with six targets or MOAs in a single product candidate. The resulting molecular complex of this six factor DARPin molecule is still approximately half the size of most single-target mAbs. The figure below illustrates the binding of mAbs and multi-DARPin product candidates to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60"/>
          </w:cols>
          <w:pgMar w:left="320" w:top="1440" w:right="41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1783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6. </w:t>
      </w:r>
      <w:r>
        <w:rPr>
          <w:rFonts w:ascii="Arial" w:cs="Arial" w:eastAsia="Arial" w:hAnsi="Arial"/>
          <w:sz w:val="18"/>
          <w:szCs w:val="18"/>
          <w:i w:val="1"/>
          <w:iCs w:val="1"/>
          <w:color w:val="auto"/>
        </w:rPr>
        <w:t>DARPin product candidates can perform multiple biological functions at the same time.</w:t>
      </w:r>
    </w:p>
    <w:p>
      <w:pPr>
        <w:spacing w:after="0" w:line="1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DARPin platform has the potential to yield novel product candidates with broad therapeutic application given their ability to overcome many of the limitations of conventional protein and mAb-based therapeutics.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Benefits and Advantages of our DARPin Platform over Traditional Approaches</w:t>
      </w:r>
    </w:p>
    <w:p>
      <w:pPr>
        <w:spacing w:after="0" w:line="1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the effectiveness of our solution is driven by the architectural flexibility of our DARPin product candidates and the biophysical properties of single-domain DARPin modules, which allow us to select the optimal product candidates from among approximately 10,000 potential combinations simultaneously.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49240" cy="2408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7. </w:t>
      </w:r>
      <w:r>
        <w:rPr>
          <w:rFonts w:ascii="Arial" w:cs="Arial" w:eastAsia="Arial" w:hAnsi="Arial"/>
          <w:sz w:val="18"/>
          <w:szCs w:val="18"/>
          <w:i w:val="1"/>
          <w:iCs w:val="1"/>
          <w:color w:val="auto"/>
        </w:rPr>
        <w:t>We leverage the innate properties DARPin binders to create specific therapeutic outputs, based on a target patient.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benefits of our DARPin platform include:</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Ability of DARPin product candidates to target multiple escape pathways in parallel. </w:t>
      </w:r>
      <w:r>
        <w:rPr>
          <w:rFonts w:ascii="Arial" w:cs="Arial" w:eastAsia="Arial" w:hAnsi="Arial"/>
          <w:sz w:val="18"/>
          <w:szCs w:val="18"/>
          <w:color w:val="auto"/>
        </w:rPr>
        <w:t>When cancer cells or a virus are attacked by conventional therapies,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often develop resistance by loss of target, mutational escape or activating multiple escape pathways at once. To create effective products, we believe that we must understand the dynamics of these escape pathways and then target their key components in parallel. We believe our DARPin product candidates are ideally suited for this approach because of their ability to bind to multiple targets and inhibit multiple escape pathways at once. Our approach allows us to efficiently test product candidates to determine the affinity and target binding of our single-domain DARPin proteins in the relevant setting. The most effective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200"/>
          </w:cols>
          <w:pgMar w:left="320" w:top="1440" w:right="379" w:bottom="1440" w:gutter="0" w:footer="0" w:header="0"/>
          <w:type w:val="continuous"/>
        </w:sectPr>
      </w:pPr>
    </w:p>
    <w:bookmarkStart w:id="119" w:name="page120"/>
    <w:bookmarkEnd w:id="119"/>
    <w:p>
      <w:pPr>
        <w:spacing w:after="0" w:line="13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combination of single-domain DARPin proteins is assembled into one DARPin product candidate for further product development. These DARPin product candidates can demonstrate cooperative binding, leading to high potency and preventing escape as demonstrated by our antiviral product candidates.</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Capacity to find and address new biology on known targets. </w:t>
      </w:r>
      <w:r>
        <w:rPr>
          <w:rFonts w:ascii="Arial" w:cs="Arial" w:eastAsia="Arial" w:hAnsi="Arial"/>
          <w:sz w:val="16"/>
          <w:szCs w:val="16"/>
          <w:color w:val="auto"/>
        </w:rPr>
        <w:t>Using our DARPin approach, we are able to select single-domain DARPin proteins that bind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known targets in novel ways, thereby unlocking additional therapeutic solutions. For example, in our CD3 discovery programs, we ‘mask’ a CD3 DARPin with another blocking DARPin utilizing a flexible linker to connect the two, which allows us to ‘unlock’ the active therapeutic in a slow activation capacity and dampen potential cytokine release syndrome, or CRS, thereby limiting the adverse event profile. We can also achieve conditional activation where the molecule will activate only in the presence of a particular TAA. Our first nominated CD3 product candidate will utilize the power of multi-specific targeting to potentially enhance efficacy and minimize tumor resistance through simultaneously targeting three known hallmarks of AML, which, to our knowledge, have never been administered as one molecule until now. Previous preclinical studies have also demonstrated the capacity of single-domain DARPin proteins to bind to different epitopes on the same target. MP0274, for example, targets human epidermal growth factor 2, or HER2, on two distinct epitopes with two DARPin-proteins connected by a short linker locking HER2 in an abnormal position, forming a ‘molecular handcuff’ and thereby inducing cell death, or apoptosis. This approach is also used as one of the mechanisms of action for MP0423, which we believe can ‘handcuff’ the spike protein of SAR-CoV-2 to prevent infection. We believe these results are not functionally feasible with conventional antibody approaches.</w:t>
      </w:r>
    </w:p>
    <w:p>
      <w:pPr>
        <w:spacing w:after="0" w:line="10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Flexible architecture to engage and locally activate immune cells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Immuno-oncology relies on the activation of a patient’s immune response to fight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tumors. In some cases, blocking negative checkpoint signals can produce a deep and durable effect in stopping the growth of, and regressing, tumors. We believe that our DARPin platform is well suited for the combined approaches of blocking negative checkpoint signals and engaging and activating immune cells. We have unlocked approaches that utilize single-domain DARPin proteins to direct tumor-localized activation of immune cells, resulting in the selective activation of immune system cells within a tumor, which may potentially avoid systemic adverse events. We have designed two of our DARPin product candidates, AMG 506 (MP0310) and MP0317, to cluster, thereby locally activating immune cells more effectively. AMG 506 (MP0310) is a tumor-restricted 4-1BB immune-cell activator for the potential treatment of FAP-positive cancers, and MP0317 activates CD40, also in an FAP-dependent manner. As these DARPin product candidates are directed to tumor supportive structures rather than tumor cells, we believe they will be less subject to the development of treatment resistance and will thereby retain activity.</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Tailored pharmacokinetic profile. </w:t>
      </w:r>
      <w:r>
        <w:rPr>
          <w:rFonts w:ascii="Arial" w:cs="Arial" w:eastAsia="Arial" w:hAnsi="Arial"/>
          <w:sz w:val="18"/>
          <w:szCs w:val="18"/>
          <w:color w:val="auto"/>
        </w:rPr>
        <w:t>We are able to tailor the half-life of our DARPin product candidates in the body to match the relevant target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biology ranging from hours to weeks. Depending on the relevant therapeutic application we are targeting, we have multiple approaches to choose from, each of which leads to a different pharmacokinetic profile for our DARPin product candidates. This allows us to equip each of our product candidates with the half-life that we believe is ideal for the specific therapeutic function.</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Established and efficient process and ease of storage. </w:t>
      </w:r>
      <w:r>
        <w:rPr>
          <w:rFonts w:ascii="Arial" w:cs="Arial" w:eastAsia="Arial" w:hAnsi="Arial"/>
          <w:sz w:val="18"/>
          <w:szCs w:val="18"/>
          <w:color w:val="auto"/>
        </w:rPr>
        <w:t>All or our DARPin product candidates are constructed to benefit from high-yield and low-cost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microbial manufacturing. Unlike manufacturing using traditional mammalian cell lines, productions of DARPin molecules via microbial manufacturing allow for several key competitive advantages, including the ability to manufacture clinical batches every seven to ten days, versus a thirty-day mammalian campaign. This advantage is an imperative as we look to make our drugs available on a global scale. Additional benefits include high production yield of raw drug substance, 12-15g/L for example, as well as high thermal stability, with certain programs demonstrating shelf stability at 4 degrees centigrade for several years.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 of Our DARPin Platform: A Source of Virtually Unlimited Binding Proteins</w:t>
      </w:r>
    </w:p>
    <w:p>
      <w:pPr>
        <w:spacing w:after="0" w:line="1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fundamental building block for all of our DARPin product candidates is the single-domain DARPin protein. A single-domain DARPin protein consists of an engineered protein base structure, which we refer to as the scaffold. The DARPin scaffold is formed from consecutive copies of ankyrin repeat proteins, which are 33 amino acid long chains stacked together. The scaffold can be generated to provide a binding site to specifically recognize, or permit binding to, a desired target protein or other molecule, similar to how mAbs can be generated to recognize a single target antigen.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have developed and upgraded our DARPin libraries to include over 1 trillion single-domain DARPin proteins, each of which can potentially bind to a specific target structure. From this library we can screen and select within weeks single-domain DARPin proteins that are highly specific to and have high affinity with any given target structure. We use the selected single-domain DARPin proteins to build our DARPin product candidates.</w:t>
      </w:r>
    </w:p>
    <w:p>
      <w:pPr>
        <w:spacing w:after="0" w:line="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Single-domain DARPin proteins are small, having a molecular weight of approximately 14–18 kilodaltons, or approximately the tenth of the size of a mAb. We believe this smaller size potentially enables increased tissue penetration and a higher potency at lower doses. The natural biophysical properties of single-domain DARPin proteins, including high affinity due to the rigidity of the scaffold and high solubility of the base structure, enable more distinct specificity for a particular target, or a specific site on a particular target, such as an epitope. These benefits have the potential to increase activity and efficacy of our product candidates on the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85725</wp:posOffset>
            </wp:positionV>
            <wp:extent cx="5160645" cy="1808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06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Figure 8. </w:t>
      </w:r>
      <w:r>
        <w:rPr>
          <w:rFonts w:ascii="Arial" w:cs="Arial" w:eastAsia="Arial" w:hAnsi="Arial"/>
          <w:sz w:val="18"/>
          <w:szCs w:val="18"/>
          <w:i w:val="1"/>
          <w:iCs w:val="1"/>
          <w:color w:val="auto"/>
        </w:rPr>
        <w:t>Our DARPin libraries allows us to identify single-domain DARPin binders with desired characteristics. We can then construct and screen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numerous DARPin candidates to identify an optimal molecule.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Use Single-Domain DARPin Proteins</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can select single-domain DARPin proteins to bind to a given target and form the basis of a product candidate, or we can genetically assemble single-domain DARPin proteins into DARPin product candidates using different linkers. This allows us to screen over 10,000 different DARPin product candidates for each target and select those with the optimal properties. We believe this process is more difficult with multi-specific mAbs or other complex proteins. Further, we can add additional elements either to increase the half-life of our product candidates to match the therapeutic need or to add functionality.</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antibodies generally have a long systemic half-life, most repeat proteins have a short half-life. The half-life of a single-domain DARPin protein is usually a few hours when injected into the blood stream. To increase the half-life of DARPin product candidates, we have created proprietary, patent-protected, specific single-domain DARPin proteins that bind to HSA. HSA is the most abundant protein in human blood and has a half-life of approximately three weeks. When administered intravenously, the HSA-DARPin protein binds to its target to extend its half-life to the same period as HSA. If this single-domain DARPin protein is used in a DARPin product candidate, the entire product candidate benefits from HSA's longer half-life. This approach allows us to tailor the half-life of our individual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image below depicts how we generate DARPin product candidates using our DARPin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100330</wp:posOffset>
            </wp:positionV>
            <wp:extent cx="5349240" cy="237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color w:val="auto"/>
        </w:rPr>
        <w:t xml:space="preserve">Figure 9. </w:t>
      </w:r>
      <w:r>
        <w:rPr>
          <w:rFonts w:ascii="Arial" w:cs="Arial" w:eastAsia="Arial" w:hAnsi="Arial"/>
          <w:sz w:val="18"/>
          <w:szCs w:val="18"/>
          <w:i w:val="1"/>
          <w:iCs w:val="1"/>
          <w:color w:val="auto"/>
        </w:rPr>
        <w:t>To best design molecules with a desired therapeutic effect, DARPin molecules can be constructed in a multitude of conformations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combinations, including variable linkers, as well as the ability to attach DARPin modules to additional therapeutic modalities. E.g. cell therapies, antibodies, or other protein therapeutics.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 Candidates and Research Program Pipeline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about our proprietary and partnered product candidates and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109220</wp:posOffset>
            </wp:positionV>
            <wp:extent cx="5349240" cy="2691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*Abicipar has not been approved for commercialization in any jurisdiction, and we understand that additional evaluation work would be required prior to a potential approval. Our partner, Abbvie, is currently evaluating potential next steps.</w:t>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120"/>
          </w:cols>
          <w:pgMar w:left="320" w:top="1440" w:right="459" w:bottom="1440" w:gutter="0" w:footer="0" w:header="0"/>
          <w:type w:val="continuous"/>
        </w:sectPr>
      </w:pPr>
    </w:p>
    <w:bookmarkStart w:id="122" w:name="page123"/>
    <w:bookmarkEnd w:id="122"/>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Our Infectious Disease Program</w:t>
      </w:r>
    </w:p>
    <w:p>
      <w:pPr>
        <w:spacing w:after="0" w:line="13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2020 we launched our first product candidate in our infectious disease program, which targets SARS-CoV-2, the causative agent of COVID-19. Our rapid candidate design and assessment process allowed us to quickly substantiate the potential of an antiviral DARPin approach and its differentiation compared to other therapeutic approaches. Based on the strong potential of DARPin therapeutics as antivirals, we have begun exploring other global viral threats with high unmet need as potential targets for new product candidates in our infectious disease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Product Candidates: Ensovibep (MP0420) and MP0423</w:t>
      </w:r>
    </w:p>
    <w:p>
      <w:pPr>
        <w:spacing w:after="0" w:line="158" w:lineRule="exact"/>
        <w:rPr>
          <w:sz w:val="20"/>
          <w:szCs w:val="20"/>
          <w:color w:val="auto"/>
        </w:rPr>
      </w:pPr>
    </w:p>
    <w:p>
      <w:pPr>
        <w:ind w:left="340" w:right="104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Ensovibep, a unique tri-specific DARPin product candidate that targets three different epitopes on the receptor-binding domain, or RBD, simultaneously.</w:t>
      </w:r>
    </w:p>
    <w:p>
      <w:pPr>
        <w:spacing w:after="0" w:line="89"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MP0423, a unique multi-mode tri-specific DARPin product candidate that targets three different parts of the coronavirus spike protein simultaneously, including the RBD.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Candidates display strong affinity to the spike protein and prevent infectivity in vitro and in vivo and remain active on known prevalent variants.</w:t>
      </w:r>
    </w:p>
    <w:p>
      <w:pPr>
        <w:spacing w:after="0" w:line="169" w:lineRule="exact"/>
        <w:rPr>
          <w:rFonts w:ascii="Arial" w:cs="Arial" w:eastAsia="Arial" w:hAnsi="Arial"/>
          <w:sz w:val="17"/>
          <w:szCs w:val="17"/>
          <w:color w:val="auto"/>
        </w:rPr>
      </w:pPr>
    </w:p>
    <w:p>
      <w:pPr>
        <w:ind w:left="340" w:right="66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Phase 1 clinical trial results demonstrate ensovibep to be well tolerated, with a favorable pharmacodynamic profile; global registrational study expected to commence in .</w:t>
      </w:r>
    </w:p>
    <w:p>
      <w:pPr>
        <w:spacing w:after="0" w:line="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early 2020, recognizing the global need for all scientific discovery to lend itself to solving the emerging SARS-Cov-2 pandemic, which would come to be known as COVID-19, we immediately began investigating what effect, if any, DARPin binders could produce as an antiviral therapy against SARS-Cov-2. In a matter of weeks, a rapid screening of thousands of our single-domain binders resulted in a reservoir of several hundred DARPin modules with high affinity to the SARS-CoV-2 spike protein. We then assembled several dozen intelligently designed DARPin molecules, screened them again for spike-protein binding, and identified our two lead tri-specific COVID-19 antiviral therapeutic product candidates, ensovibep and MP0423. Concept to candidate identification took us less than eight weeks. Ensovibep was constructed from three distinct single-domain DARPin binders that target the RBD of the spike protein, whereas MP0423, which also takes advantage of strong RBD binding, includes two additional MOAs: blocking protease cleavage and the formation of a ‘molecular handcuff’ around the spike protein, preventing its ability to infect healthy cells. These product candidates are engineered to target multiple epitopes on the SARS-CoV-2 spike protein that are crucial for infection. Our COVID-19 antiviral therapeutic product candidates are also built with two half-life enhancing DARPin domains that bind to HSA to support long-lasting activity. As HSA is found in elevated levels in the lung, its binding may provide a further benefit treating SARS-CoV-2 since it is a respiratory virus. In preclinical models, both of these product candidates have demonstrated strong binding and neutralizing potency. For risks regarding the inherent uncertainty of development timelines of future product candidates, see the sections of this prospectus titled “Government Regulation” and “Risk Factors—Risks Related to the Development and Clinical Testing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29146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1860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10. </w:t>
      </w:r>
      <w:r>
        <w:rPr>
          <w:rFonts w:ascii="Arial" w:cs="Arial" w:eastAsia="Arial" w:hAnsi="Arial"/>
          <w:sz w:val="18"/>
          <w:szCs w:val="18"/>
          <w:i w:val="1"/>
          <w:iCs w:val="1"/>
          <w:color w:val="auto"/>
        </w:rPr>
        <w:t>In vivo preclinical data demonstrating ability of ensovibep (MP420) to deliver high suppression of virus in the lung of animal models, providing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essentially complete blocking of viral infectivity.</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advancing the clinical development of ensovibep and MP0423 in collaboration with Novartis. Pursuant to the collaboration agreement, Novartis has the option to develop, manufacture and commercialize these product candidates. In addition to making a non-refundable cash payment and an equity investment totaling CHF 60.0 million, if Novartis exercises its option to invest in the clinical development and manufacturing of ensovibep we would potentially receive a near-term milestone to our company of CHF 150.0 million in the next 12 months. If Novartis chooses to commercialize ensovibep or MP0423, we would receive royalties of 22% on future commercial sales in certain agreed territories. We and Novartis have also agreed to forgo any profits in developing nations. We have also reached an agreement with the Swiss Government regarding rights to purchase up to 3.2 million doses of ensovibep if it is approved in Switzerland. In addition to our partnership with Novartis, we are collaborating with AGC Biologics and Baccinex to support development of our anti-COVID-19 programs.</w:t>
      </w:r>
    </w:p>
    <w:p>
      <w:pPr>
        <w:spacing w:after="0" w:line="11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 Phase 1 clinical trial involving 23 volunteers, ensovibep was observed to be well tolerated within, and above, expected clinically relevant doses. In an ongoing Phase 2 clinical trial, we and Novartis are investigating the ability of ensovibep to inhibit viral transmission of SARS-CoV-2 in positively diagnosed patients. This ability has been demonstrated in preclinical experiments in animal models. This study seeks to enroll up to 40 symptomatic patients, positively diagnosed by PCR, who will be treated with ensovibep and monitored for viral replication. Data from this study is expected to be</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available in . In addition, we expect that a global Phase 2/3 registrational study, named EMPATHY, will commence in , which will seek to enroll over 2,100 patients in the ambulatory setting, with the goal of demonstrating the ability of ensovibep to prevent disease worsening, hospitalizations, and death.</w:t>
      </w:r>
    </w:p>
    <w:p>
      <w:pPr>
        <w:spacing w:after="0" w:line="1"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color w:val="auto"/>
        </w:rPr>
        <w:t>This trial includes two phases, as illustrated in Figure 11 below, with interim data anticipated in the first 400 patients in</w:t>
      </w:r>
      <w:r>
        <w:rPr>
          <w:sz w:val="20"/>
          <w:szCs w:val="20"/>
          <w:color w:val="auto"/>
        </w:rPr>
        <w:tab/>
      </w:r>
      <w:r>
        <w:rPr>
          <w:rFonts w:ascii="Arial" w:cs="Arial" w:eastAsia="Arial" w:hAnsi="Arial"/>
          <w:sz w:val="16"/>
          <w:szCs w:val="16"/>
          <w:color w:val="auto"/>
        </w:rPr>
        <w:t>, and full results available in</w:t>
      </w:r>
    </w:p>
    <w:p>
      <w:pPr>
        <w:spacing w:after="0" w:line="9" w:lineRule="exact"/>
        <w:rPr>
          <w:sz w:val="20"/>
          <w:szCs w:val="20"/>
          <w:color w:val="auto"/>
        </w:rPr>
      </w:pPr>
    </w:p>
    <w:p>
      <w:pPr>
        <w:ind w:right="80" w:firstLine="548"/>
        <w:spacing w:after="0" w:line="253" w:lineRule="auto"/>
        <w:tabs>
          <w:tab w:leader="none" w:pos="6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an effort to explore the potential benefit of ensovibep in additional settings, we have also aligned with the National Institute of Allergy and Infectious diseases, or NIAID, through an ongoing international master protocol/platform study, ACTIV-3, which is a Phase 3 trial for COVID-19 positive patients in the hospitalized setting. This study will examine ensovibep plus a standardized treatment, remdesivir, and will recruit 500 patients versus an additional arm of 500 patients treated with remdesivir plus standard-of-care as the control. The protocol includes an interim analysis for futility after the first 300 patients have been randomized and recruited.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320" w:top="1440" w:right="37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2314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Figure 11. </w:t>
      </w:r>
      <w:r>
        <w:rPr>
          <w:rFonts w:ascii="Arial" w:cs="Arial" w:eastAsia="Arial" w:hAnsi="Arial"/>
          <w:sz w:val="18"/>
          <w:szCs w:val="18"/>
          <w:i w:val="1"/>
          <w:iCs w:val="1"/>
          <w:color w:val="auto"/>
        </w:rPr>
        <w:t>All dates are preliminary and subject to health authority input. As part of the global strategy to ensure the potential of ensovibep is realized,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draft development plans include a clinical study for approval in the non-hospitalized setting, strategies for subcutaneous bridging, and upscaled manufacturing through our partner Novartis, allowing for sufficient global capacity.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of doses of MP0423 are also ongoing for a Phase 1 clinical trial.</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the developed world is moving quickly toward vaccinating a large part of its population, we believe there is still a significant need for therapeutics such as our COVID-19 antiviral therapeutic product candidates, since there are both many parts of the world that have not been able to obtain vaccines due to lack of funding and/or delivery issues and many people who cannot or will not get vaccinated. As our therapeutic product candidates are relatively inexpensive to produce and easy to deliver, we believe they can serve as a solution to specifically treat and stop the spread of the disease in under-vaccinated areas. Furthermore, even in areas where there are very high percentages of vaccinated population, there will continue to be a need for efficacious and easily administrated antiviral therapies.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Preclinical potency data suggests that our DARPin product candidates may be administrable as a rapid infusion, or potentially as a subcutaneous injection, which would be a significant advantage for ease of delivery. Once an acceptable dose is identified from Part A of the EMPATHY trial, which is expected to commence in , clinical work can begin to optimize a subcutaneous dose formulation for ensovibep. We believe that the greatest potential for ensovibep will be its administration in the community care setting. While vaccines against SARS-CoV-2 continue to emerge, the need for an efficacious and easily administered antiviral will be key to the patients who still contract this virus. To that end, we believe a subcutaneous, potent antiviral will be a key component to the treatment paradigm.</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Candidate Characteristics and Development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Ensovibep (MP420)</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Ensovibep is a unique tri-specific DARPin product candidate that has demonstrated cooperative target binding and sub-picomolar potency which is among the strongest virus inhibition reported to date. As shown in preclinical studies, ensovibep is a tri-specific DARPin product candidate that targets three different epitopes on the RBD simultaneously, but with different antigen-binding sequences, as shown in Figure 12 below, a concept we refer to as cooperative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865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18604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12. </w:t>
      </w:r>
      <w:r>
        <w:rPr>
          <w:rFonts w:ascii="Arial" w:cs="Arial" w:eastAsia="Arial" w:hAnsi="Arial"/>
          <w:sz w:val="18"/>
          <w:szCs w:val="18"/>
          <w:i w:val="1"/>
          <w:iCs w:val="1"/>
          <w:color w:val="auto"/>
        </w:rPr>
        <w:t>Full length design of ensovibep, a penta-DARPin including 3 RBD binding DARPin modules, as well as 2 HSA DARPin modules to extend half-life to approximately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71120</wp:posOffset>
            </wp:positionV>
            <wp:extent cx="4526280" cy="2837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2628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13. </w:t>
      </w:r>
      <w:r>
        <w:rPr>
          <w:rFonts w:ascii="Arial" w:cs="Arial" w:eastAsia="Arial" w:hAnsi="Arial"/>
          <w:sz w:val="18"/>
          <w:szCs w:val="18"/>
          <w:i w:val="1"/>
          <w:iCs w:val="1"/>
          <w:color w:val="auto"/>
        </w:rPr>
        <w:t>3D illustration of ensovibep showing its binding and neutralizing action at the ‘crown’ of the SARS-CoV-2 spike protein, which the virus uses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infiltrate human cells.</w:t>
      </w:r>
    </w:p>
    <w:p>
      <w:pPr>
        <w:spacing w:after="0" w:line="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preclinical models, we have demonstrated ensovibep’s ability to be a potent neutralizer of wild type, or WT, SARS-CoV-2. In addition, based on its multi-specific design and use of cooperative binding, ensovibep appears to remain highly potent against a number of emerging SARS-CoV-2 mutations, or variants, which have been initially identified in Brazil, South Africa, and the United Kingdom. These individual variants have been tested against ensovibep as well as MP0423. We intend to test new variants against our product candidates as they emerge as well. As demonstrated in Figure 14 below, while individual single-domain DARPin components can lose potency, the overall molecule will retain therapeutically relevant neutralization. We believe this is possible due to the cooperative binding of the molecule, where even if individual binders lose potency, the other binders should keep the molecule active and neutralizing.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1440" w:right="37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1322705</wp:posOffset>
            </wp:positionH>
            <wp:positionV relativeFrom="page">
              <wp:posOffset>1005840</wp:posOffset>
            </wp:positionV>
            <wp:extent cx="4911725" cy="4166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11725"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80"/>
        <w:spacing w:after="0" w:line="314" w:lineRule="auto"/>
        <w:rPr>
          <w:sz w:val="20"/>
          <w:szCs w:val="20"/>
          <w:color w:val="auto"/>
        </w:rPr>
      </w:pPr>
      <w:r>
        <w:rPr>
          <w:rFonts w:ascii="Arial" w:cs="Arial" w:eastAsia="Arial" w:hAnsi="Arial"/>
          <w:sz w:val="16"/>
          <w:szCs w:val="16"/>
          <w:b w:val="1"/>
          <w:bCs w:val="1"/>
          <w:color w:val="auto"/>
        </w:rPr>
        <w:t xml:space="preserve">Figure 14. </w:t>
      </w:r>
      <w:r>
        <w:rPr>
          <w:rFonts w:ascii="Arial" w:cs="Arial" w:eastAsia="Arial" w:hAnsi="Arial"/>
          <w:sz w:val="16"/>
          <w:szCs w:val="16"/>
          <w:i w:val="1"/>
          <w:iCs w:val="1"/>
          <w:color w:val="auto"/>
        </w:rPr>
        <w:t>Ensovibep was tested against multiple different mutated spike proteins to examine how the different mutations affect the binding of the full-length construct as well as each of single-domain RBD binders that constitute the candidate. One strain, F486V, is not naturally occurring and was constructed as a negative control. This variant would not be likely to infect healthy cells in humans due to its diminished binding capacities</w:t>
      </w:r>
      <w:r>
        <w:rPr>
          <w:rFonts w:ascii="Arial" w:cs="Arial" w:eastAsia="Arial" w:hAnsi="Arial"/>
          <w:sz w:val="16"/>
          <w:szCs w:val="16"/>
          <w:color w:val="auto"/>
        </w:rPr>
        <w:t>.</w:t>
      </w:r>
    </w:p>
    <w:p>
      <w:pPr>
        <w:spacing w:after="0" w:line="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Figure 14 shows, the full-length construct maintains binding to B.1.351 and B.1.1.7, the variants first observed in South Africa and the United Kingdom, respectively. Further, ensovibep also maintains binding when presented with multiple other reported mutations, not including the F486V negative control. Figure 14 also illustrates cooperative binding, demonstrating that some of the single-domain binders lose affinity to some of the mutants, but given the cooperative nature of the full-length construct, its binding strength remains largely the same.</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November 2020, we dosed the first cohort of healthy volunteers in a Phase 1, randomized, double-blind, placebo-controlled, first-in-human single ascending dose clinical trial to evaluate the safety, tolerability, and pharmacokinetics of intravenously administered ensovibep in 23 healthy volunteers. The volunteers were divided into three dose cohorts, with each cohort stratified 3:1 in favor of ensovibep. To date, interim results demonstrate that ensovibep is well tolerated. We expect to report data from this Phase 1 clinical trial in . In an ongoing Phase 2 clinical trial, we and Novartis are investigating the ability of ensovibep to inhibit viral transmission of SARS-CoV-2 in positively diagnosed patients. This ability has been demonstrated in preclinical experiments in animal models. This study seeks to enroll up to 40 symptomatic patients, positively diagnosed by PCR, who will be treated with ensovibep and monitored</w:t>
      </w:r>
    </w:p>
    <w:p>
      <w:pPr>
        <w:spacing w:after="0" w:line="4"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for viral replication. Data from this study is expected to be available in</w:t>
      </w:r>
      <w:r>
        <w:rPr>
          <w:sz w:val="20"/>
          <w:szCs w:val="20"/>
          <w:color w:val="auto"/>
        </w:rPr>
        <w:tab/>
      </w:r>
      <w:r>
        <w:rPr>
          <w:rFonts w:ascii="Arial" w:cs="Arial" w:eastAsia="Arial" w:hAnsi="Arial"/>
          <w:sz w:val="16"/>
          <w:szCs w:val="16"/>
          <w:color w:val="auto"/>
        </w:rPr>
        <w:t>. Interim data from the EMPATHY global registrational study, which is</w:t>
      </w:r>
    </w:p>
    <w:p>
      <w:pPr>
        <w:spacing w:after="0" w:line="9"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expected to commence in , is expected to be reported in</w:t>
      </w:r>
      <w:r>
        <w:rPr>
          <w:sz w:val="20"/>
          <w:szCs w:val="20"/>
          <w:color w:val="auto"/>
        </w:rPr>
        <w:tab/>
      </w:r>
      <w:r>
        <w:rPr>
          <w:rFonts w:ascii="Arial" w:cs="Arial" w:eastAsia="Arial" w:hAnsi="Arial"/>
          <w:sz w:val="16"/>
          <w:szCs w:val="16"/>
          <w:color w:val="auto"/>
        </w:rPr>
        <w:t>. Depending on the evolution of the global COVID-19 pandemic, we believe that ensovibep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has the potential to be granted emergency use authorization from regulatory authorities.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20"/>
          </w:cols>
          <w:pgMar w:left="320" w:top="1440" w:right="359" w:bottom="1440" w:gutter="0" w:footer="0" w:header="0"/>
          <w:type w:val="continuous"/>
        </w:sectPr>
      </w:pPr>
    </w:p>
    <w:bookmarkStart w:id="127" w:name="page128"/>
    <w:bookmarkEnd w:id="127"/>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MP0423</w:t>
      </w:r>
    </w:p>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MP0423 is a unique tri-specific DARPin product candidate that shows cooperative target binding and exhibits among the strongest virus inhibition potency reported by any clinical product candidate to date. MP0423 targets three different parts of the coronavirus spike protein simultaneously, including the RBD, as shown in Figure 15 below. By tackling multiple different viral spike domains in parallel, MP0423 is designed to provide potential additional protection against viral mutations that can reduce the binding ability of therapeutics to specific epitopes.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74930</wp:posOffset>
            </wp:positionV>
            <wp:extent cx="5186045" cy="1045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860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Figure 15. </w:t>
      </w:r>
      <w:r>
        <w:rPr>
          <w:rFonts w:ascii="Arial" w:cs="Arial" w:eastAsia="Arial" w:hAnsi="Arial"/>
          <w:sz w:val="18"/>
          <w:szCs w:val="18"/>
          <w:i w:val="1"/>
          <w:iCs w:val="1"/>
          <w:color w:val="auto"/>
        </w:rPr>
        <w:t>Full length design of MP0423, a penta-DARPin including 3 distinct binding DARPin binders, including 1 RBD binder, 2 additional binders 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alternative binding sites, and 2 HSA DARPin modules to extend half-life approximately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62865</wp:posOffset>
            </wp:positionV>
            <wp:extent cx="5349240" cy="3360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16. </w:t>
      </w:r>
      <w:r>
        <w:rPr>
          <w:rFonts w:ascii="Arial" w:cs="Arial" w:eastAsia="Arial" w:hAnsi="Arial"/>
          <w:sz w:val="18"/>
          <w:szCs w:val="18"/>
          <w:i w:val="1"/>
          <w:iCs w:val="1"/>
          <w:color w:val="auto"/>
        </w:rPr>
        <w:t>3D illustration of MP0423 showing its binding and neutralizing action through targeting multiple domains along the SARS-CoV-2 spike protein,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which the virus uses to infiltrate human cells.</w:t>
      </w:r>
    </w:p>
    <w:p>
      <w:pPr>
        <w:spacing w:after="0" w:line="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By binding to multiple epitopes on the spike protein, MP0423 can potentially neutralize SARS-CoV-2 through multiple MOAs. These MOAs include the ability to neutralize the virus at the RBD, blocking protease cleavage and the formation of a ‘molecular handcuff’ around the spike protein, preventing its ability to infect healthy cells. This 3-in-1 mechanism was designed with the rationale that if the RBD were to mutate, and make other therapeutics less potent, MP0423 would still remain active against the virus. MP0423 is currently being manufactured for a potential Phase 1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Infectious Disease Applications of our DARPin Platform</w:t>
      </w:r>
    </w:p>
    <w:p>
      <w:pPr>
        <w:spacing w:after="0" w:line="14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Given the momentum of the COVID-19 product candidates in our infectious disease program, as well as the clear fit between the DARPin therapeutic profile and compelling antiviral product profiles, we intend to pursue other high value antiviral indications with unmet global need. Our rapid candidate design and assessment process has allowed us to quickly substantiate the potential of an antiviral DARPin approach and its differentiation against other therapeutic approaches. Based on the strong potential of DARPin therapeutics as antivirals, we have begun exploring other global viral threats with high unmet needs as potential targets for new product candidates. This evaluation includes additional work on pandemic threats, including potential pan-coronavirus treatments, tropical diseases, and respiratory viruses, such as RSV.</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Our Oncology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Background and Treatment</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rapid development of immuno-oncology, or IO, therapies for multiple types of cancer has transformed the oncology treatment landscape and improved the long-term outlook for many cancer patients. Rather than targeting treatments directly at the tumor, IO therapies generally engage the immune system to promote its recognition and eradication of tumor cells. Key features of immune-mediated therapy include specificity, breadth of response, and memory.</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These features can contribute to complete tumor regressions, often providing more durable clinical outcomes and improved quality of life relative to other therapies. However, despite the early success observed with immune-method therapies, it has become clear that these immuno-oncology treatments can currently help only a minority of patients and are more effective in some tumor types than others. This limit arises from various factors, including differential target expression patterns by cancer cells, variable immune responses to the treatment, and cancer immune-escape via mutagenesis and proliferation of non-targeted cellular populations.</w:t>
      </w:r>
    </w:p>
    <w:p>
      <w:pPr>
        <w:spacing w:after="0" w:line="12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believe that, through years of building our DARPin expertise, we have developed DARPin product candidates that can unlock and expand IO capabilities through several mechanisms, which include targeting immuno-stimulatory proteins through multi-specific DARPin binders and also using delayed and/or conditional activation of our immune engagers. These attributes allow us to optimize the potency, localization and/or exposure of our product candidates and reduce the risk of off-target toxicity in order to improve their therapeutic index and overall profile.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Localized Immune Agonists: AMG 506 (MP0310) and MP0317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primary focus of our oncology program is product candidate development of localized immune agonists. We are currently developing:</w:t>
      </w:r>
    </w:p>
    <w:p>
      <w:pPr>
        <w:spacing w:after="0" w:line="158" w:lineRule="exact"/>
        <w:rPr>
          <w:sz w:val="20"/>
          <w:szCs w:val="20"/>
          <w:color w:val="auto"/>
        </w:rPr>
      </w:pPr>
    </w:p>
    <w:p>
      <w:pPr>
        <w:ind w:left="340" w:right="100" w:hanging="332"/>
        <w:spacing w:after="0" w:line="277" w:lineRule="auto"/>
        <w:tabs>
          <w:tab w:leader="none" w:pos="3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AMG 506 (MP0310), in partnership with Amgen, which allows for tumor-restricted immune-cell 4-1BB activation for the potential treatment of FAP positive cancers;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MP0317, which allows for tumor-restricted immune-cell CD40 activation for the treatment of FAP positive cancers.</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Development of our AMG 506 (MP0310) and MP0317 product candidates has leveraged the learnings from our two first-generation product candidates in our oncology program, MP0250 and MP0274. Those candidates have demonstrated DARPin efficacy and tolerability in preclinical and clinical studies in patient populations who were resistant and /or refractory to previous standard of care treatments. However, AMG 506 (MP0310) and MP0317 both utilize novel mechanisms of action, which may result in greater research and development expenses, regulatory issues that could delay or prevent approval, or the discovery of unknown or unanticipated adverse effects. See “Risk Factors—Risks Related to the Development and Clinical Testing of Our Product Candidates—</w:t>
      </w:r>
      <w:r>
        <w:rPr>
          <w:rFonts w:ascii="Arial" w:cs="Arial" w:eastAsia="Arial" w:hAnsi="Arial"/>
          <w:sz w:val="16"/>
          <w:szCs w:val="16"/>
          <w:i w:val="1"/>
          <w:iCs w:val="1"/>
          <w:color w:val="auto"/>
        </w:rPr>
        <w:t>Some of our product candidates utilize a novel mechanism of action which may result in greater research and development expenses,</w:t>
      </w:r>
      <w:r>
        <w:rPr>
          <w:rFonts w:ascii="Arial" w:cs="Arial" w:eastAsia="Arial" w:hAnsi="Arial"/>
          <w:sz w:val="16"/>
          <w:szCs w:val="16"/>
          <w:color w:val="auto"/>
        </w:rPr>
        <w:t xml:space="preserve"> </w:t>
      </w:r>
      <w:r>
        <w:rPr>
          <w:rFonts w:ascii="Arial" w:cs="Arial" w:eastAsia="Arial" w:hAnsi="Arial"/>
          <w:sz w:val="16"/>
          <w:szCs w:val="16"/>
          <w:i w:val="1"/>
          <w:iCs w:val="1"/>
          <w:color w:val="auto"/>
        </w:rPr>
        <w:t>regulatory issues that could delay or prevent approval, or discovery of unknown or unanticipated adverse effects</w:t>
      </w:r>
      <w:r>
        <w:rPr>
          <w:rFonts w:ascii="Arial" w:cs="Arial" w:eastAsia="Arial" w:hAnsi="Arial"/>
          <w:sz w:val="16"/>
          <w:szCs w:val="16"/>
          <w:color w:val="auto"/>
        </w:rPr>
        <w:t>.”</w:t>
      </w:r>
    </w:p>
    <w:p>
      <w:pPr>
        <w:spacing w:after="0" w:line="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due to shifts in the market and the need for further research and development and financial investment, we are now pursuing development of our first-generation product candidates via partnerships and have paused our investments as single sponsors.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320" w:top="1440" w:right="399" w:bottom="1440" w:gutter="0" w:footer="0" w:header="0"/>
        </w:sectPr>
      </w:pPr>
    </w:p>
    <w:bookmarkStart w:id="129" w:name="page130"/>
    <w:bookmarkEnd w:id="129"/>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 506 (MP0310): DARPin Molecule Targeting 4-1BB x FAP</w:t>
      </w:r>
    </w:p>
    <w:p>
      <w:pPr>
        <w:spacing w:after="0" w:line="144"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 costimulatory target 4-1BB on immune cells activated only in presence of FAP clustering on tumor-associated fibroblasts.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Favorable tolerability profile demonstrated in ongoing Phase 1 clinical trial, with possible weekly dosing.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Engineered to offer a broader therapeutic index than other non-localized 4-1BB engagers.</w:t>
      </w:r>
    </w:p>
    <w:p>
      <w:pPr>
        <w:spacing w:after="0" w:line="144" w:lineRule="exact"/>
        <w:rPr>
          <w:sz w:val="20"/>
          <w:szCs w:val="20"/>
          <w:color w:val="auto"/>
        </w:rPr>
      </w:pPr>
    </w:p>
    <w:p>
      <w:pPr>
        <w:spacing w:after="0"/>
        <w:tabs>
          <w:tab w:leader="none" w:pos="300" w:val="left"/>
          <w:tab w:leader="none" w:pos="4880" w:val="left"/>
        </w:tabs>
        <w:rPr>
          <w:sz w:val="20"/>
          <w:szCs w:val="20"/>
          <w:color w:val="auto"/>
        </w:rPr>
      </w:pPr>
      <w:r>
        <w:rPr>
          <w:rFonts w:ascii="Arial" w:cs="Arial" w:eastAsia="Arial" w:hAnsi="Arial"/>
          <w:sz w:val="18"/>
          <w:szCs w:val="18"/>
          <w:color w:val="auto"/>
        </w:rPr>
        <w:t>•</w:t>
        <w:tab/>
        <w:t>Full data from ongoing Phase 1 clinical trial expected in</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Immunotherapies, such as checkpoint inhibitors, have produced unprecedented clinical outcomes in cancer. However, despite long term survival in some patients, the majority of patients still develop primary or secondary resistance to current immunotherapy approaches. Historically, development of 4-1BB monotherapies has been met with clinical hurdles, including systemic toxicities, and lack of tumor specificity. Aiming to address these limitations and expand the benefits of immunotherapies to more patients, we developed AMG 506 (MP0310). We expect that a 4-1BB activating DARPin can mitigate some key mechanisms of resistance to current treatments by recruiting and activating the immune system in a highly localized fashion in the tumor microenvironment via multi-specific binders that are designed to interact with immune targets only when they are in the tumor microenvironment.</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4-1BB is a costimulatory receptor and member of the tumor necrosis factor, or TNF, superfamily that is expressed following activation of T cells and Natural Killer, or NK cells. Binding of 4-1BB by its natural ligand 4-1BBL, provided by antigen-presenting cells, or APCs, or by agonistic antibodies, has been reported to enhance proliferation, effector functions, memory formation and survival in CD8+ T cells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4-1BB is considered to be an attractive drug target as its upregulation in T cells is associated with an encounter with antigen in the tumor, which provides a costimulatory signal to the T cells. AMG 506 (MP0310) targets 4-1BB along with FAP. FAP is a membrane bound enzyme, highly expressed on the cell surface of activated but not quiescent fibroblasts. Expression in normal adult tissues is absent or low, but increases in remodeling processes such as wound healing, inflammation, or fibrosis when fibroblasts become activated. Importantly, FAP is highly expressed by cancer-associated fibroblasts, or CAFs, a major constituent of tumor stroma.</w:t>
      </w:r>
    </w:p>
    <w:p>
      <w:pPr>
        <w:spacing w:after="0" w:line="1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AMG 506 (MP0310) is designed to activate itself only the local tumor microenvironment by binding to FAP on tumor stromal cells and to T cells via 4-1BB. We believe that this approach may be effective in re-opening the 4-1BB therapeutic window by excluding systemic 4-1BB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59055</wp:posOffset>
            </wp:positionV>
            <wp:extent cx="5340350" cy="1080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035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Figure 17. </w:t>
      </w:r>
      <w:r>
        <w:rPr>
          <w:rFonts w:ascii="Arial" w:cs="Arial" w:eastAsia="Arial" w:hAnsi="Arial"/>
          <w:sz w:val="17"/>
          <w:szCs w:val="17"/>
          <w:i w:val="1"/>
          <w:iCs w:val="1"/>
          <w:color w:val="auto"/>
        </w:rPr>
        <w:t>Full length design of AMG 506 (MP0310), a penta-DARPin molecule with 2 HSA DARPin binders, 2 4-1BB binders, and 1 FAP binder.</w:t>
      </w:r>
    </w:p>
    <w:p>
      <w:pPr>
        <w:spacing w:after="0" w:line="1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In June 2020, we presented preclinical data at the 2020 AACR annual meeting describing the pharmacokinetic and pharmacodynamic research used to establish the optimal dose range for the ongoing multiple ascending dose, Phase 1 clinical trial of this novel tumor-localized immune agonist. In the preclinical study, a translational pharmacokinetic-pharmacodynamic modeling approach to integrate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was demonstrated to support the estimation of a minimal anticipated biological effect level and the relevant dose range for first in human studies.</w:t>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Preliminary, non-adjudicated clinical data from the ongoing Phase 1 clinical trial were also presented in December 2020 at our R&amp;D day, which support our preclinical observations. True to its design, the FAP binding localization was shown to be effective; AMG 506 (MP0310) colocalizes with the tumor as shown in Figure 18 below. At fairly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low dose levels, AMG 506 (MP0310) begins to colocalize with FAP. This FAP binding is observed to be dose dependent, with a saturation of the tumor expressed FAP in high AMG 506 (MP0310)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66040</wp:posOffset>
            </wp:positionV>
            <wp:extent cx="5349240" cy="2288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Figure 18. </w:t>
      </w:r>
      <w:r>
        <w:rPr>
          <w:rFonts w:ascii="Arial" w:cs="Arial" w:eastAsia="Arial" w:hAnsi="Arial"/>
          <w:sz w:val="17"/>
          <w:szCs w:val="17"/>
          <w:i w:val="1"/>
          <w:iCs w:val="1"/>
          <w:color w:val="auto"/>
        </w:rPr>
        <w:t>AMG 506 (MP0310) is seen to colocalize, and saturate FAP in the tumor microenvironment of patients in a dose dependent manner.</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analyzing paired biopsies of some patients, significant tumor-localized increases in immune activation were seen across multiple immune cell types after a single injection, while systemic inflammatory markers were unchanged, and no AMG 506 (MP0310) activity was seen in peripheral tissues. As of November 30, 2020, the data cut-off date, AMG 506 (MP0310) was well tolerated with the protocol defined infusion-related reactions, or IRRs, observed in 12 of 23 patients. All of the IRRs were manageable and consistent with an immune-engaging drug. Notably, no other type of significant systemic toxicity was observed as of the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76835</wp:posOffset>
            </wp:positionV>
            <wp:extent cx="5349240" cy="2417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Figure 19. </w:t>
      </w:r>
      <w:r>
        <w:rPr>
          <w:rFonts w:ascii="Arial" w:cs="Arial" w:eastAsia="Arial" w:hAnsi="Arial"/>
          <w:sz w:val="18"/>
          <w:szCs w:val="18"/>
          <w:i w:val="1"/>
          <w:iCs w:val="1"/>
          <w:color w:val="auto"/>
        </w:rPr>
        <w:t>Pharmacodynamic activity of AMG 506 (MP0310) is shown to activate T cells and NK cells, while avoiding systemic activation. ↑ T and 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population; ↑ IFNγ activation and cytotoxicity observed in cohort 3.</w:t>
      </w:r>
    </w:p>
    <w:p>
      <w:pPr>
        <w:spacing w:after="0" w:line="9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Additional dosing work is ongoing in the current Phase 1 clinical trial to identify the dosing regimen to obtain the durable activity after several injections of our tumor localized 4-1BB agonist. We expect to study weekly dosing of AMG 506 (MP0310), compared with three weekly dosing, and the potential to reduce the proportion of patients developing IRRs and extend the period of exposure of AMG 506 (MP0310) in the body. We are encouraged by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240"/>
          </w:cols>
          <w:pgMar w:left="320" w:top="1440" w:right="339" w:bottom="1440" w:gutter="0" w:footer="0" w:header="0"/>
          <w:type w:val="continuous"/>
        </w:sectPr>
      </w:pPr>
    </w:p>
    <w:bookmarkStart w:id="131" w:name="page132"/>
    <w:bookmarkEnd w:id="131"/>
    <w:p>
      <w:pPr>
        <w:spacing w:after="0" w:line="13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repeated signals of drug localization and pathway activation in biopsies and anecdotal signs of clinical efficacy, which inform the study. However, while we have observed biological activity in patient samples following administration of an initial dose in our ongoing MP0310 Phase 1 clinical trial, such biological activity may not be similarly observed and maintained following administration of additional doses. See “Risk Factors—Risks Related to the Development and Clinical Testing of Our Product Candidates—</w:t>
      </w:r>
      <w:r>
        <w:rPr>
          <w:rFonts w:ascii="Arial" w:cs="Arial" w:eastAsia="Arial" w:hAnsi="Arial"/>
          <w:sz w:val="17"/>
          <w:szCs w:val="17"/>
          <w:i w:val="1"/>
          <w:iCs w:val="1"/>
          <w:color w:val="auto"/>
        </w:rPr>
        <w:t>Positive results from early preclinical studies of our product candidates would not</w:t>
      </w:r>
      <w:r>
        <w:rPr>
          <w:rFonts w:ascii="Arial" w:cs="Arial" w:eastAsia="Arial" w:hAnsi="Arial"/>
          <w:sz w:val="17"/>
          <w:szCs w:val="17"/>
          <w:color w:val="auto"/>
        </w:rPr>
        <w:t xml:space="preserve"> </w:t>
      </w:r>
      <w:r>
        <w:rPr>
          <w:rFonts w:ascii="Arial" w:cs="Arial" w:eastAsia="Arial" w:hAnsi="Arial"/>
          <w:sz w:val="17"/>
          <w:szCs w:val="17"/>
          <w:i w:val="1"/>
          <w:iCs w:val="1"/>
          <w:color w:val="auto"/>
        </w:rPr>
        <w:t>necessarily be predictive of the results of later preclinical studies and any ongoing or future clinical trials of our product candidates</w:t>
      </w:r>
      <w:r>
        <w:rPr>
          <w:rFonts w:ascii="Arial" w:cs="Arial" w:eastAsia="Arial" w:hAnsi="Arial"/>
          <w:sz w:val="17"/>
          <w:szCs w:val="17"/>
          <w:color w:val="auto"/>
        </w:rPr>
        <w:t>.”</w:t>
      </w:r>
    </w:p>
    <w:p>
      <w:pPr>
        <w:spacing w:after="0" w:line="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a limited proportion of the patient population may benefit from this therapeutic candidate as a monotherapy, we designed AMG 506 (MP0310) expecting that the full therapeutic benefit for patients will be achieved by combining AMG 506 (MP0310) with a second oncology drug, and more specifically an additional therapeutic directing the activated T-cell to target tumor cells. Although 4-1BB activation can serve as a mechanism to attract immune cells to the tumor microenvironment, additional signals are likely required for full activation against specific tumors. The addition of a second immune-stimulating product should assist with activating and directing specific anti-cancer T cells to engage with their targets. In other words, we believe that AMG 506 (MP0310) can create a localized immune response in the tumor microenvironment, and a second drug could specifically direct T cells to kill tumor cells.</w:t>
      </w:r>
    </w:p>
    <w:p>
      <w:pPr>
        <w:spacing w:after="0" w:line="12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have announced a strategic collaboration with Amgen, initiated in December 2018, to evaluate AMG 506 (MP0310) in combination with Amgen`s oncology pipeline products, including its investigational bispecific TCE, or BiTE®, molecules. Under the licensing agreement with Amgen, we retain certain rights to develop and commercialize our proprietary DARPin platform product candidates in combination with AMG 506 (MP0310). We believe our partnership with Amgen allows for a meaningful investigation of combination therapies, given Amgen’s expertise in the field of oncology. We expect</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that the ongoing Phase 1 clinical trial of AMG 506 (MP0310), should it demonstrate sustained activity of 4-1BB, will produce data in to inform potential combination studies which would be conducted by Amgen assets. Pursuant to the collaboration, we received an upfront payment of $50.0 million and are eligible to receive up to $497.0 million in development, regulatory and commercial milestone payments and royalty payments from low double digit up to the high teens.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MP0317: DARPin Molecule targeting FAP x CD40</w:t>
      </w:r>
    </w:p>
    <w:p>
      <w:pPr>
        <w:spacing w:after="0" w:line="144"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to activate CD40 only in environments with high level of FAP expression, similar to AMG 506 (MP0310).</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Localized activation by FAP targeting underpins the therapeutic benefits while expanding the range of immune cell activation.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to facilitate uses of other immune stimulating therapies.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Shown in vitro to repolarize M2 macrophages and revert T-cell suppression</w:t>
      </w:r>
    </w:p>
    <w:p>
      <w:pPr>
        <w:spacing w:after="0" w:line="158" w:lineRule="exact"/>
        <w:rPr>
          <w:sz w:val="20"/>
          <w:szCs w:val="20"/>
          <w:color w:val="auto"/>
        </w:rPr>
      </w:pPr>
    </w:p>
    <w:p>
      <w:pPr>
        <w:spacing w:after="0"/>
        <w:tabs>
          <w:tab w:leader="none" w:pos="300" w:val="left"/>
          <w:tab w:leader="none" w:pos="5460" w:val="left"/>
        </w:tabs>
        <w:rPr>
          <w:sz w:val="20"/>
          <w:szCs w:val="20"/>
          <w:color w:val="auto"/>
        </w:rPr>
      </w:pPr>
      <w:r>
        <w:rPr>
          <w:rFonts w:ascii="Arial" w:cs="Arial" w:eastAsia="Arial" w:hAnsi="Arial"/>
          <w:sz w:val="18"/>
          <w:szCs w:val="18"/>
          <w:color w:val="auto"/>
        </w:rPr>
        <w:t>•</w:t>
        <w:tab/>
        <w:t>First in human Phase 1 clinical trial expected to commence in</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tumor-localized immune agonist MP0317 is the second product candidate in our oncology program. MP0317 comprises a localizer to FAP and immune stimulator binding to CD40. FAP is found in the tumor stroma in high density and its binding is intended to create a cluster of CD40 on immune cells enabling immune activation. As depicted in Figure 20, MP0317 is designed to simultaneously engage FAP and CD40 to create tightly bound clusters around tumors, which are necessary to induce CD40-mediated local immune activation.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1005840</wp:posOffset>
            </wp:positionV>
            <wp:extent cx="5186045" cy="1783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1860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20. </w:t>
      </w:r>
      <w:r>
        <w:rPr>
          <w:rFonts w:ascii="Arial" w:cs="Arial" w:eastAsia="Arial" w:hAnsi="Arial"/>
          <w:sz w:val="18"/>
          <w:szCs w:val="18"/>
          <w:i w:val="1"/>
          <w:iCs w:val="1"/>
          <w:color w:val="auto"/>
        </w:rPr>
        <w:t>MP0317 is seen to activate CD40 only when clustering with FAP, designed to prevent systemic activation.</w:t>
      </w:r>
    </w:p>
    <w:p>
      <w:pPr>
        <w:spacing w:after="0" w:line="16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CD40 plays a critical role in antigen presentation and the monocyte maturation process, and therefore, indirectly, T-cell activation. One of the main functions of CD40 signaling is to enhance antigen-presentation to T cells by activating dendritic cells, or DCs. CD40 engagement on the surface of DCs promotes cytokine and chemokine production, induces expression of costimulatory molecules, and facilitates the cross-presentation of antigens. This step increases the interaction of DCs with T cells by upregulating surface proteins such as CD54 and CD86, thereby activating the surface proteins.</w:t>
      </w:r>
    </w:p>
    <w:p>
      <w:pPr>
        <w:spacing w:after="0" w:line="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Agonist anti-CD40 antibody treatments have been associated with mild to moderate toxicity in the clinic, which we believe is related to on-target but off-tumor effects causing CRS and liver toxicity.</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Aiming to avoid CD40-related toxicity, we developed MP0317 to work as a locally activated CD40 engager, designed to only activate the immune system when both FAP and CD40 are simultaneously engaged. We expect this localizing mechanism to reduce the likelihood of extra-tumoral systemic side effects and allow an increase of the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82550</wp:posOffset>
            </wp:positionV>
            <wp:extent cx="3857625" cy="8312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5762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21. </w:t>
      </w:r>
      <w:r>
        <w:rPr>
          <w:rFonts w:ascii="Arial" w:cs="Arial" w:eastAsia="Arial" w:hAnsi="Arial"/>
          <w:sz w:val="18"/>
          <w:szCs w:val="18"/>
          <w:i w:val="1"/>
          <w:iCs w:val="1"/>
          <w:color w:val="auto"/>
        </w:rPr>
        <w:t>Full length design of MP0317, a tetra-DARPin with 2 CD-40 DARPin binders, 1 FAP DARPin binder, and 1 HSA DARPin binder.</w:t>
      </w:r>
    </w:p>
    <w:p>
      <w:pPr>
        <w:spacing w:after="0" w:line="14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At the 2020 AACR virtual annual meeting in June 2020, we presented preclinical data that supports the intended profile and CD40-mediated immune activation capabilities of MP0317. As depicted in Figure 22, MP0317 was found in human B cells, macrophages and DCs to activate the CD40 pathway solely in the presence of FAP-positive cells, confirming its strict dependence on FAP-mediated crosslinking.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1005840</wp:posOffset>
            </wp:positionV>
            <wp:extent cx="5349240" cy="2700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Figure 22. </w:t>
      </w:r>
      <w:r>
        <w:rPr>
          <w:rFonts w:ascii="Arial" w:cs="Arial" w:eastAsia="Arial" w:hAnsi="Arial"/>
          <w:sz w:val="18"/>
          <w:szCs w:val="18"/>
          <w:i w:val="1"/>
          <w:iCs w:val="1"/>
          <w:color w:val="auto"/>
        </w:rPr>
        <w:t>MP0317 demonstrates the ability to activate multiple immune cells, similar to a monoclonal CD40 antibody, while limiting activation when only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the presence of FAP</w:t>
      </w:r>
      <w:r>
        <w:rPr>
          <w:rFonts w:ascii="Arial" w:cs="Arial" w:eastAsia="Arial" w:hAnsi="Arial"/>
          <w:sz w:val="18"/>
          <w:szCs w:val="18"/>
          <w:color w:val="auto"/>
        </w:rPr>
        <w:t>.</w:t>
      </w:r>
    </w:p>
    <w:p>
      <w:pPr>
        <w:spacing w:after="0" w:line="9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Further, in a mouse model, a mouse-specific surrogate of MP0317 was found to substantially inhibit the progression of FAP-positive tumors without showing any of the toxicities seen with administration of a mouse CD40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74295</wp:posOffset>
            </wp:positionV>
            <wp:extent cx="4869180" cy="2211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691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Figure 23. </w:t>
      </w:r>
      <w:r>
        <w:rPr>
          <w:rFonts w:ascii="Arial" w:cs="Arial" w:eastAsia="Arial" w:hAnsi="Arial"/>
          <w:sz w:val="18"/>
          <w:szCs w:val="18"/>
          <w:i w:val="1"/>
          <w:iCs w:val="1"/>
          <w:color w:val="auto"/>
        </w:rPr>
        <w:t>In a colorectal cancer model, MP0317 is shown to activate in an FAP/tumor specific manner, when compared with a monoclonal antibody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targeting CD40 which demonstrates broad systemic activation of inflammatory markers.</w:t>
      </w:r>
    </w:p>
    <w:p>
      <w:pPr>
        <w:spacing w:after="0" w:line="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April 2021, we presented new data at the 2021 AACR virtual annual meeting, showing further supportive evidence of MP0317’s unique therapeutic potential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model system. The results demonstrated an MP0317-dependent repolarization of macrophage phenotypes and reveal a release of T cells from macrophage-mediated suppression. The preclinical study has additionally demonstrated FAP-dependent activation of CD40-expressing B-cell and myeloid cell populations in dissociated human tumors.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220"/>
          </w:cols>
          <w:pgMar w:left="320" w:top="1440" w:right="359" w:bottom="1440" w:gutter="0" w:footer="0" w:header="0"/>
          <w:type w:val="continuous"/>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1714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Figure 24. </w:t>
      </w:r>
      <w:r>
        <w:rPr>
          <w:rFonts w:ascii="Arial" w:cs="Arial" w:eastAsia="Arial" w:hAnsi="Arial"/>
          <w:sz w:val="18"/>
          <w:szCs w:val="18"/>
          <w:i w:val="1"/>
          <w:iCs w:val="1"/>
          <w:color w:val="auto"/>
        </w:rPr>
        <w:t>MP0317 leads to downregulation of CD163 and upregulation of CD80 on human M2-like macrophages that consequently results in CD8 T-cell</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activation. Monocyte-derived macrophages were generated in vitro and polarized towards a M2 phenotype. They were then co-cultured with cell lines expressing physiological FAP levels or no FAP in the presence of either MP0317 or an anti-human CD40 monoclonal antibody for 48 hours, with a portion stained for CD163 and CD80. The remaining macrophages were co-cultured with autologous T-cells and dynabeads for 5 days and CD25 expression was assessed on T-cells. Results are plotted as the percentage of positive cells for each marker after subtracting the average percentage of positive cells of the untreated control from the experimental values.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anticipate initiating a Phase 1 clinical trial for MP0317 in . The clinical trial is expected to enroll patients with solid tumors which have per literature at least a moderate level of FAP expression. Leveraging our experience from the AMG 506 (MP0310) clinical trial into the clinical design of our MP0317 product candidate, we expect to achieve greater speed in treating patients at meaningful dose levels. In parallel and to complement the Phase 1 clinical trial of MP0317, we are planning to undertake the following:</w:t>
      </w:r>
    </w:p>
    <w:p>
      <w:pPr>
        <w:spacing w:after="0" w:line="119" w:lineRule="exact"/>
        <w:rPr>
          <w:sz w:val="20"/>
          <w:szCs w:val="20"/>
          <w:color w:val="auto"/>
        </w:rPr>
      </w:pPr>
    </w:p>
    <w:p>
      <w:pPr>
        <w:ind w:left="340" w:right="80" w:hanging="332"/>
        <w:spacing w:after="0" w:line="257"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preclinical set of experiments to evaluate the relevance and optimal sequencing approach of combining MP0317 with radiation. Although high dose external beam radiotherapy, or XRT, is effective in releasing antigens, priming T cells, and mediating systemic immune mediated outcomes, it often leads to fibrosis and accumulation of CAFs at the primary site of irradiation. These CAFs express the FAP that we can use to our advantage for targeted drug delivery into the TME. Therefore, we hypothesize that combining the FAP-CD40 drug conjugate with XRT will yield high primary as well as secondary tumor control.</w:t>
      </w:r>
    </w:p>
    <w:p>
      <w:pPr>
        <w:spacing w:after="0" w:line="106" w:lineRule="exact"/>
        <w:rPr>
          <w:rFonts w:ascii="Arial" w:cs="Arial" w:eastAsia="Arial" w:hAnsi="Arial"/>
          <w:sz w:val="18"/>
          <w:szCs w:val="18"/>
          <w:color w:val="auto"/>
        </w:rPr>
      </w:pPr>
    </w:p>
    <w:p>
      <w:pPr>
        <w:ind w:left="340" w:right="20" w:hanging="332"/>
        <w:spacing w:after="0" w:line="263"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clinical study combining MP0317 injected intratumorally with a PD1 inhibitor and a T-cell activating vaccine in neo-adjuvant melanoma. We expect studying neo-adjuvant pre-surgery melanoma will allow us to test an immune stimulating complex combining three drugs as well as provide robust collection of translational biomarkers documenting the modulation effect of MP0317 with other agents.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translational component of the dose escalation study re-enforced by the two other preclinical and clinical modules will help inform the prioritization of the following dose expansions and efficacy combination studies once we have identified a biologically effective dose. We expect our future development plans to include:</w:t>
      </w:r>
    </w:p>
    <w:p>
      <w:pPr>
        <w:spacing w:after="0" w:line="116" w:lineRule="exact"/>
        <w:rPr>
          <w:sz w:val="20"/>
          <w:szCs w:val="20"/>
          <w:color w:val="auto"/>
        </w:rPr>
      </w:pPr>
    </w:p>
    <w:p>
      <w:pPr>
        <w:ind w:left="340" w:hanging="332"/>
        <w:spacing w:after="0" w:line="263" w:lineRule="auto"/>
        <w:tabs>
          <w:tab w:leader="none" w:pos="3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Combining MP0317 with checkpoint inhibitors in FAP rich tumors that have high levels of infiltrated immune cells, or ‘hot’ tumors, such as urothelial, non-small cell lung cancer, or NSCLC, and melanoma, and also in FAP rich tumors that have low levels of infiltrated immune cells, or ‘cold’ tumors, such as pancreatic duct adenocarcinoma and sarcoma, with chemotherapies +/- PD1 inhibitors.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combination study with checkpoint inhibitors and radiation in NSCLC and/or head and neck squamous cell carcinoma.</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CD3 / TCE Program</w:t>
      </w:r>
    </w:p>
    <w:p>
      <w:pPr>
        <w:spacing w:after="0" w:line="152"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Novel CD3-binding T-cell engagement programs with a multitude of binding modules allowing optimized product efficacy and safety.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131</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30"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to achieve single agent activity combined with a multi-specific cancer antigen targeting.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Increased specificity combined with target redundancy to treat more cancers and avoid healthy tissue.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Prodrug capabilities which include attenuated and/or localized activation of immune engagement.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CD3 / T-Cell Targeting DARPin molecules</w:t>
      </w:r>
    </w:p>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part of our strategic evolution, we are focusing our efforts on creating DARPin product candidates that convey single-agent activity and do not explicitly require combination with additional compounds to show clinical efficacy. Executing on this strategy, we have developed a CD3 TCE therapeutic platform, designed to activate respective immune cells against specific cellular targets in a highly selective, localized and specifically timed fashion. We believe that our CD3-targeting approach to T-cell engagement has the potential to address the key challenges of currently existing CD3-targeting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of Existing TCE Approaches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TCEs have been shown to be very potent anti-tumor drugs. The multiple efforts in developing bispecific T-cell redirecting molecules are fueled by the initial success of Blincyto, a CD19 directed TCE, that was approved in 2014 as the first TCE in cancer therapy, and is to date the only approved molecule of its kind. Fast followers of this potent bispecific mainly involved T-cell redirecting molecules for hematological malignancies and recent data on CD20 directed TCEs has sparked new excitement in the field.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Despite these successes, the development of TCEs targeting tumor associated antigens is typically hampered by four major challenges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1619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25: </w:t>
      </w:r>
      <w:r>
        <w:rPr>
          <w:rFonts w:ascii="Arial" w:cs="Arial" w:eastAsia="Arial" w:hAnsi="Arial"/>
          <w:sz w:val="18"/>
          <w:szCs w:val="18"/>
          <w:i w:val="1"/>
          <w:iCs w:val="1"/>
          <w:color w:val="auto"/>
        </w:rPr>
        <w:t>Challenges of tumor antigen redirecting TCEs in the clinic</w:t>
      </w:r>
      <w:r>
        <w:rPr>
          <w:rFonts w:ascii="Arial" w:cs="Arial" w:eastAsia="Arial" w:hAnsi="Arial"/>
          <w:sz w:val="18"/>
          <w:szCs w:val="18"/>
          <w:b w:val="1"/>
          <w:bCs w:val="1"/>
          <w:color w:val="auto"/>
        </w:rPr>
        <w:t>.</w:t>
      </w:r>
    </w:p>
    <w:p>
      <w:pPr>
        <w:spacing w:after="0" w:line="148"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Efficacy can be compromised by the heterogeneity of the tumor with regards to target expression, target loss, mutation or downregulation.</w:t>
      </w:r>
    </w:p>
    <w:p>
      <w:pPr>
        <w:spacing w:after="0" w:line="169" w:lineRule="exact"/>
        <w:rPr>
          <w:rFonts w:ascii="Arial" w:cs="Arial" w:eastAsia="Arial" w:hAnsi="Arial"/>
          <w:sz w:val="17"/>
          <w:szCs w:val="17"/>
          <w:color w:val="auto"/>
        </w:rPr>
      </w:pPr>
    </w:p>
    <w:p>
      <w:pPr>
        <w:ind w:left="340" w:right="44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Limited tissue penetration, the immunosuppressive microenvironment and the risk for T-cell exhaustion can further negatively affect the efficacy which may especially be true for solid tumor indications.</w:t>
      </w:r>
    </w:p>
    <w:p>
      <w:pPr>
        <w:spacing w:after="0" w:line="102"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Due to the lack of truly tumor-specific targets, highly potent TCEs bear the risk of inducing on-target, but off-tumor toxicity by attacking normal healthy tissue, limiting the achievement of dose levels needed for optimal anti-tumor activity.</w:t>
      </w:r>
    </w:p>
    <w:p>
      <w:pPr>
        <w:spacing w:after="0" w:line="89" w:lineRule="exact"/>
        <w:rPr>
          <w:rFonts w:ascii="Arial" w:cs="Arial" w:eastAsia="Arial" w:hAnsi="Arial"/>
          <w:sz w:val="18"/>
          <w:szCs w:val="18"/>
          <w:color w:val="auto"/>
        </w:rPr>
      </w:pPr>
    </w:p>
    <w:p>
      <w:pPr>
        <w:ind w:left="340" w:right="66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Hyper-immune stimulation due to pan-T-cell activation may result in CRS, lymphocyte redistribution phenomenon, endothelial activation and neurological toxicity, all of which can further compromise optimal dosing.</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Due to the suboptimal therapeutic window, many TCEs fail along the development process. Therefore, novel approaches with distinct features are needed to tackle those challenges and to control those highly potent molecules.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Beyond Bi-specifics: Our Next Generation DARPin-based TCE Platform</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recent years we have made significant progress to integrate the CD3-targeting approach for T-cell engagement into a DARPin format that addresses these key challenges. To pursue T-cell activation, we have generated a toolbox of CD3 DARPin product candidates to cover a broad CD3 affinity spectrum from very modest CD3 binding up to equivalent/superior binding compared to existing high affinity benchmarks. The affinity range provides us with DARPin-based TCEs with different functional activities. This allows us to assemble multi-specific TCE DARPin drug candidates with CD3 engagement optimized for the targeted tumor antigen and MOA. Specifically, it enables the induction of an optimal T-cell response to efficiently attack tumor cells without over-simulation of the immune system that can result in toxicities or T-cell exhaustion. In combination with the unique format flexibility and modular design capabilities of DARPin binders, we believe the CD3 toolbox allows us to generate a superior suite of next generation TCE therapeutics.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Multi-targeting Strategy with Curative Intent for the Treatment of AML</w:t>
      </w:r>
    </w:p>
    <w:p>
      <w:pPr>
        <w:spacing w:after="0" w:line="1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medical need in AML remains high. Despite the achievement of remission for a majority of patients, up to 70% of adults and 30% of children will not survive beyond five years after initial clinical response due to relapsing disease. Further, the treatment of relapsed/refractory AML, or r/r AML, is therapeutically challenging due to high relapse rates with current standard-of-care treatments and the aggressive nature of the disease. Currently, a variety of highly potent mono-targeting TCE and CAR-T therapies have entered clinical development, but those therapies are often accompanied by dose limiting toxicities such as CRS and myelotoxicities, preventing dose escalation to induce robust anti-tumor efficacy. More selective therapies addressing the growing number of subclasses and rationally designed target combinations are needed to allow for extended dose escalation with a more acceptable safety profile and to achieve more durable responses.</w:t>
      </w:r>
    </w:p>
    <w:p>
      <w:pPr>
        <w:spacing w:after="0" w:line="9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AML, leukemia stem cells, or LSCs, produce all the leukemic cells in the patient and therefore a lasting cure for this disease is dependent on eradication of these cells. However, LSCs are relatively resistant to standard therapies. For example, these cells are less sensitive to killing by daunorubicin and cytarabine, two commonly used chemotherapeutic agents. This is partially due to increased expression by LSCs of multidrug resistance genes, and also to their quiescent state, which reduces the effects of cytotoxic agents that target rapidly replicating cells. It is therefore essential to primarily target LSCs to achieve durable disease control.</w:t>
      </w:r>
    </w:p>
    <w:p>
      <w:pPr>
        <w:spacing w:after="0" w:line="1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Some cancer antigens are also present on many healthy cells, but at a lower concentration, and as such it is difficult to select any single target to sufficiently differentiate between cancer cells and healthy tissue. To overcome this limitation and increase specificity, we leveraged our unique DARPin platform to generate a multi-specific TCE DARPin molecule, targeting CD 33, CD70 and CD123, with a fine-tuned and tailored affinity. To do so, we screened thousands of permutations of multi-specific DARPin molecules to optimize target combination, affinity and molecular architecture to ensure avidity driven, simultaneous binding to these TAAs in conjunction with our CD3-binding DARPin molecule.</w:t>
      </w:r>
    </w:p>
    <w:p>
      <w:pPr>
        <w:spacing w:after="0" w:line="10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avidity driven selectivity, the presence of two or more binding targets on the cell, and the molecular interaction with these targets, increases the effective concentration of the binder and the resulting binding strength. This dependency of binding strength on the presence of more than one cancer antigen conveys a far superior selectivity to these multi-specific binders. This approach is a concept that is well known in the scientific community but has so far been limited by the availability of an optimal therapeutic platform to address the associated technical challenges. In order to find the right target combination, the optimal affinity to increase tumor specificity via avidity, as well as the best molecular architecture, we took advantage of our unique modular DARPin platform and screened hundreds of combinations of multi-specific DARPin molecules, binding simultaneously to the three different TAAs — CD 33, CD70 and CD123 . Furthermore, we combined our tri-specific binders with our CD3-binding TCE DARPin in one molecule.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2357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Figure 26: </w:t>
      </w:r>
      <w:r>
        <w:rPr>
          <w:rFonts w:ascii="Arial" w:cs="Arial" w:eastAsia="Arial" w:hAnsi="Arial"/>
          <w:sz w:val="18"/>
          <w:szCs w:val="18"/>
          <w:i w:val="1"/>
          <w:iCs w:val="1"/>
          <w:color w:val="auto"/>
        </w:rPr>
        <w:t>Our dual-engaging tri-specific DARPin product candidates are designed to engage only cells that express two or three cancer antigens, while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sparing healthy cells with one or fewer cancer antigens.</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approach allowed the design of multi-specific TCEs which are simultaneously targeting CD33, CD70 and CD123, three well-known AML antigens that are co-expressed on approximately 50% of AML cells and of which at least two are expressed on approximately 70% of AML cells. To further optimize our molecules, we have devised a concentration dependent MOA utilizing moderate affinity binders rather than high affinity ones. When such a DARPin encounters a cell expressing only one antigen, there should only be transient interaction and the DARPin should quickly disengage the target with limited cytotoxic effect. However, when there are two or three targets, the mechanism of avidity driven selectivity activates, as illustrated in Figure 26 below.</w:t>
      </w:r>
    </w:p>
    <w:p>
      <w:pPr>
        <w:spacing w:after="0" w:line="1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preclinical tests against AML cells, we observed these new multi-specific DARPin CD3 TCE candidates to deliver highly potent and specific activity and the potential for a reduced effect on healthy normal cells. Adding to the increased selectivity, our candidates, which target three TAAs simultaneously, have the potential to counteract target escape mechanisms expected due to tumor heterogeneity. In addition, this mechanism is designed to capture a larger population of AML patients due to its ability to engage with any two of these targets simultaneously, while maintaining specificity.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60"/>
          </w:cols>
          <w:pgMar w:left="320" w:top="1440" w:right="41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1005840</wp:posOffset>
            </wp:positionV>
            <wp:extent cx="5349240" cy="22371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Figure 27. </w:t>
      </w:r>
      <w:r>
        <w:rPr>
          <w:rFonts w:ascii="Arial" w:cs="Arial" w:eastAsia="Arial" w:hAnsi="Arial"/>
          <w:sz w:val="18"/>
          <w:szCs w:val="18"/>
          <w:i w:val="1"/>
          <w:iCs w:val="1"/>
          <w:color w:val="auto"/>
        </w:rPr>
        <w:t>The concept of a multi-specific TCE DARPin with improved benefit/risk in AML is demonstrated in this graphic illustrating a tri-specific TCE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DARPin. The therapeutic window generated based on full potency on multi-target malignant AML cells (red) and minimal effect on healthy normal cells (green).</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multi-specific CD3-binding DARPin molecules targeting two or three different AML antigens with optimized affinity and geometry demonstrated substantial avidity gain and an increased selectivity window in preclinical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74295</wp:posOffset>
            </wp:positionV>
            <wp:extent cx="5349240" cy="1706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Figure 28. </w:t>
      </w:r>
      <w:r>
        <w:rPr>
          <w:rFonts w:ascii="Arial" w:cs="Arial" w:eastAsia="Arial" w:hAnsi="Arial"/>
          <w:sz w:val="17"/>
          <w:szCs w:val="17"/>
          <w:i w:val="1"/>
          <w:iCs w:val="1"/>
          <w:color w:val="auto"/>
        </w:rPr>
        <w:t>In vitro characterization of the multi-specific DARPin T-cell engager. Multi-specific DARPin T-cell engager with significant activity gain in: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T-cell activation with single targeting controls (gray arrow). Molm-13 AML cells in co-culture with human T-cells (E:T 1:1, 24 h), T-cell activation analyzed by flow cytometry detecting CD25 + CD8 + T-cells; B.) tumor cell killing compared with single targeting controls (gray arrow). Molm-13 cells in co-culture with human T-cells (E:T 5:1, 48 h), tumor cell killing analyzed by LDH release and C.) showing similar potency and efficacy compared to competitor molecules currently tested in the clinic. Molm-13 AML cells in co-culture with human T-cells (E:T 5:1, 48 h), tumor cell killing analyzed by absolute count of living cells by flow cytometry. DART, dual affinity re-targeting; BiTE, bispecific T-cell engager.</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avidity gain resulted in strongly enhanced in vitro potency as shown by activation of both CD8+ and CD4+ T cells and subsequent killing of AML tumor cells, with bioactivities in the range of established TCE benchmark formats such as BiTE and DART and compared to the reference constructs where TAA specific DARPin binders have been replaced by non-binding-DARPin modules, as shown in Figure 28. We generated selectivity data by comparing our multi-specific DARPin constructs on MOLM-13 AML cell lines where the respective TAAs have been knocked out individually or in combination, as shown in Figure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1159510</wp:posOffset>
            </wp:positionH>
            <wp:positionV relativeFrom="page">
              <wp:posOffset>1005840</wp:posOffset>
            </wp:positionV>
            <wp:extent cx="5237480" cy="2280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23748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29. </w:t>
      </w:r>
      <w:r>
        <w:rPr>
          <w:rFonts w:ascii="Arial" w:cs="Arial" w:eastAsia="Arial" w:hAnsi="Arial"/>
          <w:sz w:val="18"/>
          <w:szCs w:val="18"/>
          <w:i w:val="1"/>
          <w:iCs w:val="1"/>
          <w:color w:val="auto"/>
        </w:rPr>
        <w:t>Selectivity window gain shown on T-cell activation and killing using MOLM-13 cells.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The tumor specificity, and resulting potential for a better safety profile, of our DARPin construct has been confirmed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blood assay testing potential CRS liabilities. In this assay, our multi-specific DARPin construct induced profoundly less cytokine release as compared to benchmark molecules indicating an improved therapeutic window, as shown in Figure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49240" cy="131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Figure 30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Safety advantage of multi-targeting CD3 DARPin TCEs were compared to mono-targeting TCE benchmarks molecules using human ex vivo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whole blood assays from healthy donors</w:t>
      </w:r>
      <w:r>
        <w:rPr>
          <w:rFonts w:ascii="Arial" w:cs="Arial" w:eastAsia="Arial" w:hAnsi="Arial"/>
          <w:sz w:val="18"/>
          <w:szCs w:val="18"/>
          <w:color w:val="auto"/>
        </w:rPr>
        <w:t>.</w:t>
      </w:r>
    </w:p>
    <w:p>
      <w:pPr>
        <w:spacing w:after="0" w:line="98" w:lineRule="exact"/>
        <w:rPr>
          <w:sz w:val="20"/>
          <w:szCs w:val="20"/>
          <w:color w:val="auto"/>
        </w:rPr>
      </w:pPr>
    </w:p>
    <w:p>
      <w:pPr>
        <w:spacing w:after="0"/>
        <w:tabs>
          <w:tab w:leader="none" w:pos="10760" w:val="left"/>
        </w:tabs>
        <w:rPr>
          <w:sz w:val="20"/>
          <w:szCs w:val="20"/>
          <w:color w:val="auto"/>
        </w:rPr>
      </w:pPr>
      <w:r>
        <w:rPr>
          <w:rFonts w:ascii="Arial" w:cs="Arial" w:eastAsia="Arial" w:hAnsi="Arial"/>
          <w:sz w:val="18"/>
          <w:szCs w:val="18"/>
          <w:color w:val="auto"/>
        </w:rPr>
        <w:t>Following confirmation of additional preclinical safety and IND enabling work, we intend to initiate a Phase 1 clinical trial for CD3-AML in</w:t>
      </w:r>
      <w:r>
        <w:rPr>
          <w:sz w:val="20"/>
          <w:szCs w:val="20"/>
          <w:color w:val="auto"/>
        </w:rPr>
        <w:tab/>
      </w:r>
      <w:r>
        <w:rPr>
          <w:rFonts w:ascii="Arial" w:cs="Arial" w:eastAsia="Arial" w:hAnsi="Arial"/>
          <w:sz w:val="15"/>
          <w:szCs w:val="15"/>
          <w:color w:val="auto"/>
        </w:rPr>
        <w:t>. We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intend to study safety and dose levels, as well as ascertain any benefit seen in AML patients, likely in the relapsed/refractory setting.</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preclinical studies are conclusive, we expect to run a classic 3x3 dose escalation trial in a Phase 1 in r/r AML patients. We expect that second line patients will be unfit for aggressive treatment. The monotherapy will be escalated and run until a maximal tolerated dose, or MTD, is identified. Once a MTD is identified, if ever, we expect to propose an expansion on MTD and MTD-1. If early signals are confirmed with the expansion, if ever, we intend to commence a confirmatory Phase 2/3 clinical trial. In addition to this primary indication, we anticipate exploring further indications also based on the MTD and MTD-1 approach.</w:t>
      </w:r>
    </w:p>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conclusion, we have generated TCEs based on multi-specific DARPin constructs with high potency, selectivity and ultimately with the potential for an improved therapeutic window and the potential to address tumor heterogeneity and escape for the treatment of AML.</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Conditionally Activated TCEs</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to the MOA involving a multi-specific targeting approach of a CD3 T-cell engaging DARPin, as illustrated with our AML program, we have identified two additional MOAs that we believe can conditionally</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80"/>
          </w:cols>
          <w:pgMar w:left="320" w:top="1440" w:right="399" w:bottom="1440" w:gutter="0" w:footer="0" w:header="0"/>
          <w:type w:val="continuous"/>
        </w:sectPr>
      </w:pPr>
    </w:p>
    <w:bookmarkStart w:id="140" w:name="page141"/>
    <w:bookmarkEnd w:id="140"/>
    <w:p>
      <w:pPr>
        <w:spacing w:after="0" w:line="130" w:lineRule="exact"/>
        <w:rPr>
          <w:sz w:val="20"/>
          <w:szCs w:val="20"/>
          <w:color w:val="auto"/>
        </w:rPr>
      </w:pPr>
    </w:p>
    <w:p>
      <w:pPr>
        <w:jc w:val="both"/>
        <w:ind w:right="40"/>
        <w:spacing w:after="0" w:line="296" w:lineRule="auto"/>
        <w:rPr>
          <w:sz w:val="20"/>
          <w:szCs w:val="20"/>
          <w:color w:val="auto"/>
        </w:rPr>
      </w:pPr>
      <w:r>
        <w:rPr>
          <w:rFonts w:ascii="Arial" w:cs="Arial" w:eastAsia="Arial" w:hAnsi="Arial"/>
          <w:sz w:val="16"/>
          <w:szCs w:val="16"/>
          <w:color w:val="auto"/>
        </w:rPr>
        <w:t>activate CD3 TCEs. We believe these can further expand the applicability of DARPin CD3 TCEs for additional patients by using a platform for controlled activation of the CD3 effector function designed to further minimize the risk of side effects and provide sustained activity. We refer to these two programs as CD3 Slow Activation for temporal activation and CD3-Prodrug for spatial activation. CD3 Slow Activation is designed to optimize for slow activation over time in circulation to reduce the maximal active drug concentration at treatment start, increasing bioactivity over time and potentially avoiding hyper-immune stimulation. CD3-Prodrug is designed to optimize for a conditional activation locally in the TME for reduced on-target, off-tumor activity.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Slow activation</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first dose administration of TCEs carries a high risk for acute toxicities like endothelial activation, massive lymphocyte redistribution, neurological effects, and CRS. Mitigation strategies include pre-medication with immune-suppressive steroids, IL-6 receptor antagonists, step-dosing or continuous intravenous infusion. Despite the application of these mitigation strategies, severe side effects which may lead to death in the extreme case are still observed in clinical trials with TCE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84455</wp:posOffset>
            </wp:positionV>
            <wp:extent cx="4886325" cy="1071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8632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Figure 31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Our designed DARPin blocker domain can mask the CD3 engager domain and inhibit it. Due to a slow dissociation rate of the blocker,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candidate becomes active slowly over time, avoiding a peak of over activity seen in other TCEs.</w:t>
      </w:r>
    </w:p>
    <w:p>
      <w:pPr>
        <w:spacing w:after="0" w:line="9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solution to this toxicity limitation of TCEs is analogous to the combination of continuous intravenous infusion and step dosing. By forming a non-covalent, inactive complex of TCE and a blocker molecule to its CD3-binding moiety, we can ensure a slow, continuous activation of the TCE over time, while the short-lived blocker molecule is eliminated quickly.</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In our preclinical study, we demonstrated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cell-based assays that a panel of blockers was able to inhibit the activation of a DARPin based TCE at low picomolar, or pM, concentrations and that the activation-rate of the TCE is determined solely by the off-rate of the super-high affinity blocker molecule. In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preclinical study in a human whole-blood test system using an active, non-blocked versus a transiently blocked TCE we demonstrated that cytokine release can be prevented by our slow activation concept. Finally, we were able to show a reduction in cytokine release in a set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in PBMC-humanized NOG mice engrafted with tumor cells by administering a transiently blocked TCE to mice with established tumors (&gt; 200 mm</w:t>
      </w:r>
      <w:r>
        <w:rPr>
          <w:rFonts w:ascii="Arial" w:cs="Arial" w:eastAsia="Arial" w:hAnsi="Arial"/>
          <w:sz w:val="20"/>
          <w:szCs w:val="20"/>
          <w:color w:val="auto"/>
          <w:vertAlign w:val="superscript"/>
        </w:rPr>
        <w:t>3</w:t>
      </w:r>
      <w:r>
        <w:rPr>
          <w:rFonts w:ascii="Arial" w:cs="Arial" w:eastAsia="Arial" w:hAnsi="Arial"/>
          <w:sz w:val="16"/>
          <w:szCs w:val="16"/>
          <w:color w:val="auto"/>
        </w:rPr>
        <w:t>). At the same time, the transiently blocked TCE led to comparable tumor growth inhibition as the non-blocked TCE.</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summary, the slow activation concept for DARPin based TCEs resulted in reduced acute toxicity in the form of reduced cytokine release, while showing equivalent efficacy. Notably, this approach may hold promise beyond TCEs and could be applied to any drug where acute side effects could be overcome by a slower onset of the therapeutic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80"/>
          </w:cols>
          <w:pgMar w:left="320" w:top="1440" w:right="399" w:bottom="1440" w:gutter="0" w:footer="0" w:header="0"/>
        </w:sectPr>
      </w:pPr>
    </w:p>
    <w:bookmarkStart w:id="141" w:name="page142"/>
    <w:bookmarkEnd w:id="141"/>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Spatial activation – CD3 Prodrug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96520</wp:posOffset>
            </wp:positionV>
            <wp:extent cx="5349240" cy="2272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32</w:t>
      </w:r>
      <w:r>
        <w:rPr>
          <w:rFonts w:ascii="Arial" w:cs="Arial" w:eastAsia="Arial" w:hAnsi="Arial"/>
          <w:sz w:val="18"/>
          <w:szCs w:val="18"/>
          <w:color w:val="auto"/>
        </w:rPr>
        <w:t>: Concept of conditionally activated DARPin CD3 prodrug.</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order to overcome toxicity-related challenges seen with previous approaches, we have developed a proof-of-concept anti-CD3 Prodrug DARPin, CD3-PDD, consisting of an EGFR-binder and a CD3-binder, linked via a protease-cleavable linker to a CD3-binder masking DARPin, which we refer to as a blocker. This α-EGFR x α-CD3 x blocker is unable to bind and recruit T-cells in its non-cleaved state, but is designed to become activated in the tumor microenvironment upon linker cleavage by tumor-associated proteases.</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 presented recently at the 2021 AACR meeting, results show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T-cell activation and tumor cell killing assays, we have shown that this design allowed a large masking window, or the difference in EC50 between the masked and the unmasked TCE, for active TCE as compared to non-cleavable CD3-PDD. Cleavable CD3-PDD was found to become partially activated in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by secreted proteases and therefore showed an EC50 value in-between the active TCE and the non-cleavable CD3-PDD, as shown in Figure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84455</wp:posOffset>
            </wp:positionV>
            <wp:extent cx="5168900" cy="1800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689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Figure 33: </w:t>
      </w:r>
      <w:r>
        <w:rPr>
          <w:rFonts w:ascii="Arial" w:cs="Arial" w:eastAsia="Arial" w:hAnsi="Arial"/>
          <w:sz w:val="18"/>
          <w:szCs w:val="18"/>
          <w:color w:val="auto"/>
        </w:rPr>
        <w:t>T-cell activation and tumor cell killing for active TCE, cleavable CD3-PDD, pre-cleaved CD3-PDD and non-cleavable CD3-PDD, tested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HCT 116 tumor cells and effector pan T-cells. Non-cleavable CD3-PDD showed neither T-cell activation nor tumor cell killing, whereas active TCE and pre-cleaved CD3-PDD exhibited potency in the single digit pM range.</w:t>
      </w:r>
    </w:p>
    <w:p>
      <w:pPr>
        <w:spacing w:after="0" w:line="9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Next, we performed an in vivo proof-of-principle study in a human colon carcinoma xenograft model, HCT 116, using immunodeficient mice humanized with hematopoietic stem cells, CD34+, and optimized for the presence of human myeloid cells. The mouse cross-reactivity of the EGFR-binder allowed us to assess both anti-tumor efficacy and define a therapeutic window in this model.</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60"/>
          </w:cols>
          <w:pgMar w:left="320" w:top="1440" w:right="419" w:bottom="1440" w:gutter="0" w:footer="0" w:header="0"/>
          <w:type w:val="continuous"/>
        </w:sectPr>
      </w:pPr>
    </w:p>
    <w:bookmarkStart w:id="142" w:name="page143"/>
    <w:bookmarkEnd w:id="142"/>
    <w:p>
      <w:pPr>
        <w:spacing w:after="0" w:line="13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cleavable CD3-PDD demonstrated robust anti-tumor activity, similar to the one observed with active TCE. Most importantly, while the active TCE elicited strong toxicity, leading to loss of animals and requiring us to stop treatment, we were able to dose the cleavable CD3-PDD without significant safety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74295</wp:posOffset>
            </wp:positionV>
            <wp:extent cx="5143500" cy="1920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 xml:space="preserve">Figure 34: </w:t>
      </w:r>
      <w:r>
        <w:rPr>
          <w:rFonts w:ascii="Arial" w:cs="Arial" w:eastAsia="Arial" w:hAnsi="Arial"/>
          <w:sz w:val="16"/>
          <w:szCs w:val="16"/>
          <w:color w:val="auto"/>
        </w:rPr>
        <w:t>On the left, results from our spatially activated DARPin TCE demonstrate that the cleavable DARPin is as active against the tumor as the</w:t>
      </w:r>
      <w:r>
        <w:rPr>
          <w:rFonts w:ascii="Arial" w:cs="Arial" w:eastAsia="Arial" w:hAnsi="Arial"/>
          <w:sz w:val="16"/>
          <w:szCs w:val="16"/>
          <w:b w:val="1"/>
          <w:bCs w:val="1"/>
          <w:color w:val="auto"/>
        </w:rPr>
        <w:t xml:space="preserve"> </w:t>
      </w:r>
      <w:r>
        <w:rPr>
          <w:rFonts w:ascii="Arial" w:cs="Arial" w:eastAsia="Arial" w:hAnsi="Arial"/>
          <w:sz w:val="16"/>
          <w:szCs w:val="16"/>
          <w:color w:val="auto"/>
        </w:rPr>
        <w:t>unmasked control. The non-cleavable protein had a lesser effect over the tumor size. However, when we observe how each DARPin effected the test animal health, we can see that the unmasked control affected the animals’ health detrimentally, while the masked constructs had minimal effect, if any.</w:t>
      </w:r>
    </w:p>
    <w:p>
      <w:pPr>
        <w:spacing w:after="0" w:line="7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Since the conditionally activated CD3-PDD shows similar efficacy but none of the toxicity of the active TCE, we believe that our approach holds great promise for the development of future CD3-PDDs as therapeutics, enabling utilization of less tumor-specific targets for highly potent TCEs.</w:t>
      </w:r>
    </w:p>
    <w:p>
      <w:pPr>
        <w:spacing w:after="0" w:line="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that ongoing preclinical work will continue to validate potential solid tumor targets which might benefit from conditional activation via protease cleavage. Tumor targets like EGFR, or other similar targets, may prove to be of interest.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Our Peptide MHC Program</w:t>
      </w:r>
    </w:p>
    <w:p>
      <w:pPr>
        <w:spacing w:after="0" w:line="152"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High specificity binders against extremely hard to drug targets, leveraging unique geometric properties and high throughput screening capabilities.</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the ability to drug intra-cellular targets, which include up to 95% of cancer antigens.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Ease of development - generated quickly and reliably with capability for half-life extension, easy to manufacture.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for a multi-specific pMHC DARPin to cover more peptides of the same antigen or peptides from more than one antigen.</w:t>
      </w:r>
    </w:p>
    <w:p>
      <w:pPr>
        <w:spacing w:after="0" w:line="1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While potent T-cell activating or redirecting modalities have shown significant promise against a range of cancers in recent years, the number of suitable tumor-specific targets is often limited due to their reliance on targeting transmembrane proteins that are highly expressed on tumors but with minimal expression on non-target tissue.</w:t>
      </w:r>
    </w:p>
    <w:p>
      <w:pPr>
        <w:spacing w:after="0" w:line="11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contrast, almost all intracellular proteins are processed and presented as peptides on the cell surface by major histocompatibility complexes, or MHC class I molecules, known as human leukocyte antigens, or HLA, in humans. It is thought that up to 95% tumor specific antigens are intracellular, with very few extracellular, so unlocking the ability to target these provides a significant gain in the breadth of potential tumor specific targets.</w:t>
      </w:r>
    </w:p>
    <w:p>
      <w:pPr>
        <w:spacing w:after="0" w:line="8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Development of biologics, including soluble TCRs and TCR-like antibodies, or cell therapeutics which target pMHC complexes have so far been hindered by low target abundance, weak affinity, cross-reactivity to similar pMHC complexes, or complexity in manufacture and administration. DARPin-based therapeutics offer the potential to overcome these limitations through their excellent biophysical properties and advantageous structural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allowing them to bind pMHC complexes with both high selectivity and high affinity. Moreover, such DARPin molecules can be manufactured and administered with comparative ease in contrast to adoptive cell therapies.</w:t>
      </w:r>
    </w:p>
    <w:p>
      <w:pPr>
        <w:spacing w:after="0" w:line="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recently presented preclinical data at the 2021 AACR meeting in April 2021 showing the development and characterization of bispecific DARPin TCE proteins (pMHC x CD3 DARPin) binding with high specificity to a peptide derived from the cancer testis antigen NY-ESO-1 (SLLMWITQC), presented in the context of the MHC HLA-A. These data illustrate the successful selection of DARPin binders against pMHC complexes from our extensive library of over a trillion DARPin variants, which were then formatted into bispecific TCEs with an additional CD3-binding DARPin domain to enable potent re-direction and activation of T cells. This MOA also allows highly sensitive analysis of pMHC specificity and potential cross-reactivity.</w:t>
      </w:r>
    </w:p>
    <w:p>
      <w:pPr>
        <w:spacing w:after="0" w:line="1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Using a number of cellular assays, we confirmed that the selected DARPin proteins displayed a high specificity for the selected complex. Architectural fine tuning and sequence engineering allowed us to further increase the potency of the selected candidates without compromising the specificity. The potential of these engineered molecules for tumor elimination was illustrated through potent DARPin mediated T-cell activation towards tumor cell lines expressing the peptide-HLA-A2 antigen, and in contrast, lack of activation towards comparable tumor cell lines that do not present the NY-ESO-1 peptide. Furthermore, HLA-A2+/SLL+ cells but not HLA-A2+/SLL- cells were effectively killed in the presence of these specific DARPin TCEs in a concentration dependent manner, illustrating the potential for elimination of target positive tumor cells in a dose-controlled fashion.</w:t>
      </w:r>
    </w:p>
    <w:p>
      <w:pPr>
        <w:spacing w:after="0" w:line="11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Current bi-specific TCR molecules in clinical trials face the challenge of short serum half-lives and rapid elimination. To address this, we have established a platform to provide good systemic exposure for our pMHC x CD3 DARPin molecules without compromising potency and specificity, making the DARPin technology platform highly instrumental for the development of a new class of anti-cancer therapeutics.</w:t>
      </w:r>
    </w:p>
    <w:p>
      <w:pPr>
        <w:spacing w:after="0" w:line="10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Therefore, we believe that DARPin proteins represent a valuable alternative to specifically target pMHC complexes expressed in a broad range of cancers and/or virology indications. Moreover, thanks to the modular nature of DARPin proteins, this platform may be utilized to target at-risk tissues in auto-immune diseases by utilizing immune-suppressive effector functions in place of CD3 engagement. The outstanding biophysical properties, capacity for multi-specific formatting and level of specificity exhibited by pMHC-specific DARPin proteins prompts investigations on their broader application for alternative treatment modalities (drug conjugates, radio therapy, CAR-T-cells) and pMHC-specific diagnostics.</w:t>
      </w:r>
    </w:p>
    <w:p>
      <w:pPr>
        <w:spacing w:after="0" w:line="1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While the technological capability to target these complexes may enable DARPin molecules to offer therapeutic benefits for a number of diseases, our current strategic approach is to co-develop these therapeutics with third-party collaborators who have a strong working knowledge of which targets may prove to offer the most benefit for patients.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Our Legacy Oncology Product Candidates</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observed each of our legacy product candidates in our oncology program, MP0250 and MP0274, to be well tolerated and exhibit promising levels of biological activity. Our experience in developing our legacy product candidates provided key learnings that we leverage as we progress the development of our other product candidates. While the activity and tolerability of these programs are encouraging, a strategic decision was made to invest in programs where a clear clinical differentiation could be made through the DARPin constructs. The competitive landscape for these programs, coupled with the need to be used in combination with other therapies, make these compounds attractive investments for potential partnerships. It is our intent to explore additional clinical development for MP0250 and MP0274 through clinical collaborations and partnerships, but we believe that further solo investment in these assets is unlikely.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MP0250</w:t>
      </w:r>
    </w:p>
    <w:p>
      <w:pPr>
        <w:spacing w:after="0" w:line="15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first oncology DARPin product candidate was MP0250, a proprietary multi-DARPin product candidate consisting of four DARPin domains. One targets VEGF, the activating ligand of the VEGF receptor, one targets hepatocyte growth factor, or HGF, the activating ligand of the c-MET receptor, and two target HSA. The VEGF and HGF targeting single-domain DARPin proteins are designed to effectively bind to and thereby neutralize VEGF and HGF, while HSA binding increases MP0250’s half-life to extend treatment activity and may increase tissue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3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penetration. We have conducted two Phase 2 clinical trials of MP0250, one in multiple myeloma patients and one in EGFR-mutated NSCLC patients, both in combination with standard-of-care treatments. MP0250 was administered to a total of 86 patients.</w:t>
      </w:r>
    </w:p>
    <w:p>
      <w:pPr>
        <w:spacing w:after="0" w:line="8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clinical development of MP0250 established the ability of our DARPin product candidates to bind to more than one target, which we believe is a key element of preventing tumor escape and is a foundational attribute of many of our other product candidates. In addition, our learnings from including HSA binding in MP0250 to extend treatment activity have proven vital for our other product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MP0274</w:t>
      </w:r>
    </w:p>
    <w:p>
      <w:pPr>
        <w:spacing w:after="0" w:line="15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second DARPin product candidate in oncology was MP0274, a proprietary DARPin product candidate designed to bind to two epitopes on HER2. MP0274 is designed to inhibit HER2 activation and any subsequent activation of HER2 in conjunction with the HER 1 and HER3 receptor proteins that promote the growth of cancer cells. MP0274 was administered to a total of 22 patients.</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to the early evidence of biological activity, we incorporated the learnings from the DARPin’s ability to bind a single target on more than one epitope validated by MP0274 in developing our MP0420 and MP0423 product candidates.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Our Ophthalmology Program</w:t>
      </w:r>
    </w:p>
    <w:p>
      <w:pPr>
        <w:spacing w:after="0" w:line="1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Abicipar is a DARPin therapeutic candidate designed to inhibit VEGF, which we have licensed to Allergan, an Abbvie company. It is at the registrational stage as an investigational candidate for the treatment of nAMD. Abicipar is also an investigational candidate for diabetic macular edema, or DME. Abicipar is designed to remain in the eye longer than current treatments and consequently offers the potential for less frequent dosing. In June 2020, AbbVie received a Complete Response Letter, or CRL, for the BLA of abicipar. The agency’s notice indicated that the rate of intraocular inflammation observed following administration of abicipar pegol results in an unfavorable benefit-risk ratio in the treatment of nAMD.</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AbbVie has withdrawn its filings for abicipar with both the European Medicines Agency and the Japanese Regulatory Agency and is committed to working with these agencies to determine appropriate next steps and requirements for potential resubmissions for abicipar. There is substantial need for better treatment options for nAMD and we remain confident in the totality of data supporting abicipar’s clinical profile for this indication.</w:t>
      </w:r>
    </w:p>
    <w:p>
      <w:pPr>
        <w:spacing w:after="0" w:line="9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a first-generation single domain DARPin product candidate, abicipar delivered on its promise of a powerful anti-VEGF mechanism and long half-life and is foundational in our understanding of leveraging our DARPin platform in our other product candidates.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3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success depends in part on our ability to obtain, maintain, enforce and defend patents and other intellectual property and proprietary protection for our product candidates and technology, to preserve the confidentiality of our trade secrets, to operate without infringing, misappropriating or otherwise violating patents and other proprietary rights of others, and to prevent others from infringing, misappropriating or otherwise violating our patent and other proprietary rights. We seek to protect our proprietary position by, among other methods, filing patent applications covering our proprietary technology, improvements thereof, product candidates, and other inventions in Europe, the United States, and Japan, as well as in other relevant jurisdictions that are important to the development of our business, including Australia, Canada, South Korea and China. To protect aspects of our business that are not amenable to, or that we do not consider appropriate for, patent protection, we rely on trade secrets, know-how, confidential information and continuing technological innovation. We also rely on in-licensing opportunities to develop and maintain our proprietary position. We may further rely on statutory market exclusivity and patent term extensions that may be available for our product candidates once they achieve regulatory approval.</w:t>
      </w:r>
    </w:p>
    <w:p>
      <w:pPr>
        <w:spacing w:after="0" w:line="9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maintain three categories of patent protection for, respectively, our DARPin technology platform, key single-binding domain DARPin proteins binding to specific targets and our DARPin product candidates. The first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protection covers our DARPin technology platform and relies on both in-licensed and Molecular Partners-owned issued patents and pending patent applications:</w:t>
      </w:r>
    </w:p>
    <w:p>
      <w:pPr>
        <w:spacing w:after="0" w:line="89" w:lineRule="exact"/>
        <w:rPr>
          <w:sz w:val="20"/>
          <w:szCs w:val="20"/>
          <w:color w:val="auto"/>
        </w:rPr>
      </w:pPr>
    </w:p>
    <w:p>
      <w:pPr>
        <w:ind w:left="340" w:right="20" w:hanging="332"/>
        <w:spacing w:after="0" w:line="268" w:lineRule="auto"/>
        <w:tabs>
          <w:tab w:leader="none" w:pos="3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DARPin base technology we use in our DARPin platform to generate our DARPin product candidates is exclusively licensed to us by the University of Zurich. See “Business—License and Collaboration Agreements—License Agreement with the University of Zurich” for information on the terms of this in-license. The patent family covering this technology is based on the international patent application WO 2002/020565 and relates to the processes we use to generate our DARPin libraries, the DARPin libraries themselves and the DARPin binding proteins we select from our libraries. As of March 12, 2021, we have exclusively licensed four issued U.S. patents and 11 issued foreign patents in this family. The issued patents are expected to expire in September 2021, with the exception of one U.S. patent that received patent term adjustment and is expected to expire in 2023. Once these patents licensed from the University of Zurich expire in 2021 or 2023, others may use the basic repeat protein technology disclosed and claimed in these patents. This may lead to increased competition in the repeat protein field, especially if our DARPin drug candidates prove to be successful in the clinic. We are aware of this situation and have taken various steps to mitigate potential effects of the patent expiration. We have improved the basic ankyrin repeat protein technology and have filed patent applications covering these improvements. Furthermore, we have enhanced our efforts to innovate in the ankyrin repeat protein field, including by developing new molecular designs, by generating ankyrin repeat proteins with novel modes of action, and by applying the ankyrin repeat protein technology to new disease areas and new target classes. We have translated this enhanced innovation into the generation of new and valuable intellectual property and have significantly expanded our patent portfolio in the last two years. Taken together, we have and are continuing to mitigate potential effects of the upcoming expiration of the patents licensed from the University of Zurich by protecting improvements of the DARPin base technology and innovative new aspects and applications of the DARPin technology in newly filed patent applications.</w:t>
      </w:r>
    </w:p>
    <w:p>
      <w:pPr>
        <w:spacing w:after="0" w:line="112" w:lineRule="exact"/>
        <w:rPr>
          <w:rFonts w:ascii="Arial" w:cs="Arial" w:eastAsia="Arial" w:hAnsi="Arial"/>
          <w:sz w:val="17"/>
          <w:szCs w:val="17"/>
          <w:color w:val="auto"/>
        </w:rPr>
      </w:pPr>
    </w:p>
    <w:p>
      <w:pPr>
        <w:ind w:left="340" w:hanging="332"/>
        <w:spacing w:after="0" w:line="279" w:lineRule="auto"/>
        <w:tabs>
          <w:tab w:leader="none" w:pos="3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also own a patent family, based on international patent application WO 2012/069655, relating to DARPin binding proteins comprising certain improved N-terminal capping modules. As of March 12, 2021, we own three issued U.S. patents, eight issued foreign patents and three pending foreign patent applications in this family. Any issued patents in this family are expected to expire in 2031. The disclosed improvement of the DARPin platform is included in our DARPin product candidates MP0250, MP0274, MP0310, MP0317, MP0420 (ensovibep) and MP0423.</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second category of protection covers our key single-binding domain DARPin proteins binding to specific targets. These single domain DARPin binding proteins can be used in multiple DARPin product candidates. Our patent applications and corresponding patents directed to key single domain DARPin binding proteins currently include:</w:t>
      </w:r>
    </w:p>
    <w:p>
      <w:pPr>
        <w:spacing w:after="0" w:line="116" w:lineRule="exact"/>
        <w:rPr>
          <w:sz w:val="20"/>
          <w:szCs w:val="20"/>
          <w:color w:val="auto"/>
        </w:rPr>
      </w:pPr>
    </w:p>
    <w:p>
      <w:pPr>
        <w:ind w:left="340" w:right="80" w:hanging="332"/>
        <w:spacing w:after="0" w:line="257"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2010/060748, relating to single domain DARPin binding proteins with specificity for vascular endothelial growth factor A, or VEGF-A. As of March 12, 2021, we owned one issued U.S. patent, twenty-nine issued foreign patents and four pending foreign patent applications in this family. Any issued patents in this family are expected to expire in 2029, with the exception of one U.S. patent that received patent term adjustment and is expected to expire in 2031. VEGF-specific DARPin binding proteins are used in our DARPin product candidates abicipar and MP0250 .</w:t>
      </w:r>
    </w:p>
    <w:p>
      <w:pPr>
        <w:spacing w:after="0" w:line="120" w:lineRule="exact"/>
        <w:rPr>
          <w:rFonts w:ascii="Arial" w:cs="Arial" w:eastAsia="Arial" w:hAnsi="Arial"/>
          <w:sz w:val="18"/>
          <w:szCs w:val="18"/>
          <w:color w:val="auto"/>
        </w:rPr>
      </w:pPr>
    </w:p>
    <w:p>
      <w:pPr>
        <w:jc w:val="both"/>
        <w:ind w:left="340" w:right="160" w:hanging="332"/>
        <w:spacing w:after="0" w:line="259"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family of patent applications based on international patent application WO 2014/191574, relating to single domain DARPin binding proteins with specificity for hepatocyte growth factor, or HGF. As of March 12, 2021, we own one pending U.S. patent application and two pending foreign patent applications in this family. If granted, patents in this patent family are expected to expire in 2034. A HGF-specific DARPin binding protein is used in our DARPin product candidate MP0250.</w:t>
      </w:r>
    </w:p>
    <w:p>
      <w:pPr>
        <w:spacing w:after="0" w:line="105" w:lineRule="exact"/>
        <w:rPr>
          <w:rFonts w:ascii="Arial" w:cs="Arial" w:eastAsia="Arial" w:hAnsi="Arial"/>
          <w:sz w:val="18"/>
          <w:szCs w:val="18"/>
          <w:color w:val="auto"/>
        </w:rPr>
      </w:pPr>
    </w:p>
    <w:p>
      <w:pPr>
        <w:ind w:left="340" w:right="140" w:hanging="332"/>
        <w:spacing w:after="0" w:line="263"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2012/069654, relating to single domain DARPin binding proteins with specificity for human serum albumin, or HSA. As of March 12, 2021, we own two issued U.S. patents, eight issued foreign patents and eight pending foreign patent applications in this family.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0" w:lineRule="exact"/>
        <w:rPr>
          <w:sz w:val="20"/>
          <w:szCs w:val="20"/>
          <w:color w:val="auto"/>
        </w:rPr>
      </w:pPr>
    </w:p>
    <w:p>
      <w:pPr>
        <w:ind w:left="340" w:right="560"/>
        <w:spacing w:after="0" w:line="277" w:lineRule="auto"/>
        <w:rPr>
          <w:sz w:val="20"/>
          <w:szCs w:val="20"/>
          <w:color w:val="auto"/>
        </w:rPr>
      </w:pPr>
      <w:r>
        <w:rPr>
          <w:rFonts w:ascii="Arial" w:cs="Arial" w:eastAsia="Arial" w:hAnsi="Arial"/>
          <w:sz w:val="18"/>
          <w:szCs w:val="18"/>
          <w:color w:val="auto"/>
        </w:rPr>
        <w:t>issued patents in this family are expected to expire in 2031. HSA-specific DARPin binding proteins are used in our DARPin product candidates MP0250, MP0274, MP0310 MP0317, MP0420 (ensovibep) and MP0423.</w:t>
      </w:r>
    </w:p>
    <w:p>
      <w:pPr>
        <w:spacing w:after="0" w:line="89" w:lineRule="exact"/>
        <w:rPr>
          <w:sz w:val="20"/>
          <w:szCs w:val="20"/>
          <w:color w:val="auto"/>
        </w:rPr>
      </w:pPr>
    </w:p>
    <w:p>
      <w:pPr>
        <w:ind w:left="340" w:right="20" w:hanging="332"/>
        <w:spacing w:after="0" w:line="279" w:lineRule="auto"/>
        <w:tabs>
          <w:tab w:leader="none" w:pos="3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family of patent applications based on international patent application WO 2014/083208, relating to DARPin product candidates comprising two different DARPin binding proteins that bind to specific, but distinct, sites on HER2. As of March 12, 2021, we own one issued U.S. patent, six issued foreign patents and six pending foreign patent applications in this family. If granted, patents in this patent family are expected to expire in 2033. Such a DARPin molecule comprising two different HER2-specific DARPin binding proteins is used in our product candidate MP0274.</w:t>
      </w:r>
    </w:p>
    <w:p>
      <w:pPr>
        <w:spacing w:after="0" w:line="103" w:lineRule="exact"/>
        <w:rPr>
          <w:rFonts w:ascii="Arial" w:cs="Arial" w:eastAsia="Arial" w:hAnsi="Arial"/>
          <w:sz w:val="17"/>
          <w:szCs w:val="17"/>
          <w:color w:val="auto"/>
        </w:rPr>
      </w:pPr>
    </w:p>
    <w:p>
      <w:pPr>
        <w:ind w:left="340" w:hanging="332"/>
        <w:spacing w:after="0" w:line="259"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2020/245173, relating to single domain DARPin binding proteins with specificity for fibroblast activation protein, or FAP. As of March 12, 2021, we own a pending PCT international patent application, which has not reached the national phase yet, in this family. Any issued patents in this family are expected to expire in 2040. FAP-specific DARPin binding proteins are used in our DARPin product candidates MP0310 and MP0317.</w:t>
      </w:r>
    </w:p>
    <w:p>
      <w:pPr>
        <w:spacing w:after="0" w:line="119" w:lineRule="exact"/>
        <w:rPr>
          <w:rFonts w:ascii="Arial" w:cs="Arial" w:eastAsia="Arial" w:hAnsi="Arial"/>
          <w:sz w:val="18"/>
          <w:szCs w:val="18"/>
          <w:color w:val="auto"/>
        </w:rPr>
      </w:pPr>
    </w:p>
    <w:p>
      <w:pPr>
        <w:ind w:left="340" w:right="100" w:hanging="332"/>
        <w:spacing w:after="0" w:line="259"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2020/245175, relating to single domain DARPin binding proteins with specificity for 4-1BB. As of March 12, 2021, we own a pending PCT international patent application, which has not reached the national phase yet, in this family. Any issued patents in this family are expected to expire in 2040. 4-1BB-specific DARPin binding proteins are used in our DARPin product candidate MP0310.</w:t>
      </w:r>
    </w:p>
    <w:p>
      <w:pPr>
        <w:spacing w:after="0" w:line="105" w:lineRule="exact"/>
        <w:rPr>
          <w:rFonts w:ascii="Arial" w:cs="Arial" w:eastAsia="Arial" w:hAnsi="Arial"/>
          <w:sz w:val="18"/>
          <w:szCs w:val="18"/>
          <w:color w:val="auto"/>
        </w:rPr>
      </w:pPr>
    </w:p>
    <w:p>
      <w:pPr>
        <w:ind w:left="340" w:right="220" w:hanging="332"/>
        <w:spacing w:after="0" w:line="259"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2020/245171, relating to improved single domain DARPin binding proteins with specificity for HSA. As of March 12, 2021, we own a pending PCT international patent application, which has not reached the national phase yet, in this family. Any issued patents in this family are expected to expire in 2040. Disclosed HSA-specific DARPin binding proteins are used in our DARPin product candidates MP0310 and MP0317.</w:t>
      </w:r>
    </w:p>
    <w:p>
      <w:pPr>
        <w:spacing w:after="0" w:line="119" w:lineRule="exact"/>
        <w:rPr>
          <w:rFonts w:ascii="Arial" w:cs="Arial" w:eastAsia="Arial" w:hAnsi="Arial"/>
          <w:sz w:val="18"/>
          <w:szCs w:val="18"/>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third category of protection covers the composition of matter of certain of our DARPin product candidates (e.g., the specific combination and structure of DARPin binding proteins and additional elements that constitute the DARPin product candidate) as well as other product-specific inventions (e.g. formulation, manufacturing process or dosing schedule). Our patent applications and corresponding patents directed to our DARPin product candidates currently include:</w:t>
      </w:r>
    </w:p>
    <w:p>
      <w:pPr>
        <w:spacing w:after="0" w:line="106" w:lineRule="exact"/>
        <w:rPr>
          <w:sz w:val="20"/>
          <w:szCs w:val="20"/>
          <w:color w:val="auto"/>
        </w:rPr>
      </w:pPr>
    </w:p>
    <w:p>
      <w:pPr>
        <w:ind w:left="340" w:right="22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2011/135067, relating to abicipar. As of March 12, 2021, we own four issued U.S. patents, one pending U.S. patent application, sixty-five issued foreign patents and four pending foreign patent applications in this family. Any issued patents in this family are expected to expire in 2031, not considering any patent term extensions that may be available in various jurisdictions if abicipar obtains regulatory approval there.</w:t>
      </w:r>
    </w:p>
    <w:p>
      <w:pPr>
        <w:spacing w:after="0" w:line="119" w:lineRule="exact"/>
        <w:rPr>
          <w:rFonts w:ascii="Arial" w:cs="Arial" w:eastAsia="Arial" w:hAnsi="Arial"/>
          <w:sz w:val="18"/>
          <w:szCs w:val="18"/>
          <w:color w:val="auto"/>
        </w:rPr>
      </w:pPr>
    </w:p>
    <w:p>
      <w:pPr>
        <w:ind w:left="340" w:right="26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2016/156596, relating to MP0250. As of March 12, 2021, we own two issued U.S. patent, one pending U.S. patent application, six issued foreign patents and twenty pending foreign patent applications in this family. Any patent that has been or may be granted in this patent family is expected to expire in 2036, not considering any patent term extensions that may be available in various jurisdictions if MP0250 obtains regulatory approval there.</w:t>
      </w:r>
    </w:p>
    <w:p>
      <w:pPr>
        <w:spacing w:after="0" w:line="119" w:lineRule="exact"/>
        <w:rPr>
          <w:rFonts w:ascii="Arial" w:cs="Arial" w:eastAsia="Arial" w:hAnsi="Arial"/>
          <w:sz w:val="18"/>
          <w:szCs w:val="18"/>
          <w:color w:val="auto"/>
        </w:rPr>
      </w:pPr>
    </w:p>
    <w:p>
      <w:pPr>
        <w:ind w:left="340" w:right="6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of patent applications based on international patent application WO 2018/054971, relating to MP0274. As of March 12, 2021, we own one issued U.S. patent, one pending U.S. patent application, two issued foreign patents and twenty-one pending foreign patent applications in this family. Any patents that may be granted in this patent family are expected to expire in 2037, not considering any patent term extensions that may be available in various jurisdictions if MP0274 obtains regulatory approval there.</w:t>
      </w:r>
    </w:p>
    <w:p>
      <w:pPr>
        <w:spacing w:after="0" w:line="105"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patent family based on international patent application WO 2020/245746, relating to MP0310. As of March 7, 2021, we own one pending U.S. patent application, four pending foreign patent applications and one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0" w:lineRule="exact"/>
        <w:rPr>
          <w:sz w:val="20"/>
          <w:szCs w:val="20"/>
          <w:color w:val="auto"/>
        </w:rPr>
      </w:pPr>
    </w:p>
    <w:p>
      <w:pPr>
        <w:ind w:left="340" w:right="840"/>
        <w:spacing w:after="0" w:line="342" w:lineRule="auto"/>
        <w:rPr>
          <w:sz w:val="20"/>
          <w:szCs w:val="20"/>
          <w:color w:val="auto"/>
        </w:rPr>
      </w:pPr>
      <w:r>
        <w:rPr>
          <w:rFonts w:ascii="Arial" w:cs="Arial" w:eastAsia="Arial" w:hAnsi="Arial"/>
          <w:sz w:val="16"/>
          <w:szCs w:val="16"/>
          <w:color w:val="auto"/>
        </w:rPr>
        <w:t>PCT international patent application in this family. Any patents that may be granted in this patent family are expected to expire in 2040, not considering any patent term extensions that may be available in various jurisdictions if MP0310 obtains regulatory approval there.</w:t>
      </w:r>
    </w:p>
    <w:p>
      <w:pPr>
        <w:spacing w:after="0" w:line="43" w:lineRule="exact"/>
        <w:rPr>
          <w:sz w:val="20"/>
          <w:szCs w:val="20"/>
          <w:color w:val="auto"/>
        </w:rPr>
      </w:pPr>
    </w:p>
    <w:p>
      <w:pPr>
        <w:ind w:left="340" w:right="540" w:hanging="332"/>
        <w:spacing w:after="0" w:line="27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patent applications falling in this category have been filed and are pending, but have not been published yet, including patent applications relating to abicipar, MP0317, ensovibep and MP0423.</w:t>
      </w:r>
    </w:p>
    <w:p>
      <w:pPr>
        <w:spacing w:after="0" w:line="10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actual protection afforded by a patent may vary on a product-by-product basis and from country to country and can depend upon many factors, including the type of patent, the scope of its coverage, the availability of regulatory-related extensions, the availability of legal remedies in a particular country and the validity and enforceability of the patent.</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term of an individual patent depends upon the legal term for patents in the countries in which they are granted. In most jurisdictions, including the United States and countries that are members of the European Patent Convention, the patent term is generally 20 years from the earliest effective filing date of a non-provisional patent application in the applicable country. In the United States, a patent’s term may, in certain cases, be lengthened by patent term adjustment, which compensates a patentee for administrative delays by the USPTO in granting a patent, or may be shortened if a patent is terminally disclaimed over a co-owned patent or patent application having an earlier expiration date or over a non-commonly owned patent or patent application having an earlier expiration date that was filed as a result of activities undertaken within the scope of a joint research agreement. In addition, patent term provisions are available in the United States, the member states of the European Union and certain other jurisdictions to extend the term of a patent that covers an approved drug to recapture a portion of the term effectively lost as a result of the regulatory review period. However, in the United States, the restoration period cannot be longer than five years, the total patent term including the restoration period must not exceed 14 years following U.S. Food and Drug Administration, or FDA, approval, only one patent applicable to each regulatory review period may be extended and only those claims covering the approved drug, method for using it or a method of manufacturing it may be extended. In the future, if and when our product candidates, including abicipar, MP0250, MP0274, MP0310, MP0317, ensovibep and MP0423 receive approval by the FDA, EMA or any other relevant jurisdiction’s regulatory authorities, we expect, where possible, to apply for patent term extensions on issued patents covering those products, depending upon the length of the clinical trials for each product candidate and other factors. The expiration dates referred to above are without regard to potential patent term extensions that may be available to us and without regard to potential patent term adjustments or terminal disclaimers that may become applicable.</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Notwithstanding our efforts, we cannot be sure that patents will be granted with respect to any patent applications we have licensed or filed or may license or file in the future, and we cannot be sure that any patents we have licensed, or that have been granted to us or any patents that may be licensed or granted to us in the future will not be challenged, invalidated, rendered unenforceable or circumvented or that such patents will be commercially useful in protecting our technologies or product candidates.</w:t>
      </w:r>
    </w:p>
    <w:p>
      <w:pPr>
        <w:spacing w:after="0" w:line="11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may rely, in some circumstances, on trade secrets and know-how to protect our technology. However, trade secrets and know-how can be difficult to protect. We seek to protect our proprietary technology and processes, in part, through confidentiality agreements and invention assignment agreements with our employees, consultants, scientific advisors, contractors and commercial partners. We also seek to preserve the integrity and confidentiality of our data and trade secrets by maintaining physical security of our premises and physical and electronic security of our information technology systems.</w:t>
      </w:r>
    </w:p>
    <w:p>
      <w:pPr>
        <w:spacing w:after="0" w:line="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own registrations for the trademarks “Molecular Partners” and “DARPin” in Switzerland, the European Union, the United States and Japan. Further, we intend to build up a trademark portfolio for the names of our technologies and product candidates as potential commercialization approaches.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the risks related to our intellectual property, please see “Risk Factors—Risks Related to Intellectual Property.”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and Collaboration Agreements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and Equity Rights Agreement with Novartis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40" w:right="359" w:bottom="1440" w:gutter="0" w:footer="0" w:header="0"/>
        </w:sectPr>
      </w:pPr>
    </w:p>
    <w:bookmarkStart w:id="148" w:name="page149"/>
    <w:bookmarkEnd w:id="148"/>
    <w:p>
      <w:pPr>
        <w:spacing w:after="0" w:line="13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October 2020, we entered into an Option and Equity Rights agreement with Novartis, or the Novartis Agreement. Under the Novartis Agreement, we granted Novartis an option to exclusively license global rights of ensovibep and MP0423, our COVID-19 antiviral DARPin product candidates. Under the terms of the Novartis Agreement, we received a non-refundable cash payment of CHF 20 million for development activities regarding technology transfer and manufacturing for the commercial supply of ensovibep. As part of the transaction, Novartis also agreed to acquire CHF 40 million worth of our common shares, at a price of CHF 23 per share. As a result, Novartis holds approximately 6% of our outstanding shares as of December 31, 2020.</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Novartis Agreement, we will conduct Phase 1 clinical trials for ensovibep. Additionally, if we and Novartis agree, we will perform all remaining preclinical work for MP0423 and conduct the MP0423 Phase 1 trial, and Novartis would pay us two milestone payments of CHF 2.5 million each in case of initiation and completion of such MP0423 Phase 1 trial. Novartis will conduct certain Phase 2/3 clinical trials, with us as legal sponsor of the trials. We are responsible for supplying materials for our clinical development of ensovibep. We expect to commence a Phase 2/3 clinical trial for ensovibep in and MP0423 is currently being manufactured as we prepare for a Phase 1 clinical trial.</w:t>
      </w:r>
    </w:p>
    <w:p>
      <w:pPr>
        <w:spacing w:after="0" w:line="12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Novartis exercises its option, we would grant Novartis a sublicensable worldwide license to research, develop, manufacture, commercialize and otherwise exploit ensovibep and MP0423 and products comprising those compounds in all indications on (i) an exclusive royalty-bearing basis under our patents having claims solely and specifically covering ensovibep and MP0423 and their use, composition, formulation, preparation or manufacture and related know-how and (ii) a non-exclusive basis under our other patent rights and other intellectual property rights that are necessary or reasonably useful to research, develop, manufacture, prepare, use or commercialize ensovibep and MP0423. If Novartis exercises its option, we would receive an upfront payment of CHF 150 million. In addition, Novartis would be obligated to pay us a 22% royalty on future commercial sales in certain agreed territories, as we have agreed to forgo royalties in lower-income countries, beginning with the first commercial sale of such a licensed product in a given country of sale and expiring on the latest of the expiration of the last valid claim covering such product, ten years after such sale, and expiration of regulatory exclusivity. Upon exercise of such option, Novartis would be responsible for all further development and commercialization activities.</w:t>
      </w:r>
    </w:p>
    <w:p>
      <w:pPr>
        <w:spacing w:after="0" w:line="9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Novartis Agreement will expire nine months after the effective date, although Novartis may unilaterally extend the term for an additional six months upon prior written notice. If Novartis exercises its option, the Novartis Agreement will continue in effect until execution of the definitive license agreements. Novartis may terminate the Novartis Agreement at any time upon (i) a specified period of prior written notice in the event of our change of control, or (ii) immediately in the event any clinical trial is terminated or otherwise stopped.</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and Collaboration Agreement with Amgen</w:t>
      </w:r>
    </w:p>
    <w:p>
      <w:pPr>
        <w:spacing w:after="0" w:line="1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December 2018, we entered into a License and Collaboration Agreement with Amgen, or the Amgen Agreement, for the clinical development and commercialization of MP0310 / AMG 506. Under the terms of the Amgen Agreement, we granted to Amgen an exclusive worldwide, royalty-bearing, sublicensable license under our patents and know-how to develop and commercialize MP0310 / AMG 506. We retain the right to use our technology to perform our obligations under the Amgen Agreement and for all purposes not granted to Amgen, including certain rights to develop and commercialize our DARPin products in combination with MP0310 / AMG 506. MP0310 / AMG 506 is currently in Phase 1a clinical trials.</w:t>
      </w:r>
    </w:p>
    <w:p>
      <w:pPr>
        <w:spacing w:after="0" w:line="10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Under the Amgen Agreement, we and Amgen will jointly evaluate MP0310 / AMG 506 in combination with Amgen’s oncology pipeline products, including its investigational BiTE molecules. In accordance with a mutually agreed development plan, we will conduct the Phase 1a clinical trials and Amgen will be responsible for all subsequent development of MP0310 / AMG 506 after completion of the Phase 1a clinical trials. We and Amgen have established a joint steering committee to oversee the research, information sharing, and potential amendments of the research plan. Each party is responsible for development costs incurred by it until the beginning of Phase 2 clinical trial, after which point the parties will each contribute a fixed percentage of the development costs on the first three indications. Amgen is required to use commercially reasonable efforts to develop MP0310 / AMG 506 in combination with at least one of Amgen’s oncology pipeline products in certain major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the term of the Amgen Agreement, we cannot directly or through a third party develop, manufacture or commercialize any product that binds to or targets the same target as the licensed bispecific TCE, subject to certain exceptions and limitations for third party acquiror products.</w:t>
      </w:r>
    </w:p>
    <w:p>
      <w:pPr>
        <w:spacing w:after="0" w:line="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received a non-refundable upfront payment of $50 million. In addition, we are eligible to receive up to $497 million in development, regulatory and commercial milestone payments. We are also entitled to receive tiered royalties based on commercial sales levels from low double digit up to the high teens percentages of net sales of licensed products for a specified period beginning with the first commercial sale of such a licensed product in a given country of sale and expiring on the latest of the expiration of the last valid claim covering such product, ten years after such sale, and expiration of regulatory exclusivity.</w:t>
      </w:r>
    </w:p>
    <w:p>
      <w:pPr>
        <w:spacing w:after="0" w:line="12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Amgen Agreement expires on a country-by-country basis upon the expiration of Amgen’s payment obligations in such country. Amgen may terminate the Amgen Agreement in its entirety for convenience following a certain notice period. Either party may terminate the Amgen Agreement upon an uncured material breach of the agreement or insolvency of the other party following a certain notice period. Following any termination, we have certain rights to receive a license to certain intellectual property generated by Amgen under the Amgen Agreement for purposes of continued development and commercialization of MP0310 / AMG 506.</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Abicipar Agreement with Allergan, an AbbVie Company</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2011, we entered into a license and collaboration agreement with Allergan, or the Allergan Agreement. Under the Allergan Agreement, we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We retain the right to use our technology to perform our obligations under the license agreement, to conduct general research and discovery of DARPin compounds other than those licensed under the license agreement, and for all other uses not granted to Allergan.In addition, we granted Allergan a worldwide, perpetual, irrevocable, fully paid-up, royalty-free, exclusive, sublicensable license under certain joint inventions to make, use, sell, offer for sale and import certain compounds and products (other than DARPin compounds) outside of the field of ophthalmic diseases.</w:t>
      </w:r>
    </w:p>
    <w:p>
      <w:pPr>
        <w:spacing w:after="0" w:line="9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Allergan is responsible, at its expense, for developing and commercializing abicipar, and must use commercially reasonable efforts to develop, seek regulatory approval for, and commercialize abicipar in certain key countries, including the United States, several major European markets and Japan. Allergan is also solely responsible for manufacture of abicipar, following a manufacturing technology transfer by us to Allergan.</w:t>
      </w:r>
    </w:p>
    <w:p>
      <w:pPr>
        <w:spacing w:after="0" w:line="9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term of the Allergan Agreement, we are prohibited from developing and commercializing any abicipar in any indication, as well certain DARPin compounds that inhibit vascular endothelial growth factor A receptors.</w:t>
      </w:r>
    </w:p>
    <w:p>
      <w:pPr>
        <w:spacing w:after="0" w:line="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Allergan paid us an upfront license fee of $45 million in May 2011 and a regulatory milestone fee of $15 million upon the initiation of its Phase 3 clinical trials for nAMD in July 2015. We are also eligible to receive up to an additional $210 million upon the achievement of certain development and regulatory milestone events and $150 million upon the achievement of certain sales milestone events. In addition, we will receive a tiered royalty percentage ranging from the low to mid-teens on worldwide, aggregate annual net sales of abicipar for a specified period beginning with the first commercial sale of such a licensed product in a given country of sale and expiring on the latest of the expiration of the last valid claim covering such product, ten years after such sale, and expiration of regulatory exclusivity.</w:t>
      </w:r>
    </w:p>
    <w:p>
      <w:pPr>
        <w:spacing w:after="0" w:line="1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Allergan Agreement remains in effect on a product-by-product and country-by-country basis until the latest of (i) the expiration of the last-to-expire patent licensed in such country that would be infringed, absent a license, by the sale of such licensed product at the time of sale under the agreement, (ii) the expiration of regulatory exclusivity in such country, and (iii) the tenth anniversary of the first commercial sale of such licensed product in such country. Allergan may terminate the Allergan Agreement in its entirety for convenience following a certain notice period. We may terminate immediately the Allergan Agreement immediately upon written notice to Allergan if Allergan challenges the validity, enforceability or scope of any of the patents we license to Allergan under the agreement. Either party may terminate the agreement upon the other party’s uncured material breach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June 2020, Allergan announced that the U.S. Food and Drug Administration issued a Complete Response Letter to the Biologics License Application for abicipar. AbbVie is to determine appropriate next steps with relevant regulatory agencies.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Discovery Alliance Agreement with Allergan, an AbbVie Company</w:t>
      </w:r>
    </w:p>
    <w:p>
      <w:pPr>
        <w:spacing w:after="0" w:line="1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2012, we strategically expanded our existing relationship with Allergan by entering into an exclusive discovery alliance agreement, or the Discovery Alliance Agreement, under we and Allergan agreed to collaborate to design and develop DARPin products against selected targets that are implicated in causing diseases of the eye. We and Allergan amended the Discovery Alliance Agreement in June 2013, September 2014, August 2016 and December 2017.</w:t>
      </w:r>
    </w:p>
    <w:p>
      <w:pPr>
        <w:spacing w:after="0" w:line="11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granted Allergan three exclusive options to obtain an exclusive license under our patents and know-how to make, use, sell, offer for sale, and import products containing DARPin compounds directed against the applicable biological target for use with ophthalmological diseases. We also granted Allergan a non-exclusive license under our intellectual property as necessary for Allergan to conduct its activities under the Discovery Alliance Agreement during the research term in the field of ocular diseases. In February 2018, Allergan exercised its last of the three options. Upon execution of each option, Allergan is solely responsible for all downstream development, manufacturing, and commercialization activities, at its expense. Allergan must use commercially reasonable efforts to develop, seek regulatory approval for, and commercialize licensed products. We must use commercially reasonable efforts to perform our research activities under the Discovery Alliance Agreement.</w:t>
      </w:r>
    </w:p>
    <w:p>
      <w:pPr>
        <w:spacing w:after="0" w:line="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term of the Discovery Alliance Agreement, we may not make, use, sell, offer for sale, import or otherwise develop, manufacture, commercialize or exploit certain DARPin compounds that bind to collaboration targets or their isoforms in the field of ocular diseases, or any DARPin compound that binds VEGF-A.</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received a one-time, non-refundable and non-creditable upfront payment of $40 million and a further $1.5 million upfront payment in connection with a 2014 amendment to the Discovery Alliance Agreement, and Allergan agreed to pay us an option exercise fee of $10 million upon its exercise of further options. In July 2015, Allergan made an accelerated payment of $30 million for the exercise of these options. We are eligible to receive additional success-based payments, including up to $960 million in development, regulatory and sales milestones. In addition, Allergan pays us tiered royalties ranging from the mid-single digits to the low-double digits on worldwide annual net sales of licensed products beginning with the first commercial sale of a licensed product in a given country of sale and expiring on the latest of the expiration of the last valid claim covering such product, ten years after such sale, and expiration of regulatory exclusivity.</w:t>
      </w:r>
    </w:p>
    <w:p>
      <w:pPr>
        <w:spacing w:after="0" w:line="1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Discovery Alliance Agreement remains in effect on a product-by-product and country-by-country basis until the latest of (i) the expiration of the last-to-expire patent licensed in such country that would be infringed, absent a license, by the sale of such licensed product at the time of sale under the agreement, (ii) the expiration of regulatory exclusivity in such country and (iii) the tenth anniversary of the first commercial sale of such licensed product in such country. We may terminate immediately upon written notice to Allergan if Allergan challenges the validity, enforceability or scope of any of the patents we license to Allergan anywhere in the world. Either party may terminate the agreement upon the other party’s uncured material breach of the agreement.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License Agreement with the University of Zurich</w:t>
      </w:r>
    </w:p>
    <w:p>
      <w:pPr>
        <w:spacing w:after="0" w:line="15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hold an exclusive, worldwide license from the University of Zurich on patent applications and patents relating to the DARPin base technology. The majority of patents under this license agreement will expire in September 2021 and we have elected to terminate the agreement effective October 2021. We may seek a non-exclusive license from the University of Zurich for the single remaining U.S. patent that expires in 2023. However, we do not expect that an inability to enter into such a non-exclusive license for the remaining U.S. patent would have a material impact on our business.</w:t>
      </w:r>
    </w:p>
    <w:p>
      <w:pPr>
        <w:spacing w:after="0" w:line="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such license agreement remains in effect, we are required to pay the University of Zurich flat royalties of a low single digit percentage on net sales of licensed products, which vary based on the field in which the licensed product is commercialized. In addition, we are obligated to pay the University of Zurich a percentage of license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revenues it receives from sublicensing its rights to third parties in five tiers, ranging from the low single digits to the low teens, depending on the total amount of payments received for the particular sublicense granted. Finally, we are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mid-teens. To date we have paid the University of Zurich approximately CHF 10.9 million in various royalty and sublicense-based payments, including a minimum annual payments of at least CHF 50,000 per year.</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 and Product Approval</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 The process for obtaining regulatory marketing approvals and the subsequent compliance with appropriate federal, state, local and foreign statutes and regulations require the expenditure of substantial time and financial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Product Development Process</w:t>
      </w:r>
    </w:p>
    <w:p>
      <w:pPr>
        <w:spacing w:after="0" w:line="14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the FDA regulates pharmaceutical and biological products under the Federal Food, Drug and Cosmetic Act, or the FDCA, the Public Health Service Act, or the PHSA, and their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biological product may be marketed in the United States generally involves the following:</w:t>
      </w:r>
    </w:p>
    <w:p>
      <w:pPr>
        <w:spacing w:after="0" w:line="113" w:lineRule="exact"/>
        <w:rPr>
          <w:sz w:val="20"/>
          <w:szCs w:val="20"/>
          <w:color w:val="auto"/>
        </w:rPr>
      </w:pPr>
    </w:p>
    <w:p>
      <w:pPr>
        <w:ind w:left="340" w:right="380" w:hanging="332"/>
        <w:spacing w:after="0" w:line="27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157" w:lineRule="exact"/>
        <w:rPr>
          <w:rFonts w:ascii="Arial" w:cs="Arial" w:eastAsia="Arial" w:hAnsi="Arial"/>
          <w:sz w:val="18"/>
          <w:szCs w:val="18"/>
          <w:color w:val="auto"/>
        </w:rPr>
      </w:pPr>
    </w:p>
    <w:p>
      <w:pPr>
        <w:ind w:left="340" w:right="100" w:hanging="332"/>
        <w:spacing w:after="0" w:line="263"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practices, or GCPs, and any additional requirements for the protection of human research patients and their health information, to establish the safety and efficacy of the proposed biological product for its intended use;</w:t>
      </w:r>
    </w:p>
    <w:p>
      <w:pPr>
        <w:spacing w:after="0" w:line="116"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 Biologics Licensing Application, or BLA, for marketing approval that includes substantial evidence of safety, purity, and potency from results of nonclinical testing and clinical trials;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0" w:lineRule="exact"/>
        <w:rPr>
          <w:sz w:val="20"/>
          <w:szCs w:val="20"/>
          <w:color w:val="auto"/>
        </w:rPr>
      </w:pPr>
    </w:p>
    <w:p>
      <w:pPr>
        <w:ind w:left="340" w:right="100" w:hanging="332"/>
        <w:spacing w:after="0" w:line="342"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42" w:lineRule="exact"/>
        <w:rPr>
          <w:rFonts w:ascii="Arial" w:cs="Arial" w:eastAsia="Arial" w:hAnsi="Arial"/>
          <w:sz w:val="16"/>
          <w:szCs w:val="16"/>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potential FDA audit of the nonclinical study and clinical trial sites that generated the data in support of the BLA;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9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involve the administration of the biological product candidate to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patients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58" w:lineRule="exact"/>
        <w:rPr>
          <w:sz w:val="20"/>
          <w:szCs w:val="20"/>
          <w:color w:val="auto"/>
        </w:rPr>
      </w:pPr>
    </w:p>
    <w:p>
      <w:pPr>
        <w:ind w:left="340" w:right="20" w:hanging="332"/>
        <w:spacing w:after="0" w:line="263"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102" w:lineRule="exact"/>
        <w:rPr>
          <w:rFonts w:ascii="Arial" w:cs="Arial" w:eastAsia="Arial" w:hAnsi="Arial"/>
          <w:sz w:val="18"/>
          <w:szCs w:val="18"/>
          <w:color w:val="auto"/>
        </w:rPr>
      </w:pPr>
    </w:p>
    <w:p>
      <w:pPr>
        <w:ind w:left="340" w:right="560" w:hanging="332"/>
        <w:spacing w:after="0" w:line="342" w:lineRule="auto"/>
        <w:tabs>
          <w:tab w:leader="none" w:pos="33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 The biological product is evaluated in a limited patient population to identify possible adverse effects and safety risks, to preliminarily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efficacy of the product for specific targeted diseases and to determine dosage tolerance, optimal dosage and dosing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30" w:lineRule="exact"/>
        <w:rPr>
          <w:sz w:val="20"/>
          <w:szCs w:val="20"/>
          <w:color w:val="auto"/>
        </w:rPr>
      </w:pPr>
    </w:p>
    <w:p>
      <w:pPr>
        <w:ind w:left="340" w:right="160" w:hanging="332"/>
        <w:spacing w:after="0" w:line="263" w:lineRule="auto"/>
        <w:tabs>
          <w:tab w:leader="none" w:pos="335"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trial sites. These clinical trials are intended to establish the overall risk to benefit ratio of the product and provide an adequate basis for product labeling.</w:t>
      </w:r>
    </w:p>
    <w:p>
      <w:pPr>
        <w:spacing w:after="0" w:line="10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testing that suggest a significant risk for human patients, or any clinically important increase in the rate of a serious suspected adverse reaction over</w:t>
      </w:r>
      <w:r>
        <w:rPr>
          <w:rFonts w:ascii="Arial" w:cs="Arial" w:eastAsia="Arial" w:hAnsi="Arial"/>
          <w:sz w:val="16"/>
          <w:szCs w:val="16"/>
          <w:i w:val="1"/>
          <w:iCs w:val="1"/>
          <w:color w:val="auto"/>
        </w:rPr>
        <w:t xml:space="preserve"> </w:t>
      </w:r>
      <w:r>
        <w:rPr>
          <w:rFonts w:ascii="Arial" w:cs="Arial" w:eastAsia="Arial" w:hAnsi="Arial"/>
          <w:sz w:val="16"/>
          <w:szCs w:val="16"/>
          <w:color w:val="auto"/>
        </w:rPr>
        <w:t>that listed in the protocol or investigator brochure.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patients are being exposed to an unacceptable health risk, including risks inferred from other unrelated immunotherapy trials.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0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14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biological product. The BLA submission must include results of product development, laboratory and animal studies, human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Prescription Drug User Fee Act, or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a REMS is needed, the sponsor of the BLA must submit a proposed REMS. The FDA will not approve a BLA without a REMS, if required.</w:t>
      </w:r>
    </w:p>
    <w:p>
      <w:pPr>
        <w:spacing w:after="0" w:line="11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 or indications.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5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a physician may prescribe a legally available product for an off-label use, if the physician deems such product to be appropriate in his/her professional medical judgment, a manufacturer may not market or promote off-label uses.Violations,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40" w:right="359" w:bottom="1440" w:gutter="0" w:footer="0" w:header="0"/>
        </w:sectPr>
      </w:pPr>
    </w:p>
    <w:bookmarkStart w:id="155" w:name="page156"/>
    <w:bookmarkEnd w:id="155"/>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actual or alleged promotion of products for unapproved or off-label uses, are subject to enforcement letters, inquiries and investigations, and civil and criminal sanctions by the FDA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 Discovery of problems with a product after approval may result in restrictions on a product, manufacturer, or holder of an approved BLA, including, among other things, recall or withdrawal of the product from the market. Other potential consequences include, among other things:</w:t>
      </w:r>
    </w:p>
    <w:p>
      <w:pPr>
        <w:spacing w:after="0" w:line="101"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fines, warning letters, untitled letters, or clinical holds;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product approvals;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adverse publicity, FDA mandated corrective advertising or communications with doctors;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Marketing Exclusivity</w:t>
      </w:r>
    </w:p>
    <w:p>
      <w:pPr>
        <w:spacing w:after="0" w:line="14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Biologics Price Competition and Innovation Act, or BPCIA, amended the PHSA to authorize the FDA to approve similar versions of innovative biologics, commonly known as biosimilars. A competitor seeking approval of a biosimilar must file an application to establish its molecule as highly similar to an approved innovator biologic, among other requirements. The BPCIA, however, bars the FDA from approving biosimilar applications referencing that biologic for 12 years after an innovator biological product receives initial marketing approval.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320" w:top="1440" w:right="379" w:bottom="1440" w:gutter="0" w:footer="0" w:header="0"/>
        </w:sectPr>
      </w:pPr>
    </w:p>
    <w:bookmarkStart w:id="156" w:name="page157"/>
    <w:bookmarkEnd w:id="156"/>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Laws</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biopharmaceutical company’s operations may be directly, or indirectly through relationships with healthcare providers, healthcare institutions, patients, customers and third-party payors, subject to various federal and state healthcare laws and regulations. These laws impact, among other things, sales, marketing and education programs and may constrain business and financial arrangements and relationships with third-party payors, healthcare professionals and healthcare institutions who participate in a biopharmaceutical company’s clinical research programs, healthcare professionals and others who recommend, purchase, or provide a biopharmaceutical company’s approved drug products, and other parties through which it markets, sells and distributes its approved drug products. In addition, a biopharmaceutical company may be subject to patient data privacy and security regulation by both the federal government and the states in which it conducts its business. The laws that may affect a biopharmaceutical company’s ability to operate include:</w:t>
      </w:r>
    </w:p>
    <w:p>
      <w:pPr>
        <w:spacing w:after="0" w:line="99" w:lineRule="exact"/>
        <w:rPr>
          <w:sz w:val="20"/>
          <w:szCs w:val="20"/>
          <w:color w:val="auto"/>
        </w:rPr>
      </w:pPr>
    </w:p>
    <w:p>
      <w:pPr>
        <w:ind w:left="340" w:right="80" w:hanging="332"/>
        <w:spacing w:after="0" w:line="279"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individuals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w:t>
      </w:r>
    </w:p>
    <w:p>
      <w:pPr>
        <w:spacing w:after="0" w:line="103" w:lineRule="exact"/>
        <w:rPr>
          <w:rFonts w:ascii="Arial" w:cs="Arial" w:eastAsia="Arial" w:hAnsi="Arial"/>
          <w:sz w:val="17"/>
          <w:szCs w:val="17"/>
          <w:color w:val="auto"/>
        </w:rPr>
      </w:pPr>
    </w:p>
    <w:p>
      <w:pPr>
        <w:ind w:left="340" w:right="120" w:hanging="332"/>
        <w:spacing w:after="0" w:line="25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civil False Claims Act (which can be enforced through "qui tam," or whistleblower actions, by private citizens on behalf of the federal government), and the federal civil monetary penalties law, which prohibit, among other things, individuals or entities from knowingly presenting, or causing to be presented, to the federal government, claims for payment or approval that are false or fraudulent or for knowingly making a false statement to avoid, decrease or conceal an obligation to pay money to the federal government;</w:t>
      </w:r>
    </w:p>
    <w:p>
      <w:pPr>
        <w:spacing w:after="0" w:line="106" w:lineRule="exact"/>
        <w:rPr>
          <w:rFonts w:ascii="Arial" w:cs="Arial" w:eastAsia="Arial" w:hAnsi="Arial"/>
          <w:sz w:val="18"/>
          <w:szCs w:val="18"/>
          <w:color w:val="auto"/>
        </w:rPr>
      </w:pPr>
    </w:p>
    <w:p>
      <w:pPr>
        <w:ind w:left="340" w:right="40" w:hanging="332"/>
        <w:spacing w:after="0" w:line="311" w:lineRule="auto"/>
        <w:tabs>
          <w:tab w:leader="none" w:pos="33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81"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and as amended again by the Final HIPAA Omnibus Rule, published in January 2013, which imposes certain obligations, including mandatory contractual terms, with respect to safeguarding the privacy, security and transmission of individually identifiable health information without appropriate authorization on certain health plans, healthcare clearinghouses and healthcare providers, known as covered entities, as well as their business associates that perform certain services involving the use, disclosure or transmission of individually identifiable health information for or on behalf of a covered entity, and their covered subcontractors;</w:t>
      </w:r>
    </w:p>
    <w:p>
      <w:pPr>
        <w:spacing w:after="0" w:line="124" w:lineRule="exact"/>
        <w:rPr>
          <w:rFonts w:ascii="Arial" w:cs="Arial" w:eastAsia="Arial" w:hAnsi="Arial"/>
          <w:sz w:val="18"/>
          <w:szCs w:val="18"/>
          <w:color w:val="auto"/>
        </w:rPr>
      </w:pPr>
    </w:p>
    <w:p>
      <w:pPr>
        <w:ind w:left="340" w:right="520" w:hanging="332"/>
        <w:spacing w:after="0" w:line="277"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89" w:lineRule="exact"/>
        <w:rPr>
          <w:rFonts w:ascii="Arial" w:cs="Arial" w:eastAsia="Arial" w:hAnsi="Arial"/>
          <w:sz w:val="18"/>
          <w:szCs w:val="18"/>
          <w:color w:val="auto"/>
        </w:rPr>
      </w:pPr>
    </w:p>
    <w:p>
      <w:pPr>
        <w:ind w:left="340" w:right="240" w:hanging="332"/>
        <w:spacing w:after="0" w:line="271"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federal physician payment transparency legislation commonly referred to as the Physician Payments Sunshine Act, and its implementing regulations, which requires certain manufacturers of drugs, devices, biologics and medical supplies (with certain exceptions) that are reimbursable under Medicare, Medicaid, or the Children's Health Insurance Program to report annually to the Centers for Medicare &amp; Medicaid, or CMS, information related to certain payments and other transfers of value to physicians (defined to include doctors, dentists, optometrists, podiatrists and chiropractors) and teaching hospitals, as well as ownership and investment interests held by physicians and their immediate family members, and, beginning in 2022, will require applicable manufacturers to report information regarding payments and other transfers of value provided in the previous year to physician assistants, nurse practitioners, clinical nurse specialists, certified registered nurse anesthetists, anesthesiologist assistants, and certified nurse midwives;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30" w:lineRule="exact"/>
        <w:rPr>
          <w:sz w:val="20"/>
          <w:szCs w:val="20"/>
          <w:color w:val="auto"/>
        </w:rPr>
      </w:pPr>
    </w:p>
    <w:p>
      <w:pPr>
        <w:ind w:left="340" w:right="20" w:hanging="332"/>
        <w:spacing w:after="0" w:line="270" w:lineRule="auto"/>
        <w:tabs>
          <w:tab w:leader="none" w:pos="3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It is possible that governmental authorities will conclude that a biopharmaceutical company’s business practices do not comply with current or future statutes, regulations or case law involving applicable fraud and abuse or other healthcare laws and regulations. If a biopharmaceutical company’s operations are found to be in violation of any of these laws or any other governmental regulations that may apply to it, it may be subject to significant civil, criminal and administrative penalties, damages, fines, disgorgement, imprisonment, exclusion from participation in government funded healthcare programs, such as Medicare and Medicaid, additional reporting requirements and oversight if subject to a corporate integrity agreement or similar agreement to resolve allegations of non-compliance with these laws, reputational harm and the curtailment or restructuring of operations.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of being found in violation of these laws is increased by the fact that many of them have not been fully interpreted by the regulatory authorities or the courts, and their provisions are open to a variety of interpretations. For example, the definition of "remuneration" under the federal Anti-Kickback Statute has been interpreted to include anything of value. Further, courts have found that if "one purpose" of remuneration is to induce referrals, the federal Anti-Kickback Statute is violated.</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Additionally, recent healthcare reform legislation has strengthened federal and state healthcare fraud and abuse laws. For example, the Patient Protection and Affordable Care Act, as amended by the Health Care and Education Reconciliation Act of 2010, or collectively the ACA, amends the intent requirement of the federal Anti-Kickback Statute and criminal healthcare fraud statutes to clarify that liability under these statutes does not require a person or entity to have actual knowledge of the statutes or a specific intent to violate them in order to have committed a violation. Moreover, the ACA provides that the government may assert that a claim that includes items or services resulting from a violation of the federal Anti-Kickback Statute constitutes a false or fraudulent claim for purposes of the civil False Claims Act. Because of the breadth of these laws and the narrowness of the statutory exceptions and regulatory safe harbors available, it is possible that some of a biopharmaceutical company’s business activities could be subject to challenge under one or more of such laws.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Healthcare Reform</w:t>
      </w:r>
    </w:p>
    <w:p>
      <w:pPr>
        <w:spacing w:after="0" w:line="15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United States, there have been a number of legislative and regulatory changes at the federal and state levels which seek to reduce healthcare costs and improve the quality of healthcare. For example, in March 2010,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biopharmaceutical companies are the following:</w:t>
      </w:r>
    </w:p>
    <w:p>
      <w:pPr>
        <w:spacing w:after="0" w:line="144" w:lineRule="exact"/>
        <w:rPr>
          <w:sz w:val="20"/>
          <w:szCs w:val="20"/>
          <w:color w:val="auto"/>
        </w:rPr>
      </w:pPr>
    </w:p>
    <w:p>
      <w:pPr>
        <w:ind w:left="340" w:right="40" w:hanging="332"/>
        <w:spacing w:after="0" w:line="263"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0" w:lineRule="exact"/>
        <w:rPr>
          <w:sz w:val="20"/>
          <w:szCs w:val="20"/>
          <w:color w:val="auto"/>
        </w:rPr>
      </w:pPr>
    </w:p>
    <w:p>
      <w:pPr>
        <w:ind w:left="340" w:right="160" w:hanging="332"/>
        <w:spacing w:after="0" w:line="308" w:lineRule="auto"/>
        <w:tabs>
          <w:tab w:leader="none" w:pos="335"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5" w:lineRule="exact"/>
        <w:rPr>
          <w:rFonts w:ascii="Arial" w:cs="Arial" w:eastAsia="Arial" w:hAnsi="Arial"/>
          <w:sz w:val="17"/>
          <w:szCs w:val="17"/>
          <w:color w:val="auto"/>
        </w:rPr>
      </w:pPr>
    </w:p>
    <w:p>
      <w:pPr>
        <w:ind w:left="340" w:right="60" w:hanging="332"/>
        <w:spacing w:after="0" w:line="286" w:lineRule="auto"/>
        <w:tabs>
          <w:tab w:leader="none" w:pos="335"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97" w:lineRule="exact"/>
        <w:rPr>
          <w:rFonts w:ascii="Arial" w:cs="Arial" w:eastAsia="Arial" w:hAnsi="Arial"/>
          <w:sz w:val="17"/>
          <w:szCs w:val="17"/>
          <w:color w:val="auto"/>
        </w:rPr>
      </w:pPr>
    </w:p>
    <w:p>
      <w:pPr>
        <w:ind w:left="340" w:right="240" w:hanging="332"/>
        <w:spacing w:after="0" w:line="277"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products that are inhaled, infused, instilled, implanted or injected;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expanding the types of entities eligible for the 340B drug discount program;</w:t>
      </w:r>
    </w:p>
    <w:p>
      <w:pPr>
        <w:spacing w:after="0" w:line="144" w:lineRule="exact"/>
        <w:rPr>
          <w:rFonts w:ascii="Arial" w:cs="Arial" w:eastAsia="Arial" w:hAnsi="Arial"/>
          <w:sz w:val="18"/>
          <w:szCs w:val="18"/>
          <w:color w:val="auto"/>
        </w:rPr>
      </w:pPr>
    </w:p>
    <w:p>
      <w:pPr>
        <w:ind w:left="340" w:right="200" w:hanging="332"/>
        <w:spacing w:after="0" w:line="263"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establishing the Medicare Part D coverage gap discount program, which requires manufacturers to now provide a 70% point-of-sale-discount off the negotiated price of applicable products to eligible beneficiaries during their coverage gap period as a condition for the manufacturers' outpatient products to be covered under Medicare Part 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57" w:lineRule="exact"/>
        <w:rPr>
          <w:rFonts w:ascii="Arial" w:cs="Arial" w:eastAsia="Arial" w:hAnsi="Arial"/>
          <w:sz w:val="18"/>
          <w:szCs w:val="18"/>
          <w:color w:val="auto"/>
        </w:rPr>
      </w:pPr>
    </w:p>
    <w:p>
      <w:pPr>
        <w:ind w:left="340" w:right="220" w:hanging="332"/>
        <w:spacing w:after="0" w:line="277"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340" w:right="440" w:hanging="332"/>
        <w:spacing w:after="0" w:line="277"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within CMS, to test innovative payment and service delivery models to lower Medicare and Medicaid spending, potentially including prescription product spending.</w:t>
      </w:r>
    </w:p>
    <w:p>
      <w:pPr>
        <w:spacing w:after="0" w:line="10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or the BBA, among other things, amended the ACA, effective January 1, 2019,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unknown when a decision will be made. Further,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0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320" w:top="1440" w:right="379" w:bottom="1440" w:gutter="0" w:footer="0" w:header="0"/>
        </w:sectPr>
      </w:pPr>
    </w:p>
    <w:bookmarkStart w:id="159" w:name="page160"/>
    <w:bookmarkEnd w:id="159"/>
    <w:p>
      <w:pPr>
        <w:spacing w:after="0" w:line="13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2021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Further, there has also been heightened governmental scrutiny over the manner in which manufacturers set prices for their marketed products. Specifically, there have been several recent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also possible that additional governmental action will be taken in response to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in the European Union</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Clinical trials of medicinal products in the European Union must be conducted in accordance with European Union and national regulations and the international council for harmonization, or ICH, guidelines on GCP. Additional GCP guidelines from the EC, focusing in particular on traceability, apply to clinical trials of advanced therapy medicinal products. The sponsor must take out a clinical trial insurance policy, and in most European Union countries, the sponsor is liable to provide “no fault” compensation to any study subject injured in the clinical trial.</w:t>
      </w:r>
    </w:p>
    <w:p>
      <w:pPr>
        <w:spacing w:after="0" w:line="10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 Currently, clinical trial authorization applications must be submitted to the competent authority in each European Union Member State in which the trial will be conducted. Under the new Regulation on Clinical Trials, which is expected to take effect in 2021,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notified to or approved by the relevant competent authorities and ethics committees.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 Medicines used in clinical trials must be manufactured in accordance with cGMP.</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development of a medicinal product the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Authorizations in the European Union</w:t>
      </w:r>
    </w:p>
    <w:p>
      <w:pPr>
        <w:spacing w:after="0" w:line="15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order to market a new medicinal product in the European Union, a company must submit a marketing authorization application, or MAA, to either the EMA using the centralized procedure, or competent authorities in European Union Member States using the other procedures (decentralized procedure, national procedure, or mutual recognition procedure). A marketing authorization, or MA may only be granted to an applicant established in the European Union, or Norway, Iceland, and Liechtenstein, who are members of the European Economic Area, or European Economic Area. Medicinal products can only be commercialized after obtaining an MA pursuant to one of the three processes outlined below:</w:t>
      </w:r>
    </w:p>
    <w:p>
      <w:pPr>
        <w:spacing w:after="0" w:line="95" w:lineRule="exact"/>
        <w:rPr>
          <w:sz w:val="20"/>
          <w:szCs w:val="20"/>
          <w:color w:val="auto"/>
        </w:rPr>
      </w:pPr>
    </w:p>
    <w:p>
      <w:pPr>
        <w:ind w:left="340" w:hanging="332"/>
        <w:spacing w:after="0" w:line="271" w:lineRule="auto"/>
        <w:tabs>
          <w:tab w:leader="none" w:pos="335"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Centralized MA, which is issued by the European Commission through the Centralized Procedure, based on the scientific opinion of the Committee for Medicinal Products for Human Use of the EMA, and which is valid throughout the entire territory of the European Union/European Economic Area.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Union/European Economic Area, or for products that constitute a significant therapeutic, scientific or technical innovation or which are in the interest of public health in the European Union.</w:t>
      </w:r>
    </w:p>
    <w:p>
      <w:pPr>
        <w:spacing w:after="0" w:line="110" w:lineRule="exact"/>
        <w:rPr>
          <w:rFonts w:ascii="Arial" w:cs="Arial" w:eastAsia="Arial" w:hAnsi="Arial"/>
          <w:sz w:val="17"/>
          <w:szCs w:val="17"/>
          <w:color w:val="auto"/>
        </w:rPr>
      </w:pPr>
    </w:p>
    <w:p>
      <w:pPr>
        <w:ind w:left="340" w:right="100" w:hanging="332"/>
        <w:spacing w:after="0" w:line="287" w:lineRule="auto"/>
        <w:tabs>
          <w:tab w:leader="none" w:pos="3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Decentralized Procedure MAs are available for products not falling within the mandatory scope of the Centralized Procedure. An identical dossier is submitted to the competent authorities of each of the Member States in which the MA is sought, one of which is selected by the applicant as the Reference Member State, or RMS, to lead the evaluation of the regulatory submission. The competent authority of the RMS prepares a draft assessment report, a draft summary of the product characteristics, or SmPC, and a draft of the labeling and package leaflet as distilled from the preliminary evaluation, which are sent to the other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Each Member State concerned by the procedure is required to adopt a national decision to grant a national MA in conformity with the approved assessment report, SmPC and the labeling and package leaflet as approved. Where a product has already been authorized for marketing in a Member State of the European Economic Area, the granted national MA can be used for mutual recognition in other Member States through the Mutual Recognition Procedure, or MRP, resulting in progressive national approval of the product in the European Union/European Economic Area.</w:t>
      </w:r>
    </w:p>
    <w:p>
      <w:pPr>
        <w:spacing w:after="0" w:line="104" w:lineRule="exact"/>
        <w:rPr>
          <w:rFonts w:ascii="Arial" w:cs="Arial" w:eastAsia="Arial" w:hAnsi="Arial"/>
          <w:sz w:val="16"/>
          <w:szCs w:val="16"/>
          <w:color w:val="auto"/>
        </w:rPr>
      </w:pPr>
    </w:p>
    <w:p>
      <w:pPr>
        <w:ind w:left="340" w:right="60" w:hanging="332"/>
        <w:spacing w:after="0" w:line="259"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National MAs, which are issued by a single competent authority of the Member States of the European Economic Area and only covers their respective territory, are also available for products not falling within the mandatory scope of the Centralized Procedure. Once a product has been authorized for marketing in a Member State of the European Economic Area through the National Procedure, this National MA can also be recognized in other Member States through the Mutual Recognition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Under the procedures described above, before granting the MA, the EMA or the competent authority(ies) of the Member State(s) of the European Economic Area prepare an assessment of the risk-benefit balance of the product against the scientific criteria concerning its quality, safety and efficacy.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Exclusivity in the European Union</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Regulation (EC) No 726/2004/EC and Directive 2001/83/EC (each as amended), the European Union has adopted a harmonized approach to data and market protection or exclusivity (known as the 8 + 2 + 1 formula). The data exclusivity period begins to run on the date when the first MA is granted in the European Union. It confers on the MA holder of the reference medicinal product eight years of data exclusivity and ten years of market exclusivity. A reference medicinal product is defined to mean a medicinal product authorized based on a full dossier consisting of pharmaceutical and preclinical testing results and clinical trial data, such as a medicinal product containing a new active substance. The ten-year market protection can be extended cumulatively to a maximum period of eleven years if during the first eight years of those ten years of protection period, the MA holder obtains an authorization for one or more new therapeutic indications that are deemed to bring a significant clinical benefit compared to existing therapies.</w:t>
      </w:r>
    </w:p>
    <w:p>
      <w:pPr>
        <w:spacing w:after="0" w:line="9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exclusivity period means that an applicant for a generic medicinal product is not permitted to rely on preclinical pharmacological, toxicological, and clinical data contained in the file of the reference medicinal product of the originator until the first eight years of data exclusivity have expired. Thereafter, a generic product application may be submitted and generic companies may rely on the preclinical and clinical data relating to the reference medicinal product to support approval of the generic product. However, a generic product cannot market until ten years have elapsed from the initial authorization of the reference medicinal product or eleven years if the protection period is extended, based on the formula of 8+2+1.</w:t>
      </w:r>
    </w:p>
    <w:p>
      <w:pPr>
        <w:spacing w:after="0" w:line="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to the above, where an application is made for a new indication for a well-established substance, a non-cumulative period of one year of data exclusivity may be granted, provided that significant preclinical or clinical studies were carried out in relation to the new indication. Finally, where a change of classification of a medicinal product has been authorized on the basis of significant preclinical tests or clinical trials, the competent authority shall not refer to the results of those tests or trials when examining an application by another applicant for or holder of marketing authorization for a change of classification of the same substance for one year after the initial change was authorized.</w:t>
      </w:r>
    </w:p>
    <w:p>
      <w:pPr>
        <w:spacing w:after="0" w:line="10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8 + 2 + 1 exclusivity scheme applies to products that have been authorized in the European Union by the European Commission through the Centralized Procedure or the competent authorities of the Member States of the European Economic Area nationally, including through the Decentralized and Mutual Recognition procedures.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a medicinal product which has received orphan designation under Regulation 141/2000, it will, benefit from a period of ten years of orphan market exclusivity which essentially constitutes a period of market monopoly. During this period of orphan market exclusivity, no European Union regulatory authority is permitted to accept or approve an application for marketing authorization for a similar medicinal product or an extension application for the same therapeutic indication. This period can be extended cumulatively to a total of twelve years if the marketing authorization holder or applicant complies with the requirements for an agreed pediatric investigation plan pursuant to Regulation 1901/2006.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Authorization Obligations in the European Union</w:t>
      </w:r>
    </w:p>
    <w:p>
      <w:pPr>
        <w:spacing w:after="0" w:line="15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holder of a Centralized MA or National MA is subject to various obligations under the applicable European Union laws, such as pharmacovigilance obligations, requiring it to, among other things, report and maintain detailed records of adverse reactions, and to submit periodic safety update reports, or PSURs, to the competent authorities. All new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13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limited redactions.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The holder must also ensure that the manufacturing and batch release of its product is in compliance with the applicable requirements. The MA holder is further obligated to ensure that the advertising and promotion of its products complies with applicable European Union laws and industry code of practice as implemented in the domestic laws of the Member States of the European Union/European Economic Area. The advertising and promotional rules are enforced nationally by the European Union/European Economic Area Member States.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 in the European Union</w:t>
      </w:r>
    </w:p>
    <w:p>
      <w:pPr>
        <w:spacing w:after="0" w:line="1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European Union, companies developing a new medicinal product must agree to a Pediatric Investigation Plan, or PIP, with the EMA and must conduct pediatric clinical trials in accordance with that PIP, unless a deferral or waiver applies, (e.g., because the relevant disease or condition occurs only in adults). The marketing authorization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PIP are developed and submitted.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 in the European Union</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Governments influence the price of medicinal products in the European Union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medicines, but monitor and control company profits. The downward pressure on healthcare costs in general, particularly prescription medicines, has become very intense. As a result, increasingly high barriers are being erected to the entry of new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23, 2016, the electorate in the United Kingdom voted in favor of Brexit and the United Kingdom officially withdrew from the European Union on January 31, 2020. Pursuant to the formal withdrawal arrangements agreed between the United Kingdom and the European Union, the United Kingdom was subject to a transition period until December 31, 2020, during which European Union rules continued to apply. A trade and cooperation agreement, or the Trade and Cooperation Agreement, which outlines the future trading relationship between the United Kingdom and the European Union was agreed in December 2020.</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Great Britain is no longer covered by the European Union’s procedures for the grant of marketing authorizations (Northern Ireland is covered by the centralized authorization procedure and can be covered under the decentralized or mutual recognition procedures). A separate marketing authorization will be required to market drugs in Great Britain. For two years from 1 January 2021, the Medicines and Healthcare products Regulatory Agency, or MHRA, may adopt decisions taken by the European Commission on the approval of new marketing authorizations through the centralized procedure, and the MHRA will have regard to marketing authorizations approved in a country in the European Economic Area (although in both cases a marketing authorization will only be granted if any Great Britain-specific requirements are met). Various national procedures are now available to place a drug on the market in the United Kingdom, Great Britain, or Northern Ireland, with the main national procedure having a maximum timeframe of 150 days (excluding time taken to provide any further information or data required). The data exclusivity periods in the United Kingdom are currently in line with those in the European Union, but the Trade and Cooperation Agreement provides that the periods for both data and market exclusivity are to be determined by domestic law, and so there could be divergence in the future. It is currently unclear whether the MHRA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Kingdom is sufficiently prepared to handle the increased volume of marketing authorization applications that it is likely to receive.</w:t>
      </w:r>
    </w:p>
    <w:p>
      <w:pPr>
        <w:spacing w:after="0" w:line="14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Orphan designation in Great Britain following Brexit is essentially identical to the position in the European Union, but is based on the prevalence of the condition in Great Britain. It is therefore possible that conditions that are currently designated as orphan conditions in Great Britain will no longer be and that conditions that are not currently designated as orphan conditions in the European Union will be designated as such in Great Britain.</w:t>
      </w:r>
    </w:p>
    <w:p>
      <w:pPr>
        <w:spacing w:after="0" w:line="81"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European Union’s regulatory environment for clinical trials is being harmonized as part of the Clinical Trial Regulations, which are due to enter into full effect at the end of 2021, but it is currently unclear as to what extent the United Kingdom will seek to align its regulations with the European Union.</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Coverage and Reimbursement</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availability of coverage and adequate reimbursement by third-party payors, including governmental healthcare programs such as Medicare and Medicaid, private health insurers and managed care organizations, is essential for most patients to be able to afford drug products. Achieving acceptable levels of coverage and reimbursement for drug products by third-party payors affects a biopharmaceutical company’s ability to successfully commercialize, and attract collaboration partners to invest in, the development its drug products. Even if coverage is obtained from a third-party payor for a given drug product, the resulting reimbursement rates may not be adequate or may require co-payments that patients find unacceptably high. There is no guarantee that coverage and reimbursement will be provided for a given drug product, and any reimbursement that may become available can be decreased or eliminated in the future.</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Third-party payors are increasingly challenging prices charged for drug products and services, and many third-party payors may refuse to provide coverage and reimbursement for particular drug products when an equivalent generic drug product or a less expensive therapy is available. It is possible that a third-party payor may consider a drug product and other therapies as substitutable and only offer to reimburse patients for the less expensive drug product or therapy. Even if a drug product shows improved efficacy or improved convenience of administration, pricing of existing drug products may limit the amount that can be charged for a new drug product. Third-party payors may deny or revoke the reimbursement status of a given drug product or establish prices for new or existing marketed drug products at levels that are too low to enable a biopharmaceutical company to realize an appropriate return on its investment in drug product development.</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drug products. In the United States, third-party payors play an important role in determining the extent to which new drugs products will be covered. The Medicare and Medicaid programs increasingly are used as models for how private payors and other governmental payors develop their coverage and reimbursement policies for drug products. Some third-party payors may require pre-approval of coverage for new or innovative devices or drug products before they will reimburse health care providers who use such therapies.</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requires the provision of scientific and clinical support for the use of a drug product to each payor separately. Furthermore, rules and regulations regarding reimbursement change frequently and, in some cases, upon short notice.</w:t>
      </w:r>
    </w:p>
    <w:p>
      <w:pPr>
        <w:spacing w:after="0" w:line="12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Increasing emphasis on cost-containment initiatives in Europe, Canada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countries puts pressure on the pricing and usage of drug products. In many countries, the prices of drug products are subject to varying price control mechanisms as part of national health systems. Other countries allow companies to fix their own prices for drug products, but monitor and control company profits.</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drug products, is almost exclusively a matter for national, rather than European Union, law and policy. National governments and health service providers have different priorities and approaches to the delivery of healthcare and the pricing and reimbursement of drug products in that context. In general, however, the healthcare budgetary constraints in most European Union member states have resulted in restrictions on the pricing and reimbursement of drug products by relevant health service providers.</w:t>
      </w:r>
    </w:p>
    <w:p>
      <w:pPr>
        <w:spacing w:after="0" w:line="12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Increasing efforts by governmental and third-party payors in the European Union, the United States and abroad to cap or reduce healthcare costs can cause such organizations to limit coverage and reimbursement for drug products. Additionally, a trend toward managed healthcare, and the influence of health maintenance organizations, have increased pricing pressure on the sale of drug products. The downward pressure on healthcare costs in general, particularly prescription drugs and surgical procedures and other treatments, has become very intense.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compete in a highly innovative industry characterized by a rapidly growing understanding of disease biology, evolving technologies and strong intellectual property barriers to entry. While we believe that our DARPin platform and product candidates, strategic collaborations and scientific expertise may provide us with competitive advantages, our business may be impacted competitively from many different sources. We compete with a wide range of pharmaceutical companies, biotechnology companies, academic institutions and other research organizations for novel therapeutic antibody targets, new technologies for optimizing antibodies, talent, financial resources, intellectual property rights and collaboration opportunities. Many of our competitors and potential competitors have substantially greater scientific, research and product development capabilities, and greater financial, manufacturing, marketing and sales and human resources than we do. In addition, there is intense competition for establishing clinical trial sites and recruiting and registering patients for clinical trials. Many specialized biotechnology companies have formed collaborations with large, established companies to support the research, development and commercialization of products that may be competitive with ours. Accordingly, our competitors may be more successful than we may be in developing, commercializing and achieving widespread market acceptance.</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Regarding ensovibep and MP0423, our COVID-19 antiviral product candidates, there are a number of preventative vaccines in development for COVID-19, with three receiving an Emergency Use Authorization to date. However, as, in our view, vaccine coverage and efficacy will be less than 100%, we believe there will remain a need for therapeutic intervention for COVID-19 patients. There are hundreds of clinical trials examining various methods of treating COVID-19. To date, only a small number of these trials have resulted in data positive enough for regulators to approve therapeutics on either an emergency use or permanent basis. Therapeutics receiving Emergency Use Authorization for the treatment of COVID-19 patients include co-administration of casirivimab and imdevimab from Regeneron Pharmaceuticals, Inc., baricitinib (in combination with remdesivir), and bamlanivimab from Eli Lilly, and remdesivir from Gilead Sciences, Inc.</w:t>
      </w:r>
    </w:p>
    <w:p>
      <w:pPr>
        <w:spacing w:after="0" w:line="12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Competition in the oncology space is intense, with several common methods of treatment for patients with cancer, including surgery, radiation and drug therapy, and approved drugs that are well established therapies widely accepted by physicians, patients and third party payers. In addition, companies focused on immunotherapies, such as checkpoint inhibitors, seek to differentiate their immuno-oncology products either by identifying novel immune checkpoint targets or by combining established immune checkpoint inhibitors. If approved, either of MP0310 or MP0317 would compete with agents that are currently in development including monoclonal antibodies, or mAbs, and other small molecule approaches.</w:t>
      </w:r>
    </w:p>
    <w:p>
      <w:pPr>
        <w:spacing w:after="0" w:line="9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face competition from segments of the pharmaceutical, biotechnology and other related markets with respect to our CD3 and peptide-MHC, or pMHC, programs. Any product candidates that we successfully develop and commercialize from these platforms may compete with existing products and new products that may become available in the future. There is intense competition in the field from multiple different treatment modalities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new approaches are continually emerging from different competitors, including Adaptimmune Therapeutics plc, TCR² Therapeutics, Immatics N.V., Immunocore Holdings plc and Harpoon Therapeutics Inc.</w:t>
      </w:r>
    </w:p>
    <w:p>
      <w:pPr>
        <w:spacing w:after="0" w:line="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Competition in the ophthalmology space is intense, with currently approved anti-vascular endothelial growth factors, or VEGFs, such as Lucentis, Beovu and Eylea, as well as Avastin, which is widely prescribed off-label, are well established therapies and are widely accepted by physicians, patients and third-party payers as the standard of care for the treatment of nAMD. There are several other companies with marketed products or products in development for the treatment of nAMD, including Novartis, Roche, Bayer, Kodiak Sciences, REGENXBIO and Adverum Biotechnologies.</w:t>
      </w:r>
    </w:p>
    <w:p>
      <w:pPr>
        <w:spacing w:after="0" w:line="9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If approved for the treatment of nAMD, abicipar is expected to compete with both approved anti-VEGF monotherapies, anti-platelet-derived growth factor, or PDGF therapies that are currently in development for combination therapy and multispecific drugs targeting both VEGF and PDGF. In addition, we may face competition from a number of product candidates currently in development.</w:t>
      </w:r>
    </w:p>
    <w:p>
      <w:pPr>
        <w:spacing w:after="0" w:line="11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If approved for treatment of DME, abicipar is expected to compete with currently approved therapies including steroids, laser therapy and anti-VEGF agents. Anti-VEGF drugs currently approved for DME include Lucentis, Eylea, Macugen, as well as Avastin, which is used off-label.</w:t>
      </w:r>
    </w:p>
    <w:p>
      <w:pPr>
        <w:spacing w:after="0" w:line="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products prove to be safer and more tolerable, more effective, more convenient to dose, less expensive, faster to approve, or more effectively marketed and reimbursed than any of our product candidates that may gain regulatory approval. In addition, the level of generic competition and the availability of reimbursement from government and other third-party payors will impact the commercial viability of our programs.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w:t>
      </w:r>
    </w:p>
    <w:p>
      <w:pPr>
        <w:spacing w:after="0" w:line="1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our DARPin product candidates. We utilize third-party contract manufacturers for the manufacture of drug substances and products for human use. Since we rely on third-party contract manufacturers to produce our proprietary product candidates, we have recruited personnel with experience to manage the third-party contract manufacturers that will produce our proprietary product candidates in clinical or commercial quantities.</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design and develop the manufacturing process for the mono-DARPin proteins and multi-DARPin product candidates that are included in our DARPin product candidates, whether or not they are partnered. For purposes of our and our partner’s DARPin preclinical studies, we supply high quality gram scale DARPin material that we produce in our own facilities. We currently operate both a five- and ten-liter fermenter, which provides us with sufficient capacity to produce the quantities needed for DARPin preclinical studies.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52"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As of December 31, 2020, we had 145 full-time equivalent employees. None of our employees are represented by collective bargaining agreements. We believe that we maintain good relations with our employees. At each date shown, we had the following number of full time employees, broken out by department. The very large majority of our employees are based in Zurich, Switzerland. Two of our employees are based in Boston, Massachusetts.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Full-time equivalent employees</w:t>
            </w:r>
          </w:p>
        </w:tc>
        <w:tc>
          <w:tcPr>
            <w:tcW w:w="20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At December 31,</w:t>
            </w:r>
          </w:p>
        </w:tc>
      </w:tr>
      <w:tr>
        <w:trPr>
          <w:trHeight w:val="46"/>
        </w:trPr>
        <w:tc>
          <w:tcPr>
            <w:tcW w:w="7680" w:type="dxa"/>
            <w:vAlign w:val="bottom"/>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07"/>
        </w:trPr>
        <w:tc>
          <w:tcPr>
            <w:tcW w:w="768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33"/>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Function</w:t>
            </w:r>
          </w:p>
        </w:tc>
        <w:tc>
          <w:tcPr>
            <w:tcW w:w="2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jc w:val="right"/>
              <w:ind w:right="292"/>
              <w:spacing w:after="0"/>
              <w:rPr>
                <w:sz w:val="20"/>
                <w:szCs w:val="20"/>
                <w:color w:val="auto"/>
              </w:rPr>
            </w:pPr>
            <w:r>
              <w:rPr>
                <w:rFonts w:ascii="Arial" w:cs="Arial" w:eastAsia="Arial" w:hAnsi="Arial"/>
                <w:sz w:val="18"/>
                <w:szCs w:val="18"/>
                <w:color w:val="auto"/>
              </w:rPr>
              <w:t>123</w:t>
            </w:r>
          </w:p>
        </w:tc>
        <w:tc>
          <w:tcPr>
            <w:tcW w:w="1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145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Properties</w:t>
      </w:r>
    </w:p>
    <w:p>
      <w:pPr>
        <w:spacing w:after="0" w:line="1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lease our principal executive office and laboratory space, animal facility and other facilities, consisting of an aggregate of 3,200 square meters, in Zurich-Schlieren, Switzerland. The leases for our principal executive office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laboratory space expire on December 31, 2026. We also have an office in Massachusetts for our U.S. subsidiary, Molecular Partners Inc. We believe our current facilities are sufficient to meet our short-term needs. If we need to add new facilities or expand existing facilities as we add employees, we believe that suitable additional space will be available to accommodate any such expansion of our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results of operations,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Executive Officers and Directors</w:t>
      </w:r>
    </w:p>
    <w:p>
      <w:pPr>
        <w:spacing w:after="0" w:line="1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sets forth information regarding our executive officers, also referred to as members of the Management Board, and directors as of April 21, 2021. Unless otherwise stated, the business address for our directors and executive officers is c/o Molecular Partners AG, Wagistrasse 14,8952 Schlieren, Switzerland.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2280" w:type="dxa"/>
            <w:vAlign w:val="bottom"/>
            <w:tcBorders>
              <w:top w:val="single" w:sz="8" w:color="auto"/>
              <w:bottom w:val="single" w:sz="8" w:color="auto"/>
            </w:tcBorders>
          </w:tcPr>
          <w:p>
            <w:pPr>
              <w:jc w:val="center"/>
              <w:ind w:left="1371"/>
              <w:spacing w:after="0"/>
              <w:rPr>
                <w:sz w:val="20"/>
                <w:szCs w:val="20"/>
                <w:color w:val="auto"/>
              </w:rPr>
            </w:pPr>
            <w:r>
              <w:rPr>
                <w:rFonts w:ascii="Arial" w:cs="Arial" w:eastAsia="Arial" w:hAnsi="Arial"/>
                <w:sz w:val="16"/>
                <w:szCs w:val="16"/>
                <w:b w:val="1"/>
                <w:bCs w:val="1"/>
                <w:color w:val="auto"/>
                <w:w w:val="85"/>
              </w:rPr>
              <w:t>Age</w:t>
            </w:r>
          </w:p>
        </w:tc>
        <w:tc>
          <w:tcPr>
            <w:tcW w:w="5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2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2280" w:type="dxa"/>
            <w:vAlign w:val="bottom"/>
            <w:shd w:val="clear" w:color="auto" w:fill="CCEEFF"/>
          </w:tcPr>
          <w:p>
            <w:pPr>
              <w:spacing w:after="0"/>
              <w:rPr>
                <w:sz w:val="19"/>
                <w:szCs w:val="19"/>
                <w:color w:val="auto"/>
              </w:rPr>
            </w:pPr>
          </w:p>
        </w:tc>
        <w:tc>
          <w:tcPr>
            <w:tcW w:w="5220" w:type="dxa"/>
            <w:vAlign w:val="bottom"/>
            <w:shd w:val="clear" w:color="auto" w:fill="CCEEFF"/>
          </w:tcPr>
          <w:p>
            <w:pPr>
              <w:spacing w:after="0"/>
              <w:rPr>
                <w:sz w:val="19"/>
                <w:szCs w:val="19"/>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2280" w:type="dxa"/>
            <w:vAlign w:val="bottom"/>
          </w:tcPr>
          <w:p>
            <w:pPr>
              <w:jc w:val="center"/>
              <w:ind w:left="1371"/>
              <w:spacing w:after="0"/>
              <w:rPr>
                <w:sz w:val="20"/>
                <w:szCs w:val="20"/>
                <w:color w:val="auto"/>
              </w:rPr>
            </w:pPr>
            <w:r>
              <w:rPr>
                <w:rFonts w:ascii="Arial" w:cs="Arial" w:eastAsia="Arial" w:hAnsi="Arial"/>
                <w:sz w:val="18"/>
                <w:szCs w:val="18"/>
                <w:color w:val="auto"/>
                <w:w w:val="89"/>
              </w:rPr>
              <w:t>45</w:t>
            </w:r>
          </w:p>
        </w:tc>
        <w:tc>
          <w:tcPr>
            <w:tcW w:w="52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Michael Tobias Stumpp</w:t>
            </w:r>
          </w:p>
        </w:tc>
        <w:tc>
          <w:tcPr>
            <w:tcW w:w="2280" w:type="dxa"/>
            <w:vAlign w:val="bottom"/>
            <w:shd w:val="clear" w:color="auto" w:fill="CCEEFF"/>
          </w:tcPr>
          <w:p>
            <w:pPr>
              <w:jc w:val="center"/>
              <w:ind w:left="1371"/>
              <w:spacing w:after="0"/>
              <w:rPr>
                <w:sz w:val="20"/>
                <w:szCs w:val="20"/>
                <w:color w:val="auto"/>
              </w:rPr>
            </w:pPr>
            <w:r>
              <w:rPr>
                <w:rFonts w:ascii="Arial" w:cs="Arial" w:eastAsia="Arial" w:hAnsi="Arial"/>
                <w:sz w:val="18"/>
                <w:szCs w:val="18"/>
                <w:color w:val="auto"/>
                <w:w w:val="89"/>
              </w:rPr>
              <w:t>47</w:t>
            </w: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Operating Officer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Andreas Emmenegger</w:t>
            </w:r>
          </w:p>
        </w:tc>
        <w:tc>
          <w:tcPr>
            <w:tcW w:w="2280" w:type="dxa"/>
            <w:vAlign w:val="bottom"/>
          </w:tcPr>
          <w:p>
            <w:pPr>
              <w:jc w:val="center"/>
              <w:ind w:left="1371"/>
              <w:spacing w:after="0"/>
              <w:rPr>
                <w:sz w:val="20"/>
                <w:szCs w:val="20"/>
                <w:color w:val="auto"/>
              </w:rPr>
            </w:pPr>
            <w:r>
              <w:rPr>
                <w:rFonts w:ascii="Arial" w:cs="Arial" w:eastAsia="Arial" w:hAnsi="Arial"/>
                <w:sz w:val="18"/>
                <w:szCs w:val="18"/>
                <w:color w:val="auto"/>
                <w:w w:val="89"/>
              </w:rPr>
              <w:t>54</w:t>
            </w: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2280" w:type="dxa"/>
            <w:vAlign w:val="bottom"/>
            <w:shd w:val="clear" w:color="auto" w:fill="CCEEFF"/>
          </w:tcPr>
          <w:p>
            <w:pPr>
              <w:jc w:val="center"/>
              <w:ind w:left="1371"/>
              <w:spacing w:after="0"/>
              <w:rPr>
                <w:sz w:val="20"/>
                <w:szCs w:val="20"/>
                <w:color w:val="auto"/>
              </w:rPr>
            </w:pPr>
            <w:r>
              <w:rPr>
                <w:rFonts w:ascii="Arial" w:cs="Arial" w:eastAsia="Arial" w:hAnsi="Arial"/>
                <w:sz w:val="18"/>
                <w:szCs w:val="18"/>
                <w:color w:val="auto"/>
                <w:w w:val="89"/>
              </w:rPr>
              <w:t>47</w:t>
            </w: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Medical Officer</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228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2280" w:type="dxa"/>
            <w:vAlign w:val="bottom"/>
            <w:shd w:val="clear" w:color="auto" w:fill="CCEEFF"/>
          </w:tcPr>
          <w:p>
            <w:pPr>
              <w:jc w:val="center"/>
              <w:ind w:left="1371"/>
              <w:spacing w:after="0"/>
              <w:rPr>
                <w:sz w:val="20"/>
                <w:szCs w:val="20"/>
                <w:color w:val="auto"/>
              </w:rPr>
            </w:pPr>
            <w:r>
              <w:rPr>
                <w:rFonts w:ascii="Arial" w:cs="Arial" w:eastAsia="Arial" w:hAnsi="Arial"/>
                <w:sz w:val="18"/>
                <w:szCs w:val="18"/>
                <w:color w:val="auto"/>
                <w:w w:val="89"/>
              </w:rPr>
              <w:t>72</w:t>
            </w: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Steven H. Holtzman</w:t>
            </w:r>
          </w:p>
        </w:tc>
        <w:tc>
          <w:tcPr>
            <w:tcW w:w="2280" w:type="dxa"/>
            <w:vAlign w:val="bottom"/>
          </w:tcPr>
          <w:p>
            <w:pPr>
              <w:jc w:val="center"/>
              <w:ind w:left="1371"/>
              <w:spacing w:after="0"/>
              <w:rPr>
                <w:sz w:val="20"/>
                <w:szCs w:val="20"/>
                <w:color w:val="auto"/>
              </w:rPr>
            </w:pPr>
            <w:r>
              <w:rPr>
                <w:rFonts w:ascii="Arial" w:cs="Arial" w:eastAsia="Arial" w:hAnsi="Arial"/>
                <w:sz w:val="18"/>
                <w:szCs w:val="18"/>
                <w:color w:val="auto"/>
                <w:w w:val="89"/>
              </w:rPr>
              <w:t>67</w:t>
            </w:r>
          </w:p>
        </w:tc>
        <w:tc>
          <w:tcPr>
            <w:tcW w:w="52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Sandip Kapadia</w:t>
            </w:r>
          </w:p>
        </w:tc>
        <w:tc>
          <w:tcPr>
            <w:tcW w:w="2280" w:type="dxa"/>
            <w:vAlign w:val="bottom"/>
            <w:shd w:val="clear" w:color="auto" w:fill="CCEEFF"/>
          </w:tcPr>
          <w:p>
            <w:pPr>
              <w:jc w:val="center"/>
              <w:ind w:left="1371"/>
              <w:spacing w:after="0"/>
              <w:rPr>
                <w:sz w:val="20"/>
                <w:szCs w:val="20"/>
                <w:color w:val="auto"/>
              </w:rPr>
            </w:pPr>
            <w:r>
              <w:rPr>
                <w:rFonts w:ascii="Arial" w:cs="Arial" w:eastAsia="Arial" w:hAnsi="Arial"/>
                <w:sz w:val="18"/>
                <w:szCs w:val="18"/>
                <w:color w:val="auto"/>
                <w:w w:val="89"/>
              </w:rPr>
              <w:t>51</w:t>
            </w: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Dr. Vito Palombella</w:t>
            </w:r>
          </w:p>
        </w:tc>
        <w:tc>
          <w:tcPr>
            <w:tcW w:w="2280" w:type="dxa"/>
            <w:vAlign w:val="bottom"/>
          </w:tcPr>
          <w:p>
            <w:pPr>
              <w:jc w:val="center"/>
              <w:ind w:left="1371"/>
              <w:spacing w:after="0"/>
              <w:rPr>
                <w:sz w:val="20"/>
                <w:szCs w:val="20"/>
                <w:color w:val="auto"/>
              </w:rPr>
            </w:pPr>
            <w:r>
              <w:rPr>
                <w:rFonts w:ascii="Arial" w:cs="Arial" w:eastAsia="Arial" w:hAnsi="Arial"/>
                <w:sz w:val="18"/>
                <w:szCs w:val="18"/>
                <w:color w:val="auto"/>
                <w:w w:val="89"/>
              </w:rPr>
              <w:t>59</w:t>
            </w:r>
          </w:p>
        </w:tc>
        <w:tc>
          <w:tcPr>
            <w:tcW w:w="52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Dr. Michael Vasconcelles</w:t>
            </w:r>
          </w:p>
        </w:tc>
        <w:tc>
          <w:tcPr>
            <w:tcW w:w="2280" w:type="dxa"/>
            <w:vAlign w:val="bottom"/>
            <w:tcBorders>
              <w:bottom w:val="single" w:sz="8" w:color="auto"/>
            </w:tcBorders>
            <w:shd w:val="clear" w:color="auto" w:fill="CCEEFF"/>
          </w:tcPr>
          <w:p>
            <w:pPr>
              <w:jc w:val="center"/>
              <w:ind w:left="1371"/>
              <w:spacing w:after="0"/>
              <w:rPr>
                <w:sz w:val="20"/>
                <w:szCs w:val="20"/>
                <w:color w:val="auto"/>
              </w:rPr>
            </w:pPr>
            <w:r>
              <w:rPr>
                <w:rFonts w:ascii="Arial" w:cs="Arial" w:eastAsia="Arial" w:hAnsi="Arial"/>
                <w:sz w:val="18"/>
                <w:szCs w:val="18"/>
                <w:color w:val="auto"/>
                <w:w w:val="89"/>
              </w:rPr>
              <w:t>58</w:t>
            </w:r>
          </w:p>
        </w:tc>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Dr. Agnete Fredriksen</w:t>
            </w:r>
          </w:p>
        </w:tc>
        <w:tc>
          <w:tcPr>
            <w:tcW w:w="2280" w:type="dxa"/>
            <w:vAlign w:val="bottom"/>
            <w:tcBorders>
              <w:bottom w:val="single" w:sz="8" w:color="CCEEFF"/>
            </w:tcBorders>
          </w:tcPr>
          <w:p>
            <w:pPr>
              <w:jc w:val="center"/>
              <w:ind w:left="1371"/>
              <w:spacing w:after="0"/>
              <w:rPr>
                <w:sz w:val="20"/>
                <w:szCs w:val="20"/>
                <w:color w:val="auto"/>
              </w:rPr>
            </w:pPr>
            <w:r>
              <w:rPr>
                <w:rFonts w:ascii="Arial" w:cs="Arial" w:eastAsia="Arial" w:hAnsi="Arial"/>
                <w:sz w:val="18"/>
                <w:szCs w:val="18"/>
                <w:color w:val="auto"/>
                <w:w w:val="89"/>
              </w:rPr>
              <w:t>44</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Director</w:t>
            </w: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Dominik Höchli</w:t>
            </w:r>
          </w:p>
        </w:tc>
        <w:tc>
          <w:tcPr>
            <w:tcW w:w="2280" w:type="dxa"/>
            <w:vAlign w:val="bottom"/>
            <w:shd w:val="clear" w:color="auto" w:fill="CCEEFF"/>
          </w:tcPr>
          <w:p>
            <w:pPr>
              <w:jc w:val="center"/>
              <w:ind w:left="1371"/>
              <w:spacing w:after="0"/>
              <w:rPr>
                <w:sz w:val="20"/>
                <w:szCs w:val="20"/>
                <w:color w:val="auto"/>
              </w:rPr>
            </w:pPr>
            <w:r>
              <w:rPr>
                <w:rFonts w:ascii="Arial" w:cs="Arial" w:eastAsia="Arial" w:hAnsi="Arial"/>
                <w:sz w:val="18"/>
                <w:szCs w:val="18"/>
                <w:color w:val="auto"/>
                <w:w w:val="89"/>
              </w:rPr>
              <w:t>54</w:t>
            </w:r>
          </w:p>
        </w:tc>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Dr. Patrick Amstutz, Ph.D</w:t>
      </w:r>
      <w:r>
        <w:rPr>
          <w:rFonts w:ascii="Arial" w:cs="Arial" w:eastAsia="Arial" w:hAnsi="Arial"/>
          <w:sz w:val="18"/>
          <w:szCs w:val="18"/>
          <w:color w:val="auto"/>
        </w:rPr>
        <w:t>., one of our founders, has served as our Chief Executive Officer since November 2016, as an executive director since 2017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member of the Company’s management team since its inception in 2004. Previously, he served as our Chief Operating Officer from 2014 to 2016 and as our Chief Business Officer from 2006 to 2014. Since 2017, Dr. Amstutz has served as Vice-President of the Board of the Swiss Biotech Association. Dr. Amstutz holds a Master of Science from the ETH Zurich and a Ph.D. in molecular biology from the University of Zurich. Our board of directors believes that Dr. Amstutz's leadership of our company since its inception as well as his scientific background provide him with the qualifications and skills to serve as a director.</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Dr. Michael Tobias Stumpp, Ph.D</w:t>
      </w:r>
      <w:r>
        <w:rPr>
          <w:rFonts w:ascii="Arial" w:cs="Arial" w:eastAsia="Arial" w:hAnsi="Arial"/>
          <w:sz w:val="18"/>
          <w:szCs w:val="18"/>
          <w:color w:val="auto"/>
        </w:rPr>
        <w:t>., one of our founders, has served as our Chief Operating Officer since June 2018. Previously, he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Officer from 2007 to June 2018. Prior to joining our company, Dr. Stumpp studied at Imperial College London from 1995 to 1996, studied at Swiss Federal Institute of Technology from 1993 to 1997, and studied at Tokyo Institute of Technology from 1997 to 1999. Dr. Stumpp received his Ph.D. in 2004 from the University of Zurich.</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Andreas Emmenegger </w:t>
      </w:r>
      <w:r>
        <w:rPr>
          <w:rFonts w:ascii="Arial" w:cs="Arial" w:eastAsia="Arial" w:hAnsi="Arial"/>
          <w:sz w:val="17"/>
          <w:szCs w:val="17"/>
          <w:color w:val="auto"/>
        </w:rPr>
        <w:t>has served as our Chief Financial Officer and Co-Entrepreneur since February 2007. Prior to joining Molecular Partners, he was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Financial Officer of Glycart Biotechnology AG where he had a leading role in the CHF 235 million trade sale to F. Hoffmann-La Roche AG in 2005. Mr. Emmenegger was Head of Strategic Alliance Finance (Genentech) for Roche Headquarters, Basel, Switzerland. He has more than 20 years of experience as a chief financial officer of several public and private multinational companies, 15 years of which have been in the biotechnology industry. He led our SIX Swiss Exchange initial public offering in 2014. In addition, Mr. Emmenegger has more than 10 years of international industry experience in banking, capital markets, mergers and acquisitions and human resources. Since 2016, he has been a member of the board of directors of the Luzerner Kantonalbank, Switzerland, a publicly listed bank. Mr. Emmenegger holds a degree in finance, economics and business administration as well as an Executive MBA degree from IESE Business School, Barcelona.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Dr. Nicolas Leupin, M.D., MBA</w:t>
      </w:r>
      <w:r>
        <w:rPr>
          <w:rFonts w:ascii="Arial" w:cs="Arial" w:eastAsia="Arial" w:hAnsi="Arial"/>
          <w:sz w:val="16"/>
          <w:szCs w:val="16"/>
          <w:color w:val="auto"/>
        </w:rPr>
        <w:t>, has served as our Chief Medical Officer since September 2019 Dr. Leupin is a medical oncologist with a successful track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in drug development, most recently as Chief Medical Officer of argenx from 2016 to 2019, a clinical-stage biotechnology company developing antibody-based therapies for treatment of severe autoimmune diseases and cancer. In that role he led the company’s global clinical strategy and execution, successfully supporting the company’s transformation into a late-stage clinical company, and was responsible for translating preclinical hypotheses into innovative proof-of concept clinical trials. Prior to argenx, Dr. Leupin held roles of increasing responsibility at Celgene, where he supported the clinical development of several drug candidates in lymphoma and multiple myeloma, resulting in regulatory filings in Europe and the United States.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William M. Burns </w:t>
      </w:r>
      <w:r>
        <w:rPr>
          <w:rFonts w:ascii="Arial" w:cs="Arial" w:eastAsia="Arial" w:hAnsi="Arial"/>
          <w:sz w:val="16"/>
          <w:szCs w:val="16"/>
          <w:color w:val="auto"/>
        </w:rPr>
        <w:t>has served as Chairman of our board of directors since April 2018 and a director since October 2017. Mr. Burns has served in numerous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positions at Roche Pharmaceuticals, including as Chief Executive Officer from January 2004 to December 2009, Head of the Pharmaceuticals Division from 2001 to 2004, Head of Europe and International Business from 1998 to 2001, and Global Head of Strategic Marketing and Business from 1991 to 1998. Mr. Burns has served as Non-Executive Vice Chairman of Mesoblast Limited since September 2016 and as Chairman of Vestergaard Frandsen S.A. since 2017. He served as an Independent Non-Executive Director of Shire plc from March 2010 to April 2016, when he became its Senior Independent Non-Executive Director until he retired from the board in April 2018. He serves as a member of the Novo Holdings Advisory Group. Mr. Burns is also a Governor/Trustee of two charities: the Wellcome Trust and the Institute of Cancer Research, both in the UK. Mr. Burns also serves as a member of the Scientific Advisory Board of the University of Cologne/Bonn Center for Integrated Oncology. Mr. Burns holds a Bachelor of Arts in Business Economics from the University of Strathclyde. Our board of directors believes that Mr. Burns' experience with the healthcare and pharmaceutical industries and his broad management experience provide him with the qualifications and skills to serve as a director.</w:t>
      </w:r>
    </w:p>
    <w:p>
      <w:pPr>
        <w:spacing w:after="0" w:line="10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Steven H. Holtzman </w:t>
      </w:r>
      <w:r>
        <w:rPr>
          <w:rFonts w:ascii="Arial" w:cs="Arial" w:eastAsia="Arial" w:hAnsi="Arial"/>
          <w:sz w:val="16"/>
          <w:szCs w:val="16"/>
          <w:color w:val="auto"/>
        </w:rPr>
        <w:t>has served as a director since May 2014. He is the chair of the boards of directors of Qihan Biotech and Camp4 Biotherapeutics,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founder and member of the board of directors of Shoreline Bio, each private biotechnology companies. Since January 2020, he has served as a strategic advisor to Decibel Therapeutics, a private biotechnology company, where he served as the company’s first president and chief executive officer and a member of the board of directors from 2016 to 2020. Prior to joining Decibel, he served as Executive Vice President, Corporate Development of Biogen Idec with responsibility for Business Development and Mergers and Acquisitions, and Program Leadership and Management from January 2011 to March 2016. From July 2001 to January 2011, he served as the founder, Chief Executive Officer and Chairman of Infinity Pharmaceuticals, a cancer drug discovery and development company. He is a trustee of The Berklee College of Music and a senior fellow at the Belfer Center for Science and International Affairs at the Harvard Kennedy School. Mr. Holtzman received a BA in Philosophy from Michigan State University in 1976 and a B.Phil. in Philosophy from Oxford University in 1979, which he attended as a Rhodes Scholar. Our board of directors believes that Mr. Holtzman's experience in the biotechnology industry and his broad management experience provide him with the qualifications and skills to serve as a director.</w:t>
      </w:r>
    </w:p>
    <w:p>
      <w:pPr>
        <w:spacing w:after="0" w:line="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 xml:space="preserve">Sandip Kapadia </w:t>
      </w:r>
      <w:r>
        <w:rPr>
          <w:rFonts w:ascii="Arial" w:cs="Arial" w:eastAsia="Arial" w:hAnsi="Arial"/>
          <w:sz w:val="16"/>
          <w:szCs w:val="16"/>
          <w:color w:val="auto"/>
        </w:rPr>
        <w:t>has served as a director since April 2020. Mr. Kapadia currently serves as chief financial officer of Harmony Bioscience. Mr. Kapadia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20 years of experience in building and leading finance and administration teams at life sciences companies both in Europe and in the United States. Prior to joining Harmony Bioscience, Mr. Kapadia was chief financial officer and treasurer at Intercept Pharmaceuticals from 2016 to end of March 2021. Prior to joining Intercept in 2016, Mr. Kapadia held numerous finance leadership positions over 19 years at Novartis and Novartis affiliates in the United States, Switzerland, the Netherlands, and the United Kingdom, including Chief Financial Officer of North America at Novartis’s generic division, Sandoz. Mr. Kapadia is currently a director of Passage Bio since January 2020 and Vectiv Bio Holding AG since December 2020, and previously of Therachon AG. Mr. Kapadia earned his bachelor’s degree in business administration and accounting from Montclair State University, an MBA from Rutgers Graduate School of Management, and is a certified public accountant. Our board of directors believes that Mr. Kapadia’s over 20 years of experience in the life science industry and his broad finance and management experience provide him with the qualifications and skills to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Dr. Vito J. Palombella, Ph.D.</w:t>
      </w:r>
      <w:r>
        <w:rPr>
          <w:rFonts w:ascii="Arial" w:cs="Arial" w:eastAsia="Arial" w:hAnsi="Arial"/>
          <w:sz w:val="17"/>
          <w:szCs w:val="17"/>
          <w:color w:val="auto"/>
        </w:rPr>
        <w:t>, has served as a director since April 2020. Currently, Dr. Palombella is the chief scientific officer of Surface Oncology,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he has led the company’s drug discovery and translational research efforts since 2016. Dr. Palombella has over 25 years of scientific leadership and experience advancing first-in-class therapeutic programs, as well as a successful track record of building drug discovery and development organizations. Prior to joining Surface Oncology, Dr. Palombella was executive vice president and chief scientific officer from 2010 to 2016, and vice president, biology/research, from 2004 to 2010, at Infinity Pharmaceuticals, Inc., where he was responsible for drug discovery and preclinical development. Prior to that, he was director of molecular biology and protein chemistry at Syntonix Pharmaceuticals, and senior director of cell and molecular biology at Millennium Pharmaceuticals. Dr. Palombella earned his bachelor’s degree in microbiology from Rutgers University and a master’s degree and doctorate degree in viral oncology and immunology from the New York University Medical Center and completed his post-doctoral training at Harvard University. Our board of directors believes that Dr. Palombella’s over 25 years of scientific leadership and experience, as well as his medical and scientific background, provide him with the qualifications and skills to serve as a director.</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Dr. Michael Vasconcelles, M.D. </w:t>
      </w:r>
      <w:r>
        <w:rPr>
          <w:rFonts w:ascii="Arial" w:cs="Arial" w:eastAsia="Arial" w:hAnsi="Arial"/>
          <w:sz w:val="17"/>
          <w:szCs w:val="17"/>
          <w:color w:val="auto"/>
        </w:rPr>
        <w:t>has served as a director since April 2020. He is currently the chief medical officer of Flatiron Health, Inc., where he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expertise in strategic planning, thought leadership, and clinical research methods. Prior to joining Flatiron Health in 2019, Dr. Vasconcelles served as Chief Medical Officer at Unum Therapeutics Inc. from 2015 to 2019. Prior to Unum, he spent several years at Takeda/Millennium where he was accountable for the research and development strategy and execution of the oncology portfolio, from discovery through product licensure and post-approval. Dr. Vasconcelles joined the faculty of the Harvard Medical School in 1996 and is currently a clinical instructor in medicine at Harvard Medical School and a practicing oncologist and associate physician at the Dana-Farber Cancer Institute and Brigham &amp; Women’s Hospitals in Boston. Dr. Vasconcelles is a member of numerous professional societies, including the American Society of Clinical Oncology and the American Society of Hematology. His board commitments have included the Personalized Medicine Coalition and the eastern New England board of the American Cancer Society. Dr. Vasconcelles completed his postgraduate training in internal medicine at the Beth Israel Hospital and in hematology-oncology at the Brigham and Women’s Hospital and received his B.A. and M.D. from Northwestern University. Our board of directors believes that Dr. Vasconcelles’ extensive experience in the life sciences industry and clinical development programs, as well as his medical and scientific background, provide him with the qualifications and skills to serve as a director.</w:t>
      </w:r>
    </w:p>
    <w:p>
      <w:pPr>
        <w:spacing w:after="0" w:line="1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Dr. Agnete Fredriksen </w:t>
      </w:r>
      <w:r>
        <w:rPr>
          <w:rFonts w:ascii="Arial" w:cs="Arial" w:eastAsia="Arial" w:hAnsi="Arial"/>
          <w:sz w:val="17"/>
          <w:szCs w:val="17"/>
          <w:color w:val="auto"/>
        </w:rPr>
        <w:t>has served as a director since April 2021. Dr. Fredriksen has served as a co-founder and chief scientific officer of Vaccibody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2007 to 2017 and as president and chief scientific officer since 2017. Vaccibody is a clinical-stage biopharmaceutical company dedicated to the discovery and development of novel immunotherapies for cancer and infectious diseases. Prior to founding Vaccibody Dr. Fredriksen previously held researcher roles at Affitech AS, a private technology transfer company, and Medinnova AS, a technology transfer company. Dr. Fredriksen is the author of numerous scientific papers in the field of immunology, immunotherapy and vaccines, and has been awarded several patents in the field of immunotherapy. She holds an MSc and a Ph.D. from the Institute of Immunology, Oslo University Hospital, Rikshospitalet in Oslo, Norway. Our board of directors believes that Dr. Fredriksen’s experience in immunotherapy and vaccine development, as well as her medical and scientific background, provide her with the qualifications and skills to serve as a director.</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Dr. Dominik Höchli </w:t>
      </w:r>
      <w:r>
        <w:rPr>
          <w:rFonts w:ascii="Arial" w:cs="Arial" w:eastAsia="Arial" w:hAnsi="Arial"/>
          <w:sz w:val="18"/>
          <w:szCs w:val="18"/>
          <w:color w:val="auto"/>
        </w:rPr>
        <w:t>has served as a director since April 2021. He has more than 20 years of experience as a marketing and medical affairs executive.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2021 he was appointed as CEO of Catapult Therapeutics, a private equity funded biotech start up in the Netherlands. From from 2011 to 2020, Dr. Höchli worked at AbbVie, where he held various roles including General Manager of the Swiss affiliate, Vice President, Head of Global Medical Affairs and member of the R&amp;D and the Commercial leadership team. While at AbbVie, Dr. Höchli led the global product launches for HUMIRA, Maviret, Venetoclax and Skyrizi. Dr. Höchli received his medical degree (M.D.) from the University of Bern in Switzerland. Our board of directors believes that Dr. Höchli’s over 20 years of experience as a marketing and medical affairs executive, as well as his broad business experience provide him with the qualifications and skills to serve as a director.</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Family Relationships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 of our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eight directors, four of whom are citizens or residents of the United States.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articles of association provide that our board of directors shall consist of a minimum of three members and maximum of eleven members. All directors (including the chairperson of the board of directors) are appointed to and removed from the board of directors exclusively by shareholders’ resolution for a maximum term of office of one year, extending until completion of the next annual shareholders' meeting. Directors may be re-elected at any time. In the event the office of the chairperson is vacant, the board of directors shall appoint a new chairperson from its members for the remaining term of office. The board of directors may elect a vice-chairperson from its members each year immediately following the annual shareholders' meeting for a term ending at the closing of the following annual shareholders' meeting. The board of directors shall further appoint the secretary, who need not be a member of the board of directors. The secretary shall be entitled to participate in the deliberations and discussions of the board of directors, but shall not vote, unless he or she is a member of the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names of our directors, the year of their initial appointment as directors and the expiration dates of their current term: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5320" w:type="dxa"/>
            <w:vAlign w:val="bottom"/>
            <w:tcBorders>
              <w:top w:val="single" w:sz="8" w:color="auto"/>
            </w:tcBorders>
            <w:vMerge w:val="restart"/>
          </w:tcPr>
          <w:p>
            <w:pPr>
              <w:ind w:left="640"/>
              <w:spacing w:after="0"/>
              <w:rPr>
                <w:sz w:val="20"/>
                <w:szCs w:val="20"/>
                <w:color w:val="auto"/>
              </w:rPr>
            </w:pPr>
            <w:r>
              <w:rPr>
                <w:rFonts w:ascii="Arial" w:cs="Arial" w:eastAsia="Arial" w:hAnsi="Arial"/>
                <w:sz w:val="16"/>
                <w:szCs w:val="16"/>
                <w:b w:val="1"/>
                <w:bCs w:val="1"/>
                <w:color w:val="auto"/>
              </w:rPr>
              <w:t>Current Position</w:t>
            </w:r>
          </w:p>
        </w:tc>
        <w:tc>
          <w:tcPr>
            <w:tcW w:w="2140" w:type="dxa"/>
            <w:vAlign w:val="bottom"/>
            <w:tcBorders>
              <w:top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Year of Initial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Term Expiration</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Appointment</w:t>
            </w:r>
          </w:p>
        </w:tc>
        <w:tc>
          <w:tcPr>
            <w:tcW w:w="13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Year</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Chairman of the Board</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2017</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Dr. Patrick Amstutz</w:t>
            </w:r>
          </w:p>
        </w:tc>
        <w:tc>
          <w:tcPr>
            <w:tcW w:w="5320" w:type="dxa"/>
            <w:vAlign w:val="bottom"/>
          </w:tcPr>
          <w:p>
            <w:pPr>
              <w:ind w:left="640"/>
              <w:spacing w:after="0"/>
              <w:rPr>
                <w:sz w:val="20"/>
                <w:szCs w:val="20"/>
                <w:color w:val="auto"/>
              </w:rPr>
            </w:pPr>
            <w:r>
              <w:rPr>
                <w:rFonts w:ascii="Arial" w:cs="Arial" w:eastAsia="Arial" w:hAnsi="Arial"/>
                <w:sz w:val="18"/>
                <w:szCs w:val="18"/>
                <w:color w:val="auto"/>
              </w:rPr>
              <w:t>Chief Executive Officer, Director and Co-Founder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2017</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2014</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Vito Palombella</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Dr. Michael Vasconcelles</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2020</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2021</w:t>
            </w:r>
          </w:p>
        </w:tc>
        <w:tc>
          <w:tcPr>
            <w:tcW w:w="13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5320" w:type="dxa"/>
            <w:vAlign w:val="bottom"/>
          </w:tcPr>
          <w:p>
            <w:pPr>
              <w:ind w:left="640"/>
              <w:spacing w:after="0"/>
              <w:rPr>
                <w:sz w:val="20"/>
                <w:szCs w:val="20"/>
                <w:color w:val="auto"/>
              </w:rPr>
            </w:pPr>
            <w:r>
              <w:rPr>
                <w:rFonts w:ascii="Arial" w:cs="Arial" w:eastAsia="Arial" w:hAnsi="Arial"/>
                <w:sz w:val="18"/>
                <w:szCs w:val="18"/>
                <w:color w:val="auto"/>
              </w:rPr>
              <w:t>Director</w:t>
            </w:r>
          </w:p>
        </w:tc>
        <w:tc>
          <w:tcPr>
            <w:tcW w:w="2140" w:type="dxa"/>
            <w:vAlign w:val="bottom"/>
          </w:tcPr>
          <w:p>
            <w:pPr>
              <w:jc w:val="right"/>
              <w:ind w:right="532"/>
              <w:spacing w:after="0"/>
              <w:rPr>
                <w:sz w:val="20"/>
                <w:szCs w:val="20"/>
                <w:color w:val="auto"/>
              </w:rPr>
            </w:pPr>
            <w:r>
              <w:rPr>
                <w:rFonts w:ascii="Arial" w:cs="Arial" w:eastAsia="Arial" w:hAnsi="Arial"/>
                <w:sz w:val="18"/>
                <w:szCs w:val="18"/>
                <w:color w:val="auto"/>
              </w:rPr>
              <w:t>2021</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20" w:hanging="312"/>
        <w:spacing w:after="0"/>
        <w:tabs>
          <w:tab w:leader="none" w:pos="32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At the end of the general meeting of shareholders during the year in which their term office expires, in each case as indicated.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As a foreign private issuer, under the listing requirements and rules of Nasdaq, we are not required to have independent directors on our board of directors, except to the extent that our audit committee is required to consist of independent directors, subject to certain phase-in schedules.</w:t>
      </w:r>
    </w:p>
    <w:p>
      <w:pPr>
        <w:spacing w:after="0" w:line="7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Nevertheless, 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William M. Burns, Agnete Fredriksen, Dominik Höchli, Steven H. Holtzman, Sandip Kapadia, Vito J. Palombella and Michael Vasconcelles are “independent directors” as defined under applicable Nasdaq rules and the independence requirements contemplated by Rule 10A-3 under the Securities Exchange Act of 1933, as amended, or the Exchange Act. In making these determinations, our board of directors considered the current and prior relationships that each non-employee director has with us and all other facts and circumstances that our board of directors deemed relevant in determining the director’s independence, including the number of common shares beneficially owned by the director and his or her affiliated entities (if any).</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Board in Risk Oversight</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board of directors is primarily responsible for the oversight of our risk management activities and has delegated to the audit and finance committee the responsibility to assist our board of directors in this task. The audit and finance committee also monitors the issues relating to the preparation and supervision of accounting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information. The audit and finance committee, among other things, monitors the effectiveness of the internal control and risk management systems as well as, where applicable, of internal audit, with regard to the procedures relating to the preparation and processing of accounting and financial information, without undermining the independence of the board of directors. While our board of directors oversees our risk management, our management is responsible for day-to-day risk management processes. Our board of directors expects our management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is the most effective approach for addressing the risks we face.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Practices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However, if the laws of a foreign private issuer’s home country require that any such matter be approved by the board of directors or the shareholders, the audit committee’s responsibilities or powers with respect to such matter may instead be advisory. Under Swiss law, the audit committee may only have an advisory role and appointment of our statutory auditors, in particular, must be decided by the shareholders at our annual meeting.</w:t>
      </w:r>
    </w:p>
    <w:p>
      <w:pPr>
        <w:spacing w:after="0" w:line="1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Because we are a foreign private issuer, our members of our board of directors, executive board members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subject to the Swiss ordinance against excessive compensation in listed stock corporations, known as the “Say on Pay” rule, which requires companies listed on the SIX Swiss Exchange to establish a compensation committee. Our board of directors has established an audit and finance committee, a nomination and compensation committee and a research and development committee, which operate pursuant to our articles of association, the charter of the audit and finance committee, the charter of the nomination and compensation committee and the charter of the research and development committee. The composition and functioning of all of our committees will comply with all applicable requirements of Swiss law, the Exchange Act, the Nasdaq Global Market and SEC rules and regulations.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44"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Our audit and finance committee assists our board of directors in its oversight of our corporate accounting and financial reporting by making an independent assessment of the quality of the external auditors, our financial statements and our internal controls. Sandip Kapadia, Dominik Höchli and Steven Holtzman currently serve on our audit and finance committee. Mr. Kapadia is chairperson of our audit and finance committee. Our board of directors has determined that each of Mr. Kapadia, Dr. Höchli and Mr. Holtzman is independent within the meaning of the applicable listing rules and the independence requirements contemplated by Rule 10A-3 under the Exchange Act. Our board of directors has further determined that Mr. Kapadia is an “audit committee financial expert” as defined by SEC rules and regulations and that each of the members of the audit committee qualifies as financially sophisticated under the applicable exchange listing rules. We intend to comply with the applicable independence requirements with respect to our audit committee within the applicable time frame under the applicable transition rules of the SEC. We are required to have one audit committee member who meets the independence requirements for the first 90 days following the closing of the offering. By the end of the first year following the closing of the offering, a majority of our audit committee members must meet the independence requirements. The principal duties and responsibilities of our audit committee include (1) analyzing economic and financial information and (2) ensuring the accuracy and honesty of our company’s financial statements, as well as the quality of the information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specifically assigned the following duties to the audit and finance committee:</w:t>
      </w:r>
    </w:p>
    <w:p>
      <w:pPr>
        <w:spacing w:after="0" w:line="144"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assessing the quality and effectiveness of the external audit;</w:t>
      </w:r>
    </w:p>
    <w:p>
      <w:pPr>
        <w:spacing w:after="0" w:line="157"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assessing the quality of the internal control system, including risk management and the efficiency and state of compliance and monitoring with applicable norms within the Company;</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reviewing the stand-alone Swiss statutory and consolidated financial statements as well as all reporting prepared by the external auditor;</w:t>
      </w:r>
    </w:p>
    <w:p>
      <w:pPr>
        <w:spacing w:after="0" w:line="155" w:lineRule="exact"/>
        <w:rPr>
          <w:rFonts w:ascii="Arial" w:cs="Arial" w:eastAsia="Arial" w:hAnsi="Arial"/>
          <w:sz w:val="17"/>
          <w:szCs w:val="17"/>
          <w:color w:val="auto"/>
        </w:rPr>
      </w:pPr>
    </w:p>
    <w:p>
      <w:pPr>
        <w:ind w:left="340" w:right="58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deciding whether the year-end stand-alone Swiss statutory and consolidated financial statements be recommended to the board of directors for presentation to the general shareholders’ meeting;</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assessing the performance and the fees charged by the external auditors and ascertain their independence;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the scope of the prospective external audit, the estimated fees thereof and any other matters pertaining to such audit;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taking notice of all comments from the external auditors on accounting procedures and systems of control;</w:t>
      </w:r>
    </w:p>
    <w:p>
      <w:pPr>
        <w:spacing w:after="0" w:line="157" w:lineRule="exact"/>
        <w:rPr>
          <w:rFonts w:ascii="Arial" w:cs="Arial" w:eastAsia="Arial" w:hAnsi="Arial"/>
          <w:sz w:val="18"/>
          <w:szCs w:val="18"/>
          <w:color w:val="auto"/>
        </w:rPr>
      </w:pPr>
    </w:p>
    <w:p>
      <w:pPr>
        <w:ind w:left="340" w:right="10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with the external auditors and/or the CFO/CEO any questions, comments or suggestions they may have regarding the internal control, risk management, accounting practices and procedures of the Company and its subsidiaries;</w:t>
      </w:r>
    </w:p>
    <w:p>
      <w:pPr>
        <w:spacing w:after="0" w:line="102" w:lineRule="exact"/>
        <w:rPr>
          <w:rFonts w:ascii="Arial" w:cs="Arial" w:eastAsia="Arial" w:hAnsi="Arial"/>
          <w:sz w:val="18"/>
          <w:szCs w:val="18"/>
          <w:color w:val="auto"/>
        </w:rPr>
      </w:pPr>
    </w:p>
    <w:p>
      <w:pPr>
        <w:ind w:left="340" w:right="40" w:hanging="332"/>
        <w:spacing w:after="0" w:line="308" w:lineRule="auto"/>
        <w:tabs>
          <w:tab w:leader="none" w:pos="3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discussing with the management any legal matters that may have a material impact on the Company's financial statements and any material reports or inquiries from regulatory or governmental agencies which could materially impact the Company's contingent liabilities and risks;</w:t>
      </w:r>
    </w:p>
    <w:p>
      <w:pPr>
        <w:spacing w:after="0" w:line="65" w:lineRule="exact"/>
        <w:rPr>
          <w:rFonts w:ascii="Arial" w:cs="Arial" w:eastAsia="Arial" w:hAnsi="Arial"/>
          <w:sz w:val="17"/>
          <w:szCs w:val="17"/>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supporting the board of directors with regard to the financial planning as well as the principles of accounting and financial control;</w:t>
      </w:r>
    </w:p>
    <w:p>
      <w:pPr>
        <w:spacing w:after="0" w:line="157" w:lineRule="exact"/>
        <w:rPr>
          <w:rFonts w:ascii="Arial" w:cs="Arial" w:eastAsia="Arial" w:hAnsi="Arial"/>
          <w:sz w:val="18"/>
          <w:szCs w:val="18"/>
          <w:color w:val="auto"/>
        </w:rPr>
      </w:pPr>
    </w:p>
    <w:p>
      <w:pPr>
        <w:ind w:left="340" w:right="460" w:hanging="332"/>
        <w:spacing w:after="0" w:line="308" w:lineRule="auto"/>
        <w:tabs>
          <w:tab w:leader="none" w:pos="3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evaluating management’s principles and proposals for, and formulate recommendations to the board of directors in regards to financial planning (capital structure, management of resources, inter-company financing), dividend policy and capital market relations;</w:t>
      </w:r>
    </w:p>
    <w:p>
      <w:pPr>
        <w:spacing w:after="0" w:line="78"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proposed concepts of financial objectives such as costs of capital, enhancement of shareholders’ value, Company and divisional objectives, project objectives (capital expenditures and M&amp;A); and</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finance policy and operations in treasury, controlling, insurance, taxes and investment and acquisitions.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Compensation Committee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nomination and compensation committee assists our board of directors in establishing and reviewing the compensation strategy and guidelines as well as in preparing the compensation plans and proposals to the general meeting of shareholders regarding the compensation of the board of directors and executive officers. William M. Burns, Steven H. Holtzman and Dr. Michael Vasconcelles currently serve on the nomination and compensation committee. Mr. Burns is the chairperson of our nomination and compensation committee. We are subject to the Swiss ordinance against excessive compensation in listed stock corporations, known as the “Say on Pay” rule. As a result of the Say on Pay rule, the members of the nomination and compensation committee must be elected by our shareholders and the aggregate compensation of our board of directors and executive officers must also be approved by our shareholders.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duties and responsibilities of our nomination and compensation committee include:</w:t>
      </w:r>
    </w:p>
    <w:p>
      <w:pPr>
        <w:spacing w:after="0" w:line="158"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compensation strategy and guidelines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compensation of the members of the board of directors and the executive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1440" w:right="439" w:bottom="1440" w:gutter="0" w:footer="0" w:header="0"/>
        </w:sectPr>
      </w:pPr>
    </w:p>
    <w:bookmarkStart w:id="173" w:name="page174"/>
    <w:bookmarkEnd w:id="173"/>
    <w:p>
      <w:pPr>
        <w:spacing w:after="0" w:line="130" w:lineRule="exact"/>
        <w:rPr>
          <w:sz w:val="20"/>
          <w:szCs w:val="20"/>
          <w:color w:val="auto"/>
        </w:rPr>
      </w:pPr>
    </w:p>
    <w:p>
      <w:pPr>
        <w:ind w:left="340" w:right="38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making recommendations regarding compensation plans (cash and/or equity-based plans), and where appropriate or required, make recommendations to adopt, amend and terminate such plans;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administering the compensation plans;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reviewing and making recommendations regarding any employment agreements (including any benefits) for members of the executive management;</w:t>
      </w:r>
    </w:p>
    <w:p>
      <w:pPr>
        <w:spacing w:after="0" w:line="180" w:lineRule="exact"/>
        <w:rPr>
          <w:rFonts w:ascii="Arial" w:cs="Arial" w:eastAsia="Arial" w:hAnsi="Arial"/>
          <w:sz w:val="16"/>
          <w:szCs w:val="16"/>
          <w:color w:val="auto"/>
        </w:rPr>
      </w:pPr>
    </w:p>
    <w:p>
      <w:pPr>
        <w:ind w:left="340" w:right="200" w:hanging="332"/>
        <w:spacing w:after="0" w:line="308" w:lineRule="auto"/>
        <w:tabs>
          <w:tab w:leader="none" w:pos="335"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reviewing and making recommendations regarding the proposals of the board of directors for the aggregate amount of the compensation of the board of directors and of the executive management to be submitted to the annual general shareholders' meeting for approval;</w:t>
      </w:r>
    </w:p>
    <w:p>
      <w:pPr>
        <w:spacing w:after="0" w:line="65" w:lineRule="exact"/>
        <w:rPr>
          <w:rFonts w:ascii="Arial" w:cs="Arial" w:eastAsia="Arial" w:hAnsi="Arial"/>
          <w:sz w:val="17"/>
          <w:szCs w:val="17"/>
          <w:color w:val="auto"/>
        </w:rPr>
      </w:pPr>
    </w:p>
    <w:p>
      <w:pPr>
        <w:ind w:left="340" w:right="70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ensuring that any reporting obligation with respect to compensation matters, specifically any necessary disclosures in the annual report and/or compensation report, are met;</w:t>
      </w:r>
    </w:p>
    <w:p>
      <w:pPr>
        <w:spacing w:after="0" w:line="102" w:lineRule="exact"/>
        <w:rPr>
          <w:rFonts w:ascii="Arial" w:cs="Arial" w:eastAsia="Arial" w:hAnsi="Arial"/>
          <w:sz w:val="18"/>
          <w:szCs w:val="18"/>
          <w:color w:val="auto"/>
        </w:rPr>
      </w:pPr>
    </w:p>
    <w:p>
      <w:pPr>
        <w:ind w:left="340" w:right="54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considerations relating to the composition of the board of directors, including the size and the criteria for membership on the board of directors;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candidates to the board of directors and making recommendations to the board of directors in this respect;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evaluating candidates to the Management Board and making recommendations to the board of directors in this respect.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58"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The research and development committee (i) provides strategic advice and brings recommendations to the Management Board and the board of directors regarding current and planned research and development programs, (ii) provides strategic advice to the board of directors regarding emerging science and technology issues and trends, and (iii) conducts a review of the effectiveness and competitiveness of our research and development function. Dr.</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Vasconcelles, Dr. Fredriksen and Dr. Palombella currently serve on the research and development committee. Dr. Vasconcelles is the chairperson of the research and development committee.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Conduct</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adopted a Code of Conduct which is applicable to all of our employees, executive officers and directors. The Code of Conduct is available on our website at </w:t>
      </w:r>
      <w:r>
        <w:rPr>
          <w:rFonts w:ascii="Arial" w:cs="Arial" w:eastAsia="Arial" w:hAnsi="Arial"/>
          <w:sz w:val="18"/>
          <w:szCs w:val="18"/>
          <w:i w:val="1"/>
          <w:iCs w:val="1"/>
          <w:color w:val="auto"/>
        </w:rPr>
        <w:t>www.molecularpartners.com</w:t>
      </w:r>
      <w:r>
        <w:rPr>
          <w:rFonts w:ascii="Arial" w:cs="Arial" w:eastAsia="Arial" w:hAnsi="Arial"/>
          <w:sz w:val="18"/>
          <w:szCs w:val="18"/>
          <w:color w:val="auto"/>
        </w:rPr>
        <w:t>. The audit and finance committee of our board of directors is responsible for overseeing the Code of Conduct and is required to approve any waivers of the Code of Conduct for employees, executive officers and directors. We expect that any amendments to the Code of Conduct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of Directors and Executive Officers</w:t>
      </w:r>
    </w:p>
    <w:p>
      <w:pPr>
        <w:spacing w:after="0" w:line="1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aggregate compensation paid by us to our executive officers and directors, including share-based compensation, for the year ended December 31, 2020, was CHF 4,311,000.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required by the "Say on Pay" rules, our articles of association set out the principles for the elements of the compensation of the members of our board of directors. The compensation of the members of our board of directors may consist of fixed and variable compensation. The total compensation takes into account the position and level of responsibility of the respective member of the board of directors, including board and committee chairmanship and membership and a travel fee. Members of our board of directors are paid for their service over one year starting with their election at the ordinary shareholders’ meeting and ending with the subsequent ordinary shareholders’ meeting. Our shareholders at the 2020 annual general meeting held on April 29, 2020 set the maximum aggregate amount of compensation for the board of directors for their term of office until the 2021 general meeting at CHF 953,700. Our shareholders at the 2021 annual general meeting held on April 21, 2021, set the maximum aggregate amount of compensation for the board of directors for their term of office until the 2022 general meeting at CHF 1,091,400.</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year ended December 31, 2020, the compensation of the members of our board of directors consisted of fixed compensation only. Compensation of the members of our board of directors for the year ended December 31, 2020 consisted of a fixed cash fee and restricted share units, or RSUs. The following table sets out information regarding the compensation earned by our directors for service on our board of directors during the year ended December 31, 2020. Dr. Amstutz, our Chief Executive Officer and a member of our board of directors, does not receive any additional compensation for his service as a director.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Fees Earned</w:t>
            </w:r>
          </w:p>
        </w:tc>
        <w:tc>
          <w:tcPr>
            <w:tcW w:w="1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RSUs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21"/>
                <w:szCs w:val="21"/>
                <w:b w:val="1"/>
                <w:bCs w:val="1"/>
                <w:color w:val="auto"/>
                <w:vertAlign w:val="superscript"/>
              </w:rPr>
              <w:t>(1)</w:t>
            </w:r>
          </w:p>
        </w:tc>
      </w:tr>
      <w:tr>
        <w:trPr>
          <w:trHeight w:val="207"/>
        </w:trPr>
        <w:tc>
          <w:tcPr>
            <w:tcW w:w="4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980" w:type="dxa"/>
            <w:vAlign w:val="bottom"/>
          </w:tcPr>
          <w:p>
            <w:pPr>
              <w:jc w:val="right"/>
              <w:ind w:right="531"/>
              <w:spacing w:after="0"/>
              <w:rPr>
                <w:sz w:val="20"/>
                <w:szCs w:val="20"/>
                <w:color w:val="auto"/>
              </w:rPr>
            </w:pPr>
            <w:r>
              <w:rPr>
                <w:rFonts w:ascii="Arial" w:cs="Arial" w:eastAsia="Arial" w:hAnsi="Arial"/>
                <w:sz w:val="16"/>
                <w:szCs w:val="16"/>
                <w:b w:val="1"/>
                <w:bCs w:val="1"/>
                <w:color w:val="auto"/>
                <w:w w:val="97"/>
              </w:rPr>
              <w:t>in CHF thousands</w:t>
            </w:r>
          </w:p>
        </w:tc>
        <w:tc>
          <w:tcPr>
            <w:tcW w:w="1040" w:type="dxa"/>
            <w:vAlign w:val="bottom"/>
          </w:tcPr>
          <w:p>
            <w:pPr>
              <w:spacing w:after="0"/>
              <w:rPr>
                <w:sz w:val="17"/>
                <w:szCs w:val="17"/>
                <w:color w:val="auto"/>
              </w:rPr>
            </w:pPr>
          </w:p>
        </w:tc>
      </w:tr>
      <w:tr>
        <w:trPr>
          <w:trHeight w:val="23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170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Göran Ando</w:t>
            </w:r>
            <w:r>
              <w:rPr>
                <w:rFonts w:ascii="Arial" w:cs="Arial" w:eastAsia="Arial" w:hAnsi="Arial"/>
                <w:sz w:val="23"/>
                <w:szCs w:val="23"/>
                <w:color w:val="auto"/>
                <w:vertAlign w:val="superscript"/>
              </w:rPr>
              <w:t>(2)</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William A. Lee</w:t>
            </w:r>
            <w:r>
              <w:rPr>
                <w:rFonts w:ascii="Arial" w:cs="Arial" w:eastAsia="Arial" w:hAnsi="Arial"/>
                <w:sz w:val="23"/>
                <w:szCs w:val="23"/>
                <w:color w:val="auto"/>
                <w:vertAlign w:val="superscript"/>
              </w:rPr>
              <w:t>(3)</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Petri Vainio</w:t>
            </w:r>
            <w:r>
              <w:rPr>
                <w:rFonts w:ascii="Arial" w:cs="Arial" w:eastAsia="Arial" w:hAnsi="Arial"/>
                <w:sz w:val="23"/>
                <w:szCs w:val="23"/>
                <w:color w:val="auto"/>
                <w:vertAlign w:val="superscript"/>
              </w:rPr>
              <w:t>(4)</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Gwendolyn Anne Fyfe</w:t>
            </w:r>
            <w:r>
              <w:rPr>
                <w:rFonts w:ascii="Arial" w:cs="Arial" w:eastAsia="Arial" w:hAnsi="Arial"/>
                <w:sz w:val="23"/>
                <w:szCs w:val="23"/>
                <w:color w:val="auto"/>
                <w:vertAlign w:val="superscript"/>
              </w:rPr>
              <w:t>(5)</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Sandip Kapadia</w:t>
            </w:r>
            <w:r>
              <w:rPr>
                <w:rFonts w:ascii="Arial" w:cs="Arial" w:eastAsia="Arial" w:hAnsi="Arial"/>
                <w:sz w:val="23"/>
                <w:szCs w:val="23"/>
                <w:color w:val="auto"/>
                <w:vertAlign w:val="superscript"/>
              </w:rPr>
              <w:t>(6)</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Vito J. Palombella</w:t>
            </w:r>
            <w:r>
              <w:rPr>
                <w:rFonts w:ascii="Arial" w:cs="Arial" w:eastAsia="Arial" w:hAnsi="Arial"/>
                <w:sz w:val="23"/>
                <w:szCs w:val="23"/>
                <w:color w:val="auto"/>
                <w:vertAlign w:val="superscript"/>
              </w:rPr>
              <w:t>(7)</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Vasconcelles</w:t>
            </w:r>
            <w:r>
              <w:rPr>
                <w:rFonts w:ascii="Arial" w:cs="Arial" w:eastAsia="Arial" w:hAnsi="Arial"/>
                <w:sz w:val="23"/>
                <w:szCs w:val="23"/>
                <w:color w:val="auto"/>
                <w:vertAlign w:val="superscript"/>
              </w:rPr>
              <w:t>(8)</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85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Dr. Agnete Fredriksen</w:t>
            </w:r>
            <w:r>
              <w:rPr>
                <w:rFonts w:ascii="Arial" w:cs="Arial" w:eastAsia="Arial" w:hAnsi="Arial"/>
                <w:sz w:val="23"/>
                <w:szCs w:val="23"/>
                <w:color w:val="auto"/>
                <w:vertAlign w:val="superscript"/>
              </w:rPr>
              <w:t>(9)</w:t>
            </w:r>
          </w:p>
        </w:tc>
        <w:tc>
          <w:tcPr>
            <w:tcW w:w="354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1980" w:type="dxa"/>
            <w:vAlign w:val="bottom"/>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Dominik Höchli</w:t>
            </w:r>
            <w:r>
              <w:rPr>
                <w:rFonts w:ascii="Arial" w:cs="Arial" w:eastAsia="Arial" w:hAnsi="Arial"/>
                <w:sz w:val="23"/>
                <w:szCs w:val="23"/>
                <w:color w:val="auto"/>
                <w:vertAlign w:val="superscript"/>
              </w:rPr>
              <w:t>(10)</w:t>
            </w:r>
          </w:p>
        </w:tc>
        <w:tc>
          <w:tcPr>
            <w:tcW w:w="3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w:t>
            </w:r>
          </w:p>
        </w:tc>
        <w:tc>
          <w:tcPr>
            <w:tcW w:w="198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46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Dr. Patrick Amstutz</w:t>
            </w:r>
            <w:r>
              <w:rPr>
                <w:rFonts w:ascii="Arial" w:cs="Arial" w:eastAsia="Arial" w:hAnsi="Arial"/>
                <w:sz w:val="23"/>
                <w:szCs w:val="23"/>
                <w:color w:val="auto"/>
                <w:vertAlign w:val="superscript"/>
              </w:rPr>
              <w:t>(11)</w:t>
            </w:r>
          </w:p>
        </w:tc>
        <w:tc>
          <w:tcPr>
            <w:tcW w:w="3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w:t>
            </w:r>
          </w:p>
        </w:tc>
        <w:tc>
          <w:tcPr>
            <w:tcW w:w="1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bl>
    <w:p>
      <w:pPr>
        <w:spacing w:after="0" w:line="232" w:lineRule="exact"/>
        <w:rPr>
          <w:sz w:val="20"/>
          <w:szCs w:val="20"/>
          <w:color w:val="auto"/>
        </w:rPr>
      </w:pPr>
    </w:p>
    <w:p>
      <w:pPr>
        <w:ind w:left="340" w:right="140" w:hanging="332"/>
        <w:spacing w:after="0" w:line="287" w:lineRule="auto"/>
        <w:tabs>
          <w:tab w:leader="none" w:pos="335"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total compensation awarded to the members of the board of directors shown in this table does not include the payments of approximately CHF 7,000 we made in 2020 to cover the mandatory employer social security contribution on the base fees. In addition, upon vesting of the RSUs 2020 in 2023, we will be obliged to make employer contributions to social security pursuant to applicable mandatory law. As an estimate based on currently applicable contribution rates, the employer contributions on the RSUs 2020 expected to vest in 2023 will amount to approximately CHF 9,000.</w:t>
      </w:r>
    </w:p>
    <w:p>
      <w:pPr>
        <w:spacing w:after="0" w:line="1" w:lineRule="exact"/>
        <w:rPr>
          <w:rFonts w:ascii="Arial" w:cs="Arial" w:eastAsia="Arial" w:hAnsi="Arial"/>
          <w:sz w:val="12"/>
          <w:szCs w:val="12"/>
          <w:color w:val="auto"/>
        </w:rPr>
      </w:pPr>
    </w:p>
    <w:p>
      <w:pPr>
        <w:ind w:left="320" w:hanging="312"/>
        <w:spacing w:after="0"/>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Dr. Göran Ando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Dr. William A. Lee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Dr. Petri Vainio did not stand for re-election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Dr. Gwendolyn Anne Fyfe did not stand for re-election at the 2021 annual general meeting held on April 21,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Sandip Kapadia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Vito J. Palombella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Michael Vasconcelles was elected as new member of the board of directors at the 2020 annual general meeting held on April 29, 2020.</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Dr. Agnete Fredriksen was elected as new member of the board of directors at the 2021 annual general meeting held on April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4" w:lineRule="exact"/>
        <w:rPr>
          <w:sz w:val="20"/>
          <w:szCs w:val="20"/>
          <w:color w:val="auto"/>
        </w:rPr>
      </w:pPr>
    </w:p>
    <w:p>
      <w:pPr>
        <w:ind w:left="360" w:hanging="352"/>
        <w:spacing w:after="0"/>
        <w:tabs>
          <w:tab w:leader="none" w:pos="3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Dr. Dominik Höchli was elected as new member of the board of directors at the 2021 annual general meeting held on April 21, 2021</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90"/>
        </w:numPr>
        <w:rPr>
          <w:rFonts w:ascii="Arial" w:cs="Arial" w:eastAsia="Arial" w:hAnsi="Arial"/>
          <w:sz w:val="13"/>
          <w:szCs w:val="13"/>
          <w:color w:val="auto"/>
        </w:rPr>
      </w:pPr>
      <w:r>
        <w:rPr>
          <w:rFonts w:ascii="Arial" w:cs="Arial" w:eastAsia="Arial" w:hAnsi="Arial"/>
          <w:sz w:val="13"/>
          <w:szCs w:val="13"/>
          <w:color w:val="auto"/>
        </w:rPr>
        <w:t>For our Chief Executive Officer’s compensation other than in connection with his service on our board of directors, please refer to “— Executive Compensation.”</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December 31, 2020, all members of our board of directors were non-executives, except for Dr. Amstutz. None of the members of our board of directors has any significant business connections with the Company or was a member of the Management Board of the Company, except for Dr. Amstutz, who has been a member of the Management Board since the Company's inception in 2004.</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Except as described in the section of this prospectus entitled “Related Party Transactions—Agreements with Our Directors and Executive Officers”, there are no arrangements or understandings between us and any of our directors providing for benefits upon termination of their service as our directors.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of the Management Board, also referred to herein as our executive officers, may consist of fixed and variable compensation. Fixed compensation comprises the base salary and the corresponding pension contributions. Variable compensation comprises short-term and long-term variable compensation elements:</w:t>
      </w:r>
    </w:p>
    <w:p>
      <w:pPr>
        <w:spacing w:after="0" w:line="116"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short-term variable compensation, paid as a cash bonus, is determined exclusively by the achievement of pre-defined annual corporate goals; and</w:t>
      </w:r>
    </w:p>
    <w:p>
      <w:pPr>
        <w:spacing w:after="0" w:line="180" w:lineRule="exact"/>
        <w:rPr>
          <w:rFonts w:ascii="Arial" w:cs="Arial" w:eastAsia="Arial" w:hAnsi="Arial"/>
          <w:sz w:val="16"/>
          <w:szCs w:val="16"/>
          <w:color w:val="auto"/>
        </w:rPr>
      </w:pPr>
    </w:p>
    <w:p>
      <w:pPr>
        <w:jc w:val="both"/>
        <w:ind w:left="340" w:right="280" w:hanging="332"/>
        <w:spacing w:after="0" w:line="263" w:lineRule="auto"/>
        <w:tabs>
          <w:tab w:leader="none" w:pos="3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long-term variable compensation, granted as Performance Share Units, or PSUs, is determined based on (i) the achievement of annual corporate goals, (ii) the achievement of long-term value-driving milestones outside of such corporate goals and (iii) the development of the share price of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out information regarding compensation earned by members of the Management Board during the year ended December 31,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Non-Equity</w:t>
            </w:r>
          </w:p>
        </w:tc>
        <w:tc>
          <w:tcPr>
            <w:tcW w:w="182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6"/>
                <w:szCs w:val="16"/>
                <w:b w:val="1"/>
                <w:bCs w:val="1"/>
                <w:color w:val="auto"/>
              </w:rPr>
              <w:t>All Other</w:t>
            </w: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and principal position</w:t>
            </w:r>
          </w:p>
        </w:tc>
        <w:tc>
          <w:tcPr>
            <w:tcW w:w="150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Salary</w:t>
            </w:r>
          </w:p>
        </w:tc>
        <w:tc>
          <w:tcPr>
            <w:tcW w:w="124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Bonus</w:t>
            </w:r>
            <w:r>
              <w:rPr>
                <w:rFonts w:ascii="Arial" w:cs="Arial" w:eastAsia="Arial" w:hAnsi="Arial"/>
                <w:sz w:val="21"/>
                <w:szCs w:val="21"/>
                <w:b w:val="1"/>
                <w:bCs w:val="1"/>
                <w:color w:val="auto"/>
                <w:vertAlign w:val="superscript"/>
              </w:rPr>
              <w:t>(1)</w:t>
            </w:r>
          </w:p>
        </w:tc>
        <w:tc>
          <w:tcPr>
            <w:tcW w:w="162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Equity Awards</w:t>
            </w:r>
          </w:p>
        </w:tc>
        <w:tc>
          <w:tcPr>
            <w:tcW w:w="1560" w:type="dxa"/>
            <w:vAlign w:val="bottom"/>
          </w:tcPr>
          <w:p>
            <w:pPr>
              <w:jc w:val="right"/>
              <w:ind w:right="135"/>
              <w:spacing w:after="0" w:line="162" w:lineRule="exact"/>
              <w:rPr>
                <w:sz w:val="20"/>
                <w:szCs w:val="20"/>
                <w:color w:val="auto"/>
              </w:rPr>
            </w:pPr>
            <w:r>
              <w:rPr>
                <w:rFonts w:ascii="Arial" w:cs="Arial" w:eastAsia="Arial" w:hAnsi="Arial"/>
                <w:sz w:val="16"/>
                <w:szCs w:val="16"/>
                <w:b w:val="1"/>
                <w:bCs w:val="1"/>
                <w:color w:val="auto"/>
              </w:rPr>
              <w:t>Incentive Plan</w:t>
            </w:r>
          </w:p>
        </w:tc>
        <w:tc>
          <w:tcPr>
            <w:tcW w:w="1820" w:type="dxa"/>
            <w:vAlign w:val="bottom"/>
            <w:vMerge w:val="continue"/>
          </w:tcPr>
          <w:p>
            <w:pPr>
              <w:spacing w:after="0"/>
              <w:rPr>
                <w:sz w:val="14"/>
                <w:szCs w:val="14"/>
                <w:color w:val="auto"/>
              </w:rPr>
            </w:pPr>
          </w:p>
        </w:tc>
        <w:tc>
          <w:tcPr>
            <w:tcW w:w="900" w:type="dxa"/>
            <w:vAlign w:val="bottom"/>
            <w:vMerge w:val="restart"/>
          </w:tcPr>
          <w:p>
            <w:pPr>
              <w:ind w:left="400"/>
              <w:spacing w:after="0"/>
              <w:rPr>
                <w:sz w:val="20"/>
                <w:szCs w:val="20"/>
                <w:color w:val="auto"/>
              </w:rPr>
            </w:pPr>
            <w:r>
              <w:rPr>
                <w:rFonts w:ascii="Arial" w:cs="Arial" w:eastAsia="Arial" w:hAnsi="Arial"/>
                <w:sz w:val="16"/>
                <w:szCs w:val="16"/>
                <w:b w:val="1"/>
                <w:bCs w:val="1"/>
                <w:color w:val="auto"/>
                <w:w w:val="86"/>
              </w:rPr>
              <w:t>Total</w:t>
            </w:r>
            <w:r>
              <w:rPr>
                <w:rFonts w:ascii="Arial" w:cs="Arial" w:eastAsia="Arial" w:hAnsi="Arial"/>
                <w:sz w:val="21"/>
                <w:szCs w:val="21"/>
                <w:b w:val="1"/>
                <w:bCs w:val="1"/>
                <w:color w:val="auto"/>
                <w:w w:val="86"/>
                <w:vertAlign w:val="superscript"/>
              </w:rPr>
              <w:t>(4)</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Compensation</w:t>
            </w:r>
          </w:p>
        </w:tc>
        <w:tc>
          <w:tcPr>
            <w:tcW w:w="1820" w:type="dxa"/>
            <w:vAlign w:val="bottom"/>
            <w:tcBorders>
              <w:bottom w:val="single" w:sz="8" w:color="auto"/>
            </w:tcBorders>
          </w:tcPr>
          <w:p>
            <w:pPr>
              <w:jc w:val="right"/>
              <w:ind w:right="295"/>
              <w:spacing w:after="0" w:line="216" w:lineRule="exact"/>
              <w:rPr>
                <w:sz w:val="20"/>
                <w:szCs w:val="20"/>
                <w:color w:val="auto"/>
              </w:rPr>
            </w:pPr>
            <w:r>
              <w:rPr>
                <w:rFonts w:ascii="Arial" w:cs="Arial" w:eastAsia="Arial" w:hAnsi="Arial"/>
                <w:sz w:val="16"/>
                <w:szCs w:val="16"/>
                <w:b w:val="1"/>
                <w:bCs w:val="1"/>
                <w:color w:val="auto"/>
                <w:w w:val="97"/>
              </w:rPr>
              <w:t>Compensation</w:t>
            </w:r>
            <w:r>
              <w:rPr>
                <w:rFonts w:ascii="Arial" w:cs="Arial" w:eastAsia="Arial" w:hAnsi="Arial"/>
                <w:sz w:val="21"/>
                <w:szCs w:val="21"/>
                <w:b w:val="1"/>
                <w:bCs w:val="1"/>
                <w:color w:val="auto"/>
                <w:w w:val="97"/>
                <w:vertAlign w:val="superscript"/>
              </w:rPr>
              <w:t>(2)(3)</w:t>
            </w: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180" w:type="dxa"/>
            <w:vAlign w:val="bottom"/>
            <w:gridSpan w:val="2"/>
          </w:tcPr>
          <w:p>
            <w:pPr>
              <w:jc w:val="right"/>
              <w:ind w:right="995"/>
              <w:spacing w:after="0"/>
              <w:rPr>
                <w:sz w:val="20"/>
                <w:szCs w:val="20"/>
                <w:color w:val="auto"/>
              </w:rPr>
            </w:pPr>
            <w:r>
              <w:rPr>
                <w:rFonts w:ascii="Arial" w:cs="Arial" w:eastAsia="Arial" w:hAnsi="Arial"/>
                <w:sz w:val="16"/>
                <w:szCs w:val="16"/>
                <w:b w:val="1"/>
                <w:bCs w:val="1"/>
                <w:color w:val="auto"/>
              </w:rPr>
              <w:t>in CHF thousands</w:t>
            </w: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Patrick Amstutz</w:t>
            </w:r>
          </w:p>
        </w:tc>
        <w:tc>
          <w:tcPr>
            <w:tcW w:w="150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380</w:t>
            </w:r>
          </w:p>
        </w:tc>
        <w:tc>
          <w:tcPr>
            <w:tcW w:w="12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218</w:t>
            </w:r>
          </w:p>
        </w:tc>
        <w:tc>
          <w:tcPr>
            <w:tcW w:w="16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380</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176"/>
        </w:trPr>
        <w:tc>
          <w:tcPr>
            <w:tcW w:w="26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i w:val="1"/>
                <w:iCs w:val="1"/>
                <w:color w:val="auto"/>
              </w:rPr>
              <w:t>Director and Co-Founder</w:t>
            </w: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Management</w:t>
            </w:r>
          </w:p>
        </w:tc>
        <w:tc>
          <w:tcPr>
            <w:tcW w:w="15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1,350</w:t>
            </w:r>
          </w:p>
        </w:tc>
        <w:tc>
          <w:tcPr>
            <w:tcW w:w="12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665</w:t>
            </w:r>
          </w:p>
        </w:tc>
        <w:tc>
          <w:tcPr>
            <w:tcW w:w="16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1,156</w:t>
            </w:r>
          </w:p>
        </w:tc>
        <w:tc>
          <w:tcPr>
            <w:tcW w:w="1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0</w:t>
            </w:r>
          </w:p>
        </w:tc>
        <w:tc>
          <w:tcPr>
            <w:tcW w:w="182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205</w:t>
            </w:r>
          </w:p>
        </w:tc>
        <w:tc>
          <w:tcPr>
            <w:tcW w:w="9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amounts earned in 2020.</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Represents pension contributions.</w:t>
      </w:r>
    </w:p>
    <w:p>
      <w:pPr>
        <w:spacing w:after="0" w:line="12" w:lineRule="exact"/>
        <w:rPr>
          <w:rFonts w:ascii="Arial" w:cs="Arial" w:eastAsia="Arial" w:hAnsi="Arial"/>
          <w:sz w:val="13"/>
          <w:szCs w:val="13"/>
          <w:color w:val="auto"/>
        </w:rPr>
      </w:pPr>
    </w:p>
    <w:p>
      <w:pPr>
        <w:ind w:left="340" w:right="80" w:hanging="332"/>
        <w:spacing w:after="0" w:line="260" w:lineRule="auto"/>
        <w:tabs>
          <w:tab w:leader="none" w:pos="335" w:val="left"/>
        </w:tabs>
        <w:numPr>
          <w:ilvl w:val="0"/>
          <w:numId w:val="92"/>
        </w:numPr>
        <w:rPr>
          <w:rFonts w:ascii="Arial" w:cs="Arial" w:eastAsia="Arial" w:hAnsi="Arial"/>
          <w:sz w:val="13"/>
          <w:szCs w:val="13"/>
          <w:color w:val="auto"/>
        </w:rPr>
      </w:pPr>
      <w:r>
        <w:rPr>
          <w:rFonts w:ascii="Arial" w:cs="Arial" w:eastAsia="Arial" w:hAnsi="Arial"/>
          <w:sz w:val="13"/>
          <w:szCs w:val="13"/>
          <w:color w:val="auto"/>
        </w:rPr>
        <w:t>All other compensation awarded to the members of the Management Board shown in this table does not include the payments of CHF 101,219 we made in 2020 to cover the mandatory employer social security contribution on the base salary and on the bonus. In addition, upon vesting of the PSUs 2020 in 2023, we will be obliged to make employer contributions to social security pursuant to applicable mandatory law. As an estimate based on currently applicable contribution rates, the employer contributions on the PSUs 2020 expected to vest in 2023 will amount to approximately CHF 67,000 (assuming 100% target achievement and full vesting of the PSUs).</w:t>
      </w:r>
    </w:p>
    <w:p>
      <w:pPr>
        <w:ind w:left="320" w:hanging="312"/>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total compensation awarded to members of the Management Board shown in this table does not include the items mentioned in the foregoing note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a discussion of our employment arrangements with our executive officers, see the section of this prospectus entitled “Related Party Transactions— Agreements with Our Directors and Executive Officers—Employment Arrangements.” Except for the arrangements described in the section of this prospectus entitled “Related Party Transactions—Agreements with Our Directors and Executive Officers—Employment Arrangements,” there are no arrangements or understanding between us and any of our other executive officers providing for benefits upon termination of their employment, other than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Swiss corporate law, an indemnification of a director or member of the executive management in relation to potential personal liability is not effective to the extent the director or member of the executive management intentionally or negligently violated his or her corporate duties towards the company (certain views advocate that at least a grossly negligent violation is required to exclude the indemnification). Most violations of corporate law are regarded as violations of duties towards the company rather than towards the shareholders. In addition, indemnification of controlling persons is not permitted under Swiss corporate law, including shareholders of the company.</w:t>
      </w:r>
    </w:p>
    <w:p>
      <w:pPr>
        <w:spacing w:after="0" w:line="12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Nevertheless, the articles of association of a Swiss corporation may set forth that the company shall indemnify and hold harmless to the extent permitted by the law, the directors and executive managers out of assets of the company against threatened, pending or completed actions. However, our articles of association do not provide for such an indemnification provision.</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addition, a corporation may enter into and pay for directors' and officers' liability insurance which typically covers negligent acts as well.</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intend to extend liability insurance for our directors and officers, including insurance coverage for liability under the Securities Act. We believe that this insurance is necessary to attract qualified directors and executive officers.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Incentives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our ability to grant incentive awards is a valuable and necessary compensation tool that allows us to attract and retain the best available personnel for positions of substantial responsibility, provides additional incentives to directors, executive officers, and employees and promotes the success of our business. Historically, we have granted several different equity incentive instruments to our directors, employees and other service providers, including:</w:t>
      </w:r>
    </w:p>
    <w:p>
      <w:pPr>
        <w:spacing w:after="0" w:line="119"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Restricted Share Units, or RSUs, granted to our directors;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Performance Share Units, or PSUs, granted to our executive officers and employees;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 options granted to employees, directors and selected advisors.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articles of association authorize the board of directors to issue one or more participations plans and/or policies. An amendment or renewal of the relevant provision in our articles of association must be approved by an absolute majority of the votes represented at the general meeting of shareholders. Once our board of directors' authority is approved by our shareholders, the maximum aggregate amounts of the variable compensation elements actually granted to the directors and executive officers must be approved by an absolute majority of the votes represented at the general meeting of shareholders and shall continue for the duration of the current financial year. Compensation may be paid out prior to approval by the general meeting of shareholders subject to subsequent approval. If the general meeting of shareholders does not approve a proposal of the board of directors, the board of directors must newly determine the maximum aggregate amount or maximum partial amounts taking into account all relevant factors and submit such amounts for approval to the same general meeting of shareholders, to an extraordinary general meeting of shareholders or to the next ordinary general meeting of shareholders.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Options</w:t>
      </w:r>
    </w:p>
    <w:p>
      <w:pPr>
        <w:spacing w:after="0" w:line="14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Prior to our initial public offering on SIX Swiss Exchange on November 5, 2014, which we refer to as our Swiss IPO, our board of directors established three share option plans: (i) the Employee Share Option Plan 2007, or ESOP 2007, (ii) the Employee Share Option Plan 2009, or ESOP 2009, and (iii) the Employee Share Option Plan 2014, or ESOP 2014, with similar features as the ESOP 2009, but no longer providing for accelerated vesting of options in the event of our Swiss IPO. Each option entitles its holder to purchase one of our shares at the pre-defined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1440" w:right="359" w:bottom="1440" w:gutter="0" w:footer="0" w:header="0"/>
        </w:sectPr>
      </w:pPr>
    </w:p>
    <w:bookmarkStart w:id="177" w:name="page178"/>
    <w:bookmarkEnd w:id="177"/>
    <w:p>
      <w:pPr>
        <w:spacing w:after="0" w:line="13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price. The number of options granted to each participant was determined by the board of directors based on a participant’s position and level of responsibility. As a rule, the options vested quarterly over a four year period. At the end of the option term, the unexercised options expire without value.</w:t>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no options were outstanding under the ESOP 2007, and an aggregate of 382,059 options were outstanding under the ESOP 2009 and ESOP 2014, together. As of December 31, 2020, all of the outstanding options were fully vested.</w:t>
      </w:r>
    </w:p>
    <w:p>
      <w:pPr>
        <w:spacing w:after="0" w:line="10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Following our Swiss IPO, no further grants were made under any of the ESOP 2007, ESOP 2009 or ESOP 2014, and we do not intend to make any further grants under any of these plans in the future. For additional information, see Note 18 to our financial statements as of and for the year ended December 31, 2020 included elsewhere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 Units (RSUs)</w:t>
      </w:r>
    </w:p>
    <w:p>
      <w:pPr>
        <w:spacing w:after="0" w:line="14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Under the LTI Plans, described in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xml:space="preserve">” below, members of our board of directors are eligible to be granted RSUs. RSUs are contingent rights to receive a certain number of our shares at the end of a three-year blocking period. RSUs vest over a one-year period from their date of grant, following the lapse of which they are no longer subject to forfeiture if a member of our board resigns. The number of shares to be received is not variable, </w:t>
      </w:r>
      <w:r>
        <w:rPr>
          <w:rFonts w:ascii="Arial" w:cs="Arial" w:eastAsia="Arial" w:hAnsi="Arial"/>
          <w:sz w:val="17"/>
          <w:szCs w:val="17"/>
          <w:i w:val="1"/>
          <w:iCs w:val="1"/>
          <w:color w:val="auto"/>
        </w:rPr>
        <w:t>i.e.</w:t>
      </w:r>
      <w:r>
        <w:rPr>
          <w:rFonts w:ascii="Arial" w:cs="Arial" w:eastAsia="Arial" w:hAnsi="Arial"/>
          <w:sz w:val="17"/>
          <w:szCs w:val="17"/>
          <w:color w:val="auto"/>
        </w:rPr>
        <w:t>, the number of shares does not depend on the achievement of certain pre-defined performance metrics. In certain circumstances, including a change of control, a full or partial early vesting of the RSUs may occur.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87,906 RSUs were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LTI Plans, described in “—</w:t>
      </w:r>
      <w:r>
        <w:rPr>
          <w:rFonts w:ascii="Arial" w:cs="Arial" w:eastAsia="Arial" w:hAnsi="Arial"/>
          <w:sz w:val="17"/>
          <w:szCs w:val="17"/>
          <w:i w:val="1"/>
          <w:iCs w:val="1"/>
          <w:color w:val="auto"/>
        </w:rPr>
        <w:t>Long-Term Incentive Plans</w:t>
      </w:r>
      <w:r>
        <w:rPr>
          <w:rFonts w:ascii="Arial" w:cs="Arial" w:eastAsia="Arial" w:hAnsi="Arial"/>
          <w:sz w:val="17"/>
          <w:szCs w:val="17"/>
          <w:color w:val="auto"/>
        </w:rPr>
        <w:t>” below, executive officers and employees are eligible to be granted PSUs. PSUs are contingent rights to receive a variable number of our shares either in aggregate at the end of a three-year cliff-vesting period or in annual installments over a three-year vesting period. The number of PSUs granted to a plan participant is calculated by dividing the CHF amount approved for the respective individual by the fair value of each PSU at the grant date based on the average share price in the two months preceding the grant date. While the PSUs are designed to allow the beneficiaries to participate in the long-term share price development, the number of shares to be earned in relation to a PSU depends on (i) the achievement of annual corporate goals for the respective year, (ii) the achievement of long-term value-driving milestones outside of such corporate goals during such year and (iii) the development of the share price of the Company. In accordance with these parameters, the number of shares to be issued based on the PSUs can be between zero and 120%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445,198 PSUs were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long-term incentive plans established in March of 2015, March of 2016, March of 2017, March of 2018, March of 2019, March of 2020 and March of 2021, respectively, which we collectively refer to as the LTI Plans, are rolled out annually. This allows our board of directors to review and adjust the terms and targets of the LTI Plans on an annual basis. Employees generally receive the grants on April 1 of each calendar year. With respect to members of the Management Board, the annual grants are usually made on April 1 subject to approval of the ordinary shareholders’ meeting at which the necessary amounts for variable compensation are approved by the shareholders. With respect to members of our board of directors, the annual grants are made following the ordinary shareholders’ meeting, at which the necessary amounts for variable compensation are approved by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320" w:top="1440" w:right="379" w:bottom="1440" w:gutter="0" w:footer="0" w:header="0"/>
        </w:sectPr>
      </w:pPr>
    </w:p>
    <w:bookmarkStart w:id="178" w:name="page179"/>
    <w:bookmarkEnd w:id="178"/>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Ownership</w:t>
      </w:r>
    </w:p>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shows the number of common shares, options, RSUs and PSUs held by the individual members of the board of directors and the Management Board as of April 20,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31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Shares</w:t>
            </w:r>
          </w:p>
        </w:tc>
        <w:tc>
          <w:tcPr>
            <w:tcW w:w="14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Options</w:t>
            </w:r>
          </w:p>
        </w:tc>
        <w:tc>
          <w:tcPr>
            <w:tcW w:w="14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RSUs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PSUs</w:t>
            </w: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M. Burns</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8,770</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20,731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Dr. Gwendolyn Anne Fyfe</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5,011</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9,077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H. Holtzman</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8,894</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20,000</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9,077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4,781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Vito J. Palombella</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4,781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Michael Vasconcelles</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4,781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3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3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Patrick Amstutz</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710,687</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70,080</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49,108</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Dr. Michael Tobias Stumpp</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767,259</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36,070</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31,637</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Andreas Emmenegger</w:t>
            </w:r>
          </w:p>
        </w:tc>
        <w:tc>
          <w:tcPr>
            <w:tcW w:w="3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248,700</w:t>
            </w:r>
          </w:p>
        </w:tc>
        <w:tc>
          <w:tcPr>
            <w:tcW w:w="14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36,070</w:t>
            </w:r>
          </w:p>
        </w:tc>
        <w:tc>
          <w:tcPr>
            <w:tcW w:w="14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31,637</w:t>
            </w:r>
          </w:p>
        </w:tc>
      </w:tr>
      <w:tr>
        <w:trPr>
          <w:trHeight w:val="257"/>
        </w:trPr>
        <w:tc>
          <w:tcPr>
            <w:tcW w:w="4140" w:type="dxa"/>
            <w:vAlign w:val="bottom"/>
          </w:tcPr>
          <w:p>
            <w:pPr>
              <w:ind w:left="20"/>
              <w:spacing w:after="0"/>
              <w:rPr>
                <w:sz w:val="20"/>
                <w:szCs w:val="20"/>
                <w:color w:val="auto"/>
              </w:rPr>
            </w:pPr>
            <w:r>
              <w:rPr>
                <w:rFonts w:ascii="Arial" w:cs="Arial" w:eastAsia="Arial" w:hAnsi="Arial"/>
                <w:sz w:val="18"/>
                <w:szCs w:val="18"/>
                <w:color w:val="auto"/>
              </w:rPr>
              <w:t>Dr. Nicolas Leupin</w:t>
            </w:r>
          </w:p>
        </w:tc>
        <w:tc>
          <w:tcPr>
            <w:tcW w:w="3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43,262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1440" w:right="459" w:bottom="1440" w:gutter="0" w:footer="0" w:header="0"/>
        </w:sectPr>
      </w:pPr>
    </w:p>
    <w:bookmarkStart w:id="179" w:name="page180"/>
    <w:bookmarkEnd w:id="179"/>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RELATED PARTY TRANSACTIONS</w:t>
      </w: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Since January 1, 2018, we have engaged in the following transactions with our directors, executive officers and holders of more than 3% of our outstanding voting securities and their affiliates, which we refer to as our related parties.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Our Directors and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entered into customary employment agreements with all of our executive officers. These agreements provide for a base salary and annual incentive bonus opportunity, as well as participation in our equity incentive plans. These agreements generally require advance notice of termination of six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this offering, we intend to enter into indemnification agreements with each of our directors and executive officers. See the section of this prospectus entitled “Executive Compensation—Limitation on Liability and Indemnification Matters.”</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Shareholders</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October 2020, we entered into the Novartis Agreement. See “Business—License and Collaboration Agreements" for information regarding the Novartis Agreement.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Transactions Policy</w:t>
      </w:r>
    </w:p>
    <w:p>
      <w:pPr>
        <w:spacing w:after="0" w:line="1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Related party transaction policies are generally not required by statutory Swiss law. However, our articles of association provide for the following rules in connection with transactions with members of the board of directors and the executive management:</w:t>
      </w:r>
    </w:p>
    <w:p>
      <w:pPr>
        <w:spacing w:after="0" w:line="89" w:lineRule="exact"/>
        <w:rPr>
          <w:sz w:val="20"/>
          <w:szCs w:val="20"/>
          <w:color w:val="auto"/>
        </w:rPr>
      </w:pPr>
    </w:p>
    <w:p>
      <w:pPr>
        <w:ind w:left="340" w:right="140" w:hanging="332"/>
        <w:spacing w:after="0" w:line="277"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may enter into mandate or other agreements with the members of our board of directors regarding their compensation as directors for a fixed term or for an indefinite term. The duration and termination are subject to term of office and the law.</w:t>
      </w:r>
    </w:p>
    <w:p>
      <w:pPr>
        <w:spacing w:after="0" w:line="102" w:lineRule="exact"/>
        <w:rPr>
          <w:rFonts w:ascii="Arial" w:cs="Arial" w:eastAsia="Arial" w:hAnsi="Arial"/>
          <w:sz w:val="18"/>
          <w:szCs w:val="18"/>
          <w:color w:val="auto"/>
        </w:rPr>
      </w:pPr>
    </w:p>
    <w:p>
      <w:pPr>
        <w:ind w:left="340" w:right="140" w:hanging="332"/>
        <w:spacing w:after="0" w:line="263"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may enter into employment agreements with the members of the executive management for a fixed term or for an indefinite term. The duration of fixed term agreements may not exceed one year. A renewal of a fixed term agreement is permissible. Agreements for an indefinite term may have a termination notice period of a maximum of one year.</w:t>
      </w:r>
    </w:p>
    <w:p>
      <w:pPr>
        <w:spacing w:after="0" w:line="116" w:lineRule="exact"/>
        <w:rPr>
          <w:rFonts w:ascii="Arial" w:cs="Arial" w:eastAsia="Arial" w:hAnsi="Arial"/>
          <w:sz w:val="18"/>
          <w:szCs w:val="18"/>
          <w:color w:val="auto"/>
        </w:rPr>
      </w:pPr>
    </w:p>
    <w:p>
      <w:pPr>
        <w:ind w:left="340" w:right="320" w:hanging="332"/>
        <w:spacing w:after="0" w:line="259" w:lineRule="auto"/>
        <w:tabs>
          <w:tab w:leader="none" w:pos="3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We may enter into non-competition agreements with members of the executive management for the period after the termination of the employment agreement. The duration of any such non-competition undertaking by a member of the executive management shall not exceed two years, and the consideration paid for a non-competition undertaking shall not exceed the sum of the total annual compensation of the respective member of the executive management last paid.</w:t>
      </w:r>
    </w:p>
    <w:p>
      <w:pPr>
        <w:spacing w:after="0" w:line="105" w:lineRule="exact"/>
        <w:rPr>
          <w:rFonts w:ascii="Arial" w:cs="Arial" w:eastAsia="Arial" w:hAnsi="Arial"/>
          <w:sz w:val="18"/>
          <w:szCs w:val="18"/>
          <w:color w:val="auto"/>
        </w:rPr>
      </w:pPr>
    </w:p>
    <w:p>
      <w:pPr>
        <w:ind w:left="340" w:right="340" w:hanging="332"/>
        <w:spacing w:after="0" w:line="286" w:lineRule="auto"/>
        <w:tabs>
          <w:tab w:leader="none" w:pos="335" w:val="left"/>
        </w:tabs>
        <w:numPr>
          <w:ilvl w:val="0"/>
          <w:numId w:val="94"/>
        </w:numPr>
        <w:rPr>
          <w:rFonts w:ascii="Arial" w:cs="Arial" w:eastAsia="Arial" w:hAnsi="Arial"/>
          <w:sz w:val="17"/>
          <w:szCs w:val="17"/>
          <w:color w:val="auto"/>
        </w:rPr>
      </w:pPr>
      <w:r>
        <w:rPr>
          <w:rFonts w:ascii="Arial" w:cs="Arial" w:eastAsia="Arial" w:hAnsi="Arial"/>
          <w:sz w:val="17"/>
          <w:szCs w:val="17"/>
          <w:color w:val="auto"/>
        </w:rPr>
        <w:t>Loans to members of the board of directors and the executive management may be granted, provided they are at standard market rates and the aggregate amount of the loan extended to the member of the board of directors or executive management does not exceed 200% of the total annual compensation of the respective member of the executive management last paid or payable for the first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0" w:lineRule="exact"/>
        <w:rPr>
          <w:sz w:val="20"/>
          <w:szCs w:val="20"/>
          <w:color w:val="auto"/>
        </w:rPr>
      </w:pPr>
    </w:p>
    <w:p>
      <w:pPr>
        <w:ind w:left="332" w:hanging="332"/>
        <w:spacing w:after="0" w:line="286" w:lineRule="auto"/>
        <w:tabs>
          <w:tab w:leader="none" w:pos="327"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Subject to the approval by the meeting of shareholders, we may grant to members of our board of directors or the executive management post-retirement benefits beyond the occupational benefit scheme, if such post-retirement benefits do not exceed 100% of the total annual compensation of the respective member last paid. In case of capital settlements, the value is determined by recognized actuarial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32"/>
          </w:cols>
          <w:pgMar w:left="328" w:top="1440" w:right="539" w:bottom="1440" w:gutter="0" w:footer="0" w:header="0"/>
        </w:sectPr>
      </w:pPr>
    </w:p>
    <w:bookmarkStart w:id="181" w:name="page182"/>
    <w:bookmarkEnd w:id="18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PRINCIPAL SHAREHOLDERS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and accompanying footnotes set forth, as of April 20, 2021, information regarding beneficial ownership of our common shares by:</w:t>
      </w:r>
    </w:p>
    <w:p>
      <w:pPr>
        <w:spacing w:after="0" w:line="169"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3% of our common shares;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Beneficial ownership is determined according to the rules of the SEC and generally means that a person has beneficial ownership of a security if he, she or it possesses sole or shared voting power or investment power with respect to that security, including common shares that vest within 60 days of April 20, 2021 and options and warrants that are currently exercisable or exercisable within 60 days of April 20, 2021. Shares issuable under PSUs or RSUs that vest within 60 days of April 20, 2021 and shares subject to options currently exercisable or exercisable within 60 days of April 20, 2021 are deemed to be outstanding for computing the percentage ownership of the person holding these free shares, options and the percentage ownership of any group of which the holder is a member, but are not deemed outstanding for computing the percentage of any other person.</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Except as indicated by the footnotes below, we believe, based on the information furnished or otherwise known to us, that the persons named in the table below have sole voting and investment power with respect to all shares shown that they beneficially own, subject to community property laws where applicable. The information does not necessarily indicate beneficial ownership for any other purpose, including for purposes of Sections 13(d) and 13(g) of the Securities Act or applicable Swiss law.</w:t>
      </w:r>
    </w:p>
    <w:p>
      <w:pPr>
        <w:spacing w:after="0" w:line="11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calculation of the percentage of beneficial ownership prior to the offering is based on 29,146,992 of our common shares registered with the commercial register of the canton of Zurich as of April 20, 2021. We have based our calculation of the percentage of beneficial ownership of our common</w:t>
      </w:r>
    </w:p>
    <w:p>
      <w:pPr>
        <w:ind w:right="240"/>
        <w:spacing w:after="0" w:line="260" w:lineRule="auto"/>
        <w:rPr>
          <w:sz w:val="20"/>
          <w:szCs w:val="20"/>
          <w:color w:val="auto"/>
        </w:rPr>
      </w:pPr>
      <w:r>
        <w:rPr>
          <w:rFonts w:ascii="Arial" w:cs="Arial" w:eastAsia="Arial" w:hAnsi="Arial"/>
          <w:sz w:val="18"/>
          <w:szCs w:val="18"/>
          <w:color w:val="auto"/>
        </w:rPr>
        <w:t>shares outstanding immediately after the closing of the offering of ADSs, assuming no exercise of the underwriters’ option to purchase additional ADSs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320" w:top="1440" w:right="379" w:bottom="1440" w:gutter="0" w:footer="0" w:header="0"/>
        </w:sectPr>
      </w:pPr>
    </w:p>
    <w:bookmarkStart w:id="182" w:name="page183"/>
    <w:bookmarkEnd w:id="182"/>
    <w:p>
      <w:pPr>
        <w:spacing w:after="0" w:line="130"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Except as otherwise indicated in the following table, addresses of the directors, executive officers and named beneficial owners are in care of Molecular Partners AG, Wagistrasse 14, 8952 Schlieren, Switzerland.</w:t>
      </w:r>
    </w:p>
    <w:tbl>
      <w:tblPr>
        <w:tblLayout w:type="fixed"/>
        <w:tblInd w:w="0" w:type="dxa"/>
        <w:tblCellMar>
          <w:top w:w="0" w:type="dxa"/>
          <w:left w:w="0" w:type="dxa"/>
          <w:bottom w:w="0" w:type="dxa"/>
          <w:right w:w="0" w:type="dxa"/>
        </w:tblCellMar>
      </w:tblPr>
      <w:tr>
        <w:trPr>
          <w:trHeight w:val="143"/>
        </w:trPr>
        <w:tc>
          <w:tcPr>
            <w:tcW w:w="594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2"/>
          </w:tcPr>
          <w:p>
            <w:pPr>
              <w:jc w:val="right"/>
              <w:ind w:right="212"/>
              <w:spacing w:after="0" w:line="143" w:lineRule="exact"/>
              <w:rPr>
                <w:sz w:val="20"/>
                <w:szCs w:val="20"/>
                <w:color w:val="auto"/>
              </w:rPr>
            </w:pPr>
            <w:r>
              <w:rPr>
                <w:rFonts w:ascii="Arial" w:cs="Arial" w:eastAsia="Arial" w:hAnsi="Arial"/>
                <w:sz w:val="14"/>
                <w:szCs w:val="14"/>
                <w:b w:val="1"/>
                <w:bCs w:val="1"/>
                <w:color w:val="auto"/>
              </w:rPr>
              <w:t>Shares Beneficially Owned Prior to</w:t>
            </w:r>
          </w:p>
        </w:tc>
        <w:tc>
          <w:tcPr>
            <w:tcW w:w="234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Shares Beneficially Owned After</w:t>
            </w:r>
          </w:p>
        </w:tc>
      </w:tr>
      <w:tr>
        <w:trPr>
          <w:trHeight w:val="186"/>
        </w:trPr>
        <w:tc>
          <w:tcPr>
            <w:tcW w:w="59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Offering</w:t>
            </w:r>
          </w:p>
        </w:tc>
        <w:tc>
          <w:tcPr>
            <w:tcW w:w="1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Offering</w:t>
            </w:r>
          </w:p>
        </w:tc>
      </w:tr>
      <w:tr>
        <w:trPr>
          <w:trHeight w:val="184"/>
        </w:trPr>
        <w:tc>
          <w:tcPr>
            <w:tcW w:w="5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Name of Beneficial Owner</w:t>
            </w: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Number</w:t>
            </w:r>
          </w:p>
        </w:tc>
        <w:tc>
          <w:tcPr>
            <w:tcW w:w="1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Number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Principal Shareholders</w:t>
            </w:r>
          </w:p>
        </w:tc>
        <w:tc>
          <w:tcPr>
            <w:tcW w:w="1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23"/>
                <w:szCs w:val="23"/>
                <w:color w:val="auto"/>
                <w:vertAlign w:val="superscript"/>
              </w:rPr>
              <w:t>(1)(2)</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2,182,500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7.49 %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Hansjorg Wyss Revocable Trust</w:t>
            </w:r>
            <w:r>
              <w:rPr>
                <w:rFonts w:ascii="Arial" w:cs="Arial" w:eastAsia="Arial" w:hAnsi="Arial"/>
                <w:sz w:val="23"/>
                <w:szCs w:val="23"/>
                <w:color w:val="auto"/>
                <w:vertAlign w:val="superscript"/>
              </w:rPr>
              <w:t>(1)(3)</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2,041,347</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7.00 %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Suvretta Capital Management, LLC</w:t>
            </w:r>
            <w:r>
              <w:rPr>
                <w:rFonts w:ascii="Arial" w:cs="Arial" w:eastAsia="Arial" w:hAnsi="Arial"/>
                <w:sz w:val="23"/>
                <w:szCs w:val="23"/>
                <w:color w:val="auto"/>
                <w:vertAlign w:val="superscript"/>
              </w:rPr>
              <w:t>(1)(4)</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1,750,000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6.00 %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Novartis Pharma AG</w:t>
            </w:r>
            <w:r>
              <w:rPr>
                <w:rFonts w:ascii="Arial" w:cs="Arial" w:eastAsia="Arial" w:hAnsi="Arial"/>
                <w:sz w:val="23"/>
                <w:szCs w:val="23"/>
                <w:color w:val="auto"/>
                <w:vertAlign w:val="superscript"/>
              </w:rPr>
              <w:t>(1)(5)</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1,739,130</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5.97 %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Federated Hermes Kaufmann Fund</w:t>
            </w:r>
            <w:r>
              <w:rPr>
                <w:rFonts w:ascii="Arial" w:cs="Arial" w:eastAsia="Arial" w:hAnsi="Arial"/>
                <w:sz w:val="23"/>
                <w:szCs w:val="23"/>
                <w:color w:val="auto"/>
                <w:vertAlign w:val="superscript"/>
              </w:rPr>
              <w:t>(1)(6)</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1,675,900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5.75 %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Essex Woodlands Health Ventures VIII, LLC</w:t>
            </w:r>
            <w:r>
              <w:rPr>
                <w:rFonts w:ascii="Arial" w:cs="Arial" w:eastAsia="Arial" w:hAnsi="Arial"/>
                <w:sz w:val="23"/>
                <w:szCs w:val="23"/>
                <w:color w:val="auto"/>
                <w:vertAlign w:val="superscript"/>
              </w:rPr>
              <w:t>(1)(7)</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1,620,247</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5.56 %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UBS Fund Management (Switzerland) AG</w:t>
            </w:r>
            <w:r>
              <w:rPr>
                <w:rFonts w:ascii="Arial" w:cs="Arial" w:eastAsia="Arial" w:hAnsi="Arial"/>
                <w:sz w:val="23"/>
                <w:szCs w:val="23"/>
                <w:color w:val="auto"/>
                <w:vertAlign w:val="superscript"/>
              </w:rPr>
              <w:t>(1)(8)</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1,074,122</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3.69 %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Dr. Patrick Amstutz</w:t>
            </w:r>
            <w:r>
              <w:rPr>
                <w:rFonts w:ascii="Arial" w:cs="Arial" w:eastAsia="Arial" w:hAnsi="Arial"/>
                <w:sz w:val="23"/>
                <w:szCs w:val="23"/>
                <w:color w:val="auto"/>
                <w:vertAlign w:val="superscript"/>
              </w:rPr>
              <w:t>(9)</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780,767</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2.68 %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 Michael Tobias Stumpp</w:t>
            </w:r>
            <w:r>
              <w:rPr>
                <w:rFonts w:ascii="Arial" w:cs="Arial" w:eastAsia="Arial" w:hAnsi="Arial"/>
                <w:sz w:val="23"/>
                <w:szCs w:val="23"/>
                <w:color w:val="auto"/>
                <w:vertAlign w:val="superscript"/>
              </w:rPr>
              <w:t>(10)</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803,329</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2.76 %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Andreas Emmenegger</w:t>
            </w:r>
            <w:r>
              <w:rPr>
                <w:rFonts w:ascii="Arial" w:cs="Arial" w:eastAsia="Arial" w:hAnsi="Arial"/>
                <w:sz w:val="23"/>
                <w:szCs w:val="23"/>
                <w:color w:val="auto"/>
                <w:vertAlign w:val="superscript"/>
              </w:rPr>
              <w:t>(11)</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284,770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0.98 %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Nicolas Leupin</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William M. Burns</w:t>
            </w:r>
            <w:r>
              <w:rPr>
                <w:rFonts w:ascii="Arial" w:cs="Arial" w:eastAsia="Arial" w:hAnsi="Arial"/>
                <w:sz w:val="23"/>
                <w:szCs w:val="23"/>
                <w:color w:val="auto"/>
                <w:vertAlign w:val="superscript"/>
              </w:rPr>
              <w:t>(12)</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8,770</w:t>
            </w: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0.03 %</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Steven H. Holtzman</w:t>
            </w:r>
            <w:r>
              <w:rPr>
                <w:rFonts w:ascii="Arial" w:cs="Arial" w:eastAsia="Arial" w:hAnsi="Arial"/>
                <w:sz w:val="23"/>
                <w:szCs w:val="23"/>
                <w:color w:val="auto"/>
                <w:vertAlign w:val="superscript"/>
              </w:rPr>
              <w:t>(13)</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28,894</w:t>
            </w: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0.09 %</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Sandip Kapadia</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Vito Palombella</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Dr. Michael Vasconcelles</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Agnete Fredriksen</w:t>
            </w:r>
          </w:p>
        </w:tc>
        <w:tc>
          <w:tcPr>
            <w:tcW w:w="15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Dr. Dominik Höchli</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9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All current directors and executive officers as a group (11 individuals)</w:t>
            </w:r>
            <w:r>
              <w:rPr>
                <w:rFonts w:ascii="Arial" w:cs="Arial" w:eastAsia="Arial" w:hAnsi="Arial"/>
                <w:sz w:val="23"/>
                <w:szCs w:val="23"/>
                <w:color w:val="auto"/>
                <w:vertAlign w:val="superscript"/>
              </w:rPr>
              <w:t>(14)</w:t>
            </w:r>
          </w:p>
        </w:tc>
        <w:tc>
          <w:tcPr>
            <w:tcW w:w="15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1,910,530</w:t>
            </w:r>
          </w:p>
        </w:tc>
        <w:tc>
          <w:tcPr>
            <w:tcW w:w="13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6.54 %</w:t>
            </w:r>
          </w:p>
        </w:tc>
        <w:tc>
          <w:tcPr>
            <w:tcW w:w="1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bl>
    <w:p>
      <w:pPr>
        <w:spacing w:after="0" w:line="219"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Number of voting rights carried by shares as reported by our shareholders in notifications filed with SIX Swiss Exchange.</w:t>
      </w:r>
    </w:p>
    <w:p>
      <w:pPr>
        <w:spacing w:after="0" w:line="22" w:lineRule="exact"/>
        <w:rPr>
          <w:rFonts w:ascii="Arial" w:cs="Arial" w:eastAsia="Arial" w:hAnsi="Arial"/>
          <w:sz w:val="13"/>
          <w:szCs w:val="13"/>
          <w:color w:val="auto"/>
        </w:rPr>
      </w:pPr>
    </w:p>
    <w:p>
      <w:pPr>
        <w:ind w:left="340" w:right="280" w:hanging="332"/>
        <w:spacing w:after="0" w:line="260" w:lineRule="auto"/>
        <w:tabs>
          <w:tab w:leader="none" w:pos="335" w:val="left"/>
        </w:tabs>
        <w:numPr>
          <w:ilvl w:val="0"/>
          <w:numId w:val="97"/>
        </w:numPr>
        <w:rPr>
          <w:rFonts w:ascii="Arial" w:cs="Arial" w:eastAsia="Arial" w:hAnsi="Arial"/>
          <w:sz w:val="13"/>
          <w:szCs w:val="13"/>
          <w:color w:val="auto"/>
        </w:rPr>
      </w:pPr>
      <w:r>
        <w:rPr>
          <w:rFonts w:ascii="Arial" w:cs="Arial" w:eastAsia="Arial" w:hAnsi="Arial"/>
          <w:sz w:val="13"/>
          <w:szCs w:val="13"/>
          <w:color w:val="auto"/>
        </w:rPr>
        <w:t>Shares of the Company are held by Biotechnology Value Fund, L.P., Biotechnology Value Fund II, L.P., Biotechnology Value Trading Fund OS, L.P. and MSI BVF SPV, LLC . Mark Lampert is the beneficial owner who may exercise voting power over the shares. The Address for Value Fund, L.P., Biotechnology Value Fund II, L.P. and Biotechnology Value Trading Fund OS, L.P. is 44 Montgomery St., 40th Floor, San Francisco, California 94104.</w:t>
      </w: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Shares of the Company are held by Hansjorg Wyss Revocable Trust dated December 16, 1994. Hansjoerg Wyss is the beneficial owner, who may exercise voting power over the shares.</w:t>
      </w:r>
    </w:p>
    <w:p>
      <w:pPr>
        <w:spacing w:after="0" w:line="12" w:lineRule="exact"/>
        <w:rPr>
          <w:rFonts w:ascii="Arial" w:cs="Arial" w:eastAsia="Arial" w:hAnsi="Arial"/>
          <w:sz w:val="13"/>
          <w:szCs w:val="13"/>
          <w:color w:val="auto"/>
        </w:rPr>
      </w:pPr>
    </w:p>
    <w:p>
      <w:pPr>
        <w:ind w:left="340" w:right="480" w:hanging="332"/>
        <w:spacing w:after="0" w:line="281" w:lineRule="auto"/>
        <w:tabs>
          <w:tab w:leader="none" w:pos="335" w:val="left"/>
        </w:tabs>
        <w:numPr>
          <w:ilvl w:val="0"/>
          <w:numId w:val="97"/>
        </w:numPr>
        <w:rPr>
          <w:rFonts w:ascii="Arial" w:cs="Arial" w:eastAsia="Arial" w:hAnsi="Arial"/>
          <w:sz w:val="12"/>
          <w:szCs w:val="12"/>
          <w:color w:val="auto"/>
        </w:rPr>
      </w:pPr>
      <w:r>
        <w:rPr>
          <w:rFonts w:ascii="Arial" w:cs="Arial" w:eastAsia="Arial" w:hAnsi="Arial"/>
          <w:sz w:val="12"/>
          <w:szCs w:val="12"/>
          <w:color w:val="auto"/>
        </w:rPr>
        <w:t>Shares of the Company are held by Suvretta Master Fund, Ltd., Averill Master Fund, Ltd., Vitruvius US Equity and Suvretta Long Master Fund, Ltd. . Suvretta Capital Management, LLC is the beneficial owner and may exercise voting power over the shares. The address for Survetta Capital Management, LLC is 540 Madison Avenue, 7th Floor, New York, New York 10022.</w:t>
      </w:r>
    </w:p>
    <w:p>
      <w:pPr>
        <w:ind w:left="340" w:right="120" w:hanging="332"/>
        <w:spacing w:after="0" w:line="260" w:lineRule="auto"/>
        <w:tabs>
          <w:tab w:leader="none" w:pos="335" w:val="left"/>
        </w:tabs>
        <w:numPr>
          <w:ilvl w:val="0"/>
          <w:numId w:val="97"/>
        </w:numPr>
        <w:rPr>
          <w:rFonts w:ascii="Arial" w:cs="Arial" w:eastAsia="Arial" w:hAnsi="Arial"/>
          <w:sz w:val="13"/>
          <w:szCs w:val="13"/>
          <w:color w:val="auto"/>
        </w:rPr>
      </w:pPr>
      <w:r>
        <w:rPr>
          <w:rFonts w:ascii="Arial" w:cs="Arial" w:eastAsia="Arial" w:hAnsi="Arial"/>
          <w:sz w:val="13"/>
          <w:szCs w:val="13"/>
          <w:color w:val="auto"/>
        </w:rPr>
        <w:t>Shares of the Company are held by Novartis Pharma AG. Novartis Pharma AG is a direct wholly-owned subsidiary of Novartis AG, which is the beneficial owner and may exercise voting power over the shares. The address of Novartis AG is Lichtstrasse 35, 4056 Basel, Switzerland.</w:t>
      </w:r>
    </w:p>
    <w:p>
      <w:pPr>
        <w:ind w:left="340" w:right="440" w:hanging="332"/>
        <w:spacing w:after="0" w:line="260" w:lineRule="auto"/>
        <w:tabs>
          <w:tab w:leader="none" w:pos="335" w:val="left"/>
        </w:tabs>
        <w:numPr>
          <w:ilvl w:val="0"/>
          <w:numId w:val="97"/>
        </w:numPr>
        <w:rPr>
          <w:rFonts w:ascii="Arial" w:cs="Arial" w:eastAsia="Arial" w:hAnsi="Arial"/>
          <w:sz w:val="13"/>
          <w:szCs w:val="13"/>
          <w:color w:val="auto"/>
        </w:rPr>
      </w:pPr>
      <w:r>
        <w:rPr>
          <w:rFonts w:ascii="Arial" w:cs="Arial" w:eastAsia="Arial" w:hAnsi="Arial"/>
          <w:sz w:val="13"/>
          <w:szCs w:val="13"/>
          <w:color w:val="auto"/>
        </w:rPr>
        <w:t>Shares of the Company are held by; Federated Hermes Kaufmann Fund. Federated Hermes, Inc. is the beneficial owner and may exercise voting power over the shares. The address of Federated Hermes, Inc. is 1001 Liberty Avenue, Pittsburgh, Pennsylvania, 15222.</w:t>
      </w:r>
    </w:p>
    <w:p>
      <w:pPr>
        <w:jc w:val="both"/>
        <w:ind w:left="340" w:right="260" w:hanging="332"/>
        <w:spacing w:after="0" w:line="260" w:lineRule="auto"/>
        <w:tabs>
          <w:tab w:leader="none" w:pos="335" w:val="left"/>
        </w:tabs>
        <w:numPr>
          <w:ilvl w:val="0"/>
          <w:numId w:val="97"/>
        </w:numPr>
        <w:rPr>
          <w:rFonts w:ascii="Arial" w:cs="Arial" w:eastAsia="Arial" w:hAnsi="Arial"/>
          <w:sz w:val="13"/>
          <w:szCs w:val="13"/>
          <w:color w:val="auto"/>
        </w:rPr>
      </w:pPr>
      <w:r>
        <w:rPr>
          <w:rFonts w:ascii="Arial" w:cs="Arial" w:eastAsia="Arial" w:hAnsi="Arial"/>
          <w:sz w:val="13"/>
          <w:szCs w:val="13"/>
          <w:color w:val="auto"/>
        </w:rPr>
        <w:t>Shares of the Company are held by each of Essex Woodlands Health Ventures VIII, LP, Essex Woodlands Health Ventures Fund VIII-A, LP and Essex Woodlands Health Ventures Fund VIII-B, LP. Essex Woodlands Health Ventures VIII, LLC is the beneficial owner and may exercise voting power over the shares. The address of each entity is 21 Waterway Avenue, Suite 225, The Woodlands, Texas 77380.</w:t>
      </w: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Shares of the Company are held by UBS Fund Management (Switzerland) AG.</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710,687 common shares and 70,080 common shares issuable upon exercise of options that are exercisable within 60 days of April 20,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767,259 common shares and 36,070 common shares issuable upon exercise of options that are exercisable within 60 days of April 20,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248,700 common shares and 36,070 common shares issuable upon exercise of options that are exercisable within 60 days of April 20, 2021.</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8,770 common shares.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8,894 common shares and 20,000 common shares issuable upon exercise of options that are exercisable within 60 days of April 20, 2021.</w:t>
      </w:r>
    </w:p>
    <w:p>
      <w:pPr>
        <w:spacing w:after="0" w:line="150" w:lineRule="exact"/>
        <w:rPr>
          <w:rFonts w:ascii="Arial" w:cs="Arial" w:eastAsia="Arial" w:hAnsi="Arial"/>
          <w:sz w:val="13"/>
          <w:szCs w:val="13"/>
          <w:color w:val="auto"/>
        </w:rPr>
      </w:pPr>
    </w:p>
    <w:p>
      <w:pPr>
        <w:ind w:left="320" w:hanging="312"/>
        <w:spacing w:after="0"/>
        <w:tabs>
          <w:tab w:leader="none" w:pos="3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1,744,310 common shares and 162,200 common shares issuable upon exercise of options that are exercisable within 60 days of April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9019"/>
          </w:cols>
          <w:pgMar w:left="1440" w:top="1440" w:right="1440" w:bottom="1440" w:gutter="0" w:footer="0" w:header="0"/>
        </w:sectPr>
      </w:pPr>
    </w:p>
    <w:bookmarkStart w:id="184" w:name="page185"/>
    <w:bookmarkEnd w:id="18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SHARE CAPITAL AND ARTICLES OF ASSOCIATION</w:t>
      </w:r>
    </w:p>
    <w:p>
      <w:pPr>
        <w:spacing w:after="0" w:line="30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description of our share capital summarizes certain provisions of our articles of association as they will be in effect upon the completion of this offering. The following summary does not purport to be complete. For a more complete discussion, please refer to our articles of association, a copy of which has been filed as an exhibit to the registration statement of which this prospectus forms a part.</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13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are a Swiss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organized under the laws of Switzerland. We were incorporated on November 22, 2004. Our principal executive offices are located at Wagistrasse 14, 8952 Schlieren, Switzerland. We are registered with the commercial register of the Canton of Zurich under number CHE-112.115.136. Our corporate name is Molecular Partners AG.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31, 2020, our issued share capital was as recorded in the commercial register of the Canton of Zurich was CHF 2,886,841.10, consisting of 28,868,411 common shares with a nominal value of CHF 0.10 each. As of April 1, 2021, our issued share capital as recorded in the commercial register of the Canton of Zurich CHF 2,914,699.20, consisting of 29,146,992 common shares with a nominal value of CHF 0.10 each.</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shares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each other and no preferred shares exist.</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2020, to the best of our knowledge, approximately 10,818,504, or 37.1%, of our issued common shares as recorded in the commercial register of the Canton of Zurich were held of record by residents of the United States.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the closing of this offering, based on the number of common shares issued as of December 31, 2020 as set out above, our issued share capital as will be recorded in the commercial register of the Canton of Zurich is expected to be:</w:t>
      </w:r>
    </w:p>
    <w:p>
      <w:pPr>
        <w:sectPr>
          <w:pgSz w:w="11900" w:h="16838" w:orient="portrait"/>
          <w:cols w:equalWidth="0" w:num="1">
            <w:col w:w="11220"/>
          </w:cols>
          <w:pgMar w:left="320" w:top="1440" w:right="35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hanging="633"/>
        <w:spacing w:after="0" w:line="277" w:lineRule="auto"/>
        <w:rPr>
          <w:sz w:val="20"/>
          <w:szCs w:val="20"/>
          <w:color w:val="auto"/>
        </w:rPr>
      </w:pPr>
      <w:r>
        <w:rPr>
          <w:rFonts w:ascii="Arial" w:cs="Arial" w:eastAsia="Arial" w:hAnsi="Arial"/>
          <w:sz w:val="18"/>
          <w:szCs w:val="18"/>
          <w:color w:val="auto"/>
        </w:rPr>
        <w:t>if the underwriters do not (neither fully nor partially) exercise their option to purchase additional ADSs in the offering, CHF common shares with a nominal value of CHF 0.10 each; 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consisting of</w:t>
      </w:r>
    </w:p>
    <w:p>
      <w:pPr>
        <w:spacing w:after="0" w:line="396" w:lineRule="exact"/>
        <w:rPr>
          <w:sz w:val="20"/>
          <w:szCs w:val="20"/>
          <w:color w:val="auto"/>
        </w:rPr>
      </w:pPr>
    </w:p>
    <w:p>
      <w:pPr>
        <w:sectPr>
          <w:pgSz w:w="11900" w:h="16838" w:orient="portrait"/>
          <w:cols w:equalWidth="0" w:num="3">
            <w:col w:w="240" w:space="720"/>
            <w:col w:w="8300" w:space="640"/>
            <w:col w:w="1320"/>
          </w:cols>
          <w:pgMar w:left="320" w:top="1440" w:right="35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the underwriters exercise their option to purchase additional ADSs in the offering in full, CHF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 consisting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common shares with a</w:t>
      </w:r>
    </w:p>
    <w:p>
      <w:pPr>
        <w:spacing w:after="0" w:line="45" w:lineRule="exact"/>
        <w:rPr>
          <w:sz w:val="20"/>
          <w:szCs w:val="20"/>
          <w:color w:val="auto"/>
        </w:rPr>
      </w:pPr>
    </w:p>
    <w:p>
      <w:pPr>
        <w:sectPr>
          <w:pgSz w:w="11900" w:h="16838" w:orient="portrait"/>
          <w:cols w:equalWidth="0" w:num="4">
            <w:col w:w="80" w:space="240"/>
            <w:col w:w="6940" w:space="640"/>
            <w:col w:w="1020" w:space="620"/>
            <w:col w:w="1680"/>
          </w:cols>
          <w:pgMar w:left="320" w:top="1440" w:right="3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nominal value of CHF 0.10 each.</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220"/>
          </w:cols>
          <w:pgMar w:left="320" w:top="1440" w:right="359" w:bottom="1440" w:gutter="0" w:footer="0" w:header="0"/>
          <w:type w:val="continuous"/>
        </w:sectPr>
      </w:pPr>
    </w:p>
    <w:bookmarkStart w:id="185" w:name="page186"/>
    <w:bookmarkEnd w:id="185"/>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History of Changes to the Number of our Issued Shares Recorded in Commercial Register</w:t>
      </w:r>
    </w:p>
    <w:p>
      <w:pPr>
        <w:spacing w:after="0" w:line="13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From January 1, 2018 through April 1, 2021, the number of our issued common shares as recorded in the commercial register of the Canton of Zurich underwent the following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40" w:type="dxa"/>
            <w:vAlign w:val="bottom"/>
          </w:tcPr>
          <w:p>
            <w:pPr>
              <w:ind w:left="20"/>
              <w:spacing w:after="0"/>
              <w:rPr>
                <w:sz w:val="20"/>
                <w:szCs w:val="20"/>
                <w:color w:val="auto"/>
              </w:rPr>
            </w:pPr>
            <w:r>
              <w:rPr>
                <w:rFonts w:ascii="Arial" w:cs="Arial" w:eastAsia="Arial" w:hAnsi="Arial"/>
                <w:sz w:val="18"/>
                <w:szCs w:val="18"/>
                <w:color w:val="auto"/>
              </w:rPr>
              <w:t>Issued shares recorded on January 1, 2018.........................................................................</w:t>
            </w:r>
          </w:p>
        </w:tc>
        <w:tc>
          <w:tcPr>
            <w:tcW w:w="1400" w:type="dxa"/>
            <w:vAlign w:val="bottom"/>
          </w:tcPr>
          <w:p>
            <w:pPr>
              <w:jc w:val="right"/>
              <w:spacing w:after="0"/>
              <w:rPr>
                <w:sz w:val="20"/>
                <w:szCs w:val="20"/>
                <w:color w:val="auto"/>
              </w:rPr>
            </w:pPr>
            <w:r>
              <w:rPr>
                <w:rFonts w:ascii="Arial" w:cs="Arial" w:eastAsia="Arial" w:hAnsi="Arial"/>
                <w:sz w:val="18"/>
                <w:szCs w:val="18"/>
                <w:color w:val="auto"/>
              </w:rPr>
              <w:t>20,724,345</w:t>
            </w:r>
          </w:p>
        </w:tc>
      </w:tr>
      <w:tr>
        <w:trPr>
          <w:trHeight w:val="222"/>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Reflecting in commercial register on January 22, 2018 of prior issuance of new shares with a nominal value of CHF 0.10 each</w:t>
            </w:r>
          </w:p>
        </w:tc>
        <w:tc>
          <w:tcPr>
            <w:tcW w:w="1400" w:type="dxa"/>
            <w:vAlign w:val="bottom"/>
            <w:shd w:val="clear" w:color="auto" w:fill="CCEEFF"/>
          </w:tcPr>
          <w:p>
            <w:pPr>
              <w:spacing w:after="0"/>
              <w:rPr>
                <w:sz w:val="19"/>
                <w:szCs w:val="19"/>
                <w:color w:val="auto"/>
              </w:rPr>
            </w:pPr>
          </w:p>
        </w:tc>
      </w:tr>
      <w:tr>
        <w:trPr>
          <w:trHeight w:val="24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issued (but not reflected) in the one-year period ended December 31, 2017 out of conditional share capital...................................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319,717</w:t>
            </w:r>
          </w:p>
        </w:tc>
      </w:tr>
      <w:tr>
        <w:trPr>
          <w:trHeight w:val="250"/>
        </w:trPr>
        <w:tc>
          <w:tcPr>
            <w:tcW w:w="984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2018..................................................................</w:t>
            </w:r>
          </w:p>
        </w:tc>
        <w:tc>
          <w:tcPr>
            <w:tcW w:w="1400" w:type="dxa"/>
            <w:vAlign w:val="bottom"/>
          </w:tcPr>
          <w:p>
            <w:pPr>
              <w:jc w:val="right"/>
              <w:spacing w:after="0"/>
              <w:rPr>
                <w:sz w:val="20"/>
                <w:szCs w:val="20"/>
                <w:color w:val="auto"/>
              </w:rPr>
            </w:pPr>
            <w:r>
              <w:rPr>
                <w:rFonts w:ascii="Arial" w:cs="Arial" w:eastAsia="Arial" w:hAnsi="Arial"/>
                <w:sz w:val="18"/>
                <w:szCs w:val="18"/>
                <w:color w:val="auto"/>
              </w:rPr>
              <w:t>21,044,062</w:t>
            </w:r>
          </w:p>
        </w:tc>
      </w:tr>
      <w:tr>
        <w:trPr>
          <w:trHeight w:val="26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2019</w:t>
            </w:r>
          </w:p>
        </w:tc>
        <w:tc>
          <w:tcPr>
            <w:tcW w:w="1400" w:type="dxa"/>
            <w:vAlign w:val="bottom"/>
            <w:shd w:val="clear" w:color="auto" w:fill="CCEEFF"/>
          </w:tcPr>
          <w:p>
            <w:pPr>
              <w:spacing w:after="0"/>
              <w:rPr>
                <w:sz w:val="22"/>
                <w:szCs w:val="22"/>
                <w:color w:val="auto"/>
              </w:rPr>
            </w:pPr>
          </w:p>
        </w:tc>
      </w:tr>
      <w:tr>
        <w:trPr>
          <w:trHeight w:val="250"/>
        </w:trPr>
        <w:tc>
          <w:tcPr>
            <w:tcW w:w="9840" w:type="dxa"/>
            <w:vAlign w:val="bottom"/>
          </w:tcPr>
          <w:p>
            <w:pPr>
              <w:ind w:left="20"/>
              <w:spacing w:after="0"/>
              <w:rPr>
                <w:sz w:val="20"/>
                <w:szCs w:val="20"/>
                <w:color w:val="auto"/>
              </w:rPr>
            </w:pPr>
            <w:r>
              <w:rPr>
                <w:rFonts w:ascii="Arial" w:cs="Arial" w:eastAsia="Arial" w:hAnsi="Arial"/>
                <w:sz w:val="18"/>
                <w:szCs w:val="18"/>
                <w:color w:val="auto"/>
              </w:rPr>
              <w:t>Issued shares recorded on January 1, 2019.........................................................................</w:t>
            </w:r>
          </w:p>
        </w:tc>
        <w:tc>
          <w:tcPr>
            <w:tcW w:w="1400" w:type="dxa"/>
            <w:vAlign w:val="bottom"/>
          </w:tcPr>
          <w:p>
            <w:pPr>
              <w:jc w:val="right"/>
              <w:spacing w:after="0"/>
              <w:rPr>
                <w:sz w:val="20"/>
                <w:szCs w:val="20"/>
                <w:color w:val="auto"/>
              </w:rPr>
            </w:pPr>
            <w:r>
              <w:rPr>
                <w:rFonts w:ascii="Arial" w:cs="Arial" w:eastAsia="Arial" w:hAnsi="Arial"/>
                <w:sz w:val="18"/>
                <w:szCs w:val="18"/>
                <w:color w:val="auto"/>
              </w:rPr>
              <w:t>21,044,062</w:t>
            </w:r>
          </w:p>
        </w:tc>
      </w:tr>
      <w:tr>
        <w:trPr>
          <w:trHeight w:val="222"/>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Reflecting in commercial register on January 22, 2019 of prior issuance of new shares with a nominal value of CHF 0.10 each</w:t>
            </w:r>
          </w:p>
        </w:tc>
        <w:tc>
          <w:tcPr>
            <w:tcW w:w="1400" w:type="dxa"/>
            <w:vAlign w:val="bottom"/>
            <w:shd w:val="clear" w:color="auto" w:fill="CCEEFF"/>
          </w:tcPr>
          <w:p>
            <w:pPr>
              <w:spacing w:after="0"/>
              <w:rPr>
                <w:sz w:val="19"/>
                <w:szCs w:val="19"/>
                <w:color w:val="auto"/>
              </w:rPr>
            </w:pPr>
          </w:p>
        </w:tc>
      </w:tr>
      <w:tr>
        <w:trPr>
          <w:trHeight w:val="24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issued (but not reflected) in the one-year period ended December 31, 2018 out of conditional share capital...................................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184,531</w:t>
            </w:r>
          </w:p>
        </w:tc>
      </w:tr>
      <w:tr>
        <w:trPr>
          <w:trHeight w:val="250"/>
        </w:trPr>
        <w:tc>
          <w:tcPr>
            <w:tcW w:w="984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2019..................................................................</w:t>
            </w:r>
          </w:p>
        </w:tc>
        <w:tc>
          <w:tcPr>
            <w:tcW w:w="1400" w:type="dxa"/>
            <w:vAlign w:val="bottom"/>
          </w:tcPr>
          <w:p>
            <w:pPr>
              <w:jc w:val="right"/>
              <w:spacing w:after="0"/>
              <w:rPr>
                <w:sz w:val="20"/>
                <w:szCs w:val="20"/>
                <w:color w:val="auto"/>
              </w:rPr>
            </w:pPr>
            <w:r>
              <w:rPr>
                <w:rFonts w:ascii="Arial" w:cs="Arial" w:eastAsia="Arial" w:hAnsi="Arial"/>
                <w:sz w:val="18"/>
                <w:szCs w:val="18"/>
                <w:color w:val="auto"/>
              </w:rPr>
              <w:t>21,228,593</w:t>
            </w:r>
          </w:p>
        </w:tc>
      </w:tr>
      <w:tr>
        <w:trPr>
          <w:trHeight w:val="26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2020</w:t>
            </w:r>
          </w:p>
        </w:tc>
        <w:tc>
          <w:tcPr>
            <w:tcW w:w="1400" w:type="dxa"/>
            <w:vAlign w:val="bottom"/>
            <w:shd w:val="clear" w:color="auto" w:fill="CCEEFF"/>
          </w:tcPr>
          <w:p>
            <w:pPr>
              <w:spacing w:after="0"/>
              <w:rPr>
                <w:sz w:val="22"/>
                <w:szCs w:val="22"/>
                <w:color w:val="auto"/>
              </w:rPr>
            </w:pPr>
          </w:p>
        </w:tc>
      </w:tr>
      <w:tr>
        <w:trPr>
          <w:trHeight w:val="250"/>
        </w:trPr>
        <w:tc>
          <w:tcPr>
            <w:tcW w:w="9840" w:type="dxa"/>
            <w:vAlign w:val="bottom"/>
          </w:tcPr>
          <w:p>
            <w:pPr>
              <w:ind w:left="20"/>
              <w:spacing w:after="0"/>
              <w:rPr>
                <w:sz w:val="20"/>
                <w:szCs w:val="20"/>
                <w:color w:val="auto"/>
              </w:rPr>
            </w:pPr>
            <w:r>
              <w:rPr>
                <w:rFonts w:ascii="Arial" w:cs="Arial" w:eastAsia="Arial" w:hAnsi="Arial"/>
                <w:sz w:val="18"/>
                <w:szCs w:val="18"/>
                <w:color w:val="auto"/>
              </w:rPr>
              <w:t>Issued shares recorded on January 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21,228,593</w:t>
            </w:r>
          </w:p>
        </w:tc>
      </w:tr>
      <w:tr>
        <w:trPr>
          <w:trHeight w:val="222"/>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Reflecting in commercial register on January 20, 2020 of prior issuance of new shares with a nominal value of CHF 0.10 each</w:t>
            </w:r>
          </w:p>
        </w:tc>
        <w:tc>
          <w:tcPr>
            <w:tcW w:w="1400" w:type="dxa"/>
            <w:vAlign w:val="bottom"/>
            <w:shd w:val="clear" w:color="auto" w:fill="CCEEFF"/>
          </w:tcPr>
          <w:p>
            <w:pPr>
              <w:spacing w:after="0"/>
              <w:rPr>
                <w:sz w:val="19"/>
                <w:szCs w:val="19"/>
                <w:color w:val="auto"/>
              </w:rPr>
            </w:pPr>
          </w:p>
        </w:tc>
      </w:tr>
      <w:tr>
        <w:trPr>
          <w:trHeight w:val="24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issued (but not reflected) in the one-year period ended December 31, 2019 out of conditional share capital...................................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372,599</w:t>
            </w:r>
          </w:p>
        </w:tc>
      </w:tr>
      <w:tr>
        <w:trPr>
          <w:trHeight w:val="215"/>
        </w:trPr>
        <w:tc>
          <w:tcPr>
            <w:tcW w:w="9840" w:type="dxa"/>
            <w:vAlign w:val="bottom"/>
          </w:tcPr>
          <w:p>
            <w:pPr>
              <w:ind w:left="20"/>
              <w:spacing w:after="0"/>
              <w:rPr>
                <w:sz w:val="20"/>
                <w:szCs w:val="20"/>
                <w:color w:val="auto"/>
              </w:rPr>
            </w:pPr>
            <w:r>
              <w:rPr>
                <w:rFonts w:ascii="Arial" w:cs="Arial" w:eastAsia="Arial" w:hAnsi="Arial"/>
                <w:sz w:val="18"/>
                <w:szCs w:val="18"/>
                <w:color w:val="auto"/>
                <w:w w:val="95"/>
              </w:rPr>
              <w:t>Issuance in an accelerated bookbuilding transaction of new shares with a nominal value of CHF 0.10 each on July 8, 2020 out of</w:t>
            </w:r>
          </w:p>
        </w:tc>
        <w:tc>
          <w:tcPr>
            <w:tcW w:w="1400" w:type="dxa"/>
            <w:vAlign w:val="bottom"/>
          </w:tcPr>
          <w:p>
            <w:pPr>
              <w:spacing w:after="0"/>
              <w:rPr>
                <w:sz w:val="18"/>
                <w:szCs w:val="18"/>
                <w:color w:val="auto"/>
              </w:rPr>
            </w:pPr>
          </w:p>
        </w:tc>
      </w:tr>
      <w:tr>
        <w:trPr>
          <w:trHeight w:val="237"/>
        </w:trPr>
        <w:tc>
          <w:tcPr>
            <w:tcW w:w="9840" w:type="dxa"/>
            <w:vAlign w:val="bottom"/>
          </w:tcPr>
          <w:p>
            <w:pPr>
              <w:ind w:left="20"/>
              <w:spacing w:after="0"/>
              <w:rPr>
                <w:sz w:val="20"/>
                <w:szCs w:val="20"/>
                <w:color w:val="auto"/>
              </w:rPr>
            </w:pPr>
            <w:r>
              <w:rPr>
                <w:rFonts w:ascii="Arial" w:cs="Arial" w:eastAsia="Arial" w:hAnsi="Arial"/>
                <w:sz w:val="18"/>
                <w:szCs w:val="18"/>
                <w:color w:val="auto"/>
                <w:w w:val="99"/>
              </w:rPr>
              <w:t>authorized share capital immediately reflected in the commercial register on July 8, 2020.........................................................</w:t>
            </w:r>
          </w:p>
        </w:tc>
        <w:tc>
          <w:tcPr>
            <w:tcW w:w="1400" w:type="dxa"/>
            <w:vAlign w:val="bottom"/>
          </w:tcPr>
          <w:p>
            <w:pPr>
              <w:jc w:val="right"/>
              <w:spacing w:after="0"/>
              <w:rPr>
                <w:sz w:val="20"/>
                <w:szCs w:val="20"/>
                <w:color w:val="auto"/>
              </w:rPr>
            </w:pPr>
            <w:r>
              <w:rPr>
                <w:rFonts w:ascii="Arial" w:cs="Arial" w:eastAsia="Arial" w:hAnsi="Arial"/>
                <w:sz w:val="18"/>
                <w:szCs w:val="18"/>
                <w:color w:val="auto"/>
              </w:rPr>
              <w:t>5,528,089</w:t>
            </w:r>
          </w:p>
        </w:tc>
      </w:tr>
      <w:tr>
        <w:trPr>
          <w:trHeight w:val="222"/>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Issuance of new shares with a nominal value of CHF 0.10 each to Novartis Pharma AG on October 28, 2020 out of conditional</w:t>
            </w:r>
          </w:p>
        </w:tc>
        <w:tc>
          <w:tcPr>
            <w:tcW w:w="1400" w:type="dxa"/>
            <w:vAlign w:val="bottom"/>
            <w:shd w:val="clear" w:color="auto" w:fill="CCEEFF"/>
          </w:tcPr>
          <w:p>
            <w:pPr>
              <w:spacing w:after="0"/>
              <w:rPr>
                <w:sz w:val="19"/>
                <w:szCs w:val="19"/>
                <w:color w:val="auto"/>
              </w:rPr>
            </w:pPr>
          </w:p>
        </w:tc>
      </w:tr>
      <w:tr>
        <w:trPr>
          <w:trHeight w:val="244"/>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 immediately reflected in commercial register on October 28,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1,739,130</w:t>
            </w:r>
          </w:p>
        </w:tc>
      </w:tr>
      <w:tr>
        <w:trPr>
          <w:trHeight w:val="250"/>
        </w:trPr>
        <w:tc>
          <w:tcPr>
            <w:tcW w:w="9840" w:type="dxa"/>
            <w:vAlign w:val="bottom"/>
          </w:tcPr>
          <w:p>
            <w:pPr>
              <w:ind w:left="20"/>
              <w:spacing w:after="0"/>
              <w:rPr>
                <w:sz w:val="20"/>
                <w:szCs w:val="20"/>
                <w:color w:val="auto"/>
              </w:rPr>
            </w:pPr>
            <w:r>
              <w:rPr>
                <w:rFonts w:ascii="Arial" w:cs="Arial" w:eastAsia="Arial" w:hAnsi="Arial"/>
                <w:sz w:val="18"/>
                <w:szCs w:val="18"/>
                <w:color w:val="auto"/>
              </w:rPr>
              <w:t>Issued shares recorded on December 31,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28,868,411</w:t>
            </w:r>
          </w:p>
        </w:tc>
      </w:tr>
      <w:tr>
        <w:trPr>
          <w:trHeight w:val="263"/>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2021 (through April 1 , 2021)</w:t>
            </w:r>
          </w:p>
        </w:tc>
        <w:tc>
          <w:tcPr>
            <w:tcW w:w="1400" w:type="dxa"/>
            <w:vAlign w:val="bottom"/>
            <w:shd w:val="clear" w:color="auto" w:fill="CCEEFF"/>
          </w:tcPr>
          <w:p>
            <w:pPr>
              <w:spacing w:after="0"/>
              <w:rPr>
                <w:sz w:val="22"/>
                <w:szCs w:val="22"/>
                <w:color w:val="auto"/>
              </w:rPr>
            </w:pPr>
          </w:p>
        </w:tc>
      </w:tr>
      <w:tr>
        <w:trPr>
          <w:trHeight w:val="250"/>
        </w:trPr>
        <w:tc>
          <w:tcPr>
            <w:tcW w:w="9840" w:type="dxa"/>
            <w:vAlign w:val="bottom"/>
          </w:tcPr>
          <w:p>
            <w:pPr>
              <w:ind w:left="20"/>
              <w:spacing w:after="0"/>
              <w:rPr>
                <w:sz w:val="20"/>
                <w:szCs w:val="20"/>
                <w:color w:val="auto"/>
              </w:rPr>
            </w:pPr>
            <w:r>
              <w:rPr>
                <w:rFonts w:ascii="Arial" w:cs="Arial" w:eastAsia="Arial" w:hAnsi="Arial"/>
                <w:sz w:val="18"/>
                <w:szCs w:val="18"/>
                <w:color w:val="auto"/>
              </w:rPr>
              <w:t>Issued shares recorded on January 1, 2021.........................................................................</w:t>
            </w:r>
          </w:p>
        </w:tc>
        <w:tc>
          <w:tcPr>
            <w:tcW w:w="1400" w:type="dxa"/>
            <w:vAlign w:val="bottom"/>
          </w:tcPr>
          <w:p>
            <w:pPr>
              <w:jc w:val="right"/>
              <w:spacing w:after="0"/>
              <w:rPr>
                <w:sz w:val="20"/>
                <w:szCs w:val="20"/>
                <w:color w:val="auto"/>
              </w:rPr>
            </w:pPr>
            <w:r>
              <w:rPr>
                <w:rFonts w:ascii="Arial" w:cs="Arial" w:eastAsia="Arial" w:hAnsi="Arial"/>
                <w:sz w:val="18"/>
                <w:szCs w:val="18"/>
                <w:color w:val="auto"/>
              </w:rPr>
              <w:t>28,868,411</w:t>
            </w:r>
          </w:p>
        </w:tc>
      </w:tr>
      <w:tr>
        <w:trPr>
          <w:trHeight w:val="222"/>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Reflecting in commercial register on January 20, 2021 of prior issuance of new shares with a nominal value of CHF 0.10 each</w:t>
            </w:r>
          </w:p>
        </w:tc>
        <w:tc>
          <w:tcPr>
            <w:tcW w:w="1400" w:type="dxa"/>
            <w:vAlign w:val="bottom"/>
            <w:shd w:val="clear" w:color="auto" w:fill="CCEEFF"/>
          </w:tcPr>
          <w:p>
            <w:pPr>
              <w:spacing w:after="0"/>
              <w:rPr>
                <w:sz w:val="19"/>
                <w:szCs w:val="19"/>
                <w:color w:val="auto"/>
              </w:rPr>
            </w:pPr>
          </w:p>
        </w:tc>
      </w:tr>
      <w:tr>
        <w:trPr>
          <w:trHeight w:val="237"/>
        </w:trPr>
        <w:tc>
          <w:tcPr>
            <w:tcW w:w="9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issued (but not reflected) in the one-year period ended December 31, 2020 out of conditional share capital...................................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278,581</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History of Securities Issuances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From January 1, 2018 through April 1, 2021, the events set out above and further described below have changed our issued share capital and, in parallel, the number of our issued common shares, in each case as recorded in the commercial register of the Canton of Zurich.</w:t>
      </w:r>
    </w:p>
    <w:p>
      <w:pPr>
        <w:spacing w:after="0" w:line="103" w:lineRule="exact"/>
        <w:rPr>
          <w:sz w:val="20"/>
          <w:szCs w:val="20"/>
          <w:color w:val="auto"/>
        </w:rPr>
      </w:pPr>
    </w:p>
    <w:p>
      <w:pPr>
        <w:ind w:left="340" w:right="280" w:hanging="332"/>
        <w:spacing w:after="0" w:line="277" w:lineRule="auto"/>
        <w:tabs>
          <w:tab w:leader="none" w:pos="3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January 1, 2018, our issued share capital as recorded in the commercial register of the Canton of Zurich was CHF 2,072,434.50, consisting of 20,724,345 common shares with a nominal value of CHF 0.10 each.</w:t>
      </w:r>
    </w:p>
    <w:p>
      <w:pPr>
        <w:spacing w:after="0" w:line="102" w:lineRule="exact"/>
        <w:rPr>
          <w:rFonts w:ascii="Arial" w:cs="Arial" w:eastAsia="Arial" w:hAnsi="Arial"/>
          <w:sz w:val="18"/>
          <w:szCs w:val="18"/>
          <w:color w:val="auto"/>
        </w:rPr>
      </w:pPr>
    </w:p>
    <w:p>
      <w:pPr>
        <w:ind w:left="340" w:right="240" w:hanging="332"/>
        <w:spacing w:after="0" w:line="275" w:lineRule="auto"/>
        <w:tabs>
          <w:tab w:leader="none" w:pos="335" w:val="left"/>
        </w:tabs>
        <w:numPr>
          <w:ilvl w:val="0"/>
          <w:numId w:val="98"/>
        </w:numPr>
        <w:rPr>
          <w:rFonts w:ascii="Arial" w:cs="Arial" w:eastAsia="Arial" w:hAnsi="Arial"/>
          <w:sz w:val="17"/>
          <w:szCs w:val="17"/>
          <w:color w:val="auto"/>
        </w:rPr>
      </w:pPr>
      <w:r>
        <w:rPr>
          <w:rFonts w:ascii="Arial" w:cs="Arial" w:eastAsia="Arial" w:hAnsi="Arial"/>
          <w:sz w:val="17"/>
          <w:szCs w:val="17"/>
          <w:color w:val="auto"/>
        </w:rPr>
        <w:t>On January 22, 2018, our share capital was increased by CHF 31,971.70 through the issuance of 319,717 new shares with a nominal value of CHF 0.10 each. These shares had been issued out of conditional share capital (but were not recorded in the commercial register until January 22, 2018) in the one-year period ended December 31, 2017,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0"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22, 2019, our share capital was increased by CHF 18,453.10 through the issuance of 184,531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22, 2019) in the one-year period ended December 31, 2018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95" w:lineRule="exact"/>
        <w:rPr>
          <w:rFonts w:ascii="Arial" w:cs="Arial" w:eastAsia="Arial" w:hAnsi="Arial"/>
          <w:sz w:val="16"/>
          <w:szCs w:val="16"/>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20, 2020, our share capital was increased by CHF 37,259.90 through the issuance of 372,599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20, 2020) in the one-year period ended December 31, 2019,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8" w:lineRule="exact"/>
        <w:rPr>
          <w:rFonts w:ascii="Arial" w:cs="Arial" w:eastAsia="Arial" w:hAnsi="Arial"/>
          <w:sz w:val="16"/>
          <w:szCs w:val="16"/>
          <w:color w:val="auto"/>
        </w:rPr>
      </w:pPr>
    </w:p>
    <w:p>
      <w:pPr>
        <w:ind w:left="340" w:hanging="332"/>
        <w:spacing w:after="0" w:line="255" w:lineRule="auto"/>
        <w:tabs>
          <w:tab w:leader="none" w:pos="335"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July 8, 2020, our share capital was increased by CHF 552,808.90 through the issuance of 5,528,089 new shares with a nominal value of CHF 0.10 each. These shares were issued out of authorized share capital based on the resolution of the general meeting of shareholders held on April 29, 2020 regarding an authorized share capital increase of up to CHF 565,986 through the issuance of up to 5,659,860 registered shares with a nominal value of CHF 0.10 (to be fully paid in) each on or before April 29, 2022. The new shares were placed with institutional investors in an accelerated bookbuilding transaction, under withdrawal of statutory pre-emptive rights of existing shareholders. Our articles of incorporation were amended accordingly to reflect the new share capital.</w:t>
      </w:r>
    </w:p>
    <w:p>
      <w:pPr>
        <w:spacing w:after="0" w:line="124" w:lineRule="exact"/>
        <w:rPr>
          <w:rFonts w:ascii="Arial" w:cs="Arial" w:eastAsia="Arial" w:hAnsi="Arial"/>
          <w:sz w:val="18"/>
          <w:szCs w:val="18"/>
          <w:color w:val="auto"/>
        </w:rPr>
      </w:pPr>
    </w:p>
    <w:p>
      <w:pPr>
        <w:ind w:left="340" w:right="100" w:hanging="332"/>
        <w:spacing w:after="0" w:line="273" w:lineRule="auto"/>
        <w:tabs>
          <w:tab w:leader="none" w:pos="335" w:val="left"/>
        </w:tabs>
        <w:numPr>
          <w:ilvl w:val="0"/>
          <w:numId w:val="99"/>
        </w:numPr>
        <w:rPr>
          <w:rFonts w:ascii="Arial" w:cs="Arial" w:eastAsia="Arial" w:hAnsi="Arial"/>
          <w:sz w:val="17"/>
          <w:szCs w:val="17"/>
          <w:color w:val="auto"/>
        </w:rPr>
      </w:pPr>
      <w:r>
        <w:rPr>
          <w:rFonts w:ascii="Arial" w:cs="Arial" w:eastAsia="Arial" w:hAnsi="Arial"/>
          <w:sz w:val="17"/>
          <w:szCs w:val="17"/>
          <w:color w:val="auto"/>
        </w:rPr>
        <w:t>On October 28, 2020, our share capital was increased by CHF 173,913.00 through the issuance of 1,739,130 new shares with a nominal value of CHF 0.10 each. These shares were issued out of conditional share capital based on the resolution of the general meeting of shareholders held on October 6, 2014 regarding a conditional capital increase of up to CHF 400,000 through the issuance of up to 4,000,000 registered shares with a nominal value of CHF 0.10 (to be fully paid in) each. The new shares were issued to Novartis Pharma AG in connection with an option and equity rights agreement providing for a collaboration to develop, manufacture and commercialize certain product candidates and/or therapies. Our articles of incorporation were amended accordingly to reflect the new share capital.</w:t>
      </w:r>
    </w:p>
    <w:p>
      <w:pPr>
        <w:spacing w:after="0" w:line="96" w:lineRule="exact"/>
        <w:rPr>
          <w:rFonts w:ascii="Arial" w:cs="Arial" w:eastAsia="Arial" w:hAnsi="Arial"/>
          <w:sz w:val="17"/>
          <w:szCs w:val="17"/>
          <w:color w:val="auto"/>
        </w:rPr>
      </w:pPr>
    </w:p>
    <w:p>
      <w:pPr>
        <w:ind w:left="320" w:hanging="312"/>
        <w:spacing w:after="0"/>
        <w:tabs>
          <w:tab w:leader="none" w:pos="3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January 20, 2021, our share capital was increased by CHF 27,858.10 through the issuance of 278,581 new shares with a nominal value of CHF</w:t>
      </w:r>
    </w:p>
    <w:p>
      <w:pPr>
        <w:spacing w:after="0" w:line="46" w:lineRule="exact"/>
        <w:rPr>
          <w:rFonts w:ascii="Arial" w:cs="Arial" w:eastAsia="Arial" w:hAnsi="Arial"/>
          <w:sz w:val="16"/>
          <w:szCs w:val="16"/>
          <w:color w:val="auto"/>
        </w:rPr>
      </w:pPr>
    </w:p>
    <w:p>
      <w:pPr>
        <w:ind w:left="340" w:right="180"/>
        <w:spacing w:after="0" w:line="273" w:lineRule="auto"/>
        <w:rPr>
          <w:rFonts w:ascii="Arial" w:cs="Arial" w:eastAsia="Arial" w:hAnsi="Arial"/>
          <w:sz w:val="16"/>
          <w:szCs w:val="16"/>
          <w:color w:val="auto"/>
        </w:rPr>
      </w:pPr>
      <w:r>
        <w:rPr>
          <w:rFonts w:ascii="Arial" w:cs="Arial" w:eastAsia="Arial" w:hAnsi="Arial"/>
          <w:sz w:val="17"/>
          <w:szCs w:val="17"/>
          <w:color w:val="auto"/>
        </w:rPr>
        <w:t>0.10 each. These shares had been issued out of conditional share capital (but were not recorded in the commercial register until January 20, 2021) in the one-year period ended December 31, 2020, based on the resolution of the general meeting of shareholders held on October 6, 2014 regarding a conditional capital increase of up to CHF 400,000 through the issuance of up to 4,000,000 registered shares with a nominal value of CHF 0.10 (to be fully paid in) each. Our articles of incorporation were amended accordingly to reflect the new share capital.</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Important Provisions of our Articles of Association, Organizational Rules and Swiss Law</w:t>
      </w:r>
    </w:p>
    <w:p>
      <w:pPr>
        <w:spacing w:after="0" w:line="1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is a summary of certain important provisions of our articles of association, organizational rules and certain related provisions of Swiss law. Please note that this is only a summary and as such is not, is not intended to be and does not purport to be exhaustive. For a more complete discussion, please refer to our articles of association and organizational rules.</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June 19, 2020, the Swiss Parliament approved legislation that will modernize certain aspects of Swiss corporate law. Most relevantly, the legislative reform addresses, among other topics, (i) the modernization and increased flexibility for a stock corporation’s capital base, (ii) corporate governance and executive compensation matters, (iii) the strengthening of shareholder rights and the protection of minorities, (iv) financial distress/restructuring measures and (v) certain socio-political topics (</w:t>
      </w:r>
      <w:r>
        <w:rPr>
          <w:rFonts w:ascii="Arial" w:cs="Arial" w:eastAsia="Arial" w:hAnsi="Arial"/>
          <w:sz w:val="18"/>
          <w:szCs w:val="18"/>
          <w:i w:val="1"/>
          <w:iCs w:val="1"/>
          <w:color w:val="auto"/>
        </w:rPr>
        <w:t>e.g.</w:t>
      </w:r>
      <w:r>
        <w:rPr>
          <w:rFonts w:ascii="Arial" w:cs="Arial" w:eastAsia="Arial" w:hAnsi="Arial"/>
          <w:sz w:val="18"/>
          <w:szCs w:val="18"/>
          <w:color w:val="auto"/>
        </w:rPr>
        <w:t>, gender representation and disclosure requirements for companies active in the raw materials sector). Other than with respect to the new rules on gender representation and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requirements for companies active in the raw materials sector, which, subject to transitional periods, entered into force on January 1, 2021, the effective date of the new legislation has not yet been announced; it is not expected to come into force before 2022 (with certain transitional periods as provided for therein). In light of these reforms, certain sub-sections discussed in more detail below will be subject to the changes and modifications pursuant to this new legislation.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Aktienkapital</w:t>
      </w:r>
      <w:r>
        <w:rPr>
          <w:rFonts w:ascii="Arial" w:cs="Arial" w:eastAsia="Arial" w:hAnsi="Arial"/>
          <w:sz w:val="17"/>
          <w:szCs w:val="17"/>
          <w:color w:val="auto"/>
        </w:rPr>
        <w:t>) with a resolution of the general meeting of shareholders (ordinary capital increase) that must be carried out by the board of directors within three months in order to become effective. In case of a subscription and increase against contributions in cash, a resolution passed by an absolute majority of the votes represented at the general meeting of shareholders is required. In the case of a subscription and increase against contributions in kind or to fund acquisitions in kind, when shareholders' statutory pre-emptive rights are withdrawn or where transformation of reserves into share capital is involved, a resolution passed by two-thirds of the votes represented at a general meeting of shareholders and the absolute majority of the nominal value of the shares represented is required.</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votes represented at a general meeting of shareholders and the absolute majority of the nominal amount of the shares represented, may empower the board of directors to issue shares of a specific aggregate nominal amount up to a maximum of 50% of the existing issued share capital in the form of:</w:t>
      </w:r>
    </w:p>
    <w:p>
      <w:pPr>
        <w:spacing w:after="0" w:line="84" w:lineRule="exact"/>
        <w:rPr>
          <w:sz w:val="20"/>
          <w:szCs w:val="20"/>
          <w:color w:val="auto"/>
        </w:rPr>
      </w:pPr>
    </w:p>
    <w:p>
      <w:pPr>
        <w:ind w:left="340" w:right="40" w:hanging="332"/>
        <w:spacing w:after="0" w:line="286" w:lineRule="auto"/>
        <w:tabs>
          <w:tab w:leader="none" w:pos="33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conditional capital </w:t>
      </w:r>
      <w:r>
        <w:rPr>
          <w:rFonts w:ascii="Arial" w:cs="Arial" w:eastAsia="Arial" w:hAnsi="Arial"/>
          <w:sz w:val="17"/>
          <w:szCs w:val="17"/>
          <w:i w:val="1"/>
          <w:iCs w:val="1"/>
          <w:color w:val="auto"/>
        </w:rPr>
        <w:t>(bedingtes Kapital)</w:t>
      </w:r>
      <w:r>
        <w:rPr>
          <w:rFonts w:ascii="Arial" w:cs="Arial" w:eastAsia="Arial" w:hAnsi="Arial"/>
          <w:sz w:val="17"/>
          <w:szCs w:val="17"/>
          <w:color w:val="auto"/>
        </w:rPr>
        <w:t xml:space="preserve"> for the purpose of issuing shares in connection with, among other things, (i) options and conversion rights granted in connection with warrants and convertible bonds of the Company or one of our subsidiaries or (ii) grants of rights to employees, members of the board of directors or consultants or subsidiaries to subscribe for new shares (conversion or option rights); and/or</w:t>
      </w:r>
    </w:p>
    <w:p>
      <w:pPr>
        <w:spacing w:after="0" w:line="97" w:lineRule="exact"/>
        <w:rPr>
          <w:rFonts w:ascii="Arial" w:cs="Arial" w:eastAsia="Arial" w:hAnsi="Arial"/>
          <w:sz w:val="17"/>
          <w:szCs w:val="17"/>
          <w:color w:val="auto"/>
        </w:rPr>
      </w:pPr>
    </w:p>
    <w:p>
      <w:pPr>
        <w:ind w:left="340" w:right="100" w:hanging="332"/>
        <w:spacing w:after="0" w:line="263"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authorized capital </w:t>
      </w:r>
      <w:r>
        <w:rPr>
          <w:rFonts w:ascii="Arial" w:cs="Arial" w:eastAsia="Arial" w:hAnsi="Arial"/>
          <w:sz w:val="18"/>
          <w:szCs w:val="18"/>
          <w:i w:val="1"/>
          <w:iCs w:val="1"/>
          <w:color w:val="auto"/>
        </w:rPr>
        <w:t>(genehmigtes Kapital)</w:t>
      </w:r>
      <w:r>
        <w:rPr>
          <w:rFonts w:ascii="Arial" w:cs="Arial" w:eastAsia="Arial" w:hAnsi="Arial"/>
          <w:sz w:val="18"/>
          <w:szCs w:val="18"/>
          <w:color w:val="auto"/>
        </w:rPr>
        <w:t xml:space="preserve"> to be utilized by the board of directors within a period determined by the shareholders but not exceeding two years from the date of the shareholder approval. Our current authorized capital was most recently approved on the annual shareholders' meeting held on April 21, 2021 and will thus expire on April 21, 2023. See "—</w:t>
      </w:r>
      <w:r>
        <w:rPr>
          <w:rFonts w:ascii="Arial" w:cs="Arial" w:eastAsia="Arial" w:hAnsi="Arial"/>
          <w:sz w:val="18"/>
          <w:szCs w:val="18"/>
          <w:i w:val="1"/>
          <w:iCs w:val="1"/>
          <w:color w:val="auto"/>
        </w:rPr>
        <w:t>Our Authorized Share Capital</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44"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Pursuant to the CO, shareholders have pre-emptive rights (</w:t>
      </w:r>
      <w:r>
        <w:rPr>
          <w:rFonts w:ascii="Arial" w:cs="Arial" w:eastAsia="Arial" w:hAnsi="Arial"/>
          <w:sz w:val="18"/>
          <w:szCs w:val="18"/>
          <w:i w:val="1"/>
          <w:iCs w:val="1"/>
          <w:color w:val="auto"/>
        </w:rPr>
        <w:t>Bezugsrechte</w:t>
      </w:r>
      <w:r>
        <w:rPr>
          <w:rFonts w:ascii="Arial" w:cs="Arial" w:eastAsia="Arial" w:hAnsi="Arial"/>
          <w:sz w:val="18"/>
          <w:szCs w:val="18"/>
          <w:color w:val="auto"/>
        </w:rPr>
        <w:t>) to subscribe for newly issued shares. With respect to conditional capital in connection with the issuance of conversion rights, convertible bonds or similar debt instruments, shareholders have advance subscription rights (</w:t>
      </w:r>
      <w:r>
        <w:rPr>
          <w:rFonts w:ascii="Arial" w:cs="Arial" w:eastAsia="Arial" w:hAnsi="Arial"/>
          <w:sz w:val="18"/>
          <w:szCs w:val="18"/>
          <w:i w:val="1"/>
          <w:iCs w:val="1"/>
          <w:color w:val="auto"/>
        </w:rPr>
        <w:t>Vorwegzeichnungsrechte</w:t>
      </w:r>
      <w:r>
        <w:rPr>
          <w:rFonts w:ascii="Arial" w:cs="Arial" w:eastAsia="Arial" w:hAnsi="Arial"/>
          <w:sz w:val="18"/>
          <w:szCs w:val="18"/>
          <w:color w:val="auto"/>
        </w:rPr>
        <w:t>) for the subscription of these instruments.</w:t>
      </w:r>
    </w:p>
    <w:p>
      <w:pPr>
        <w:spacing w:after="0" w:line="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A resolution passed at a general meeting of shareholders by two-thirds of the votes represented and the absolute majority of the nominal value of the shares represented may authorize the board of directors to withdraw or limit pre-emptive rights and/or advance subscription rights in certain circumstances.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our authorized share capital, the board of directors is authorized by our articles of association to withdraw or limit the pre-emptive rights of shareholders, and to allocate them to certain shareholders and third parties if the shares are to be used:</w:t>
      </w:r>
    </w:p>
    <w:p>
      <w:pPr>
        <w:spacing w:after="0" w:line="89" w:lineRule="exact"/>
        <w:rPr>
          <w:sz w:val="20"/>
          <w:szCs w:val="20"/>
          <w:color w:val="auto"/>
        </w:rPr>
      </w:pPr>
    </w:p>
    <w:p>
      <w:pPr>
        <w:ind w:left="340" w:right="80" w:hanging="332"/>
        <w:spacing w:after="0" w:line="277"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acquisition of companies, part of companies or participations, for the acquisition of products, intellectual property or licenses or for investment projects or for the financing or refinancing of such transactions through a placement of shares;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the purpose of broadening the shareholder constituency or in connection with a listing of shares on domestic or foreign stock exchanges;</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issue price of the new shares is determined by reference to the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130" w:lineRule="exact"/>
        <w:rPr>
          <w:sz w:val="20"/>
          <w:szCs w:val="20"/>
          <w:color w:val="auto"/>
        </w:rPr>
      </w:pPr>
    </w:p>
    <w:p>
      <w:pPr>
        <w:ind w:left="340" w:right="620" w:hanging="332"/>
        <w:spacing w:after="0" w:line="277"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shares in a placement or sale of shares to the respective initial purchaser or underwriters;</w:t>
      </w:r>
    </w:p>
    <w:p>
      <w:pPr>
        <w:spacing w:after="0" w:line="89" w:lineRule="exact"/>
        <w:rPr>
          <w:rFonts w:ascii="Arial" w:cs="Arial" w:eastAsia="Arial" w:hAnsi="Arial"/>
          <w:sz w:val="18"/>
          <w:szCs w:val="18"/>
          <w:color w:val="auto"/>
        </w:rPr>
      </w:pPr>
    </w:p>
    <w:p>
      <w:pPr>
        <w:ind w:left="340" w:right="60" w:hanging="332"/>
        <w:spacing w:after="0" w:line="342" w:lineRule="auto"/>
        <w:tabs>
          <w:tab w:leader="none" w:pos="3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w:t>
      </w:r>
    </w:p>
    <w:p>
      <w:pPr>
        <w:spacing w:after="0" w:line="56" w:lineRule="exact"/>
        <w:rPr>
          <w:rFonts w:ascii="Arial" w:cs="Arial" w:eastAsia="Arial" w:hAnsi="Arial"/>
          <w:sz w:val="16"/>
          <w:szCs w:val="16"/>
          <w:color w:val="auto"/>
        </w:rPr>
      </w:pPr>
    </w:p>
    <w:p>
      <w:pPr>
        <w:ind w:left="340" w:right="60" w:hanging="332"/>
        <w:spacing w:after="0" w:line="263" w:lineRule="auto"/>
        <w:tabs>
          <w:tab w:leader="none" w:pos="3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defense of an actual, threatened or potential takeover bid, in relation to which the board of directors, upon consultation with an independent financial advisor retained by it, has not recommended to the shareholders acceptance on the basis that the board of directors has not found the takeover bid to be financially fair to the shareholders.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Company. Any shares for which the granted preferential subscription rights have not been exercised will be at the disposal of the board of directors, who may sell them at market conditions or use them for other purposes in the interest of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5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Under our articles of association, our board of directors is authorized to increase the share capital at any time on or before April 21, 2023, by a maximum aggregate amount of CHF 728,675 through the issuance of not more than 7,286,750 shares, which would have to be fully paid-in, with a nominal value of CHF 0.10 each.</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8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board of directors is also authorized to withdraw or limit pre-emptive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rights lapses simultaneously with such capital.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 our</w:t>
      </w:r>
    </w:p>
    <w:p>
      <w:pPr>
        <w:spacing w:after="0" w:line="4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authorized but unissued share capital will decrease by the amount of CHF (or by a larger amount to the extent that any over-allotment shares will be issued).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4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Our share capital may be increased by a (following the transactions set out in "—</w:t>
      </w:r>
      <w:r>
        <w:rPr>
          <w:rFonts w:ascii="Arial" w:cs="Arial" w:eastAsia="Arial" w:hAnsi="Arial"/>
          <w:sz w:val="17"/>
          <w:szCs w:val="17"/>
          <w:i w:val="1"/>
          <w:iCs w:val="1"/>
          <w:color w:val="auto"/>
        </w:rPr>
        <w:t>History of Securities Issuances</w:t>
      </w:r>
      <w:r>
        <w:rPr>
          <w:rFonts w:ascii="Arial" w:cs="Arial" w:eastAsia="Arial" w:hAnsi="Arial"/>
          <w:sz w:val="17"/>
          <w:szCs w:val="17"/>
          <w:color w:val="auto"/>
        </w:rPr>
        <w:t>", residual) maximum aggregate amount of CHF 176,067.70 through the issuance of not more than 1,760,677 common shares, which would need to be fully paid-in, with a nominal value of CHF 0.10 each, through the direct or indirect issuance of shares, options or pre-emptive rights thereof granted to employees and members of our board of directors as well as to members of any advisory boards. Shares, options or pre-emptive rights thereof shall be issued in accordance with one or more participation plans and/or policies to be issued by our board of directors and in accordance with our articles of association.</w:t>
      </w:r>
    </w:p>
    <w:p>
      <w:pPr>
        <w:spacing w:after="0" w:line="1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our share capital may be increased by a (following the transactions set out in "—</w:t>
      </w:r>
      <w:r>
        <w:rPr>
          <w:rFonts w:ascii="Arial" w:cs="Arial" w:eastAsia="Arial" w:hAnsi="Arial"/>
          <w:sz w:val="16"/>
          <w:szCs w:val="16"/>
          <w:i w:val="1"/>
          <w:iCs w:val="1"/>
          <w:color w:val="auto"/>
        </w:rPr>
        <w:t>History of Securities Issuances</w:t>
      </w:r>
      <w:r>
        <w:rPr>
          <w:rFonts w:ascii="Arial" w:cs="Arial" w:eastAsia="Arial" w:hAnsi="Arial"/>
          <w:sz w:val="16"/>
          <w:szCs w:val="16"/>
          <w:color w:val="auto"/>
        </w:rPr>
        <w:t>", residual) maximum aggregate amount of CHF 226,087 through the issuance of up to 2,260,870 fully paid up shares with a nominal value of CHF 0.10 each through the exercise or mandatory exercise of conversion, exchange, option, warrant or similar rights for the subscription of shares granted to shareholders or third parties alone or in connection with bonds, notes, options, warrants or other securities or contractual obligations by us or any of our group companies.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pre-emptive rights and advance subscription rights of our shareholders are excluded in connection with the issuance of any shares, options or pre-emptive rights under our conditional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Wertrechte</w:t>
      </w:r>
      <w:r>
        <w:rPr>
          <w:rFonts w:ascii="Arial" w:cs="Arial" w:eastAsia="Arial" w:hAnsi="Arial"/>
          <w:sz w:val="18"/>
          <w:szCs w:val="18"/>
          <w:color w:val="auto"/>
        </w:rPr>
        <w:t>, within the meaning of article 973c of the CO) and, when administered by a custodian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Verwahrungsstelle</w:t>
      </w:r>
      <w:r>
        <w:rPr>
          <w:rFonts w:ascii="Arial" w:cs="Arial" w:eastAsia="Arial" w:hAnsi="Arial"/>
          <w:sz w:val="16"/>
          <w:szCs w:val="16"/>
          <w:color w:val="auto"/>
        </w:rPr>
        <w:t>, within the meaning of the Federal Act on Intermediated Securities, or FISA), and credited to one or more securities deposit account</w:t>
      </w:r>
    </w:p>
    <w:p>
      <w:pPr>
        <w:spacing w:after="0" w:line="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Effektenkonto</w:t>
      </w:r>
      <w:r>
        <w:rPr>
          <w:rFonts w:ascii="Arial" w:cs="Arial" w:eastAsia="Arial" w:hAnsi="Arial"/>
          <w:sz w:val="17"/>
          <w:szCs w:val="17"/>
          <w:color w:val="auto"/>
        </w:rPr>
        <w:t>) qualify as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within the meaning of the FISA). In accordance with article 973c of the CO, we maintain a non-public register of uncertificated securities (</w:t>
      </w:r>
      <w:r>
        <w:rPr>
          <w:rFonts w:ascii="Arial" w:cs="Arial" w:eastAsia="Arial" w:hAnsi="Arial"/>
          <w:sz w:val="17"/>
          <w:szCs w:val="17"/>
          <w:i w:val="1"/>
          <w:iCs w:val="1"/>
          <w:color w:val="auto"/>
        </w:rPr>
        <w:t>Wertrechtebuch</w:t>
      </w:r>
      <w:r>
        <w:rPr>
          <w:rFonts w:ascii="Arial" w:cs="Arial" w:eastAsia="Arial" w:hAnsi="Arial"/>
          <w:sz w:val="17"/>
          <w:szCs w:val="17"/>
          <w:color w:val="auto"/>
        </w:rPr>
        <w:t>). We may at any time without the approval of our shareholders and at our cost convert shares issued as uncertificated securities into another form (including global certificates) or convert shares issued in one form into another form. Following the entry in the share register, a shareholder may at any time request from us a written confirmation in respect of the shares held by such shareholder. Shareholders are not entitled, however, to request the printing and delivery of certificates or the conversion of the shares in one form into another form. We may print and deliver certificates for shares at any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Exercisable for Common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See the section of this prospectus entitled “Executive Compensation—Equity Incentives” for a description of securities granted by our board of directors to our directors, executive officers, employees and other service providers.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Meeting of Shareholders</w:t>
      </w:r>
    </w:p>
    <w:p>
      <w:pPr>
        <w:spacing w:after="0" w:line="1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 of any calendar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44"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adoption and amendment of our articles of association;</w:t>
      </w:r>
    </w:p>
    <w:p>
      <w:pPr>
        <w:spacing w:after="0" w:line="157" w:lineRule="exact"/>
        <w:rPr>
          <w:rFonts w:ascii="Arial" w:cs="Arial" w:eastAsia="Arial" w:hAnsi="Arial"/>
          <w:sz w:val="18"/>
          <w:szCs w:val="18"/>
          <w:color w:val="auto"/>
        </w:rPr>
      </w:pPr>
    </w:p>
    <w:p>
      <w:pPr>
        <w:ind w:left="340" w:right="720" w:hanging="332"/>
        <w:spacing w:after="0" w:line="277"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election of the members of the board of directors, the chairperson of the board of directors, the members of the compensation committee, the independent voting rights representative and the auditors;</w:t>
      </w:r>
    </w:p>
    <w:p>
      <w:pPr>
        <w:spacing w:after="0" w:line="102"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approval of the annual management report and the consolidated financial statements and approval of the annual financial statements and decision on the allocation of profits shown on the balance sheet, in particular with regard to dividends;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approval of the compensation of the board of directors and of the executive management pursuant to article 28 of our articles of association;</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granting discharge to the members of the board of directors and the persons entrusted with the executive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dissolving the Company with or without liquidation;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passing of resolutions as to all matters reserved by law or under our articles of association to the authority of the general meeting of shareholders.</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our auditor, liquidator or the representatives of bondholders,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our stand-alone annual statutory balance sheet, half of our share capital and reserves are not covered by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80"/>
          </w:cols>
          <w:pgMar w:left="320" w:top="1440" w:right="399" w:bottom="1440" w:gutter="0" w:footer="0" w:header="0"/>
        </w:sectPr>
      </w:pPr>
    </w:p>
    <w:bookmarkStart w:id="190" w:name="page191"/>
    <w:bookmarkEnd w:id="190"/>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Shareholder resolutions and elections (including elections of members of the board of directors) require the affirmative vote of the absolute majority of the votes represented at the general meeting of shareholders, unless otherwise stipulated by law or our articles of association.</w:t>
      </w:r>
    </w:p>
    <w:p>
      <w:pPr>
        <w:spacing w:after="0" w:line="10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Under Swiss corporate law and our articles of association, a resolution of the general meeting of the shareholders passed by two-thirds of the votes represented at the meeting, and the absolute majority of the nominal value of the shares represented is required for:</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amendment or modification of the purpose of the company;</w:t>
      </w:r>
    </w:p>
    <w:p>
      <w:pPr>
        <w:spacing w:after="0" w:line="144"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creation of shares with privileged voting rights;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restriction on the transferability of shares and the cancellation of such restriction;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authorized or conditional increase of the share capital;</w:t>
      </w:r>
    </w:p>
    <w:p>
      <w:pPr>
        <w:spacing w:after="0" w:line="144"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increase of the share capital through the conversion of capital surplus, through contribution in kind or for purposes of an acquisition of assets, or the granting of special privileges;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limitation or withdrawal of pre-emptive rights;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relocation of the registered office of the company;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dissolution of the company.</w:t>
      </w:r>
    </w:p>
    <w:p>
      <w:pPr>
        <w:spacing w:after="0" w:line="158"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 a rule, the same voting requirements apply to resolutions regarding transactions among corporations based on Switzerland’s Federal Act on Mergers, Demergers, Transformations and the Transfer of Assets of 2003, as amended, or the Swiss Merger Act (including a merger, demerger or conversion of a corporation). See “—Compulsory Acquisitions; Appraisal Rights.”</w:t>
      </w:r>
    </w:p>
    <w:p>
      <w:pPr>
        <w:spacing w:after="0" w:line="11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for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 meetings of shareholders must be convened by the board of directors at least twenty days before the date of the meeting. The general meeting of shareholders is convened by way of a notice appearing in our official publication medium, currently the Swiss Official Gazette of Commerce. Registered shareholders may also be informed by 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owners or representatives of all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Requests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(1) one tenth of the share capital or (2) an aggregate nominal value of at least CHF 1,000,000, may request that an item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included on the agenda for a general meeting of shareholders. To be timely, the shareholder’s request must be received by us at least 45 calendar days in advance of the meeting.</w:t>
      </w:r>
    </w:p>
    <w:p>
      <w:pPr>
        <w:spacing w:after="0" w:line="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ordinary general meeting. Shareholders of record must be notified of this in writing.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Swiss statutory law, at any general meeting of shareholders any shareholder may put proposals to the meeting if the proposal is part of an agenda item. In addition, even if the proposal is not part of any agenda item, any shareholder may propose to the meeting to convene an extraordinary general meeting of shareholders or to have a specific matter investigated by means of a special audit where this is necessary for the proper exercise of shareholders’ rights.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52"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color w:val="auto"/>
        </w:rPr>
        <w:t>Each of our shares entitles a holder to one vote.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Other Distributions</w:t>
      </w:r>
    </w:p>
    <w:p>
      <w:pPr>
        <w:spacing w:after="0" w:line="138"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board of directors may propose to shareholders that a dividend or other distribution be paid but cannot itself authorize the distribution. Under our articles of association, dividend payments require a resolution passed by an absolute majority of the votes represented at a general meeting of shareholders. In addition, our auditors must confirm that the dividend proposal of our board of directors conforms to Swiss statutory law and our articles of association.</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or if we have distributable reserves, each as evidenced by our audited stand-alone statutory balance sheet prepared pursuant to Swiss law, and after allocations to reserves required by Swiss law and the articles of association have been deducted. We may not be permitted to pay interim dividends out of profit of the current business year.</w:t>
      </w:r>
    </w:p>
    <w:p>
      <w:pPr>
        <w:spacing w:after="0" w:line="11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Distributable reserves are booked either as “retained earnings” or as reserves from capital contributions. Under the CO, if our general reserves amount to less than 20% of our share capital recorded in the commercial register (i.e., 20% of the aggregate nominal value of our issued capital), then at least 5% of our annual profit must be retained as general reserves. In addition, if our general reserves amount to less than 50% of our share capital, 10% of the amounts distributed beyond payment of a dividend of 5%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Distributions out of issued share capital (i.e. the aggregate nominal value of our issued shares) are not allowed and may be made only by way of a share capital reduction. Such a capital reduction requires a resolution passed by an absolute majority of the votes represented at a general meeting of shareholders. The resolution of the shareholders must be recorded in a public deed and a special audit report must confirm that claims of our creditors remain fully covered despite the reduction in the share capital recorded in the commercial register.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 Pursuant to the revised CO, the board of directors must give public notice of the capital reduction in the Swiss Official Gazette of 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Schweizerisches Handelsamtsblatt</w:t>
      </w:r>
      <w:r>
        <w:rPr>
          <w:rFonts w:ascii="Arial" w:cs="Arial" w:eastAsia="Arial" w:hAnsi="Arial"/>
          <w:sz w:val="18"/>
          <w:szCs w:val="18"/>
          <w:color w:val="auto"/>
        </w:rPr>
        <w:t>) only once (instead of three times) and notify the Company's creditors that they may request, within thirty days of the publication (instead of two months of the third publication as under the current law), satisfaction of, or security for, their claims. The revised CO is expected to enter into force in 2023.</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Inspection of Books and Records</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CO, a shareholder has a right to inspect our share register with respect to his, her or its own shares and otherwise to the extent necessary to exercise his, her or its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Shareholder Rights—Inspection of Books and Records.”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Investigation</w:t>
      </w:r>
    </w:p>
    <w:p>
      <w:pPr>
        <w:spacing w:after="0" w:line="14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examiner in a special investigation. If the general meeting of shareholders approves the proposal, we or any shareholder may, within 30 calendar days after the general meeting of shareholders, request a court sitting at our registered office (currently in Schlieren, Switzerland) to appoint a special examiner. If the general meeting of shareholders rejects the request, one or more shareholders representing at least 10% of the share capital or holders of shares in an aggregate nominal value of at least CHF 2,000,000 may request that the court appoint a special examiner. The court will issue such an order if the petitioners can demonstrate that the board of directors, any member of the board of directors or our executive management infringed the law or our articles of association and thereby caused damages to us or the shareholders. The costs of the investigation would generally be allocated to us and only in exceptional cases to the petitioners.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Rights to Bring Actions for the Benefit of the Company</w:t>
      </w:r>
    </w:p>
    <w:p>
      <w:pPr>
        <w:spacing w:after="0" w:line="1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According to the CO, an individual shareholder may bring an action, in its own name and for the benefit of the Company, against the Company’s directors, officers or liquidators for the recovery of any losses we have suffered as a result of the intentional or negligent breach by such directors, officers or liquidators of their duties.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Compulsory Acquisitions; Appraisal Rights</w:t>
      </w:r>
    </w:p>
    <w:p>
      <w:pPr>
        <w:spacing w:after="0" w:line="1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Business combinations and other transactions that are governed by the Swiss Merger Act (</w:t>
      </w:r>
      <w:r>
        <w:rPr>
          <w:rFonts w:ascii="Arial" w:cs="Arial" w:eastAsia="Arial" w:hAnsi="Arial"/>
          <w:sz w:val="17"/>
          <w:szCs w:val="17"/>
          <w:i w:val="1"/>
          <w:iCs w:val="1"/>
          <w:color w:val="auto"/>
        </w:rPr>
        <w:t>i.e.</w:t>
      </w:r>
      <w:r>
        <w:rPr>
          <w:rFonts w:ascii="Arial" w:cs="Arial" w:eastAsia="Arial" w:hAnsi="Arial"/>
          <w:sz w:val="17"/>
          <w:szCs w:val="17"/>
          <w:color w:val="auto"/>
        </w:rPr>
        <w:t>, mergers, demergers, conversion of a corporation and certain asset transfers) are binding on all shareholders. A statutory merger or demerger requires approval of two-thirds of the votes represented at a general meeting of shareholders and the absolute majority of the nominal value of the shares represented at such meeting.</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If a transaction under the Swiss Merger Act receives all of the necessary consents, all shareholders are compelled to participate in such transaction.</w:t>
      </w:r>
    </w:p>
    <w:p>
      <w:pPr>
        <w:spacing w:after="0" w:line="1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Swiss corporations may be acquired by an acquirer through the direct acquisition of shares. The Swiss Merger Act provides for the possibility of a so-called “cash-out” or “squeeze-out” merger if 90% of the shareholders of the transferring company who are entitled to vote give their consent.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w:t>
      </w:r>
    </w:p>
    <w:p>
      <w:pPr>
        <w:spacing w:after="0" w:line="10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business combinations effected in the form of a statutory merger or demerger and subject to Swiss law, the Swiss Merger Act provides that if equity rights have not been adequately preserved or compensation payments in the transaction are not adequate, a shareholder may request the competent court to determine an adequate amount of compensation. Shareholders who consider their equity rights not to have been adequately preserved or the compensation received or to be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3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such a suit is filed, the court must assess whether the equity rights have been adequately preserved or the compensation paid or to be paid to the shareholders is adequate compensation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under Swiss law, the sale of all or substantially all of our assets may be construed as a de facto dissolution of the Company, and consequently require the approval of two-thirds of the votes represented at a general meeting of shareholders and the absolute majority of the nominal value of the shares represented at such meeting. Whether a shareholder resolution is required depends on the particular transaction, and the following circumstances are generally deemed relevant in this respect:</w:t>
      </w:r>
    </w:p>
    <w:p>
      <w:pPr>
        <w:spacing w:after="0" w:line="119" w:lineRule="exact"/>
        <w:rPr>
          <w:sz w:val="20"/>
          <w:szCs w:val="20"/>
          <w:color w:val="auto"/>
        </w:rPr>
      </w:pPr>
    </w:p>
    <w:p>
      <w:pPr>
        <w:ind w:left="340" w:right="44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core part of the company’s business is sold without which it is economically impracticable or unreasonable to continue to operate the remaining business;</w:t>
      </w:r>
    </w:p>
    <w:p>
      <w:pPr>
        <w:spacing w:after="0" w:line="102" w:lineRule="exact"/>
        <w:rPr>
          <w:rFonts w:ascii="Arial" w:cs="Arial" w:eastAsia="Arial" w:hAnsi="Arial"/>
          <w:sz w:val="18"/>
          <w:szCs w:val="18"/>
          <w:color w:val="auto"/>
        </w:rPr>
      </w:pPr>
    </w:p>
    <w:p>
      <w:pPr>
        <w:ind w:left="340" w:right="20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company’s assets, after the divestment, are not invested in accordance with the company’s business purpose set forth in its articles of association; and</w:t>
      </w:r>
    </w:p>
    <w:p>
      <w:pPr>
        <w:spacing w:after="0" w:line="89" w:lineRule="exact"/>
        <w:rPr>
          <w:rFonts w:ascii="Arial" w:cs="Arial" w:eastAsia="Arial" w:hAnsi="Arial"/>
          <w:sz w:val="18"/>
          <w:szCs w:val="18"/>
          <w:color w:val="auto"/>
        </w:rPr>
      </w:pPr>
    </w:p>
    <w:p>
      <w:pPr>
        <w:ind w:left="340" w:right="28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the company’s business purpose but, instead, are intended for distribution to the company’s shareholders or for financial investments unrelated to the company’s business.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Election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articles of association provide that our board of directors shall consist of a minimum of three members and a maximum of eleven members.</w:t>
      </w:r>
    </w:p>
    <w:p>
      <w:pPr>
        <w:spacing w:after="0" w:line="16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members of our board of directors and the chairperson are elected annually by the general meeting of shareholders for a term of office until completion of the next annual general meeting of shareholders and are eligible for re-election. Each member of our board of directors must be elected individually.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58"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the issuance of the necessary instructions;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determination of the organization of the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administration of accounting, financial control and financial planning;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appointment and removal of the persons entrusted with executive management and their representation of the company;</w:t>
      </w:r>
    </w:p>
    <w:p>
      <w:pPr>
        <w:spacing w:after="0" w:line="157" w:lineRule="exact"/>
        <w:rPr>
          <w:rFonts w:ascii="Arial" w:cs="Arial" w:eastAsia="Arial" w:hAnsi="Arial"/>
          <w:sz w:val="18"/>
          <w:szCs w:val="18"/>
          <w:color w:val="auto"/>
        </w:rPr>
      </w:pPr>
    </w:p>
    <w:p>
      <w:pPr>
        <w:ind w:left="340" w:right="6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supervision of the persons entrusted with management of the company, specifically in view of their compliance with the law, these articles of association, the regulations and directives;</w:t>
      </w:r>
    </w:p>
    <w:p>
      <w:pPr>
        <w:spacing w:after="0" w:line="89" w:lineRule="exact"/>
        <w:rPr>
          <w:rFonts w:ascii="Arial" w:cs="Arial" w:eastAsia="Arial" w:hAnsi="Arial"/>
          <w:sz w:val="18"/>
          <w:szCs w:val="18"/>
          <w:color w:val="auto"/>
        </w:rPr>
      </w:pPr>
    </w:p>
    <w:p>
      <w:pPr>
        <w:ind w:left="340" w:right="78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preparation of the business report, the compensation report and the general meetings of shareholders as well as the implementation of the resolutions adopted by the general meetings of shareholders;</w:t>
      </w:r>
    </w:p>
    <w:p>
      <w:pPr>
        <w:spacing w:after="0" w:line="102"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adoption of resolutions regarding the subsequent payment of capital with respect to non-fully paid up shares and the amendments to the articles of association related thereto;</w:t>
      </w:r>
    </w:p>
    <w:p>
      <w:pPr>
        <w:spacing w:after="0" w:line="89"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adoption of resolutions concerning an increase of the share capital to the extent that such power is vested in the board of directors (article 651 paragraph 4 CO) and of resolutions concerning the confirmation of capital increases and corresponding amendments to the Articles of Incorporation, as well as the preparation of the required report on the capital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30"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non-delegable and inalienable duties and powers of the board of directors pursuant to the Merger Act;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notification of the court if liabilities exceed assets;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matter reserved to the board of directors by the law or the articles of association.</w:t>
      </w:r>
    </w:p>
    <w:p>
      <w:pPr>
        <w:spacing w:after="0" w:line="158"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details of the delegation must be set in the organizational rules issued by the board of directors. The organizational rules may also contain other procedural rules such as quorum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Executive Management and Directors</w:t>
      </w:r>
    </w:p>
    <w:p>
      <w:pPr>
        <w:spacing w:after="0" w:line="158" w:lineRule="exact"/>
        <w:rPr>
          <w:sz w:val="20"/>
          <w:szCs w:val="20"/>
          <w:color w:val="auto"/>
        </w:rPr>
      </w:pPr>
    </w:p>
    <w:p>
      <w:pPr>
        <w:ind w:right="560"/>
        <w:spacing w:after="0" w:line="311" w:lineRule="auto"/>
        <w:rPr>
          <w:sz w:val="20"/>
          <w:szCs w:val="20"/>
          <w:color w:val="auto"/>
        </w:rPr>
      </w:pPr>
      <w:r>
        <w:rPr>
          <w:rFonts w:ascii="Arial" w:cs="Arial" w:eastAsia="Arial" w:hAnsi="Arial"/>
          <w:sz w:val="16"/>
          <w:szCs w:val="16"/>
          <w:color w:val="auto"/>
        </w:rPr>
        <w:t>In addition, under general principles of Swiss employment law, an employer may be required to indemnify an employee against losses and expenses incurred by such employee in the proper execution of his or her duties under the employment agreement with the employer. See the section of this prospectus entitled “Comparison of Shareholder Rights—Indemnification of Directors and Executive Management and Limitation of Liability.”</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management. See the section of this prospectus entitled “Related Party Transactions—Indemnification Agreements.”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of Interest, Management Transactions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Swiss law does not have a specific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director or associated person acted in bad faith.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Code of Conduct and organizational rules also cover a broad range of matters, including the handling of conflicts of interest.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the Compensation of the Board of Directors and the Executive Management</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Swiss law, our shareholders must annually approve the compensation of the board of directors and the persons whom the board of directors has, fully or partially, entrusted with our management, which we refer to as our “executive management”. The board of directors is responsible for the annual preparation of a written compensation report in accordance with Swiss law and the Ordinance against Excessive Compensation in Stock Exchange Listed Companies, or the Ordinance. Our statutory auditor conducts an audit of the compensation report as required by article 17 of the Ordinance in accordance with Swiss law and Swiss auditing standards. The compensation report must disclose all compensation, loans and other forms of indebtedness granted by us, directly or indirectly, to current or former members of the board of directors and executive management to the extent related to their former role or not on customary market terms.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concerning compensation, loans and other forms of indebtedness must include:</w:t>
      </w:r>
    </w:p>
    <w:p>
      <w:pPr>
        <w:spacing w:after="0" w:line="144" w:lineRule="exact"/>
        <w:rPr>
          <w:sz w:val="20"/>
          <w:szCs w:val="20"/>
          <w:color w:val="auto"/>
        </w:rPr>
      </w:pPr>
    </w:p>
    <w:p>
      <w:pPr>
        <w:ind w:left="340" w:right="30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aggregate amount for the board of directors as well as the particular amount for each member of the board of directors, specifying the name and function of each respective person; and</w:t>
      </w:r>
    </w:p>
    <w:p>
      <w:pPr>
        <w:spacing w:after="0" w:line="102" w:lineRule="exact"/>
        <w:rPr>
          <w:rFonts w:ascii="Arial" w:cs="Arial" w:eastAsia="Arial" w:hAnsi="Arial"/>
          <w:sz w:val="18"/>
          <w:szCs w:val="18"/>
          <w:color w:val="auto"/>
        </w:rPr>
      </w:pPr>
    </w:p>
    <w:p>
      <w:pPr>
        <w:ind w:left="340" w:right="320" w:hanging="332"/>
        <w:spacing w:after="0" w:line="277" w:lineRule="auto"/>
        <w:tabs>
          <w:tab w:leader="none" w:pos="3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aggregate amount for the executive management as well as the particular amount for the member of the executive management with the highest compensation, specifying the name and function of such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44" w:lineRule="exact"/>
        <w:rPr>
          <w:sz w:val="20"/>
          <w:szCs w:val="20"/>
          <w:color w:val="auto"/>
        </w:rPr>
      </w:pPr>
    </w:p>
    <w:p>
      <w:pPr>
        <w:ind w:left="340" w:right="100" w:hanging="332"/>
        <w:spacing w:after="0" w:line="277"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during the notice period before termination of a contractual relationship does not qualify as severance payment);</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incentive fees for the acquisition or transfer of corporations or parts thereof by us or by companies being, directly or indirectly, controlled by the us;</w:t>
      </w:r>
    </w:p>
    <w:p>
      <w:pPr>
        <w:spacing w:after="0" w:line="167"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us is prohibited if the compensation (1) would have been prohibited if it was paid directly by us, (2) is not provided for in our articles of association and (3) has not been approved by the general meeting of shareholders.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shareholders annually vote on the proposals of the board of directors with respect to:</w:t>
      </w:r>
    </w:p>
    <w:p>
      <w:pPr>
        <w:spacing w:after="0" w:line="158"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until the next annual general meeting;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following financial year.</w:t>
      </w:r>
    </w:p>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the general meeting of shareholders does not approve a compensation proposal made by the board of directors, the board of directors must convene an extraordinary general meeting and submit a new compensation proposal to such meeting.</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fixed compensation, members of the executive management and, under certain circumstances, the board of directors may be paid variable compensation, depending on the achievement of certain performance criteria or for retention purposes.</w:t>
      </w:r>
    </w:p>
    <w:p>
      <w:pPr>
        <w:spacing w:after="0" w:line="8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performance criteria may include corporate targets and targets in relation to the market, other companies or comparable benchmarks and individual targets,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Compensation may be paid or granted in the form of cash, shares, financial instruments, or in the form of other types of benefits. The board of directors or, where delegated to it, the compensation committee shall determine grant, vesting, exercise and forfeiture conditions.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Borrowing Powers</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Repurchases of Shares and Purchases of Own Shares</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 limits our right to purchase and hold our own shares. We and our subsidiaries may purchase shares only if and to the extent that (1) we have freely distributable reserves in the amount of the purchase price; and (2) the aggregate nominal value of all shares held by us does not exceed 10% of our share capital. Pursuant to Swiss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3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where shares are acquired in connection with a transfer restriction set out in the articles of association, the foregoing upper limit is 20%. We currently do not have any transfer restriction in our articles of association. If we own shares that exceed the threshold of 10% of our share capital, the excess must be sold or cancelled by means of a capital reduction within two years.</w:t>
      </w:r>
    </w:p>
    <w:p>
      <w:pPr>
        <w:spacing w:after="0" w:line="103"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our obligations under our equity plans, to meet imbalances of supply and demand, to provide liquidity and to even out variances in the market price of shares.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 and Disclosure of Substantial Share Interests</w:t>
      </w:r>
    </w:p>
    <w:p>
      <w:pPr>
        <w:spacing w:after="0" w:line="13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The disclosure obligations generally applicable to shareholders of Swiss corporations under the Federal Act on Financial Market Infrastructures and Market Conduct in Securities and Derivatives Trading of 2015, or the Financial Market Infrastructure Act, are applicable to us. Under the Financial Market Infrastructure Act, persons who directly, indirectly or in concert with other parties acquire or dispose of common shares or are granted the power to exercise voting rights attached to common shares at their own discretion, or delegated voting rights, or acquire or dispose of purchase or sale rights relating to common shares, and thereby reach, exceed or fall below a threshold of 3, 5, 10, 15, 20, 25, 33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50 or 66 </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22"/>
          <w:szCs w:val="22"/>
          <w:color w:val="auto"/>
          <w:vertAlign w:val="subscript"/>
        </w:rPr>
        <w:t>3</w:t>
      </w:r>
      <w:r>
        <w:rPr>
          <w:rFonts w:ascii="Arial" w:cs="Arial" w:eastAsia="Arial" w:hAnsi="Arial"/>
          <w:sz w:val="17"/>
          <w:szCs w:val="17"/>
          <w:color w:val="auto"/>
        </w:rPr>
        <w:t xml:space="preserve"> percent of our voting rights (whether exercisable or not) must report such acquisition or disposal to us and the SIX Swiss Exchange in writing within four trading days. Within two trading days of the receipt of such notification, we must publish such information through SIX Swiss Exchange's electronic reporting and publishing platform. For purposes of calculating whether a threshold has been reached or crossed, shares, delegated voting rights and acquisition rights or obligations, or Acquisition Positions, on the one hand and sale rights or obligations, or Disposal Positions, on the other hand may not be netted. Rather the Acquisition Positions and the Disposal Positions need to be accounted for separately and may each trigger disclosure obligations if the respective positions reach one of the thresholds. In addition, actual share ownership and delegated voting rights must be reported separately from other Purchase Positions if they reach one of the thresholds.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acting in concert who hold more than 5% of all voting rights.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Bid Rules</w:t>
      </w:r>
    </w:p>
    <w:p>
      <w:pPr>
        <w:spacing w:after="0" w:line="13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Pursuant to the applicable provisions of the Financial Market Infrastructure Act, any person that acquires shares of a listed Swiss company, whether directly or indirectly or acting in concert with third parties, which shares, when taken together with any other shares of such company held by such person, exceed the threshold of 33 1/3% of the voting rights (whether exercisable or not) of such company, must make a takeover bid to acquire all the other listed shares of such company. A company’s articles of association may either eliminate this provision of the Financial Market Infrastructure Act or may raise the relevant threshold to 49%, </w:t>
      </w:r>
      <w:r>
        <w:rPr>
          <w:rFonts w:ascii="Arial" w:cs="Arial" w:eastAsia="Arial" w:hAnsi="Arial"/>
          <w:sz w:val="16"/>
          <w:szCs w:val="16"/>
          <w:i w:val="1"/>
          <w:iCs w:val="1"/>
          <w:color w:val="auto"/>
        </w:rPr>
        <w:t>opting-out</w:t>
      </w:r>
      <w:r>
        <w:rPr>
          <w:rFonts w:ascii="Arial" w:cs="Arial" w:eastAsia="Arial" w:hAnsi="Arial"/>
          <w:sz w:val="16"/>
          <w:szCs w:val="16"/>
          <w:color w:val="auto"/>
        </w:rPr>
        <w:t xml:space="preserve"> or </w:t>
      </w:r>
      <w:r>
        <w:rPr>
          <w:rFonts w:ascii="Arial" w:cs="Arial" w:eastAsia="Arial" w:hAnsi="Arial"/>
          <w:sz w:val="16"/>
          <w:szCs w:val="16"/>
          <w:i w:val="1"/>
          <w:iCs w:val="1"/>
          <w:color w:val="auto"/>
        </w:rPr>
        <w:t>opting-up,</w:t>
      </w:r>
      <w:r>
        <w:rPr>
          <w:rFonts w:ascii="Arial" w:cs="Arial" w:eastAsia="Arial" w:hAnsi="Arial"/>
          <w:sz w:val="16"/>
          <w:szCs w:val="16"/>
          <w:color w:val="auto"/>
        </w:rPr>
        <w:t xml:space="preserve"> respectively. Our articles of association do not contain any opting-out or opting-up provision.</w:t>
      </w:r>
    </w:p>
    <w:p>
      <w:pPr>
        <w:spacing w:after="0" w:line="9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waiver of the mandatory rules may be granted by the Swiss Takeover Board or FINMA under certain circumstances. If no waiver is granted, the mandatory takeover bid must be made pursuant to the procedural rules set forth in the Financial Market Infrastructure Act and the implementing ordinances thereunder.</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is no obligation to make a takeover bid under the Financial Market Infrastructure Act if the voting rights in question are acquired as a result of a gift, succession or partition of an estate, a transfer based upon matrimonial property law or execution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of Liability and Indemnification</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Upon the closing of this offering, the transfer agent and registrar for the ADSs will be Citibank, N.A.</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intend to list the ADSs on the Nasdaq Global Market under the symbol “MOLN.”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320" w:top="1440" w:right="379" w:bottom="1440" w:gutter="0" w:footer="0" w:header="0"/>
        </w:sectPr>
      </w:pPr>
    </w:p>
    <w:bookmarkStart w:id="198" w:name="page199"/>
    <w:bookmarkEnd w:id="198"/>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LIMITATIONS AFFECTING SHAREHOLDERS OF A SWISS COMPANY</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Shares and Transfer Restrictions</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So long as shares are intermediated securities (</w:t>
      </w:r>
      <w:r>
        <w:rPr>
          <w:rFonts w:ascii="Arial" w:cs="Arial" w:eastAsia="Arial" w:hAnsi="Arial"/>
          <w:sz w:val="17"/>
          <w:szCs w:val="17"/>
          <w:i w:val="1"/>
          <w:iCs w:val="1"/>
          <w:color w:val="auto"/>
        </w:rPr>
        <w:t>Bucheffekten</w:t>
      </w:r>
      <w:r>
        <w:rPr>
          <w:rFonts w:ascii="Arial" w:cs="Arial" w:eastAsia="Arial" w:hAnsi="Arial"/>
          <w:sz w:val="17"/>
          <w:szCs w:val="17"/>
          <w:color w:val="auto"/>
        </w:rPr>
        <w:t xml:space="preserve"> within the meaning of the Swiss Federal Act on Intermediated Securities, or FISA) based on uncertificated securities (</w:t>
      </w:r>
      <w:r>
        <w:rPr>
          <w:rFonts w:ascii="Arial" w:cs="Arial" w:eastAsia="Arial" w:hAnsi="Arial"/>
          <w:sz w:val="17"/>
          <w:szCs w:val="17"/>
          <w:i w:val="1"/>
          <w:iCs w:val="1"/>
          <w:color w:val="auto"/>
        </w:rPr>
        <w:t>Wertrechte</w:t>
      </w:r>
      <w:r>
        <w:rPr>
          <w:rFonts w:ascii="Arial" w:cs="Arial" w:eastAsia="Arial" w:hAnsi="Arial"/>
          <w:sz w:val="17"/>
          <w:szCs w:val="17"/>
          <w:color w:val="auto"/>
        </w:rPr>
        <w:t>) entered into the main register of a custodian and credited to one or more securities deposit account (</w:t>
      </w:r>
      <w:r>
        <w:rPr>
          <w:rFonts w:ascii="Arial" w:cs="Arial" w:eastAsia="Arial" w:hAnsi="Arial"/>
          <w:sz w:val="17"/>
          <w:szCs w:val="17"/>
          <w:i w:val="1"/>
          <w:iCs w:val="1"/>
          <w:color w:val="auto"/>
        </w:rPr>
        <w:t>Effektenkonto</w:t>
      </w:r>
      <w:r>
        <w:rPr>
          <w:rFonts w:ascii="Arial" w:cs="Arial" w:eastAsia="Arial" w:hAnsi="Arial"/>
          <w:sz w:val="17"/>
          <w:szCs w:val="17"/>
          <w:color w:val="auto"/>
        </w:rPr>
        <w:t>), (i) any transfer of shares is effected by a corresponding entry in the securities deposit account of a bank or a depository institution, (ii) no shares can be transferred by way of assignment, and (iii) a security interest in any shares cannot be granted by way of assignment.</w:t>
      </w:r>
    </w:p>
    <w:p>
      <w:pPr>
        <w:spacing w:after="0" w:line="8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The Company maintains its share register through areg.ch ag, an external service provider</w:t>
      </w:r>
      <w:r>
        <w:rPr>
          <w:rFonts w:ascii="Arial" w:cs="Arial" w:eastAsia="Arial" w:hAnsi="Arial"/>
          <w:sz w:val="16"/>
          <w:szCs w:val="16"/>
          <w:b w:val="1"/>
          <w:bCs w:val="1"/>
          <w:color w:val="auto"/>
        </w:rPr>
        <w:t>,</w:t>
      </w:r>
      <w:r>
        <w:rPr>
          <w:rFonts w:ascii="Arial" w:cs="Arial" w:eastAsia="Arial" w:hAnsi="Arial"/>
          <w:sz w:val="16"/>
          <w:szCs w:val="16"/>
          <w:color w:val="auto"/>
        </w:rPr>
        <w:t xml:space="preserve"> and enters the full name, address and nationality (in the case of legal entities, the company name and registered office) of the shareholders (including nominees) and usufructuaries therein. A person entered into the share register must notify the share registrar of any change in address. Until such notification occurs, all written communication from the Company to persons entered in the share register is deemed to have been validly made if sent to the relevant address recorded in the share register.</w:t>
      </w:r>
    </w:p>
    <w:p>
      <w:pPr>
        <w:spacing w:after="0" w:line="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Any person who acquires shares may submit an application to the Company requesting it to enter such person into the share register as a shareholder with voting rights, provided such person expressly declares to the Company that it has acquired and holds such shares in its own name and for its own account. Any such person that does not expressly state in his or her application to the Company that the relevant shares were acquired for his or her own account (any such person, a nominee) may be entered in the share register as a shareholder with voting rights for the relevant shares, provided that nominee has entered into an agreement with the Company regarding its position and is subject to a recognized banking or finance supervision.</w:t>
      </w:r>
    </w:p>
    <w:p>
      <w:pPr>
        <w:spacing w:after="0" w:line="9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board of directors may, after having heard the concerned shareholder of record or nominee, cancel entries in the share register that were based on inaccurate or misleading information, or if such information becomes inaccurate or misleading, with retroactive effect to the date of the entry.</w:t>
      </w:r>
    </w:p>
    <w:p>
      <w:pPr>
        <w:spacing w:after="0" w:line="4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Any acquirer of shares who is not registered in the share register as a shareholder with voting rights may not vote at or participate in any general meetings of shareholders of the Company, but will still be entitled to dividends and other rights with financial value with respect to such shares.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ADSs or Shares by Non-Swiss Residents</w:t>
      </w:r>
    </w:p>
    <w:p>
      <w:pPr>
        <w:spacing w:after="0" w:line="1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Except for the limitations on voting rights described above applicable to shareholders generally and the sanctions referred to below, there is no limitation under Swiss law or our articles of association on the right of non-Swiss residents or nationals to own ADSs or common shares or to exercise voting rights attached to the common shares underlying the ADSs.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Investment and Exchange Control Regulations in Switzerland</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Other than in connection with government sanctions imposed on certain persons from, in or related to the Republic of Iraq, Iran, Central African Republic, Yemen, Lebanon, Libya, Sudan, the Republic of South Sudan, the Republic of Mali, Burundi, the Democratic Republic of Congo, Myanmar (Burma), Somalia, Syria, Guinea, Guinea-Bissau, Zimbabwe, Belarus, the Democratic People's Republic of Korea (North Korea), Venezuela, Nicaragua, persons and organizations with a connection to Osama bin Laden, the "Al-Qaeda" group or the Taliban and certain persons in connection with the assassination of Rafik Hariri as well as measures to prevent the circumvention of international sanctions in connection with the situation in Ukraine, there are currently no governmental laws, decrees or regulations in Switzerland that restrict the export or import of capital, including, but not limited to, Swiss foreign exchange controls on the payment of dividends, interest or liquidation proceeds, if any, to non-resident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1440" w:right="359" w:bottom="1440" w:gutter="0" w:footer="0" w:header="0"/>
        </w:sectPr>
      </w:pPr>
    </w:p>
    <w:bookmarkStart w:id="199" w:name="page200"/>
    <w:bookmarkEnd w:id="199"/>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Pre-emptive Rights and Advance Subscription Rights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Under Swiss law, any share issue, whether for cash or non-cash consideration, is subject to the prior approval of the shareholders at a general meeting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shareholders. Shareholders have certain pre-emptive rights (</w:t>
      </w:r>
      <w:r>
        <w:rPr>
          <w:rFonts w:ascii="Arial" w:cs="Arial" w:eastAsia="Arial" w:hAnsi="Arial"/>
          <w:sz w:val="17"/>
          <w:szCs w:val="17"/>
          <w:i w:val="1"/>
          <w:iCs w:val="1"/>
          <w:color w:val="auto"/>
        </w:rPr>
        <w:t>Bezugsrechte</w:t>
      </w:r>
      <w:r>
        <w:rPr>
          <w:rFonts w:ascii="Arial" w:cs="Arial" w:eastAsia="Arial" w:hAnsi="Arial"/>
          <w:sz w:val="17"/>
          <w:szCs w:val="17"/>
          <w:color w:val="auto"/>
        </w:rPr>
        <w:t>) to subscribe for new issues of shares and advance subscription rights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Vorwegzeichnungsrechte</w:t>
      </w:r>
      <w:r>
        <w:rPr>
          <w:rFonts w:ascii="Arial" w:cs="Arial" w:eastAsia="Arial" w:hAnsi="Arial"/>
          <w:sz w:val="16"/>
          <w:szCs w:val="16"/>
          <w:color w:val="auto"/>
        </w:rPr>
        <w:t>) to subscribe convertible or warrant-bearing bonds or other financial market instruments in proportion to the nominal amount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held. A resolution adopted at a general meeting of shareholders by a majority of at least two-thirds of the votes and the absolute majority of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nominal share capital each as represented at such a meeting, may limit or withdraw pre-emptive rights or advance subscription rights in certain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circumstances. Under our articles of association, the board of directors is authorized to limit or withdraw pre-emptive rights and advance subscription rights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based on the authorized share capital and the conditional share capital. See “Description of Share Capital and Articles of Association—Certain Important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Provisions of our Articles of Association, Organizational Rules and Swiss Law—Our Authorized Share Capital” and “Description of Share Capital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Articles of Association—Certain Important Provisions of our Articles of Association, Organizational Regulations and Swiss Law—Our Conditional Share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COMPARISON OF SHAREHOLDER RIGHTS</w:t>
      </w:r>
    </w:p>
    <w:p>
      <w:pPr>
        <w:spacing w:after="0" w:line="30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organized under the laws of Switzerland in accordance with articles 620 et seqq. CO. The laws applicable to a Swiss </w:t>
      </w:r>
      <w:r>
        <w:rPr>
          <w:rFonts w:ascii="Arial" w:cs="Arial" w:eastAsia="Arial" w:hAnsi="Arial"/>
          <w:sz w:val="17"/>
          <w:szCs w:val="17"/>
          <w:i w:val="1"/>
          <w:iCs w:val="1"/>
          <w:color w:val="auto"/>
        </w:rPr>
        <w:t>Aktiengesellschaft</w:t>
      </w:r>
      <w:r>
        <w:rPr>
          <w:rFonts w:ascii="Arial" w:cs="Arial" w:eastAsia="Arial" w:hAnsi="Arial"/>
          <w:sz w:val="17"/>
          <w:szCs w:val="17"/>
          <w:color w:val="auto"/>
        </w:rPr>
        <w:t xml:space="preserve"> differ from laws applicable to U.S. corporations and their shareholders. The following discussion summarizes material differences between the rights of holders of our common shares and the rights of holders of the common shares of a typical corporation incorporated under the laws of the state of Delaware, which result from differences in governing documents and the laws of Switzerland and Delaware. For a more complete discussion, please refer to the Delaware General Corporation Law, or the DGCL, Swiss law, and our governing corporate statutes.</w:t>
      </w:r>
    </w:p>
    <w:p>
      <w:pPr>
        <w:spacing w:after="0" w:line="91" w:lineRule="exact"/>
        <w:rPr>
          <w:sz w:val="20"/>
          <w:szCs w:val="20"/>
          <w:color w:val="auto"/>
        </w:rPr>
      </w:pPr>
    </w:p>
    <w:p>
      <w:pPr>
        <w:ind w:left="2320"/>
        <w:spacing w:after="0"/>
        <w:tabs>
          <w:tab w:leader="none" w:pos="8040" w:val="left"/>
        </w:tabs>
        <w:rPr>
          <w:sz w:val="20"/>
          <w:szCs w:val="20"/>
          <w:color w:val="auto"/>
        </w:rPr>
      </w:pPr>
      <w:r>
        <w:rPr>
          <w:rFonts w:ascii="Arial" w:cs="Arial" w:eastAsia="Arial" w:hAnsi="Arial"/>
          <w:sz w:val="18"/>
          <w:szCs w:val="18"/>
          <w:b w:val="1"/>
          <w:bCs w:val="1"/>
          <w:color w:val="auto"/>
        </w:rPr>
        <w:t>Switzerland</w:t>
      </w:r>
      <w:r>
        <w:rPr>
          <w:sz w:val="20"/>
          <w:szCs w:val="20"/>
          <w:color w:val="auto"/>
        </w:rPr>
        <w:tab/>
      </w:r>
      <w:r>
        <w:rPr>
          <w:rFonts w:ascii="Arial" w:cs="Arial" w:eastAsia="Arial" w:hAnsi="Arial"/>
          <w:sz w:val="18"/>
          <w:szCs w:val="18"/>
          <w:b w:val="1"/>
          <w:bCs w:val="1"/>
          <w:color w:val="auto"/>
        </w:rPr>
        <w:t>Delaware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Number of Directors</w:t>
      </w:r>
    </w:p>
    <w:p>
      <w:pPr>
        <w:sectPr>
          <w:pgSz w:w="11900" w:h="16838" w:orient="portrait"/>
          <w:cols w:equalWidth="0" w:num="1">
            <w:col w:w="11200"/>
          </w:cols>
          <w:pgMar w:left="320" w:top="1440" w:right="379" w:bottom="1440" w:gutter="0" w:footer="0" w:header="0"/>
        </w:sectPr>
      </w:pPr>
    </w:p>
    <w:p>
      <w:pPr>
        <w:spacing w:after="0" w:line="81" w:lineRule="exact"/>
        <w:rPr>
          <w:sz w:val="20"/>
          <w:szCs w:val="20"/>
          <w:color w:val="auto"/>
        </w:rPr>
      </w:pPr>
    </w:p>
    <w:p>
      <w:pPr>
        <w:jc w:val="both"/>
        <w:ind w:left="20"/>
        <w:spacing w:after="0" w:line="216" w:lineRule="auto"/>
        <w:rPr>
          <w:sz w:val="20"/>
          <w:szCs w:val="20"/>
          <w:color w:val="auto"/>
        </w:rPr>
      </w:pPr>
      <w:r>
        <w:rPr>
          <w:rFonts w:ascii="Arial" w:cs="Arial" w:eastAsia="Arial" w:hAnsi="Arial"/>
          <w:sz w:val="18"/>
          <w:szCs w:val="18"/>
          <w:color w:val="auto"/>
        </w:rPr>
        <w:t>Under Swiss law, the board of directors must consist of at least one member, unless the articles of association set out a specific number of directors. Our articles of association provide that our board of directors shall consist of a minimum of three members and a maximum of eleven members.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Under the DGCL, a corporation must have at least one director and the number of directors shall be fixed by or in the manner provided in the bylaws, unless the certificate of incorporation fixes the number of directors, in which case a change in the number of directors shall be made only by amendment of the certificate of incorporation.</w:t>
      </w:r>
    </w:p>
    <w:p>
      <w:pPr>
        <w:spacing w:after="0" w:line="50" w:lineRule="exact"/>
        <w:rPr>
          <w:sz w:val="20"/>
          <w:szCs w:val="20"/>
          <w:color w:val="auto"/>
        </w:rPr>
      </w:pPr>
    </w:p>
    <w:p>
      <w:pPr>
        <w:sectPr>
          <w:pgSz w:w="11900" w:h="16838" w:orient="portrait"/>
          <w:cols w:equalWidth="0" w:num="2">
            <w:col w:w="5520" w:space="140"/>
            <w:col w:w="5540"/>
          </w:cols>
          <w:pgMar w:left="320" w:top="1440"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Director Qualifications</w:t>
      </w:r>
    </w:p>
    <w:p>
      <w:pPr>
        <w:sectPr>
          <w:pgSz w:w="11900" w:h="16838" w:orient="portrait"/>
          <w:cols w:equalWidth="0" w:num="1">
            <w:col w:w="11200"/>
          </w:cols>
          <w:pgMar w:left="320" w:top="1440" w:right="379" w:bottom="1440" w:gutter="0" w:footer="0" w:header="0"/>
          <w:type w:val="continuous"/>
        </w:sectPr>
      </w:pPr>
    </w:p>
    <w:p>
      <w:pPr>
        <w:spacing w:after="0" w:line="117" w:lineRule="exact"/>
        <w:rPr>
          <w:sz w:val="20"/>
          <w:szCs w:val="20"/>
          <w:color w:val="auto"/>
        </w:rPr>
      </w:pPr>
    </w:p>
    <w:p>
      <w:pPr>
        <w:ind w:left="20"/>
        <w:spacing w:after="0" w:line="269" w:lineRule="auto"/>
        <w:rPr>
          <w:sz w:val="20"/>
          <w:szCs w:val="20"/>
          <w:color w:val="auto"/>
        </w:rPr>
      </w:pPr>
      <w:r>
        <w:rPr>
          <w:rFonts w:ascii="Arial" w:cs="Arial" w:eastAsia="Arial" w:hAnsi="Arial"/>
          <w:sz w:val="17"/>
          <w:szCs w:val="17"/>
          <w:color w:val="auto"/>
        </w:rPr>
        <w:t>Any natural person can be elected as a member of the board of directors even without being a shareholder of the corporation. As a minimum standard a director has to be in the position to fulfill his or her fiduciary duties, the duty of care and the duty of loyalty. It lies within the competence of the board of directors to determine a set of qualifications when proposing potential candidates to the general meeting of shareholders for election, or the articles of association may set out guidelines. While our articles of association generally do not set out such guidelines, our organizational regulations and committee charters stipulate certain requirements as to independence and, with respect to the audit and finance committee, financial literacy.</w:t>
      </w:r>
    </w:p>
    <w:p>
      <w:pPr>
        <w:spacing w:after="0" w:line="209" w:lineRule="exact"/>
        <w:rPr>
          <w:sz w:val="20"/>
          <w:szCs w:val="20"/>
          <w:color w:val="auto"/>
        </w:rPr>
      </w:pPr>
    </w:p>
    <w:p>
      <w:pPr>
        <w:ind w:left="20" w:right="20"/>
        <w:spacing w:after="0" w:line="257" w:lineRule="auto"/>
        <w:rPr>
          <w:sz w:val="20"/>
          <w:szCs w:val="20"/>
          <w:color w:val="auto"/>
        </w:rPr>
      </w:pPr>
      <w:r>
        <w:rPr>
          <w:rFonts w:ascii="Arial" w:cs="Arial" w:eastAsia="Arial" w:hAnsi="Arial"/>
          <w:sz w:val="17"/>
          <w:szCs w:val="17"/>
          <w:color w:val="auto"/>
        </w:rPr>
        <w:t>Further, the corporation must be able to be represented by one person who is resident in Switzerland with sole signature authority or two persons who are resident in Switzerland with joint signature authority by two. This person or these persons may be either a member of the board of directors or an executive officer. They must have access to the share register and the register of beneficial owners notified to the company.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DGCL, a corporation may prescribe qualifications for directors under its certificate of incorporation or bylaws.</w:t>
      </w:r>
    </w:p>
    <w:p>
      <w:pPr>
        <w:spacing w:after="0" w:line="3683" w:lineRule="exact"/>
        <w:rPr>
          <w:sz w:val="20"/>
          <w:szCs w:val="20"/>
          <w:color w:val="auto"/>
        </w:rPr>
      </w:pPr>
    </w:p>
    <w:p>
      <w:pPr>
        <w:sectPr>
          <w:pgSz w:w="11900" w:h="16838" w:orient="portrait"/>
          <w:cols w:equalWidth="0" w:num="2">
            <w:col w:w="5500" w:space="160"/>
            <w:col w:w="554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1200"/>
          </w:cols>
          <w:pgMar w:left="320" w:top="1440" w:right="379" w:bottom="1440" w:gutter="0" w:footer="0" w:header="0"/>
          <w:type w:val="continuous"/>
        </w:sectPr>
      </w:pPr>
    </w:p>
    <w:bookmarkStart w:id="201" w:name="page202"/>
    <w:bookmarkEnd w:id="201"/>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Standard of Conduct for Directors</w:t>
      </w:r>
    </w:p>
    <w:p>
      <w:pPr>
        <w:sectPr>
          <w:pgSz w:w="11900" w:h="16838" w:orient="portrait"/>
          <w:cols w:equalWidth="0" w:num="1">
            <w:col w:w="11120"/>
          </w:cols>
          <w:pgMar w:left="340" w:top="1440" w:right="439" w:bottom="1440" w:gutter="0" w:footer="0" w:header="0"/>
        </w:sectPr>
      </w:pPr>
    </w:p>
    <w:p>
      <w:pPr>
        <w:spacing w:after="0" w:line="10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A director of a Swiss corporation has a fiduciary duty to the corporation only. This duty has two components:</w:t>
      </w:r>
    </w:p>
    <w:p>
      <w:pPr>
        <w:ind w:left="320" w:hanging="314"/>
        <w:spacing w:after="0" w:line="205" w:lineRule="auto"/>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duty of care; and</w:t>
      </w:r>
    </w:p>
    <w:p>
      <w:pPr>
        <w:ind w:left="320" w:hanging="314"/>
        <w:spacing w:after="0"/>
        <w:tabs>
          <w:tab w:leader="none" w:pos="3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duty of care requires that a director acts in good faith, with the care that an ordinary prudent director would exercise under similar circumstances.</w:t>
      </w:r>
    </w:p>
    <w:p>
      <w:pPr>
        <w:spacing w:after="0" w:line="15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duty of loyalty requires that a director acts in a manner he or she reasonably believes to be in the best interest of the corporation. He or she must not use his or her corporate position for personal gain or advantage. This duty prohibits in principle self-dealing by a director and mandates that the best interest of the corporation take precedence over a director’s interest.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DGCL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563" w:lineRule="exact"/>
        <w:rPr>
          <w:sz w:val="20"/>
          <w:szCs w:val="20"/>
          <w:color w:val="auto"/>
        </w:rPr>
      </w:pPr>
    </w:p>
    <w:p>
      <w:pPr>
        <w:sectPr>
          <w:pgSz w:w="11900" w:h="16838" w:orient="portrait"/>
          <w:cols w:equalWidth="0" w:num="2">
            <w:col w:w="5500" w:space="140"/>
            <w:col w:w="5480"/>
          </w:cols>
          <w:pgMar w:left="340" w:top="1440" w:right="439" w:bottom="1440" w:gutter="0" w:footer="0" w:header="0"/>
          <w:type w:val="continuous"/>
        </w:sectPr>
      </w:pPr>
    </w:p>
    <w:p>
      <w:pPr>
        <w:spacing w:after="0"/>
        <w:tabs>
          <w:tab w:leader="none" w:pos="820" w:val="left"/>
          <w:tab w:leader="none" w:pos="1340" w:val="left"/>
          <w:tab w:leader="none" w:pos="1940" w:val="left"/>
          <w:tab w:leader="none" w:pos="2320" w:val="left"/>
          <w:tab w:leader="none" w:pos="3380" w:val="left"/>
          <w:tab w:leader="none" w:pos="3940" w:val="left"/>
          <w:tab w:leader="none" w:pos="4780" w:val="left"/>
          <w:tab w:leader="none" w:pos="5080" w:val="left"/>
        </w:tabs>
        <w:rPr>
          <w:sz w:val="20"/>
          <w:szCs w:val="20"/>
          <w:color w:val="auto"/>
        </w:rPr>
      </w:pPr>
      <w:r>
        <w:rPr>
          <w:rFonts w:ascii="Arial" w:cs="Arial" w:eastAsia="Arial" w:hAnsi="Arial"/>
          <w:sz w:val="18"/>
          <w:szCs w:val="18"/>
          <w:color w:val="auto"/>
        </w:rPr>
        <w:t>Directors</w:t>
        <w:tab/>
        <w:t>must</w:t>
        <w:tab/>
        <w:t>afford</w:t>
        <w:tab/>
        <w:t>the</w:t>
        <w:tab/>
        <w:t>shareholders</w:t>
        <w:tab/>
        <w:t>equal</w:t>
        <w:tab/>
        <w:t>treatment</w:t>
        <w:tab/>
        <w:t>in</w:t>
      </w:r>
      <w:r>
        <w:rPr>
          <w:sz w:val="20"/>
          <w:szCs w:val="20"/>
          <w:color w:val="auto"/>
        </w:rPr>
        <w:tab/>
      </w:r>
      <w:r>
        <w:rPr>
          <w:rFonts w:ascii="Arial" w:cs="Arial" w:eastAsia="Arial" w:hAnsi="Arial"/>
          <w:sz w:val="16"/>
          <w:szCs w:val="16"/>
          <w:color w:val="auto"/>
        </w:rPr>
        <w:t>equal</w:t>
      </w:r>
    </w:p>
    <w:p>
      <w:pPr>
        <w:spacing w:after="0"/>
        <w:rPr>
          <w:sz w:val="20"/>
          <w:szCs w:val="20"/>
          <w:color w:val="auto"/>
        </w:rPr>
      </w:pPr>
      <w:r>
        <w:rPr>
          <w:rFonts w:ascii="Arial" w:cs="Arial" w:eastAsia="Arial" w:hAnsi="Arial"/>
          <w:sz w:val="18"/>
          <w:szCs w:val="18"/>
          <w:color w:val="auto"/>
        </w:rPr>
        <w:t>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burden of proof for a violation of these duties is with the corporation or</w:t>
      </w:r>
    </w:p>
    <w:p>
      <w:pPr>
        <w:spacing w:after="0"/>
        <w:rPr>
          <w:sz w:val="20"/>
          <w:szCs w:val="20"/>
          <w:color w:val="auto"/>
        </w:rPr>
      </w:pPr>
      <w:r>
        <w:rPr>
          <w:rFonts w:ascii="Arial" w:cs="Arial" w:eastAsia="Arial" w:hAnsi="Arial"/>
          <w:sz w:val="18"/>
          <w:szCs w:val="18"/>
          <w:color w:val="auto"/>
        </w:rPr>
        <w:t>with the shareholder (or creditor) bringing a suit against the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Swiss Federal Supreme Court established the doctrine to restrict its</w:t>
      </w:r>
    </w:p>
    <w:p>
      <w:pPr>
        <w:spacing w:after="0" w:line="215" w:lineRule="auto"/>
        <w:rPr>
          <w:sz w:val="20"/>
          <w:szCs w:val="20"/>
          <w:color w:val="auto"/>
        </w:rPr>
      </w:pPr>
      <w:r>
        <w:rPr>
          <w:rFonts w:ascii="Arial" w:cs="Arial" w:eastAsia="Arial" w:hAnsi="Arial"/>
          <w:sz w:val="17"/>
          <w:szCs w:val="17"/>
          <w:color w:val="auto"/>
        </w:rPr>
        <w:t>review of a business decision if the decision has been taken upon proper</w:t>
      </w:r>
    </w:p>
    <w:p>
      <w:pPr>
        <w:spacing w:after="0"/>
        <w:rPr>
          <w:sz w:val="20"/>
          <w:szCs w:val="20"/>
          <w:color w:val="auto"/>
        </w:rPr>
      </w:pPr>
      <w:r>
        <w:rPr>
          <w:rFonts w:ascii="Arial" w:cs="Arial" w:eastAsia="Arial" w:hAnsi="Arial"/>
          <w:sz w:val="18"/>
          <w:szCs w:val="18"/>
          <w:color w:val="auto"/>
        </w:rPr>
        <w:t>preparation, on an informed basis and without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1120"/>
          </w:cols>
          <w:pgMar w:left="340" w:top="1440" w:right="439" w:bottom="1440" w:gutter="0" w:footer="0" w:header="0"/>
          <w:type w:val="continuous"/>
        </w:sectPr>
      </w:pPr>
    </w:p>
    <w:bookmarkStart w:id="202" w:name="page203"/>
    <w:bookmarkEnd w:id="202"/>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 of Directors and Executive Committee and Limitation of Liability</w:t>
      </w:r>
    </w:p>
    <w:p>
      <w:pPr>
        <w:sectPr>
          <w:pgSz w:w="11900" w:h="16838" w:orient="portrait"/>
          <w:cols w:equalWidth="0" w:num="1">
            <w:col w:w="11180"/>
          </w:cols>
          <w:pgMar w:left="340" w:top="1440" w:right="379" w:bottom="1440" w:gutter="0" w:footer="0" w:header="0"/>
        </w:sectPr>
      </w:pPr>
    </w:p>
    <w:p>
      <w:pPr>
        <w:spacing w:after="0" w:line="50"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Under Swiss law, a corporation cannot limit the personal liability of a director or another person entrusted with its management. However, the general meeting of shareholders may grant discharge to the directors and the persons entrusted with its management from liability arising from actions taken during the past financial year. Such discharge is effective only, however, for disclosed facts and only against the corporation and those shareholders who approved the discharge or who have since acquired shares in full knowledge of the discharge.</w:t>
      </w:r>
    </w:p>
    <w:p>
      <w:pPr>
        <w:spacing w:after="0" w:line="126"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w:t>
      </w:r>
    </w:p>
    <w:p>
      <w:pPr>
        <w:spacing w:after="0" w:line="128"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Subject to the limitations described above, the articles of association of a Swiss corporation may therefore provide that the corporation shall indemnify and hold harmless to the extent permitted by law the directors and members of the executive committee out of assets of the corporation against threatened, pending or completed actions. Within the same limitations, articles of association of a Swiss corporation may also provide that the directors shall be entitled to the reimbursement of all expenses incurred in the interests of the corporation. Our articles of association contain such a provision.</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 a corporation may enter into and pay for directors’ and officers’ liability insurance which may cover negligent acts as well.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Under the DGCL, a corporation’s certificate of incorporation may include a provision eliminating or limiting the personal liability of a director to the corporation or its shareholders for monetary damages arising from a breach of fiduciary duty as a director, provided that such provision shall not eliminate or limit the liability of a director for:</w:t>
      </w:r>
    </w:p>
    <w:p>
      <w:pPr>
        <w:ind w:left="34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shareholders;</w:t>
      </w:r>
    </w:p>
    <w:p>
      <w:pPr>
        <w:ind w:left="340" w:right="2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ind w:left="340" w:right="20" w:hanging="331"/>
        <w:spacing w:after="0" w:line="203"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unlawful share purchases or redemptions; or</w:t>
      </w:r>
    </w:p>
    <w:p>
      <w:pPr>
        <w:ind w:left="340" w:right="20" w:hanging="331"/>
        <w:spacing w:after="0" w:line="226" w:lineRule="auto"/>
        <w:tabs>
          <w:tab w:leader="none" w:pos="3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 w:lineRule="exact"/>
        <w:rPr>
          <w:sz w:val="20"/>
          <w:szCs w:val="20"/>
          <w:color w:val="auto"/>
        </w:rPr>
      </w:pP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ind w:left="340" w:right="20" w:hanging="331"/>
        <w:spacing w:after="0" w:line="203" w:lineRule="auto"/>
        <w:tabs>
          <w:tab w:leader="none" w:pos="3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independent legal counsel in a written opinion if there are no eligible directors, or if the eligible directors so direct; or</w:t>
      </w:r>
    </w:p>
    <w:p>
      <w:pPr>
        <w:ind w:left="320" w:hanging="311"/>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200"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180"/>
          </w:cols>
          <w:pgMar w:left="340" w:top="1440" w:right="379" w:bottom="1440" w:gutter="0" w:footer="0" w:header="0"/>
          <w:type w:val="continuous"/>
        </w:sectPr>
      </w:pPr>
    </w:p>
    <w:bookmarkStart w:id="203" w:name="page204"/>
    <w:bookmarkEnd w:id="203"/>
    <w:p>
      <w:pPr>
        <w:spacing w:after="0" w:line="16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Annual Vote on Board Renewal</w:t>
      </w:r>
    </w:p>
    <w:p>
      <w:pPr>
        <w:spacing w:after="0" w:line="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general meeting of shareholders elects annually and individually the Unless directors are elected by written consent in lieu of an annual meeting, members of the board of directors, the chairperson of the board of directors directors are elected in an annual meeting of shareholders on a date and at a and the members of the compensation committee for a term of office until time designated by or in the manner provided in the bylaws. Re-election is completion of the next annual general meeting of shareholders. Re-election possible.</w:t>
      </w:r>
    </w:p>
    <w:p>
      <w:pPr>
        <w:sectPr>
          <w:pgSz w:w="11900" w:h="16838" w:orient="portrait"/>
          <w:cols w:equalWidth="0" w:num="1">
            <w:col w:w="11100"/>
          </w:cols>
          <w:pgMar w:left="340" w:top="1440" w:right="45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possible.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One-year terms are mandatory under Swiss law for listed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therefore not permitted.</w:t>
      </w:r>
    </w:p>
    <w:p>
      <w:pPr>
        <w:spacing w:after="0" w:line="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Cumulative voting is not permitted under Swiss law. Our directors, the chairperson of the board of directors and the members of the compensation committee are elected by the affirmative vote of the absolute majority of the votes represented at the general meeting of shareholders.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8"/>
          <w:szCs w:val="18"/>
          <w:color w:val="auto"/>
        </w:rPr>
        <w:t>Classified boards are permitted.</w:t>
      </w:r>
    </w:p>
    <w:p>
      <w:pPr>
        <w:spacing w:after="0" w:line="9"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Cumulative voting for elections of directors is not permitted unless the corporation’s certificate of incorporation provides for it.</w:t>
      </w:r>
    </w:p>
    <w:p>
      <w:pPr>
        <w:spacing w:after="0" w:line="873" w:lineRule="exact"/>
        <w:rPr>
          <w:sz w:val="20"/>
          <w:szCs w:val="20"/>
          <w:color w:val="auto"/>
        </w:rPr>
      </w:pPr>
    </w:p>
    <w:p>
      <w:pPr>
        <w:sectPr>
          <w:pgSz w:w="11900" w:h="16838" w:orient="portrait"/>
          <w:cols w:equalWidth="0" w:num="2">
            <w:col w:w="5480" w:space="60"/>
            <w:col w:w="5560"/>
          </w:cols>
          <w:pgMar w:left="340" w:top="1440" w:right="45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Removal of Directors</w:t>
      </w:r>
    </w:p>
    <w:p>
      <w:pPr>
        <w:sectPr>
          <w:pgSz w:w="11900" w:h="16838" w:orient="portrait"/>
          <w:cols w:equalWidth="0" w:num="1">
            <w:col w:w="11100"/>
          </w:cols>
          <w:pgMar w:left="340" w:top="1440" w:right="459" w:bottom="1440" w:gutter="0" w:footer="0" w:header="0"/>
          <w:type w:val="continuous"/>
        </w:sectPr>
      </w:pP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general meeting of shareholders may remove, with or without cause, any director at any time with a resolution passed by an absolute majority of the votes represented at a general meeting of shareholders where a proposal for such removal was properly set on the agenda. The articles of association may require the approval by a qualified majority of the shares represented at a meeting for the removal of a director.</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Under the DGCL, directors may be removed from office, with or without cause, by a majority stockholder vote, though in the case of a corporation whose board is classified, unless otherwise provided in the certificate of incorporation, stockholders may effect such removal only for cause.</w:t>
      </w:r>
    </w:p>
    <w:p>
      <w:pPr>
        <w:spacing w:after="0" w:line="435" w:lineRule="exact"/>
        <w:rPr>
          <w:sz w:val="20"/>
          <w:szCs w:val="20"/>
          <w:color w:val="auto"/>
        </w:rPr>
      </w:pPr>
    </w:p>
    <w:p>
      <w:pPr>
        <w:sectPr>
          <w:pgSz w:w="11900" w:h="16838" w:orient="portrait"/>
          <w:cols w:equalWidth="0" w:num="2">
            <w:col w:w="5500" w:space="140"/>
            <w:col w:w="5460"/>
          </w:cols>
          <w:pgMar w:left="340" w:top="1440" w:right="45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Vacancies on the Board of Directors</w:t>
      </w:r>
    </w:p>
    <w:p>
      <w:pPr>
        <w:sectPr>
          <w:pgSz w:w="11900" w:h="16838" w:orient="portrait"/>
          <w:cols w:equalWidth="0" w:num="1">
            <w:col w:w="11100"/>
          </w:cols>
          <w:pgMar w:left="340" w:top="1440" w:right="459" w:bottom="1440" w:gutter="0" w:footer="0" w:header="0"/>
          <w:type w:val="continuous"/>
        </w:sectPr>
      </w:pPr>
    </w:p>
    <w:p>
      <w:pPr>
        <w:spacing w:after="0" w:line="1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In order to fill a vacancy on the board of directors, a new member of the board of directors must be elected by a general meeting of shareholders.</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the office of the chairperson of the board of directors is vacant, the board of directors shall appoint a new chairperson from among its members for the remaining term of office. If there are vacancies on the compensation committee, the board of directors may appoint substitute members from among its members for the remaining term of office. The articles of association may set forth other rules to fill vacancies on the compensation committee. Our articles of association do not stipulate such other rules.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Under the DGCL, unless otherwise provided in the certificate of incorporation or bylaws, a vacancy or a newly created directorship may be filled by a majority of the directors then in office, although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1063" w:lineRule="exact"/>
        <w:rPr>
          <w:sz w:val="20"/>
          <w:szCs w:val="20"/>
          <w:color w:val="auto"/>
        </w:rPr>
      </w:pPr>
    </w:p>
    <w:p>
      <w:pPr>
        <w:sectPr>
          <w:pgSz w:w="11900" w:h="16838" w:orient="portrait"/>
          <w:cols w:equalWidth="0" w:num="2">
            <w:col w:w="5440" w:space="200"/>
            <w:col w:w="5460"/>
          </w:cols>
          <w:pgMar w:left="340" w:top="144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1100"/>
          </w:cols>
          <w:pgMar w:left="340" w:top="1440" w:right="459" w:bottom="1440" w:gutter="0" w:footer="0" w:header="0"/>
          <w:type w:val="continuous"/>
        </w:sectPr>
      </w:pPr>
    </w:p>
    <w:bookmarkStart w:id="204" w:name="page205"/>
    <w:bookmarkEnd w:id="204"/>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Annual General Meeting or Special Meetings</w:t>
      </w:r>
    </w:p>
    <w:p>
      <w:pPr>
        <w:sectPr>
          <w:pgSz w:w="11900" w:h="16838" w:orient="portrait"/>
          <w:cols w:equalWidth="0" w:num="1">
            <w:col w:w="11140"/>
          </w:cols>
          <w:pgMar w:left="340" w:top="1440" w:right="419" w:bottom="1440" w:gutter="0" w:footer="0" w:header="0"/>
        </w:sectPr>
      </w:pP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annual general meeting of shareholders must take place annually within six months after the close of the financial year. Amongst other competences, the general meeting of shareholders individually elects the members of the board of directors, the chairperson of the board of directors and the members of the compensation committee. The notice of convening the meeting must include the place and date of the general meeting, the agenda items, the proposals by the board of directors and shareholders (if any), and necessary directions and instructions by the board of the directors.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Extraordinary general meetings of shareholders shall be called as often as necessary by the board of directors or, if necessary, by the statutory auditors as well as in all other cases required by law. Unless the articles of association provide for a lower threshold, one or more shareholders representing at least 10% of the share capital may request in writing that the board of directors call an extraordinary general meeting of shareholders. The request must contain an agenda and the suggested proposals.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Under the DGCL, the annual meeting of stockholders shall be held at such place, on such date and at such time as may be provided by the certificate of incorporation or by the bylaws, or by the board of directors if neither the certificate of incorporation or bylaws so provide.</w:t>
      </w:r>
    </w:p>
    <w:p>
      <w:pPr>
        <w:spacing w:after="0" w:line="122"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Under the DGCL, unless directors are elected by written consent in lieu of an annual meeting as permitted by the DGCL, the annual meeting of stockholders shall be held for the election of directors on a date and at a time as designated by or in the manner provided in the bylaws.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577" w:lineRule="exact"/>
        <w:rPr>
          <w:sz w:val="20"/>
          <w:szCs w:val="20"/>
          <w:color w:val="auto"/>
        </w:rPr>
      </w:pPr>
    </w:p>
    <w:p>
      <w:pPr>
        <w:sectPr>
          <w:pgSz w:w="11900" w:h="16838" w:orient="portrait"/>
          <w:cols w:equalWidth="0" w:num="2">
            <w:col w:w="5500" w:space="160"/>
            <w:col w:w="5480"/>
          </w:cols>
          <w:pgMar w:left="340" w:top="1440" w:right="41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Shareholder Proposals</w:t>
      </w:r>
    </w:p>
    <w:p>
      <w:pPr>
        <w:sectPr>
          <w:pgSz w:w="11900" w:h="16838" w:orient="portrait"/>
          <w:cols w:equalWidth="0" w:num="1">
            <w:col w:w="11140"/>
          </w:cols>
          <w:pgMar w:left="340" w:top="1440" w:right="419" w:bottom="1440" w:gutter="0" w:footer="0" w:header="0"/>
          <w:type w:val="continuous"/>
        </w:sectPr>
      </w:pPr>
    </w:p>
    <w:p>
      <w:pPr>
        <w:spacing w:after="0" w:line="11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Generally, no resolution may be passed on proposals relating to agenda items that were not duly notified. Unless the articles of association provide for a lower threshold or for additional shareholders’ rights (which is not the case under our articles of association):</w:t>
      </w:r>
    </w:p>
    <w:p>
      <w:pPr>
        <w:spacing w:after="0" w:line="192" w:lineRule="exact"/>
        <w:rPr>
          <w:sz w:val="20"/>
          <w:szCs w:val="20"/>
          <w:color w:val="auto"/>
        </w:rPr>
      </w:pPr>
    </w:p>
    <w:p>
      <w:pPr>
        <w:jc w:val="both"/>
        <w:ind w:left="340" w:hanging="334"/>
        <w:spacing w:after="0" w:line="209" w:lineRule="auto"/>
        <w:tabs>
          <w:tab w:leader="none" w:pos="3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one or several shareholders representing 10% of the share capital may ask in writing that a general meeting of shareholders be called for specific agenda items and specific proposals; and</w:t>
      </w:r>
    </w:p>
    <w:p>
      <w:pPr>
        <w:spacing w:after="0" w:line="1" w:lineRule="exact"/>
        <w:rPr>
          <w:rFonts w:ascii="Arial" w:cs="Arial" w:eastAsia="Arial" w:hAnsi="Arial"/>
          <w:sz w:val="18"/>
          <w:szCs w:val="18"/>
          <w:color w:val="auto"/>
        </w:rPr>
      </w:pPr>
    </w:p>
    <w:p>
      <w:pPr>
        <w:jc w:val="both"/>
        <w:ind w:left="340" w:hanging="334"/>
        <w:spacing w:after="0" w:line="222" w:lineRule="auto"/>
        <w:tabs>
          <w:tab w:leader="none" w:pos="33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one or several shareholders representing 10% of the share capital or CHF 1 million of nominal share capital, whichever is lower, may ask in writing that an agenda item including a specific proposal be put on the agenda for a scheduled general meeting of shareholders, provided such request is made with appropriate notice. Our articles of association provide that such request must be made at least 45 calendar days prior to a general meeting of shareholders.</w:t>
      </w:r>
    </w:p>
    <w:p>
      <w:pPr>
        <w:spacing w:after="0" w:line="190"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statutory auditors on the methods and results of their audit, (iii) propose that an extraordinary general meeting of shareholders be called or (iv) propose that a special investigation be carried out.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DGCL, special meetings of the stockholders may be called by the board of directors or by such person or persons as may be authorized by the certificate of incorporation or by the bylaws.</w:t>
      </w:r>
    </w:p>
    <w:p>
      <w:pPr>
        <w:spacing w:after="0" w:line="211"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 stockholder of a Delaware corporation has the right to put any proposal before the annual meeting of stockholders, provided it complies with the notice provisions in the governing documents. A special meeting may be called by the board of directors or any other person authorized to do so in the governing documents, but stockholders may be precluded from calling special meetings.</w:t>
      </w:r>
    </w:p>
    <w:p>
      <w:pPr>
        <w:spacing w:after="0" w:line="2630" w:lineRule="exact"/>
        <w:rPr>
          <w:sz w:val="20"/>
          <w:szCs w:val="20"/>
          <w:color w:val="auto"/>
        </w:rPr>
      </w:pPr>
    </w:p>
    <w:p>
      <w:pPr>
        <w:sectPr>
          <w:pgSz w:w="11900" w:h="16838" w:orient="portrait"/>
          <w:cols w:equalWidth="0" w:num="2">
            <w:col w:w="5520" w:space="140"/>
            <w:col w:w="5480"/>
          </w:cols>
          <w:pgMar w:left="34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1140"/>
          </w:cols>
          <w:pgMar w:left="340" w:top="1440" w:right="419" w:bottom="1440" w:gutter="0" w:footer="0" w:header="0"/>
          <w:type w:val="continuous"/>
        </w:sectPr>
      </w:pPr>
    </w:p>
    <w:bookmarkStart w:id="205" w:name="page206"/>
    <w:bookmarkEnd w:id="205"/>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General Meetings</w:t>
      </w:r>
    </w:p>
    <w:p>
      <w:pPr>
        <w:spacing w:after="0" w:line="9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Under Swiss law and our articles of association, notice of the general</w:t>
      </w:r>
      <w:r>
        <w:rPr>
          <w:sz w:val="20"/>
          <w:szCs w:val="20"/>
          <w:color w:val="auto"/>
        </w:rPr>
        <w:tab/>
      </w:r>
      <w:r>
        <w:rPr>
          <w:rFonts w:ascii="Arial" w:cs="Arial" w:eastAsia="Arial" w:hAnsi="Arial"/>
          <w:sz w:val="16"/>
          <w:szCs w:val="16"/>
          <w:color w:val="auto"/>
        </w:rPr>
        <w:t>Under Delaware law, unless otherwise provided in the certificate of</w:t>
      </w:r>
    </w:p>
    <w:p>
      <w:pPr>
        <w:spacing w:after="0" w:line="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meeting of shareholders has to be given at least 20 calendar days before the</w:t>
      </w:r>
      <w:r>
        <w:rPr>
          <w:sz w:val="20"/>
          <w:szCs w:val="20"/>
          <w:color w:val="auto"/>
        </w:rPr>
        <w:tab/>
      </w:r>
      <w:r>
        <w:rPr>
          <w:rFonts w:ascii="Arial" w:cs="Arial" w:eastAsia="Arial" w:hAnsi="Arial"/>
          <w:sz w:val="16"/>
          <w:szCs w:val="16"/>
          <w:color w:val="auto"/>
        </w:rPr>
        <w:t>incorporation or bylaws, written notice of any meeting of the stockholders</w:t>
      </w:r>
    </w:p>
    <w:p>
      <w:pPr>
        <w:spacing w:after="0"/>
        <w:tabs>
          <w:tab w:leader="none" w:pos="5620" w:val="left"/>
        </w:tabs>
        <w:rPr>
          <w:sz w:val="20"/>
          <w:szCs w:val="20"/>
          <w:color w:val="auto"/>
        </w:rPr>
      </w:pPr>
      <w:r>
        <w:rPr>
          <w:rFonts w:ascii="Arial" w:cs="Arial" w:eastAsia="Arial" w:hAnsi="Arial"/>
          <w:sz w:val="18"/>
          <w:szCs w:val="18"/>
          <w:color w:val="auto"/>
        </w:rPr>
        <w:t>date for which the meeting is scheduled in the form prescribed by the</w:t>
      </w:r>
      <w:r>
        <w:rPr>
          <w:sz w:val="20"/>
          <w:szCs w:val="20"/>
          <w:color w:val="auto"/>
        </w:rPr>
        <w:tab/>
      </w:r>
      <w:r>
        <w:rPr>
          <w:rFonts w:ascii="Arial" w:cs="Arial" w:eastAsia="Arial" w:hAnsi="Arial"/>
          <w:sz w:val="16"/>
          <w:szCs w:val="16"/>
          <w:color w:val="auto"/>
        </w:rPr>
        <w:t>must be given to each stockholder entitled to vote at the meeting not less</w:t>
      </w:r>
    </w:p>
    <w:p>
      <w:pPr>
        <w:spacing w:after="0"/>
        <w:tabs>
          <w:tab w:leader="none" w:pos="5620" w:val="left"/>
        </w:tabs>
        <w:rPr>
          <w:sz w:val="20"/>
          <w:szCs w:val="20"/>
          <w:color w:val="auto"/>
        </w:rPr>
      </w:pPr>
      <w:r>
        <w:rPr>
          <w:rFonts w:ascii="Arial" w:cs="Arial" w:eastAsia="Arial" w:hAnsi="Arial"/>
          <w:sz w:val="18"/>
          <w:szCs w:val="18"/>
          <w:color w:val="auto"/>
        </w:rPr>
        <w:t>articles of association. The agenda must specify the place, date, hour,</w:t>
      </w:r>
      <w:r>
        <w:rPr>
          <w:sz w:val="20"/>
          <w:szCs w:val="20"/>
          <w:color w:val="auto"/>
        </w:rPr>
        <w:tab/>
      </w:r>
      <w:r>
        <w:rPr>
          <w:rFonts w:ascii="Arial" w:cs="Arial" w:eastAsia="Arial" w:hAnsi="Arial"/>
          <w:sz w:val="16"/>
          <w:szCs w:val="16"/>
          <w:color w:val="auto"/>
        </w:rPr>
        <w:t>than 10 nor more than 60 days before the date of the meeting and shall</w:t>
      </w:r>
    </w:p>
    <w:p>
      <w:pPr>
        <w:spacing w:after="0"/>
        <w:tabs>
          <w:tab w:leader="none" w:pos="5620" w:val="left"/>
        </w:tabs>
        <w:rPr>
          <w:sz w:val="20"/>
          <w:szCs w:val="20"/>
          <w:color w:val="auto"/>
        </w:rPr>
      </w:pPr>
      <w:r>
        <w:rPr>
          <w:rFonts w:ascii="Arial" w:cs="Arial" w:eastAsia="Arial" w:hAnsi="Arial"/>
          <w:sz w:val="18"/>
          <w:szCs w:val="18"/>
          <w:color w:val="auto"/>
        </w:rPr>
        <w:t>agenda items, and the proposals of the board of directors and the</w:t>
      </w:r>
      <w:r>
        <w:rPr>
          <w:sz w:val="20"/>
          <w:szCs w:val="20"/>
          <w:color w:val="auto"/>
        </w:rPr>
        <w:tab/>
      </w:r>
      <w:r>
        <w:rPr>
          <w:rFonts w:ascii="Arial" w:cs="Arial" w:eastAsia="Arial" w:hAnsi="Arial"/>
          <w:sz w:val="16"/>
          <w:szCs w:val="16"/>
          <w:color w:val="auto"/>
        </w:rPr>
        <w:t>specify the place, date, hour and purpose or purposes of the meeting.</w:t>
      </w:r>
    </w:p>
    <w:p>
      <w:pPr>
        <w:spacing w:after="0" w:line="235" w:lineRule="auto"/>
        <w:rPr>
          <w:sz w:val="20"/>
          <w:szCs w:val="20"/>
          <w:color w:val="auto"/>
        </w:rPr>
      </w:pPr>
      <w:r>
        <w:rPr>
          <w:rFonts w:ascii="Arial" w:cs="Arial" w:eastAsia="Arial" w:hAnsi="Arial"/>
          <w:sz w:val="18"/>
          <w:szCs w:val="18"/>
          <w:color w:val="auto"/>
        </w:rPr>
        <w:t>shareholders who have requested that a general meeting be called or an item</w:t>
      </w:r>
    </w:p>
    <w:p>
      <w:pPr>
        <w:spacing w:after="0"/>
        <w:rPr>
          <w:sz w:val="20"/>
          <w:szCs w:val="20"/>
          <w:color w:val="auto"/>
        </w:rPr>
      </w:pPr>
      <w:r>
        <w:rPr>
          <w:rFonts w:ascii="Arial" w:cs="Arial" w:eastAsia="Arial" w:hAnsi="Arial"/>
          <w:sz w:val="18"/>
          <w:szCs w:val="18"/>
          <w:color w:val="auto"/>
        </w:rPr>
        <w:t>be placed on the agenda (if any).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w:t>
      </w:r>
    </w:p>
    <w:p>
      <w:pPr>
        <w:sectPr>
          <w:pgSz w:w="11900" w:h="16838" w:orient="portrait"/>
          <w:cols w:equalWidth="0" w:num="1">
            <w:col w:w="11180"/>
          </w:cols>
          <w:pgMar w:left="340" w:top="1440" w:right="379" w:bottom="1440" w:gutter="0" w:footer="0" w:header="0"/>
        </w:sectPr>
      </w:pP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Swiss law requires that the independent proxy may be present at a general meeting of shareholders. Registered shareholders may give proxy and voting instructions to the independent proxy in writing or electronically. Pursuant to our articles of association, registered shareholders may also give proxy to a representative of their choice.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Under the DGCL, each shareholder entitled to vote at a meeting of shareholders or to express consent or dissent to corporate action in writing without a meeting may authorize another person or persons to act for such shareholders by proxy, but no such proxy shall be voted or acted upon after three years from its date, unless the proxy provides for a longer period.</w:t>
      </w:r>
    </w:p>
    <w:p>
      <w:pPr>
        <w:spacing w:after="0" w:line="180" w:lineRule="exact"/>
        <w:rPr>
          <w:sz w:val="20"/>
          <w:szCs w:val="20"/>
          <w:color w:val="auto"/>
        </w:rPr>
      </w:pPr>
    </w:p>
    <w:p>
      <w:pPr>
        <w:sectPr>
          <w:pgSz w:w="11900" w:h="16838" w:orient="portrait"/>
          <w:cols w:equalWidth="0" w:num="2">
            <w:col w:w="5340" w:space="30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 Action by Written Consent</w:t>
      </w:r>
    </w:p>
    <w:p>
      <w:pPr>
        <w:sectPr>
          <w:pgSz w:w="11900" w:h="16838" w:orient="portrait"/>
          <w:cols w:equalWidth="0" w:num="1">
            <w:col w:w="11180"/>
          </w:cols>
          <w:pgMar w:left="340" w:top="1440" w:right="379" w:bottom="1440" w:gutter="0" w:footer="0" w:header="0"/>
          <w:type w:val="continuous"/>
        </w:sectPr>
      </w:pP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w:t>
      </w:r>
    </w:p>
    <w:p>
      <w:pPr>
        <w:spacing w:after="0" w:line="164"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color w:val="auto"/>
        </w:rPr>
        <w:t>Shareholders of record may, however, vote at the general meeting of shareholders through proxy and related instructions (“—</w:t>
      </w:r>
      <w:r>
        <w:rPr>
          <w:rFonts w:ascii="Arial" w:cs="Arial" w:eastAsia="Arial" w:hAnsi="Arial"/>
          <w:sz w:val="16"/>
          <w:szCs w:val="16"/>
          <w:i w:val="1"/>
          <w:iCs w:val="1"/>
          <w:color w:val="auto"/>
        </w:rPr>
        <w:t>Proxy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Under the DGCL a corporation’s certificate of incorporation (1) may permit shareholders to act by written consent if such action is signed by all shareholders, (2) may permit shareholders to act by written consent signed by shareholders having the minimum number of votes that would be necessary to take such action at a meeting or (3) may prohibit actions by written consent. Unless otherwise provided in the certificate of incorporation, any action that is required by the DGCL to be, or that can be, taken at an annual or special meeting of the shareholders may be taken without a meeting, without prior notice and without a vote, if written consent to the action is signed by the holders of outstanding shares having not less than the minimum number of votes necessary to authorize or take the action at a meeting at which all shares entitled to vote thereon were present and voted.</w:t>
      </w:r>
    </w:p>
    <w:p>
      <w:pPr>
        <w:spacing w:after="0" w:line="56"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Pre-emptive Rights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Under Swiss corporate law, shareholders have pre-emptive rights to subscribe for newly issued shares and advance subscription rights to subscribe for warrants, convertible bonds or similar debt/finance instruments with option or conversion rights. Under certain circumstances, shareholders may limit or withdraw, or authorize the board of directors to limit or withdraw, pre-emptive rights or advance subscription rights.</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However, the shareholders’ pre-emptive rights or advance subscription rights can only be limited or withdrawn for valid reasons. Preventing a particular shareholder to exercise influence over the company is generally believed not to be a valid reason to limit or withdraw shareholders’ pre-emptive rights.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DGCL, no shareholder shall have any pre-emptive right to subscribe to an additional issue of shares or to any security convertible into such shares unless, and except to the extent that, such right is expressly granted to such shareholder in the corporation’s certificate of incorporation.</w:t>
      </w:r>
    </w:p>
    <w:p>
      <w:pPr>
        <w:spacing w:after="0" w:line="1947" w:lineRule="exact"/>
        <w:rPr>
          <w:sz w:val="20"/>
          <w:szCs w:val="20"/>
          <w:color w:val="auto"/>
        </w:rPr>
      </w:pPr>
    </w:p>
    <w:p>
      <w:pPr>
        <w:sectPr>
          <w:pgSz w:w="11900" w:h="16838" w:orient="portrait"/>
          <w:cols w:equalWidth="0" w:num="2">
            <w:col w:w="5380" w:space="26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1180"/>
          </w:cols>
          <w:pgMar w:left="340" w:top="1440" w:right="379" w:bottom="1440" w:gutter="0" w:footer="0" w:header="0"/>
          <w:type w:val="continuous"/>
        </w:sectPr>
      </w:pPr>
    </w:p>
    <w:bookmarkStart w:id="206" w:name="page207"/>
    <w:bookmarkEnd w:id="206"/>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Sources of Dividends</w:t>
      </w:r>
    </w:p>
    <w:p>
      <w:pPr>
        <w:sectPr>
          <w:pgSz w:w="11900" w:h="16838" w:orient="portrait"/>
          <w:cols w:equalWidth="0" w:num="1">
            <w:col w:w="11180"/>
          </w:cols>
          <w:pgMar w:left="340" w:top="1440" w:right="379" w:bottom="1440" w:gutter="0" w:footer="0" w:header="0"/>
        </w:sectPr>
      </w:pPr>
    </w:p>
    <w:p>
      <w:pPr>
        <w:spacing w:after="0" w:line="129"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be paid but cannot itself authorize the distribution.</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Payments out of share capital of a Swiss corporation (in other words, the aggregate nominal value of the corporation’s registered share capital) in the form of dividends are not allowed; however, payments out of share capital may be made by way of a capital reduction. Dividends may be paid only from the profits brought forward from the previous financial years or if the corporation has distributable reserves, each as will be presented on the corporation’s audited stand-alone statutory balance sheet. The dividend may be determined only after the allocations to reserves required by Swiss law or the articles of association have been deducted and the corporation’s statutory auditors have confirmed that the dividend proposal complies with Swiss law and the corporation’s articles of association.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Under the DGCL, subject to any restrictions contained in the certificate of incorporation, the directors of a corporation may declare and pay dividends upon the shares of its capital stock either (1) out of its surplus or (2) if there is no surplus, out of its net profits for the fiscal year in which the dividend is declared and/or the preceding fiscal year, except when the capital of the corporation is diminished by depreciation in the value of its property, or by losses, or otherwise, to an amount less than the aggregate amount of capital represented by the issued and outstanding shares of all classes having a preference on the distribution of assets. “Surplus” is defined in the DGCL as the excess of the net assets of the corporation over capital, as such capital may be adjusted by the board of directors.</w:t>
      </w:r>
    </w:p>
    <w:p>
      <w:pPr>
        <w:spacing w:after="0" w:line="1240" w:lineRule="exact"/>
        <w:rPr>
          <w:sz w:val="20"/>
          <w:szCs w:val="20"/>
          <w:color w:val="auto"/>
        </w:rPr>
      </w:pPr>
    </w:p>
    <w:p>
      <w:pPr>
        <w:sectPr>
          <w:pgSz w:w="11900" w:h="16838" w:orient="portrait"/>
          <w:cols w:equalWidth="0" w:num="2">
            <w:col w:w="5520" w:space="140"/>
            <w:col w:w="552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Repurchase of Shares</w:t>
      </w:r>
    </w:p>
    <w:p>
      <w:pPr>
        <w:sectPr>
          <w:pgSz w:w="11900" w:h="16838" w:orient="portrait"/>
          <w:cols w:equalWidth="0" w:num="1">
            <w:col w:w="11180"/>
          </w:cols>
          <w:pgMar w:left="340" w:top="1440" w:right="379" w:bottom="1440" w:gutter="0" w:footer="0" w:header="0"/>
          <w:type w:val="continuous"/>
        </w:sectPr>
      </w:pPr>
    </w:p>
    <w:p>
      <w:pPr>
        <w:spacing w:after="0" w:line="129"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A Swiss corporation (or its subsidiaries) may repurchase its own shares under the following conditions:</w:t>
      </w:r>
    </w:p>
    <w:p>
      <w:pPr>
        <w:spacing w:after="0" w:line="27" w:lineRule="exact"/>
        <w:rPr>
          <w:sz w:val="20"/>
          <w:szCs w:val="20"/>
          <w:color w:val="auto"/>
        </w:rPr>
      </w:pPr>
    </w:p>
    <w:p>
      <w:pPr>
        <w:ind w:left="340" w:hanging="334"/>
        <w:spacing w:after="0" w:line="232" w:lineRule="auto"/>
        <w:tabs>
          <w:tab w:leader="none" w:pos="334" w:val="left"/>
        </w:tabs>
        <w:numPr>
          <w:ilvl w:val="0"/>
          <w:numId w:val="115"/>
        </w:numPr>
        <w:rPr>
          <w:rFonts w:ascii="Arial" w:cs="Arial" w:eastAsia="Arial" w:hAnsi="Arial"/>
          <w:sz w:val="22"/>
          <w:szCs w:val="22"/>
          <w:color w:val="auto"/>
        </w:rPr>
      </w:pPr>
      <w:r>
        <w:rPr>
          <w:rFonts w:ascii="Arial" w:cs="Arial" w:eastAsia="Arial" w:hAnsi="Arial"/>
          <w:sz w:val="18"/>
          <w:szCs w:val="18"/>
          <w:color w:val="auto"/>
        </w:rPr>
        <w:t>it can only repurchase its own shares out of freely disposable equity capital in the required amount;</w:t>
      </w:r>
    </w:p>
    <w:p>
      <w:pPr>
        <w:spacing w:after="0" w:line="27" w:lineRule="exact"/>
        <w:rPr>
          <w:rFonts w:ascii="Arial" w:cs="Arial" w:eastAsia="Arial" w:hAnsi="Arial"/>
          <w:sz w:val="22"/>
          <w:szCs w:val="22"/>
          <w:color w:val="auto"/>
        </w:rPr>
      </w:pPr>
    </w:p>
    <w:p>
      <w:pPr>
        <w:jc w:val="both"/>
        <w:ind w:left="340" w:hanging="334"/>
        <w:spacing w:after="0" w:line="241" w:lineRule="auto"/>
        <w:tabs>
          <w:tab w:leader="none" w:pos="334" w:val="left"/>
        </w:tabs>
        <w:numPr>
          <w:ilvl w:val="0"/>
          <w:numId w:val="115"/>
        </w:numPr>
        <w:rPr>
          <w:rFonts w:ascii="Arial" w:cs="Arial" w:eastAsia="Arial" w:hAnsi="Arial"/>
          <w:sz w:val="22"/>
          <w:szCs w:val="22"/>
          <w:color w:val="auto"/>
        </w:rPr>
      </w:pPr>
      <w:r>
        <w:rPr>
          <w:rFonts w:ascii="Arial" w:cs="Arial" w:eastAsia="Arial" w:hAnsi="Arial"/>
          <w:sz w:val="18"/>
          <w:szCs w:val="18"/>
          <w:color w:val="auto"/>
        </w:rPr>
        <w:t>the combined value of all such shares cannot exceed 10% of the share capital. Where shares are acquired in connection with a transfer restriction set out in the articles of association, the foregoing upper limit is 20%;</w:t>
      </w:r>
    </w:p>
    <w:p>
      <w:pPr>
        <w:spacing w:after="0" w:line="26" w:lineRule="exact"/>
        <w:rPr>
          <w:rFonts w:ascii="Arial" w:cs="Arial" w:eastAsia="Arial" w:hAnsi="Arial"/>
          <w:sz w:val="22"/>
          <w:szCs w:val="22"/>
          <w:color w:val="auto"/>
        </w:rPr>
      </w:pPr>
    </w:p>
    <w:p>
      <w:pPr>
        <w:ind w:left="320" w:hanging="314"/>
        <w:spacing w:after="0"/>
        <w:tabs>
          <w:tab w:leader="none" w:pos="320" w:val="left"/>
        </w:tabs>
        <w:numPr>
          <w:ilvl w:val="0"/>
          <w:numId w:val="115"/>
        </w:numPr>
        <w:rPr>
          <w:rFonts w:ascii="Arial" w:cs="Arial" w:eastAsia="Arial" w:hAnsi="Arial"/>
          <w:sz w:val="19"/>
          <w:szCs w:val="19"/>
          <w:color w:val="auto"/>
        </w:rPr>
      </w:pPr>
      <w:r>
        <w:rPr>
          <w:rFonts w:ascii="Arial" w:cs="Arial" w:eastAsia="Arial" w:hAnsi="Arial"/>
          <w:sz w:val="16"/>
          <w:szCs w:val="16"/>
          <w:color w:val="auto"/>
        </w:rPr>
        <w:t>the voting rights on the corporation’s own shares are suspended; and</w:t>
      </w:r>
    </w:p>
    <w:p>
      <w:pPr>
        <w:spacing w:after="0" w:line="13" w:lineRule="exact"/>
        <w:rPr>
          <w:rFonts w:ascii="Arial" w:cs="Arial" w:eastAsia="Arial" w:hAnsi="Arial"/>
          <w:sz w:val="19"/>
          <w:szCs w:val="19"/>
          <w:color w:val="auto"/>
        </w:rPr>
      </w:pPr>
    </w:p>
    <w:p>
      <w:pPr>
        <w:ind w:left="340" w:right="20" w:hanging="334"/>
        <w:spacing w:after="0" w:line="254" w:lineRule="auto"/>
        <w:tabs>
          <w:tab w:leader="none" w:pos="3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 of the purchase price for the shares repurchased is presented on its stand-alone statutory balance sheet as a negative item in its equity.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Under the DGCL, a corporation may generally purchase or redeem shares of its stock; provided, however, that no corporation shall purchase or redeem its own shares of capital stock if the capital of the corporation is impaired or such redemption or repurchase would impair the capital of the corporation, except that a corporation may purchase or redeem out of capital any of its own shares which are entitled upon any distribution of its assets to a preference over another class or series of its shares, or, if no shares entitled to such a preference are outstanding, any of its own shares, if such shares will be retired upon their acquisition and the capital of the corporation reduced in accordance with the DGCL.</w:t>
      </w:r>
    </w:p>
    <w:p>
      <w:pPr>
        <w:spacing w:after="0" w:line="1144" w:lineRule="exact"/>
        <w:rPr>
          <w:sz w:val="20"/>
          <w:szCs w:val="20"/>
          <w:color w:val="auto"/>
        </w:rPr>
      </w:pPr>
    </w:p>
    <w:p>
      <w:pPr>
        <w:sectPr>
          <w:pgSz w:w="11900" w:h="16838" w:orient="portrait"/>
          <w:cols w:equalWidth="0" w:num="2">
            <w:col w:w="5520" w:space="140"/>
            <w:col w:w="552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1180"/>
          </w:cols>
          <w:pgMar w:left="340" w:top="1440" w:right="379" w:bottom="1440" w:gutter="0" w:footer="0" w:header="0"/>
          <w:type w:val="continuous"/>
        </w:sectPr>
      </w:pPr>
    </w:p>
    <w:bookmarkStart w:id="207" w:name="page208"/>
    <w:bookmarkEnd w:id="207"/>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Voting Rights and Transfer Restrictions</w:t>
      </w:r>
    </w:p>
    <w:p>
      <w:pPr>
        <w:sectPr>
          <w:pgSz w:w="11900" w:h="16838" w:orient="portrait"/>
          <w:cols w:equalWidth="0" w:num="1">
            <w:col w:w="11160"/>
          </w:cols>
          <w:pgMar w:left="340" w:top="1440" w:right="399" w:bottom="1440" w:gutter="0" w:footer="0" w:header="0"/>
        </w:sectPr>
      </w:pP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common share carries one vote at any general meeting of shareholders. A shareholder must be registered in the corporation’s share register as a shareholder with voting rights in order to exercise his, her or its voting rights.</w:t>
      </w:r>
    </w:p>
    <w:p>
      <w:pPr>
        <w:spacing w:after="0" w:line="21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articles of association may restrict the registration of a shareholder in the corporation’s share register in order to ensure that no person or entity is registered as a shareholder with voting rights for more than a certain percentage, and that no person or entity directly or indirectly, formally, constructively or beneficially owns, or otherwise controls or directs voting rights (whether exercisable or not) with respect to a certain percentage of the share capital registered in the Commercial Register. Furthermore, a corporation may under certain circumstances refuse to enter an acquirer of shares in the share register as a shareholder with voting rights if such acquirer fails to declare to the corporation that the relevant shares were acquired for his, her or its own account. See “</w:t>
      </w:r>
      <w:r>
        <w:rPr>
          <w:rFonts w:ascii="Arial" w:cs="Arial" w:eastAsia="Arial" w:hAnsi="Arial"/>
          <w:sz w:val="17"/>
          <w:szCs w:val="17"/>
          <w:i w:val="1"/>
          <w:iCs w:val="1"/>
          <w:color w:val="auto"/>
        </w:rPr>
        <w:t>Limitations Affecting</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 of a Swiss Company—Transfer of Shares and Transfer Restrictions</w:t>
      </w:r>
      <w:r>
        <w:rPr>
          <w:rFonts w:ascii="Arial" w:cs="Arial" w:eastAsia="Arial" w:hAnsi="Arial"/>
          <w:sz w:val="17"/>
          <w:szCs w:val="17"/>
          <w:color w:val="auto"/>
        </w:rPr>
        <w:t>”.</w:t>
      </w:r>
    </w:p>
    <w:p>
      <w:pPr>
        <w:spacing w:after="0" w:line="21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Further, the articles of association may provide that no shareholder may exercise, directly or indirectly, voting rights with respect to own or represented shares in excess of a certain percentage of the share capital registered in the Commercial Register.</w:t>
      </w:r>
    </w:p>
    <w:p>
      <w:pPr>
        <w:spacing w:after="0" w:line="198"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articles of association of a Swiss corporation may, subject to certain limitations, provide for shares with preferred voting rights. Our current articles of association do not contain such a provision.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unless otherwise provided in the certificate of incorporation, each shareholder is entitled to one vote for each share of capital stock held by such shareholder.</w:t>
      </w:r>
    </w:p>
    <w:p>
      <w:pPr>
        <w:spacing w:after="0" w:line="5558" w:lineRule="exact"/>
        <w:rPr>
          <w:sz w:val="20"/>
          <w:szCs w:val="20"/>
          <w:color w:val="auto"/>
        </w:rPr>
      </w:pPr>
    </w:p>
    <w:p>
      <w:pPr>
        <w:sectPr>
          <w:pgSz w:w="11900" w:h="16838" w:orient="portrait"/>
          <w:cols w:equalWidth="0" w:num="2">
            <w:col w:w="5480" w:space="160"/>
            <w:col w:w="5520"/>
          </w:cols>
          <w:pgMar w:left="340" w:top="144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1160"/>
          </w:cols>
          <w:pgMar w:left="340" w:top="1440" w:right="399" w:bottom="1440" w:gutter="0" w:footer="0" w:header="0"/>
          <w:type w:val="continuous"/>
        </w:sectPr>
      </w:pPr>
    </w:p>
    <w:bookmarkStart w:id="208" w:name="page209"/>
    <w:bookmarkEnd w:id="208"/>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Vote on Certain Transactions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pursuant to the Swiss Merger Act or a sale of all or substantially all of the assets of a corporation must be approved by two-thirds of the votes represented at the respective general meeting of shareholders as well as the absolute majority of the nominal value of shares represented at such meeting. The articles of association may increase the voting threshold (which is not the case under our articles of association). Swiss law also requires that if the merger agreement provides only for a compensation payment, at least 90% of all members in the transferring legal entity who are entitled to vote shall approve the merger agreement. However, there has been some uncertainty and dispute as to whether the 90% approval requirement relates to the total number of votes represented by all shares of the target company outstanding, or the total number of shareholders of the target company entitled to vote.</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Swiss law also provides that a parent corporation, by resolution of its board of directors, may merge with any subsidiary of which it owns at least 90% of the shares without a shareholder vote by shareholders of such subsidiary if the shareholders of the subsidiary are offered the payment of the fair value in cash as an alternative to shares of the parent.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Under the DGCL, certain fundamental changes such as amendments to the certificate of incorporation, a merger, consolidation, sale, lease, exchange or other disposition of all or substantially all of the property of a corporation not in the usual and regular course of the corporation’s business, or a dissolution of the corporation, are generally required to be approved by the holders of a majority of the outstanding shares entitled to vote on the matter, unless the certificate of incorporation requires a higher percentage.</w:t>
      </w:r>
    </w:p>
    <w:p>
      <w:pPr>
        <w:spacing w:after="0" w:line="54"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However, under the DGCL, mergers in which less than 20% of a corporation’s shares outstanding immediately prior to the effective date of the merger is issued generally do not require shareholder approval. In addition, mergers in which one corporation owns 90% or more of each class of shares of a second corporation may be completed without the vote of the second corporation’s board of directors or shareholders. In certain situations, the approval of a business combination may require approval by a certain number of the holders of a class or series of shares. In addition, Section 251(h) of the DGCL provides that shareholders of a constituent corporation need not vote to approve a merger if: (i) the merger agreement permits or requires the merger to be effected under Section 251(h) and provides that the merger shall be effected as soon as practicable following the tender offer or exchange offer, (ii) a corporation consummates a tender or exchange offer for any and all of the outstanding shares of such constituent corporation that would otherwise be entitled to vote to approve the merger, (iii) following the consummation of the offer, the stock accepted for purchase or exchanges plus the stock owned by the consummating corporation equals at least the percentage of stock that would be required to adopt the agreement of merger under the DGCL, (iv) the corporation consummating the offer merges with or into such constituent corporation, and (v) each outstanding share of each class or series of stock of the constituent corporation that was the subject of and not irrevocably accepted for purchase or exchange in the offer is to be converted in the merger into, or the right to receive, the same consideration to be paid for the shares of such class or series of stock of the constituent corporation irrevocably purchased or exchanged in such offer.</w:t>
      </w:r>
    </w:p>
    <w:p>
      <w:pPr>
        <w:spacing w:after="0" w:line="78"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Shareholder Vote on Board and Management Compensation</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Pursuant to the Compensation Ordinance, the aggregate amount of compensation for the members of the board of directors and the executive committee must be approved by the general meeting of shareholders.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the DGCL, the board of directors has the authority to fix the compensation of directors, unless otherwise restricted by the certificate of incorporation or bylaws.</w:t>
      </w:r>
    </w:p>
    <w:p>
      <w:pPr>
        <w:spacing w:after="0" w:line="310" w:lineRule="exact"/>
        <w:rPr>
          <w:sz w:val="20"/>
          <w:szCs w:val="20"/>
          <w:color w:val="auto"/>
        </w:rPr>
      </w:pPr>
    </w:p>
    <w:p>
      <w:pPr>
        <w:sectPr>
          <w:pgSz w:w="11900" w:h="16838" w:orient="portrait"/>
          <w:cols w:equalWidth="0" w:num="2">
            <w:col w:w="5320" w:space="32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1180"/>
          </w:cols>
          <w:pgMar w:left="340" w:top="1440" w:right="379" w:bottom="1440" w:gutter="0" w:footer="0" w:header="0"/>
          <w:type w:val="continuous"/>
        </w:sectPr>
      </w:pPr>
    </w:p>
    <w:bookmarkStart w:id="209" w:name="page210"/>
    <w:bookmarkEnd w:id="209"/>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Dissenters’ Appraisal Rights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business combinations effected in the form of a statutory merger or demerger, the Swiss Merger Act provides that if the equity rights have not been adequately preserved or compensation payments in the transaction are not adequate, a shareholder may request the competent court to determine an adequate amount of compensation.</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Shareholders who consider their equity rights not to have been adequately preserved or the compensation received to be inadequate are entitled to exercise appraisal rights in accordance with the Swiss Merger Act by filing a suit against the surviving corporation with the competent Swiss civil court at the registered office of the surviving corporation or of the transferring corporation. The suit must be filed within two months after the merger or demerger resolution has been published in the Swiss Official Gazette of Commerce. If such a suit is filed, the court must assess whether the equity rights have been adequately preserved or the compensation paid or to be paid to the shareholders of the transferring corporation is adequate and, should the court consider it to be inadequate, determine any additional adequate compensation. A decision issued by a competent court in this respect can be acted upon by any person who has the same legal status as the claimant. The filing of an appraisal suit will not prevent completion of the merger or demerger.</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Under the DGCL, any shareholder of a corporation who holds share of stock on the date of making a demand for appraisal of such shareholder’s shares under the DGCL, who continuously holds such shares through the effective date of a merger or consolidation, who has neither voted in favor of the merger or consolidation nor consented thereto shall be entitled to an appraisal by the Delaware Court of Chancery of the fair value of the shareholder’s shares of stock; provided, however, that no appraisal rights are available for shares of any class or series that is listed on a national securities exchange or held of record by more than 2,000 shareholders, unless the agreement of merger or consolidation requires the holders to accept for their shares anything other than:</w:t>
      </w:r>
    </w:p>
    <w:p>
      <w:pPr>
        <w:spacing w:after="0" w:line="194" w:lineRule="exact"/>
        <w:rPr>
          <w:sz w:val="20"/>
          <w:szCs w:val="20"/>
          <w:color w:val="auto"/>
        </w:rPr>
      </w:pPr>
    </w:p>
    <w:p>
      <w:pPr>
        <w:ind w:left="320" w:hanging="311"/>
        <w:spacing w:after="0"/>
        <w:tabs>
          <w:tab w:leader="none" w:pos="3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shares of stock of the surviving corporation;</w:t>
      </w:r>
    </w:p>
    <w:p>
      <w:pPr>
        <w:spacing w:after="0" w:line="76" w:lineRule="exact"/>
        <w:rPr>
          <w:rFonts w:ascii="Arial" w:cs="Arial" w:eastAsia="Arial" w:hAnsi="Arial"/>
          <w:sz w:val="18"/>
          <w:szCs w:val="18"/>
          <w:color w:val="auto"/>
        </w:rPr>
      </w:pPr>
    </w:p>
    <w:p>
      <w:pPr>
        <w:ind w:left="340" w:hanging="331"/>
        <w:spacing w:after="0" w:line="289" w:lineRule="auto"/>
        <w:tabs>
          <w:tab w:leader="none" w:pos="33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shares of stock of another corporation that are either listed on a national securities exchange or held of record by more than 2,000 shareholders;</w:t>
      </w:r>
    </w:p>
    <w:p>
      <w:pPr>
        <w:spacing w:after="0" w:line="15" w:lineRule="exact"/>
        <w:rPr>
          <w:rFonts w:ascii="Arial" w:cs="Arial" w:eastAsia="Arial" w:hAnsi="Arial"/>
          <w:sz w:val="16"/>
          <w:szCs w:val="16"/>
          <w:color w:val="auto"/>
        </w:rPr>
      </w:pPr>
    </w:p>
    <w:p>
      <w:pPr>
        <w:ind w:left="340" w:right="20" w:hanging="331"/>
        <w:spacing w:after="0" w:line="235" w:lineRule="auto"/>
        <w:tabs>
          <w:tab w:leader="none" w:pos="3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cash in lieu of fractional shares of the stock described in the two preceding bullet points; or</w:t>
      </w:r>
    </w:p>
    <w:p>
      <w:pPr>
        <w:spacing w:after="0" w:line="53" w:lineRule="exact"/>
        <w:rPr>
          <w:rFonts w:ascii="Arial" w:cs="Arial" w:eastAsia="Arial" w:hAnsi="Arial"/>
          <w:sz w:val="18"/>
          <w:szCs w:val="18"/>
          <w:color w:val="auto"/>
        </w:rPr>
      </w:pPr>
    </w:p>
    <w:p>
      <w:pPr>
        <w:ind w:left="380" w:hanging="371"/>
        <w:spacing w:after="0"/>
        <w:tabs>
          <w:tab w:leader="none" w:pos="3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7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Notwithstanding the foregoing, appraisal rights shall be available for the shares of any class or series of stock of a constituent corporation if the holders of such corporation are required by the agreement of merger or consolidation to accept for such stock anything but:</w:t>
      </w:r>
    </w:p>
    <w:p>
      <w:pPr>
        <w:spacing w:after="0" w:line="189" w:lineRule="exact"/>
        <w:rPr>
          <w:sz w:val="20"/>
          <w:szCs w:val="20"/>
          <w:color w:val="auto"/>
        </w:rPr>
      </w:pPr>
    </w:p>
    <w:p>
      <w:pPr>
        <w:sectPr>
          <w:pgSz w:w="11900" w:h="16838" w:orient="portrait"/>
          <w:cols w:equalWidth="0" w:num="2">
            <w:col w:w="5480" w:space="160"/>
            <w:col w:w="5540"/>
          </w:cols>
          <w:pgMar w:left="340" w:top="1440" w:right="379" w:bottom="1440" w:gutter="0" w:footer="0" w:header="0"/>
          <w:type w:val="continuous"/>
        </w:sectPr>
      </w:pPr>
    </w:p>
    <w:p>
      <w:pPr>
        <w:ind w:left="5980" w:right="20" w:hanging="331"/>
        <w:spacing w:after="0" w:line="235"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of stock of the surviving corporation or depository receipts in respect thereof;</w:t>
      </w:r>
    </w:p>
    <w:p>
      <w:pPr>
        <w:spacing w:after="0" w:line="53" w:lineRule="exact"/>
        <w:rPr>
          <w:rFonts w:ascii="Arial" w:cs="Arial" w:eastAsia="Arial" w:hAnsi="Arial"/>
          <w:sz w:val="18"/>
          <w:szCs w:val="18"/>
          <w:color w:val="auto"/>
        </w:rPr>
      </w:pPr>
    </w:p>
    <w:p>
      <w:pPr>
        <w:jc w:val="both"/>
        <w:ind w:left="5980" w:hanging="331"/>
        <w:spacing w:after="0" w:line="224"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shares of stock of another corporation, or depository receipts in respect thereof, that are either listed on a national securities exchange or held of record by more than 2,000 shareholders;</w:t>
      </w:r>
    </w:p>
    <w:p>
      <w:pPr>
        <w:spacing w:after="0" w:line="54" w:lineRule="exact"/>
        <w:rPr>
          <w:rFonts w:ascii="Arial" w:cs="Arial" w:eastAsia="Arial" w:hAnsi="Arial"/>
          <w:sz w:val="18"/>
          <w:szCs w:val="18"/>
          <w:color w:val="auto"/>
        </w:rPr>
      </w:pPr>
    </w:p>
    <w:p>
      <w:pPr>
        <w:ind w:left="5980" w:hanging="331"/>
        <w:spacing w:after="0" w:line="235" w:lineRule="auto"/>
        <w:tabs>
          <w:tab w:leader="none" w:pos="59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two preceding bullet points; or</w:t>
      </w:r>
    </w:p>
    <w:p>
      <w:pPr>
        <w:spacing w:after="0" w:line="53" w:lineRule="exact"/>
        <w:rPr>
          <w:rFonts w:ascii="Arial" w:cs="Arial" w:eastAsia="Arial" w:hAnsi="Arial"/>
          <w:sz w:val="18"/>
          <w:szCs w:val="18"/>
          <w:color w:val="auto"/>
        </w:rPr>
      </w:pPr>
    </w:p>
    <w:p>
      <w:pPr>
        <w:ind w:left="5960" w:hanging="311"/>
        <w:spacing w:after="0"/>
        <w:tabs>
          <w:tab w:leader="none" w:pos="5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combination of the above.</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In addition, appraisal rights are not available to holders of shares of the</w:t>
      </w:r>
    </w:p>
    <w:p>
      <w:pPr>
        <w:ind w:left="5640"/>
        <w:spacing w:after="0" w:line="228" w:lineRule="auto"/>
        <w:rPr>
          <w:sz w:val="20"/>
          <w:szCs w:val="20"/>
          <w:color w:val="auto"/>
        </w:rPr>
      </w:pPr>
      <w:r>
        <w:rPr>
          <w:rFonts w:ascii="Arial" w:cs="Arial" w:eastAsia="Arial" w:hAnsi="Arial"/>
          <w:sz w:val="16"/>
          <w:szCs w:val="16"/>
          <w:color w:val="auto"/>
        </w:rPr>
        <w:t>surviving corporation in specified mergers that do not require the vote of the</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shareholders of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1180"/>
          </w:cols>
          <w:pgMar w:left="340" w:top="1440" w:right="379" w:bottom="1440" w:gutter="0" w:footer="0" w:header="0"/>
          <w:type w:val="continuous"/>
        </w:sectPr>
      </w:pPr>
    </w:p>
    <w:bookmarkStart w:id="210" w:name="page211"/>
    <w:bookmarkEnd w:id="210"/>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Lawsuits</w:t>
      </w:r>
    </w:p>
    <w:p>
      <w:pPr>
        <w:sectPr>
          <w:pgSz w:w="11900" w:h="16838" w:orient="portrait"/>
          <w:cols w:equalWidth="0" w:num="1">
            <w:col w:w="11180"/>
          </w:cols>
          <w:pgMar w:left="340" w:top="1440" w:right="379" w:bottom="1440" w:gutter="0" w:footer="0" w:header="0"/>
        </w:sectPr>
      </w:pP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 Class actions and derivative actions as such are not available under Swiss law. Nevertheless, certain actions may, to a limited extent, have a similar effect.</w:t>
      </w:r>
    </w:p>
    <w:p>
      <w:pPr>
        <w:spacing w:after="0" w:line="18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Under Swiss law, the winning party is generally entitled to recover or partially recover attorney's fees incurred in connection with such action, provided, however, that the court has discretion to permit the shareholder whose claim has been dismissed to recover attorney's fees incurred to the extent he or she acted in good faith.</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20" w:lineRule="auto"/>
        <w:rPr>
          <w:sz w:val="20"/>
          <w:szCs w:val="20"/>
          <w:color w:val="auto"/>
        </w:rPr>
      </w:pPr>
      <w:r>
        <w:rPr>
          <w:rFonts w:ascii="Arial" w:cs="Arial" w:eastAsia="Arial" w:hAnsi="Arial"/>
          <w:sz w:val="17"/>
          <w:szCs w:val="17"/>
          <w:color w:val="auto"/>
        </w:rPr>
        <w:t>Under the DGCL, a shareholder may initiate a derivative action to enforce a right of a corporation if the corporation fails to enforce the right itself. The complaint must state that the plaintiff was a shareholder at the time of the transaction of which the plaintiff complains or that the plaintiff’s shares thereafter devolved on the plaintiff by operation of law; provided, however, that under Delaware case law, the plaintiff generally must be a shareholder not only at the time of the transaction which is the subject of the suit, but through the duration of the derivative suit. Delaware law also requires that the derivative plaintiff make a demand on the directors of the corporation to assert the corporate claim before the suit may be prosecuted by the derivative plaintiff, unless such demand would be futile. An individual also may commence a class action suit on behalf of himself or herself and other similarly situated shareholders where the requirements for maintaining a class action have been met.</w:t>
      </w:r>
    </w:p>
    <w:p>
      <w:pPr>
        <w:spacing w:after="0" w:line="227"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Amendment of Governing Documents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articles of association of a Swiss corporation may generally be amended by the general meeting of shareholders with a resolution passed by an absolute majority of the votes represented at such meeting, unless otherwise provided in the articles of association or required by law. There are a number of resolutions, such as an amendment of the stated purpose of the corporation and the introduction of authorized and conditional capital, that pursuant to Swiss law require the approval by two-thirds of the votes and an absolute majority of the nominal value of the shares represented at the general meeting of shareholders. The articles of association may increase the voting thresholds.</w:t>
      </w:r>
    </w:p>
    <w:p>
      <w:pPr>
        <w:spacing w:after="0" w:line="19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Subject to certain requirements, shareholders may submit a proposal to be voted on at a general meeting of shareholders to amend the articles of association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DGCL, a corporation may amend its certificate of incorporation if:</w:t>
      </w:r>
    </w:p>
    <w:p>
      <w:pPr>
        <w:spacing w:after="0" w:line="189" w:lineRule="exact"/>
        <w:rPr>
          <w:sz w:val="20"/>
          <w:szCs w:val="20"/>
          <w:color w:val="auto"/>
        </w:rPr>
      </w:pPr>
    </w:p>
    <w:p>
      <w:pPr>
        <w:ind w:left="340" w:right="20" w:hanging="331"/>
        <w:spacing w:after="0" w:line="235" w:lineRule="auto"/>
        <w:tabs>
          <w:tab w:leader="none" w:pos="3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its board of directors has adopted a resolution setting forth the amendment proposed and declaring its advisability; and</w:t>
      </w:r>
    </w:p>
    <w:p>
      <w:pPr>
        <w:spacing w:after="0" w:line="53" w:lineRule="exact"/>
        <w:rPr>
          <w:rFonts w:ascii="Arial" w:cs="Arial" w:eastAsia="Arial" w:hAnsi="Arial"/>
          <w:sz w:val="18"/>
          <w:szCs w:val="18"/>
          <w:color w:val="auto"/>
        </w:rPr>
      </w:pPr>
    </w:p>
    <w:p>
      <w:pPr>
        <w:jc w:val="both"/>
        <w:ind w:left="340" w:hanging="331"/>
        <w:spacing w:after="0" w:line="259" w:lineRule="auto"/>
        <w:tabs>
          <w:tab w:leader="none" w:pos="3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a majority of the outstanding stock entitled to vote on the amendment, and a majority of the outstanding stock of each class entitled to vote on the amendment as a class, has been voted in favor of the amendment.</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Under the DGCL, the shareholders entitled to vote have the power to adopt, amend or repeal bylaws. A corporation may also confer, in its certificate of incorporation, such power upon the directors. The fact that such power has been so conferred upon the directors shall not divest the shareholders of the power nor limit their power to adopt, amend or repeal bylaws.</w:t>
      </w:r>
    </w:p>
    <w:p>
      <w:pPr>
        <w:spacing w:after="0" w:line="342"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Creation and Issuance of New Shares</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creation of new shares requires a resolution of the general meeting of shareholders. An authorized or conditional capital increase requires at least two-thirds of the votes represented at the general meeting of shareholders and an absolute majority of the nominal value of shares represented at such meeting. The board of directors may issue shares out of the authorized share capital, once created by shareholders’ resolution, subject to the limitations set forth in the authorization, within a period of no longer than two years. Shares out of the conditional capital are created and issued through the exercise of options or of conversion rights related to debt/finance instruments issued by the board of directors or such rights issued to employees.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1892" w:lineRule="exact"/>
        <w:rPr>
          <w:sz w:val="20"/>
          <w:szCs w:val="20"/>
          <w:color w:val="auto"/>
        </w:rPr>
      </w:pPr>
    </w:p>
    <w:p>
      <w:pPr>
        <w:sectPr>
          <w:pgSz w:w="11900" w:h="16838" w:orient="portrait"/>
          <w:cols w:equalWidth="0" w:num="2">
            <w:col w:w="5500" w:space="14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1180"/>
          </w:cols>
          <w:pgMar w:left="340" w:top="1440" w:right="379" w:bottom="1440" w:gutter="0" w:footer="0" w:header="0"/>
          <w:type w:val="continuous"/>
        </w:sectPr>
      </w:pPr>
    </w:p>
    <w:bookmarkStart w:id="211" w:name="page212"/>
    <w:bookmarkEnd w:id="211"/>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Inspection of Books and Records</w:t>
      </w:r>
    </w:p>
    <w:p>
      <w:pPr>
        <w:sectPr>
          <w:pgSz w:w="11900" w:h="16838" w:orient="portrait"/>
          <w:cols w:equalWidth="0" w:num="1">
            <w:col w:w="11080"/>
          </w:cols>
          <w:pgMar w:left="340" w:top="1440" w:right="479" w:bottom="1440" w:gutter="0" w:footer="0" w:header="0"/>
        </w:sectPr>
      </w:pPr>
    </w:p>
    <w:p>
      <w:pPr>
        <w:spacing w:after="0" w:line="1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Swiss law, a shareholder may request to inspect a corporation’s minutes of general meetings of shareholders. A corporation’s annual report, compensation report and the auditors’ reports must be made available for inspection by shareholders at the corporation’s registered office at least 20 calendar days prior to each annual general meeting of shareholders. Shareholders registered in the share register of a corporation must be notified of the availability of these documents in writing. Any shareholder may request a copy of these reports in advance of, or after, the relevant annual general meeting of shareholders.</w:t>
      </w:r>
    </w:p>
    <w:p>
      <w:pPr>
        <w:spacing w:after="0" w:line="193"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Under Swiss law, a shareholder of record is further entitled to inspect the corporation’s share register with regard to his, her or its own shares and otherwise to the extent necessary to exercise his, her or its shareholder rights. No other person has a right to inspect the share register.</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books and correspondence of a corporation may be inspected by a shareholder with the express authorization of the general meeting of shareholders, or by resolution of the board of directors, subject to the safeguarding of a corporation’s business secrets. At a general meeting of shareholders, any shareholder may request information from the board of directors concerning the corporation’s affairs. Shareholders may also ask the corporation’s statutory auditors questions regarding their audit of the corporation. The board of directors and the statutory auditors must answer shareholders’ questions to the extent necessary for the exercise of shareholders’ rights and subject to prevailing business secrets or other material interests of the corporation.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Stockholders of a Delaware corporation, upon written demand under oath stating the purpose thereof, have the right during the usual hours for business to inspect for any proper purpose, and to obtain copies of list(s) of stockholders and other books and records of the corporation and its subsidiaries, if any, to the extent the books and records of such subsidiaries are available to the corporation.</w:t>
      </w:r>
    </w:p>
    <w:p>
      <w:pPr>
        <w:spacing w:after="0" w:line="4495" w:lineRule="exact"/>
        <w:rPr>
          <w:sz w:val="20"/>
          <w:szCs w:val="20"/>
          <w:color w:val="auto"/>
        </w:rPr>
      </w:pPr>
    </w:p>
    <w:p>
      <w:pPr>
        <w:sectPr>
          <w:pgSz w:w="11900" w:h="16838" w:orient="portrait"/>
          <w:cols w:equalWidth="0" w:num="2">
            <w:col w:w="5500" w:space="160"/>
            <w:col w:w="5420"/>
          </w:cols>
          <w:pgMar w:left="34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1080"/>
          </w:cols>
          <w:pgMar w:left="340" w:top="1440" w:right="479" w:bottom="1440" w:gutter="0" w:footer="0" w:header="0"/>
          <w:type w:val="continuous"/>
        </w:sectPr>
      </w:pPr>
    </w:p>
    <w:bookmarkStart w:id="212" w:name="page213"/>
    <w:bookmarkEnd w:id="212"/>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Lawsuits</w:t>
      </w:r>
    </w:p>
    <w:p>
      <w:pPr>
        <w:sectPr>
          <w:pgSz w:w="11900" w:h="16838" w:orient="portrait"/>
          <w:cols w:equalWidth="0" w:num="1">
            <w:col w:w="11180"/>
          </w:cols>
          <w:pgMar w:left="340" w:top="1440" w:right="379" w:bottom="1440" w:gutter="0" w:footer="0" w:header="0"/>
        </w:sectPr>
      </w:pP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Swiss law, an individual shareholder may bring an action in the shareholder’s own name, for the benefit of the corporation, against the corporation’s directors, officers or liquidators to recover any damages the corporation has incurred as a result of an intentional or negligent breach of duties by such directors, officers or liquidators. Class actions and derivative actions as such are not available under Swiss law. Nevertheless, certain actions may, to a limited extent, have a similar effect.</w:t>
      </w:r>
    </w:p>
    <w:p>
      <w:pPr>
        <w:spacing w:after="0" w:line="19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Swiss law, the winning party is generally entitled to recover a limited amount of attorneys’ fees incurred in connection with such action. The court has discretion to permit the shareholder who lost the lawsuit to recover attorneys’ fees incurred to the extent that he, she or it acted in good faith.</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Under the DGCL, a stockholder may initiate a derivative action to enforce a right of a corporation if the corporation fails to enforce the right itself. The complaint must state that the plaintiff was a stockholder at the time of the transaction of which the plaintiff complains or that the plaintiff’s shares thereafter devolved on the plaintiff by operation of law; provided, however, that under Delaware case law, the plaintiff generally must be a stockholder not only at the time of the transaction which is the subject of the suit, but through the duration of the derivative suit. Delaware law also requires that the derivative plaintiff make a demand on the directors of the corporation to assert the corporate claim before the suit may be prosecuted by the derivative plaintiff, unless such demand would be futile. An individual also may commence a class action suit on behalf of himself or herself and other similarly situated stockholders where the requirements for maintaining a class action have been met.</w:t>
      </w:r>
    </w:p>
    <w:p>
      <w:pPr>
        <w:spacing w:after="0" w:line="6" w:lineRule="exact"/>
        <w:rPr>
          <w:sz w:val="20"/>
          <w:szCs w:val="20"/>
          <w:color w:val="auto"/>
        </w:rPr>
      </w:pPr>
    </w:p>
    <w:p>
      <w:pPr>
        <w:sectPr>
          <w:pgSz w:w="11900" w:h="16838" w:orient="portrait"/>
          <w:cols w:equalWidth="0" w:num="2">
            <w:col w:w="5480" w:space="160"/>
            <w:col w:w="5540"/>
          </w:cols>
          <w:pgMar w:left="340" w:top="1440" w:right="37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Dissolution; Winding-up</w:t>
      </w:r>
    </w:p>
    <w:p>
      <w:pPr>
        <w:sectPr>
          <w:pgSz w:w="11900" w:h="16838" w:orient="portrait"/>
          <w:cols w:equalWidth="0" w:num="1">
            <w:col w:w="11180"/>
          </w:cols>
          <w:pgMar w:left="340" w:top="1440" w:right="379" w:bottom="1440" w:gutter="0" w:footer="0" w:header="0"/>
          <w:type w:val="continuous"/>
        </w:sectPr>
      </w:pP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Swiss law, a corporation may be dissolved at any time by way of liquidation, based on a shareholders’ resolution. Such resolution requires the approval by two-thirds of the votes represented as well as the absolute majority of the nominal value of the shares represented at the general meeting of shareholders passing a resolution on such dissolution and winding up. The articles of association may increase the voting thresholds required for such a resolution (which is not the case under our articles of association).</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Dissolution by law or court order is possible if, for example, a corporation becomes bankrupt.</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Under Swiss law, any surplus arising out of a liquidation (after the settlement of all claims of all creditors) is distributed to shareholders in proportion to the paid up nominal value of shares held. The articles of association may provide for another distribution (which is not the case under our articles of association).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631" w:lineRule="exact"/>
        <w:rPr>
          <w:sz w:val="20"/>
          <w:szCs w:val="20"/>
          <w:color w:val="auto"/>
        </w:rPr>
      </w:pPr>
    </w:p>
    <w:p>
      <w:pPr>
        <w:sectPr>
          <w:pgSz w:w="11900" w:h="16838" w:orient="portrait"/>
          <w:cols w:equalWidth="0" w:num="2">
            <w:col w:w="5360" w:space="280"/>
            <w:col w:w="554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1180"/>
          </w:cols>
          <w:pgMar w:left="340" w:top="1440" w:right="379" w:bottom="1440" w:gutter="0" w:footer="0" w:header="0"/>
          <w:type w:val="continuous"/>
        </w:sectPr>
      </w:pPr>
    </w:p>
    <w:bookmarkStart w:id="213" w:name="page214"/>
    <w:bookmarkEnd w:id="21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AMERICAN DEPOSITARY SHARES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Depositary Shares</w:t>
      </w:r>
    </w:p>
    <w:p>
      <w:pPr>
        <w:spacing w:after="0" w:line="1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Citibank, N.A., or Citibank, 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Citigroup Centre, Canada Square, Canary Wharf, London E14 5LB, United Kingdom.</w:t>
      </w:r>
    </w:p>
    <w:p>
      <w:pPr>
        <w:spacing w:after="0" w:line="9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have appointed Citibank as depositary pursuant to a deposit agreement. A copy of the deposit agreement is filed as an exhibit to the registration statement of which this prospectus forms a part. You may obtain a copy of the deposit agreement from the SEC’s Public Reference Room at 100 F Street,</w:t>
      </w:r>
    </w:p>
    <w:p>
      <w:pPr>
        <w:spacing w:after="0"/>
        <w:tabs>
          <w:tab w:leader="none" w:pos="9200" w:val="left"/>
        </w:tabs>
        <w:rPr>
          <w:sz w:val="20"/>
          <w:szCs w:val="20"/>
          <w:color w:val="auto"/>
        </w:rPr>
      </w:pPr>
      <w:r>
        <w:rPr>
          <w:rFonts w:ascii="Arial" w:cs="Arial" w:eastAsia="Arial" w:hAnsi="Arial"/>
          <w:sz w:val="18"/>
          <w:szCs w:val="18"/>
          <w:color w:val="auto"/>
        </w:rPr>
        <w:t>N.E., Washington, D.C. 20549 and from the SEC’s website (</w:t>
      </w:r>
      <w:r>
        <w:rPr>
          <w:rFonts w:ascii="Arial" w:cs="Arial" w:eastAsia="Arial" w:hAnsi="Arial"/>
          <w:sz w:val="18"/>
          <w:szCs w:val="18"/>
          <w:u w:val="single" w:color="auto"/>
          <w:color w:val="auto"/>
        </w:rPr>
        <w:t>www.sec.gov</w:t>
      </w:r>
      <w:r>
        <w:rPr>
          <w:rFonts w:ascii="Arial" w:cs="Arial" w:eastAsia="Arial" w:hAnsi="Arial"/>
          <w:sz w:val="18"/>
          <w:szCs w:val="18"/>
          <w:color w:val="auto"/>
        </w:rPr>
        <w:t>). Please refer to Registration Number 333-</w:t>
      </w:r>
      <w:r>
        <w:rPr>
          <w:sz w:val="20"/>
          <w:szCs w:val="20"/>
          <w:color w:val="auto"/>
        </w:rPr>
        <w:tab/>
      </w:r>
      <w:r>
        <w:rPr>
          <w:rFonts w:ascii="Arial" w:cs="Arial" w:eastAsia="Arial" w:hAnsi="Arial"/>
          <w:sz w:val="16"/>
          <w:szCs w:val="16"/>
          <w:color w:val="auto"/>
        </w:rPr>
        <w:t>when retrieving such copy.</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common shares that is on deposit with the depositary and/or the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ADS-to-common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by the registered holders of the ADSs (on behalf of the applicable ADS owners) only through the depositary, and by the depositary (on behalf of the owners of the corresponding ADSs) directly, or indirectly through the custodian or their respective nominees, in each case upon the terms of the deposit agreement.</w:t>
      </w:r>
    </w:p>
    <w:p>
      <w:pPr>
        <w:spacing w:after="0" w:line="10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Swiss law, which may be different from the laws in the United States, governs shareholder rights and our obligations to the holders of common shares. However, as an ADS holder, you will not be treated as one of our shareholders and you will not have shareholder rights.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nor the custodian, nor us nor any of their or our respective agents or affiliates shall be required to take any actions whatsoever on your behalf to satisfy such reporting requirements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obtain such regulatory approvals under applicable laws and regulations. For the requirement to disclose major shareholdings with SIX Swiss Exchange see "--Notification and Disclosure of Substantial Share Interests."</w:t>
      </w:r>
    </w:p>
    <w:p>
      <w:pPr>
        <w:spacing w:after="0" w:line="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under the deposit agreement,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common shares underlying your ADSs. As an owner of ADSs you will be able to exercise the shareholders rights for the common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registration of the common shares in the name of the depositary or the custodian shall, to the maximum extent permitted by applicable law, vest in the depositary or the custodian the record ownership in the applicable common shares, with the beneficial ownership rights and interests in such common shares being at all times vested with the beneficial owners of the ADSs representing the common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and Distributions</w:t>
      </w:r>
    </w:p>
    <w:p>
      <w:pPr>
        <w:spacing w:after="0" w:line="15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a specified record date, after deduction the applicable fees, taxes and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Swiss laws and regulations. The depositary or a division, branch or affiliate of the depositary may act as a principal for any such conversion.</w:t>
      </w:r>
    </w:p>
    <w:p>
      <w:pPr>
        <w:spacing w:after="0" w:line="11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and distributable to the ADS holders entitled thereto. If it is unlawful or impracticable to convert such foreign currency and distribute U.S. dollars to the holders, the depositary may, in its discretion, convert such foreign currency and make such distribution to such holders as may be lawful and practicable, distribute foreign currency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80"/>
          </w:cols>
          <w:pgMar w:left="320" w:top="1440" w:right="399" w:bottom="1440" w:gutter="0" w:footer="0" w:header="0"/>
        </w:sectPr>
      </w:pPr>
    </w:p>
    <w:bookmarkStart w:id="215" w:name="page216"/>
    <w:bookmarkEnd w:id="215"/>
    <w:p>
      <w:pPr>
        <w:spacing w:after="0" w:line="130"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holders as may be lawful and practicable or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Whenever we make a free distribution of common shares for the securities on deposit with the custodian, we will deposit the applicable number of common shares with the custodian. Upon receipt of confirmation of such deposit, the depositary will either distribute to holders new ADSs representing the common shares deposited or modify the ADS-to- common share ratio, in which case each ADS you hold will represent rights and interests in the additional common shares so deposited. Only whole new ADSs will be distributed. Fractional entitlements will be sold and the proceeds of such sale will be distributed as in the case of a cash distribution.</w:t>
      </w:r>
    </w:p>
    <w:p>
      <w:pPr>
        <w:spacing w:after="0" w:line="10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distribution of new ADSs or the modification of the ADS-to- common share ratio upon a distribution of common shares will be made net of the fees, expenses, taxes and governmental charges payable by holders under the terms of the deposit agreement. In order to pay such taxes or governmental charges, the depositary may sell all or a portion of the new common shares so distributed.</w:t>
      </w:r>
    </w:p>
    <w:p>
      <w:pPr>
        <w:spacing w:after="0" w:line="1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No such distribution of new ADSs will be made if it would violate any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common shares received upon the terms described in the deposit agreement and will distribute the proceeds of the sale as in the case of a distribution of cash.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Whenever we intend to distribute rights to subscribe for additional common shares, we will give prior notice to the depositary and will indicate whether we wish the rights distribution to be made available to you. In such case, we will assist the depositary in determining whether it is lawful and reasonably practicable to distribute rights to subscribe for additional ADSs to holders.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depositary will establish procedures to distribute rights to subscribe for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common shares other than in the form of ADSs.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44"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4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320" w:top="1440" w:right="359" w:bottom="1440" w:gutter="0" w:footer="0" w:header="0"/>
        </w:sectPr>
      </w:pPr>
    </w:p>
    <w:bookmarkStart w:id="216" w:name="page217"/>
    <w:bookmarkEnd w:id="216"/>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Switzerland would receive upon failing to make an election, as more fully described in the deposit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5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Whenever we intend to distribute property other than cash, common shares or rights to subscribe for additional common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1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it is reasonably practicable to distribute such property to you and if we provide to the depositary all of the documentation contemplated in the deposit agreement, the depositary will distribute the property to the holders in a manner it deems practicable.</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58"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5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 a currency other than U.S. dollars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Affecting Common Shares</w:t>
      </w:r>
    </w:p>
    <w:p>
      <w:pPr>
        <w:spacing w:after="0" w:line="15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common shares held on deposit for your ADSs may change from time to time. For example, there may be a change in nominal or par value, a split-up, cancellation, consolidation or reclassification of such common shares or a recapitalization, reorganization, merger, consolidation or sale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0"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common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common shares. If the depositary may not lawfully distribute such property to you, the depositary may sell such property and distribute the net proceeds to you as in the case of a cash distribution.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of ADSs upon Deposit of Common Shares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completion of this offering, the common shares being offered pursuant to this prospectus will be deposited by us with the custodian. Upon receipt of confirmation of such deposit, the depositary will issue ADSs to the underwriters named in this prospectus.</w:t>
      </w:r>
    </w:p>
    <w:p>
      <w:pPr>
        <w:spacing w:after="0" w:line="10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After the closing of this offer, the depositary may create ADSs on your behalf if you or your broker deposits common shares with the custodian. The depositary will deliver these ADSs to the person you indicate only after you pay any applicable issuance fees and any charges and taxes payable for the transfer of the common shares to the custodian. Your ability to deposit common shares and receive ADSs may be limited by U.S. and Swiss legal considerations applicable at the time of deposit.</w:t>
      </w:r>
    </w:p>
    <w:p>
      <w:pPr>
        <w:spacing w:after="0" w:line="1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common shares have been duly transferred to the custodian. The depositary will only issue ADSs in whole numbers.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When you make a deposit of common shares, you will be responsible for transferring good and valid title to the depositary. As such, you will be deemed to represent and warrant that:</w:t>
      </w:r>
    </w:p>
    <w:p>
      <w:pPr>
        <w:spacing w:after="0" w:line="103"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are duly authorized, validly issued, fully paid, non-assessable and legally obtained.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common shares have been validly waived or exercised.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You are duly authorized to deposit the common shares.</w:t>
      </w:r>
    </w:p>
    <w:p>
      <w:pPr>
        <w:spacing w:after="0" w:line="15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common shares presented for deposit have not been stripped of any rights or entitlements.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deposit of the common shares does not violate any applicable provisions of the laws of Switzerland.</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Combination and Split Up of ADRs</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03"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4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may restrict transfers of ADSs where such transfer may result in the total number of shares represented by the ADSs owned by a single holder or beneficial owner to exceed limits imposed by applicable law or the Articles. We may instruct the depositary to take actions with respect to the ownership interests of any holder or beneficial owner in excess of such limits including the imposing of restrictions on transfers of ADSs, the removal or limitation of voting rights, or mandatory sale or disposition of ADSs held by such holder of beneficial owner in excess of such limitations.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Withdrawal of Common Shares Upon Cancellation of ADSs</w:t>
      </w:r>
    </w:p>
    <w:p>
      <w:pPr>
        <w:spacing w:after="0" w:line="15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a holder, you will be entitled to present your ADSs to the depositary for cancellation and then receive the corresponding number of underlying common shares at the custodian’s offices. Your ability to withdraw the common shares held in respect of the ADSs may be limited by U.S. and Swiss legal considerations applicable at the time of withdrawal. In order to withdraw the common shares represented by your ADSs, you will be required to pay to the depositary the fees for cancellation of ADSs and any charges and taxes payable upon the transfer of the common shares being withdrawn. You assume the risk for delivery of all funds and securities upon withdrawal. Once canceled, the ADSs will not have any rights under the deposit agreement.</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you hold ADSs registered in your name, the depositary may ask you to provide proof of identity and genuineness of any signature and such other documents as the depositary may deem appropriate before it will cancel your ADSs. The withdrawal of the common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subject to:</w:t>
      </w:r>
    </w:p>
    <w:p>
      <w:pPr>
        <w:spacing w:after="0" w:line="158" w:lineRule="exact"/>
        <w:rPr>
          <w:sz w:val="20"/>
          <w:szCs w:val="20"/>
          <w:color w:val="auto"/>
        </w:rPr>
      </w:pPr>
    </w:p>
    <w:p>
      <w:pPr>
        <w:ind w:left="340" w:right="200" w:hanging="332"/>
        <w:spacing w:after="0" w:line="27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ADSs or common shares are closed, or (ii) common shares are immobilized on account of a shareholders’ meeting or a payment of dividends;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 or</w:t>
      </w:r>
    </w:p>
    <w:p>
      <w:pPr>
        <w:spacing w:after="0" w:line="157" w:lineRule="exact"/>
        <w:rPr>
          <w:rFonts w:ascii="Arial" w:cs="Arial" w:eastAsia="Arial" w:hAnsi="Arial"/>
          <w:sz w:val="18"/>
          <w:szCs w:val="18"/>
          <w:color w:val="auto"/>
        </w:rPr>
      </w:pPr>
    </w:p>
    <w:p>
      <w:pPr>
        <w:ind w:left="340" w:right="140" w:hanging="332"/>
        <w:spacing w:after="0" w:line="277" w:lineRule="auto"/>
        <w:tabs>
          <w:tab w:leader="none" w:pos="3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circumstances specifically contemplated by Instruction I.A.(l) of the General Instructions to Form F-6 Registration Statement, as amended from time to time, under the Securities Act.</w:t>
      </w:r>
    </w:p>
    <w:p>
      <w:pPr>
        <w:spacing w:after="0" w:line="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15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As a holder, you generally have the right under the deposit agreement to instruct the depositary to exercise the voting rights for the common shares represented by your ADSs. The voting rights of holders of common shares are described in the sections of this prospectus titled “Description of Share Capital and Articles of Association” and “Limitations Affecting Shareholders of a Swiss Company.”</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our timely request, the depositary will distribute to you any notice of general meetings of shareholders or other solicitations of consents received from us and arrange to deliver our voting materials to you, or provide notice with instructions on how to retrieve such materials. Those materials will describe the matters to be voted on and explain how to instruct the depositary to exercise the voting rights of the securities represented by ADSs. For instructions to be valid, they must reach the depositary by a date set by the depositary.</w:t>
      </w:r>
    </w:p>
    <w:p>
      <w:pPr>
        <w:spacing w:after="0" w:line="11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depositary will try, as far as practical, and subject to the laws of Switzerland and to the Articles, to vote or cause to be voted the common shares underlying the ADSs in accordance with instructions timely received from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If the depositary does not timely receive voting instructions with respect to certain ADSs, it will not vote the common shares represented by such ADSs, except as otherwise contemplated in the deposit agreement. If the depositary timely receives voting instructions from a holder that fail to specify the manner in which the common shares are to be voted, the depositary will deem such holder (unless otherwise specified in the notice distributed to holders) to have instructed the depositary to take all steps necessary to enable the independent proxy holder, as elected by the shareholders of the Company, to vote the common shares underlying such ADS holder's ADSs in accordance with the written proposals or recommendations of the Company's board of directors. At our request, the depositary will represent all common shares underlying the ADSs for the purpose of establishing a quorum at a meeting of our shareholders.</w:t>
      </w:r>
    </w:p>
    <w:p>
      <w:pPr>
        <w:spacing w:after="0" w:line="1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 Common shares for which no voting instructions have been timely received will not be voted except as provided above with respect to representing common shares to establish a quorum, and as otherwise contemplated in the deposit agreement. In addition, the depositary and its agents are not responsible for failing to carry out voting instructions, for the manner in which any vote is cast or for the effect of any vote, provided that the depositary acted in good faith, without negligence and in accordance with the deposit agreement. This means that you may not be able to exercise your right to vote and there may be nothing you can do if your common shares are not voted as you requested.</w:t>
      </w:r>
    </w:p>
    <w:p>
      <w:pPr>
        <w:spacing w:after="0" w:line="11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shares, if we request the depositary to act, we will give the depositary notice of the applicable meeting or vote and details concerning the matters to be voted upon in a timely manner in advance of the meeting or vote, the depositary having no obligation to take any action with respect to any vote or meeting if it receives such request later than 30 days before the vote or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Fees and Charges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an ADS holder, you will be required to pay the following service fees to the depositary under the terms of the deposit agreement:</w:t>
      </w:r>
    </w:p>
    <w:p>
      <w:pPr>
        <w:sectPr>
          <w:pgSz w:w="11900" w:h="16838" w:orient="portrait"/>
          <w:cols w:equalWidth="0" w:num="1">
            <w:col w:w="11220"/>
          </w:cols>
          <w:pgMar w:left="320" w:top="1440" w:right="359" w:bottom="1440" w:gutter="0" w:footer="0" w:header="0"/>
        </w:sect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w:t>
      </w:r>
    </w:p>
    <w:p>
      <w:pPr>
        <w:spacing w:after="0" w:line="171" w:lineRule="exact"/>
        <w:rPr>
          <w:sz w:val="20"/>
          <w:szCs w:val="20"/>
          <w:color w:val="auto"/>
        </w:rPr>
      </w:pPr>
    </w:p>
    <w:p>
      <w:pPr>
        <w:ind w:left="360" w:hanging="334"/>
        <w:spacing w:after="0" w:line="259" w:lineRule="auto"/>
        <w:tabs>
          <w:tab w:leader="none" w:pos="35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Issuance of ADSs (e.g., an issuance of ADS upon a deposit of common shares, upon a change in the ADS(s)-to- common share(s) ratio, or for any other reason), excluding ADS issuances as a result of distributions of common shares)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Up to U.S. $0.05 per ADS issued</w:t>
      </w:r>
    </w:p>
    <w:p>
      <w:pPr>
        <w:spacing w:after="0" w:line="529" w:lineRule="exact"/>
        <w:rPr>
          <w:sz w:val="20"/>
          <w:szCs w:val="20"/>
          <w:color w:val="auto"/>
        </w:rPr>
      </w:pPr>
    </w:p>
    <w:p>
      <w:pPr>
        <w:sectPr>
          <w:pgSz w:w="11900" w:h="16838" w:orient="portrait"/>
          <w:cols w:equalWidth="0" w:num="2">
            <w:col w:w="6140" w:space="160"/>
            <w:col w:w="4920"/>
          </w:cols>
          <w:pgMar w:left="320" w:top="1440" w:right="359" w:bottom="1440" w:gutter="0" w:footer="0" w:header="0"/>
          <w:type w:val="continuous"/>
        </w:sect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Cancellation of ADSs (e.g., a cancellation of ADSs for delivery of deposited</w:t>
      </w:r>
      <w:r>
        <w:rPr>
          <w:sz w:val="20"/>
          <w:szCs w:val="20"/>
          <w:color w:val="auto"/>
        </w:rPr>
        <w:tab/>
      </w:r>
      <w:r>
        <w:rPr>
          <w:rFonts w:ascii="Arial" w:cs="Arial" w:eastAsia="Arial" w:hAnsi="Arial"/>
          <w:sz w:val="16"/>
          <w:szCs w:val="16"/>
          <w:color w:val="auto"/>
        </w:rPr>
        <w:t>Up to U.S. $0.05 per ADS canceled</w:t>
      </w:r>
    </w:p>
    <w:p>
      <w:pPr>
        <w:ind w:left="360"/>
        <w:spacing w:after="0" w:line="203" w:lineRule="auto"/>
        <w:rPr>
          <w:sz w:val="20"/>
          <w:szCs w:val="20"/>
          <w:color w:val="auto"/>
        </w:rPr>
      </w:pPr>
      <w:r>
        <w:rPr>
          <w:rFonts w:ascii="Arial" w:cs="Arial" w:eastAsia="Arial" w:hAnsi="Arial"/>
          <w:sz w:val="18"/>
          <w:szCs w:val="18"/>
          <w:color w:val="auto"/>
        </w:rPr>
        <w:t>property, upon a change in the ADS(s)-to- common share(s) ratio, or for any</w:t>
      </w:r>
    </w:p>
    <w:p>
      <w:pPr>
        <w:ind w:left="360"/>
        <w:spacing w:after="0"/>
        <w:rPr>
          <w:sz w:val="20"/>
          <w:szCs w:val="20"/>
          <w:color w:val="auto"/>
        </w:rPr>
      </w:pPr>
      <w:r>
        <w:rPr>
          <w:rFonts w:ascii="Arial" w:cs="Arial" w:eastAsia="Arial" w:hAnsi="Arial"/>
          <w:sz w:val="18"/>
          <w:szCs w:val="18"/>
          <w:color w:val="auto"/>
        </w:rPr>
        <w:t>other reason)</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cash dividends or other cash distributions (e.g., upon a sale of</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rights and other entitlements)</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ADSs pursuant to stock dividends, other free stock distributions</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or exercise of rights to purchase additional ADSs.</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Distribution of securities other than ADSs or rights to purchase additional ADSs</w:t>
      </w:r>
      <w:r>
        <w:rPr>
          <w:sz w:val="20"/>
          <w:szCs w:val="20"/>
          <w:color w:val="auto"/>
        </w:rPr>
        <w:tab/>
      </w:r>
      <w:r>
        <w:rPr>
          <w:rFonts w:ascii="Arial" w:cs="Arial" w:eastAsia="Arial" w:hAnsi="Arial"/>
          <w:sz w:val="16"/>
          <w:szCs w:val="16"/>
          <w:color w:val="auto"/>
        </w:rPr>
        <w:t>Up to U.S. $0.05 per ADS held</w:t>
      </w:r>
    </w:p>
    <w:p>
      <w:pPr>
        <w:ind w:left="360"/>
        <w:spacing w:after="0"/>
        <w:rPr>
          <w:sz w:val="20"/>
          <w:szCs w:val="20"/>
          <w:color w:val="auto"/>
        </w:rPr>
      </w:pPr>
      <w:r>
        <w:rPr>
          <w:rFonts w:ascii="Arial" w:cs="Arial" w:eastAsia="Arial" w:hAnsi="Arial"/>
          <w:sz w:val="18"/>
          <w:szCs w:val="18"/>
          <w:color w:val="auto"/>
        </w:rPr>
        <w:t>(e.g., upon a spin-off)</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ADS Services</w:t>
      </w:r>
      <w:r>
        <w:rPr>
          <w:sz w:val="20"/>
          <w:szCs w:val="20"/>
          <w:color w:val="auto"/>
        </w:rPr>
        <w:tab/>
      </w:r>
      <w:r>
        <w:rPr>
          <w:rFonts w:ascii="Arial" w:cs="Arial" w:eastAsia="Arial" w:hAnsi="Arial"/>
          <w:sz w:val="16"/>
          <w:szCs w:val="16"/>
          <w:color w:val="auto"/>
        </w:rPr>
        <w:t>Up to U.S. $0.05 per ADS held on the applicable record date(s)</w:t>
      </w:r>
    </w:p>
    <w:p>
      <w:pPr>
        <w:ind w:left="6300"/>
        <w:spacing w:after="0"/>
        <w:rPr>
          <w:sz w:val="20"/>
          <w:szCs w:val="20"/>
          <w:color w:val="auto"/>
        </w:rPr>
      </w:pPr>
      <w:r>
        <w:rPr>
          <w:rFonts w:ascii="Arial" w:cs="Arial" w:eastAsia="Arial" w:hAnsi="Arial"/>
          <w:sz w:val="18"/>
          <w:szCs w:val="18"/>
          <w:color w:val="auto"/>
        </w:rPr>
        <w:t>established by the depositary</w:t>
      </w:r>
    </w:p>
    <w:p>
      <w:pPr>
        <w:spacing w:after="0" w:line="45"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Registration of ADS Transfers (e.g., upon a registration of the transfer of</w:t>
      </w:r>
      <w:r>
        <w:rPr>
          <w:sz w:val="20"/>
          <w:szCs w:val="20"/>
          <w:color w:val="auto"/>
        </w:rPr>
        <w:tab/>
      </w:r>
      <w:r>
        <w:rPr>
          <w:rFonts w:ascii="Arial" w:cs="Arial" w:eastAsia="Arial" w:hAnsi="Arial"/>
          <w:sz w:val="16"/>
          <w:szCs w:val="16"/>
          <w:color w:val="auto"/>
        </w:rPr>
        <w:t>Up to U.S. $0.05 per ADS transferred</w:t>
      </w:r>
    </w:p>
    <w:p>
      <w:pPr>
        <w:ind w:left="360"/>
        <w:spacing w:after="0" w:line="203" w:lineRule="auto"/>
        <w:rPr>
          <w:sz w:val="20"/>
          <w:szCs w:val="20"/>
          <w:color w:val="auto"/>
        </w:rPr>
      </w:pPr>
      <w:r>
        <w:rPr>
          <w:rFonts w:ascii="Arial" w:cs="Arial" w:eastAsia="Arial" w:hAnsi="Arial"/>
          <w:sz w:val="18"/>
          <w:szCs w:val="18"/>
          <w:color w:val="auto"/>
        </w:rPr>
        <w:t>registered ownership of ADSs, upon a transfer of ADSs into DTC and vice</w:t>
      </w:r>
    </w:p>
    <w:p>
      <w:pPr>
        <w:ind w:left="360"/>
        <w:spacing w:after="0"/>
        <w:rPr>
          <w:sz w:val="20"/>
          <w:szCs w:val="20"/>
          <w:color w:val="auto"/>
        </w:rPr>
      </w:pPr>
      <w:r>
        <w:rPr>
          <w:rFonts w:ascii="Arial" w:cs="Arial" w:eastAsia="Arial" w:hAnsi="Arial"/>
          <w:sz w:val="18"/>
          <w:szCs w:val="18"/>
          <w:color w:val="auto"/>
        </w:rPr>
        <w:t>versa, or for any other reason).</w:t>
      </w:r>
    </w:p>
    <w:p>
      <w:pPr>
        <w:spacing w:after="0" w:line="140" w:lineRule="exact"/>
        <w:rPr>
          <w:sz w:val="20"/>
          <w:szCs w:val="20"/>
          <w:color w:val="auto"/>
        </w:rPr>
      </w:pPr>
    </w:p>
    <w:p>
      <w:pPr>
        <w:ind w:left="20"/>
        <w:spacing w:after="0"/>
        <w:tabs>
          <w:tab w:leader="none" w:pos="320" w:val="left"/>
          <w:tab w:leader="none" w:pos="6280" w:val="left"/>
        </w:tabs>
        <w:rPr>
          <w:sz w:val="20"/>
          <w:szCs w:val="20"/>
          <w:color w:val="auto"/>
        </w:rPr>
      </w:pPr>
      <w:r>
        <w:rPr>
          <w:rFonts w:ascii="Arial" w:cs="Arial" w:eastAsia="Arial" w:hAnsi="Arial"/>
          <w:sz w:val="18"/>
          <w:szCs w:val="18"/>
          <w:color w:val="auto"/>
        </w:rPr>
        <w:t>•</w:t>
        <w:tab/>
        <w:t>Conversion of ADSs of one series for ADSs of another series (e.g., upon</w:t>
      </w:r>
      <w:r>
        <w:rPr>
          <w:sz w:val="20"/>
          <w:szCs w:val="20"/>
          <w:color w:val="auto"/>
        </w:rPr>
        <w:tab/>
      </w:r>
      <w:r>
        <w:rPr>
          <w:rFonts w:ascii="Arial" w:cs="Arial" w:eastAsia="Arial" w:hAnsi="Arial"/>
          <w:sz w:val="16"/>
          <w:szCs w:val="16"/>
          <w:color w:val="auto"/>
        </w:rPr>
        <w:t>Up to U.S. $0.05 per ADS converted</w:t>
      </w:r>
    </w:p>
    <w:p>
      <w:pPr>
        <w:ind w:left="360" w:right="5260"/>
        <w:spacing w:after="0" w:line="268" w:lineRule="auto"/>
        <w:rPr>
          <w:sz w:val="20"/>
          <w:szCs w:val="20"/>
          <w:color w:val="auto"/>
        </w:rPr>
      </w:pPr>
      <w:r>
        <w:rPr>
          <w:rFonts w:ascii="Arial" w:cs="Arial" w:eastAsia="Arial" w:hAnsi="Arial"/>
          <w:sz w:val="16"/>
          <w:szCs w:val="16"/>
          <w:color w:val="auto"/>
        </w:rPr>
        <w:t>conversion of Partial Entitlement ADSs for Full Entitlement ADSs, or upon conversion of Restricted ADSs into freely transferable ADSs, and vice versa).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also be responsible to pay certain fees, expenses, taxes and governmental charges such as:</w:t>
      </w:r>
    </w:p>
    <w:p>
      <w:pPr>
        <w:spacing w:after="0" w:line="158"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57"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common shares or other deposited securities on the share register and applicable to transfers of common shares or other deposited securities to or from the name of the custodian, the depositary or any nominees upon the making of deposits and withdrawals, respectively;</w:t>
      </w:r>
    </w:p>
    <w:p>
      <w:pPr>
        <w:spacing w:after="0" w:line="102" w:lineRule="exact"/>
        <w:rPr>
          <w:rFonts w:ascii="Arial" w:cs="Arial" w:eastAsia="Arial" w:hAnsi="Arial"/>
          <w:sz w:val="18"/>
          <w:szCs w:val="18"/>
          <w:color w:val="auto"/>
        </w:rPr>
      </w:pPr>
    </w:p>
    <w:p>
      <w:pPr>
        <w:ind w:left="340" w:right="500" w:hanging="332"/>
        <w:spacing w:after="0" w:line="308" w:lineRule="auto"/>
        <w:tabs>
          <w:tab w:leader="none" w:pos="33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deposit agreement to be at the expense of the person depositing common shares or withdrawing deposited property or of the holders and beneficial owners of ADSs;</w:t>
      </w:r>
    </w:p>
    <w:p>
      <w:pPr>
        <w:spacing w:after="0" w:line="78" w:lineRule="exact"/>
        <w:rPr>
          <w:rFonts w:ascii="Arial" w:cs="Arial" w:eastAsia="Arial" w:hAnsi="Arial"/>
          <w:sz w:val="17"/>
          <w:szCs w:val="17"/>
          <w:color w:val="auto"/>
        </w:rPr>
      </w:pPr>
    </w:p>
    <w:p>
      <w:pPr>
        <w:ind w:left="340" w:hanging="332"/>
        <w:spacing w:after="0" w:line="263"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16"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320" w:top="1440" w:right="359" w:bottom="1440" w:gutter="0" w:footer="0" w:header="0"/>
          <w:type w:val="continuous"/>
        </w:sectPr>
      </w:pPr>
    </w:p>
    <w:bookmarkStart w:id="221" w:name="page222"/>
    <w:bookmarkEnd w:id="221"/>
    <w:p>
      <w:pPr>
        <w:spacing w:after="0" w:line="130" w:lineRule="exact"/>
        <w:rPr>
          <w:sz w:val="20"/>
          <w:szCs w:val="20"/>
          <w:color w:val="auto"/>
        </w:rPr>
      </w:pPr>
    </w:p>
    <w:p>
      <w:pPr>
        <w:ind w:left="320" w:hanging="312"/>
        <w:spacing w:after="0"/>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0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event of refusal to pay the depositary fees or other charges, the depositary may, under the terms of the deposit agreement, refuse the requested service until payment is received or may set off the amount of the depositary fees or other charges from any distribution to be made to the ADS holder.</w:t>
      </w:r>
    </w:p>
    <w:p>
      <w:pPr>
        <w:spacing w:after="0" w:line="5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11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depositary may reimburse us for certain expenses incurred by us in respect of the ADR program, by making available a portion of the depositary fees charged in respect of the ADR program or otherwise, upon such terms and conditions as we and the depositary may agree from time to time.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 and Termination</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common shares represented by your ADSs (except as permitted by law).</w:t>
      </w:r>
    </w:p>
    <w:p>
      <w:pPr>
        <w:spacing w:after="0" w:line="10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common shares represented by ADSs and to direct the deposit of such common shares into an unsponsored ADS program established by the depositary. The ability to receive unsponsored ADSs upon termination of the deposit agreement would be subject to satisfaction of certain U.S. regulatory requirements applicable to the creation of unsponsored ADSs and the payment of applicable depositary fees.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Books of Depositary</w:t>
      </w:r>
    </w:p>
    <w:p>
      <w:pPr>
        <w:spacing w:after="0" w:line="15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Obligations and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44"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57" w:lineRule="exact"/>
        <w:rPr>
          <w:rFonts w:ascii="Arial" w:cs="Arial" w:eastAsia="Arial" w:hAnsi="Arial"/>
          <w:sz w:val="18"/>
          <w:szCs w:val="18"/>
          <w:color w:val="auto"/>
        </w:rPr>
      </w:pPr>
    </w:p>
    <w:p>
      <w:pPr>
        <w:ind w:left="340" w:right="380" w:hanging="332"/>
        <w:spacing w:after="0" w:line="27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02"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common shares, for the validity or worth of the common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06" w:lineRule="exact"/>
        <w:rPr>
          <w:rFonts w:ascii="Arial" w:cs="Arial" w:eastAsia="Arial" w:hAnsi="Arial"/>
          <w:sz w:val="18"/>
          <w:szCs w:val="18"/>
          <w:color w:val="auto"/>
        </w:rPr>
      </w:pPr>
    </w:p>
    <w:p>
      <w:pPr>
        <w:ind w:left="320" w:hanging="312"/>
        <w:spacing w:after="0"/>
        <w:tabs>
          <w:tab w:leader="none" w:pos="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57" w:lineRule="exact"/>
        <w:rPr>
          <w:rFonts w:ascii="Arial" w:cs="Arial" w:eastAsia="Arial" w:hAnsi="Arial"/>
          <w:sz w:val="18"/>
          <w:szCs w:val="18"/>
          <w:color w:val="auto"/>
        </w:rPr>
      </w:pPr>
    </w:p>
    <w:p>
      <w:pPr>
        <w:ind w:left="340" w:right="60" w:hanging="332"/>
        <w:spacing w:after="0" w:line="279" w:lineRule="auto"/>
        <w:tabs>
          <w:tab w:leader="none" w:pos="33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103" w:lineRule="exact"/>
        <w:rPr>
          <w:rFonts w:ascii="Arial" w:cs="Arial" w:eastAsia="Arial" w:hAnsi="Arial"/>
          <w:sz w:val="17"/>
          <w:szCs w:val="17"/>
          <w:color w:val="auto"/>
        </w:rPr>
      </w:pPr>
    </w:p>
    <w:p>
      <w:pPr>
        <w:ind w:left="340" w:right="60" w:hanging="332"/>
        <w:spacing w:after="0" w:line="277"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89" w:lineRule="exact"/>
        <w:rPr>
          <w:rFonts w:ascii="Arial" w:cs="Arial" w:eastAsia="Arial" w:hAnsi="Arial"/>
          <w:sz w:val="18"/>
          <w:szCs w:val="18"/>
          <w:color w:val="auto"/>
        </w:rPr>
      </w:pPr>
    </w:p>
    <w:p>
      <w:pPr>
        <w:ind w:left="340" w:right="60" w:hanging="332"/>
        <w:spacing w:after="0" w:line="263" w:lineRule="auto"/>
        <w:tabs>
          <w:tab w:leader="none" w:pos="3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common shares for deposit, any holder of ADSs or authorized representatives thereof, or any other person believed by either of us in good faith to be competent to give such advice or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0" w:lineRule="exact"/>
        <w:rPr>
          <w:sz w:val="20"/>
          <w:szCs w:val="20"/>
          <w:color w:val="auto"/>
        </w:rPr>
      </w:pPr>
    </w:p>
    <w:p>
      <w:pPr>
        <w:ind w:left="340" w:right="22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common shares but is not, under the terms of the deposit agreement, made available to you.</w:t>
      </w:r>
    </w:p>
    <w:p>
      <w:pPr>
        <w:spacing w:after="0" w:line="89" w:lineRule="exact"/>
        <w:rPr>
          <w:rFonts w:ascii="Arial" w:cs="Arial" w:eastAsia="Arial" w:hAnsi="Arial"/>
          <w:sz w:val="18"/>
          <w:szCs w:val="18"/>
          <w:color w:val="auto"/>
        </w:rPr>
      </w:pPr>
    </w:p>
    <w:p>
      <w:pPr>
        <w:ind w:left="340" w:right="46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We and the depositary also disclaim liability for any consequential or punitive damages for any breach of the terms of the deposit agreement.</w:t>
      </w:r>
    </w:p>
    <w:p>
      <w:pPr>
        <w:spacing w:after="0" w:line="169" w:lineRule="exact"/>
        <w:rPr>
          <w:rFonts w:ascii="Arial" w:cs="Arial" w:eastAsia="Arial" w:hAnsi="Arial"/>
          <w:sz w:val="17"/>
          <w:szCs w:val="17"/>
          <w:color w:val="auto"/>
        </w:rPr>
      </w:pPr>
    </w:p>
    <w:p>
      <w:pPr>
        <w:ind w:left="320" w:hanging="312"/>
        <w:spacing w:after="0"/>
        <w:tabs>
          <w:tab w:leader="none" w:pos="3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44" w:lineRule="exact"/>
        <w:rPr>
          <w:rFonts w:ascii="Arial" w:cs="Arial" w:eastAsia="Arial" w:hAnsi="Arial"/>
          <w:sz w:val="18"/>
          <w:szCs w:val="18"/>
          <w:color w:val="auto"/>
        </w:rPr>
      </w:pPr>
    </w:p>
    <w:p>
      <w:pPr>
        <w:ind w:left="340" w:right="160" w:hanging="332"/>
        <w:spacing w:after="0" w:line="277" w:lineRule="auto"/>
        <w:tabs>
          <w:tab w:leader="none" w:pos="3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02" w:lineRule="exact"/>
        <w:rPr>
          <w:rFonts w:ascii="Arial" w:cs="Arial" w:eastAsia="Arial" w:hAnsi="Arial"/>
          <w:sz w:val="18"/>
          <w:szCs w:val="18"/>
          <w:color w:val="auto"/>
        </w:rPr>
      </w:pPr>
    </w:p>
    <w:p>
      <w:pPr>
        <w:ind w:left="340" w:right="100" w:hanging="332"/>
        <w:spacing w:after="0" w:line="286" w:lineRule="auto"/>
        <w:tabs>
          <w:tab w:leader="none" w:pos="33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Nothing in the deposit agreement precludes Citibank, N.A. (or its affiliates) from engaging in transactions in which parties adverse to us or the ADS owners have interests, and nothing in the deposit agreement obligates Citibank, N.A. to disclose those transactions, or any information obtained in the course of those transactions, to us or to the ADS owners, or to account for any payment received as part of those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Taxes</w:t>
      </w:r>
    </w:p>
    <w:p>
      <w:pPr>
        <w:spacing w:after="0" w:line="13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Conversion</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03" w:lineRule="exact"/>
        <w:rPr>
          <w:sz w:val="20"/>
          <w:szCs w:val="20"/>
          <w:color w:val="auto"/>
        </w:rPr>
      </w:pPr>
    </w:p>
    <w:p>
      <w:pPr>
        <w:ind w:left="340" w:right="20" w:hanging="332"/>
        <w:spacing w:after="0" w:line="277" w:lineRule="auto"/>
        <w:tabs>
          <w:tab w:leader="none" w:pos="3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20"/>
          </w:cols>
          <w:pgMar w:left="320" w:top="1440" w:right="359" w:bottom="1440" w:gutter="0" w:footer="0" w:header="0"/>
        </w:sectPr>
      </w:pPr>
    </w:p>
    <w:bookmarkStart w:id="224" w:name="page225"/>
    <w:bookmarkEnd w:id="224"/>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Law/Waiver of Jury Trial</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common shares (including common shares represented by ADSs) are governed by the laws of Switzerland.</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Except as otherwise provided in the deposit agreement, we and the depositary have agreed that any legal action arising out of the deposit agreement between us and the depositary may be instituted in a state or federal court in the City of New York, and we and the depositary have irrevocably submitted to the non-exclusive jurisdiction of such courts for such purpose.</w:t>
      </w:r>
    </w:p>
    <w:p>
      <w:pPr>
        <w:spacing w:after="0" w:line="11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AS A PARTY TO THE DEPOSIT AGREEMENT, YOU IRREVOCABLY WAIVE YOUR RIGHT TO TRIAL BY JURY IN ANY LEGAL PROCEEDING AGAINST US AND/OR THE DEPOSITARY. ARISING OUT OF OR RELATING TO THE DEPOSIT AGREEMENT, THE ADRs OR THE TRANSACTIONS CONTEMPLATED THEREIN.</w:t>
      </w:r>
    </w:p>
    <w:p>
      <w:pPr>
        <w:spacing w:after="0" w:line="34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Such waiver of your right to trial by jury may apply to any claim under U.S. federal securities laws. If we or the depositary opposed a jury trial demand based on such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SHARES AND ADSs ELIGIBLE FOR FUTURE SALE</w:t>
      </w:r>
    </w:p>
    <w:p>
      <w:pPr>
        <w:spacing w:after="0" w:line="3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Prior to this offering, while our common shares have been traded on the SIX Swiss Exchange since November 2014, there has been no public market on a U.S. national securities exchange for the ADSs or our common shares in the United States. Future sales of ADSs in the public market after this offering, and the availability of ADSs for future sale, could adversely affect the market price of the ADSs or our common shares prevailing from time to time. As described below, a significant number of currently outstanding common shares will not be available for sale shortly after this offering due to contractual restrictions on transfers of common shares. Accordingly, sales of substantial amounts of the ADSs or the common shares, or the perception that these sales could occur, could adversely affect prevailing market prices for the ADSs or our common shares and could impair our future ability to raise equity capital.</w:t>
      </w:r>
    </w:p>
    <w:p>
      <w:pPr>
        <w:spacing w:after="0" w:line="9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Based on the number of common shares outstanding on , 2021, upon completion of this offering, common shares (including common shares in the form of ADSs) will be outstanding, assuming no outstanding PSUs, RSUs or share options are exercised and assuming no exercise of the underwriters’ option to purchase additional ADSs. All of the ADSs sold in this offering will be freely tradable without restrictions or further registration under the Securities Act, except for any ADSs sold to our “affiliates,” as that term is defined under Rule 144 under the Securities Act. The remaining common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promulgated under the Securities Act.</w:t>
      </w:r>
    </w:p>
    <w:p>
      <w:pPr>
        <w:spacing w:after="0" w:line="1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Under the lock-up agreements described below and the provisions of Rules 144 and 701 under the Securities Act and Swiss law, and assuming no exercise of the underwriters’ option to purchase additional ADSs, these restricted securities will be available for sale in the U.S. public market as follows:</w:t>
      </w:r>
    </w:p>
    <w:p>
      <w:pPr>
        <w:spacing w:after="0" w:line="56" w:lineRule="exact"/>
        <w:rPr>
          <w:sz w:val="20"/>
          <w:szCs w:val="20"/>
          <w:color w:val="auto"/>
        </w:rPr>
      </w:pPr>
    </w:p>
    <w:p>
      <w:pPr>
        <w:spacing w:after="0"/>
        <w:tabs>
          <w:tab w:leader="none" w:pos="300" w:val="left"/>
          <w:tab w:leader="none" w:pos="1800" w:val="left"/>
        </w:tabs>
        <w:rPr>
          <w:sz w:val="20"/>
          <w:szCs w:val="20"/>
          <w:color w:val="auto"/>
        </w:rPr>
      </w:pPr>
      <w:r>
        <w:rPr>
          <w:rFonts w:ascii="Arial" w:cs="Arial" w:eastAsia="Arial" w:hAnsi="Arial"/>
          <w:sz w:val="18"/>
          <w:szCs w:val="18"/>
          <w:color w:val="auto"/>
        </w:rPr>
        <w:t>•</w:t>
        <w:tab/>
        <w:t>approximately</w:t>
      </w:r>
      <w:r>
        <w:rPr>
          <w:sz w:val="20"/>
          <w:szCs w:val="20"/>
          <w:color w:val="auto"/>
        </w:rPr>
        <w:tab/>
      </w:r>
      <w:r>
        <w:rPr>
          <w:rFonts w:ascii="Arial" w:cs="Arial" w:eastAsia="Arial" w:hAnsi="Arial"/>
          <w:sz w:val="16"/>
          <w:szCs w:val="16"/>
          <w:color w:val="auto"/>
        </w:rPr>
        <w:t>shares, including common shares represented by ADSs, will be eligible for immediate sale on the date of this prospectus; and</w:t>
      </w:r>
    </w:p>
    <w:p>
      <w:pPr>
        <w:spacing w:after="0" w:line="158" w:lineRule="exact"/>
        <w:rPr>
          <w:sz w:val="20"/>
          <w:szCs w:val="20"/>
          <w:color w:val="auto"/>
        </w:rPr>
      </w:pPr>
    </w:p>
    <w:p>
      <w:pPr>
        <w:ind w:left="340" w:hanging="332"/>
        <w:spacing w:after="0" w:line="263" w:lineRule="auto"/>
        <w:tabs>
          <w:tab w:leader="none" w:pos="78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shares, including common shares represented by ADSs, will be eligible for sale upon the expiration of the lock-up agreements 90 days after the date of this prospectus, provided that shares held by our affiliates will remain subject to volume, manner of sale, and other resale limitations set forth in Rule 144, as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Lock-up Agreements</w:t>
      </w:r>
    </w:p>
    <w:p>
      <w:pPr>
        <w:spacing w:after="0" w:line="15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and our directors and executive officers and certain of our shareholders have agreed that, without the prior written consent of J.P. Morgan Securities LLC, SVB Leerink LLC and Cowen and Company, LLC on behalf of the underwriters and our prior written consent in case of the lock-up agreements executed by our directors and officers and certain shareholders, we and they will not, subject to certain exceptions, during the period ending 90 days after the date of this prospectus, offer, pledge, sell, contract to sell, sell any option or contract to purchase, purchase any option or contract to sell, grant any option, right or warrant to sale of, or otherwise dispose of or transfer any common shares or any securities convertible into or exercisable or exchangeable for common shares, request or demand that we file a registration statement related to our common shares or enter into any swap or other agreement that transfers to another, in whole or in part, directly or indirectly, the economic consequence of ownership of the common shares. See "Underwriting"</w:t>
      </w:r>
    </w:p>
    <w:p>
      <w:pPr>
        <w:spacing w:after="0" w:line="9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Upon the expiration of the applicable lock-up periods, substantially all of the common shares and ADSs subject to such lock-up restrictions will become eligible for sale, subject to the limitations described above.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15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0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Beginning 90 days after we become subject to the public company reporting requirements of the Exchange Act,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w:t>
      </w:r>
    </w:p>
    <w:p>
      <w:pPr>
        <w:spacing w:after="0" w:line="2"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the greater of: (1) 1% of the number of our common shares outstanding, which will equal approximately common shares immediately after this offering; and (2) the average weekly trading volume of our common shares in the form of ADSs on the Nasdaq Global Market during the four calendar weeks preceding the filing of a notice on Form 144 with respect to the sale.</w:t>
      </w:r>
    </w:p>
    <w:p>
      <w:pPr>
        <w:spacing w:after="0" w:line="1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Sales under Rule 144 by our affiliates are also subject to certain manner of sale provisions, notice requirements and to the availability of current public information about us.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701</w:t>
      </w:r>
    </w:p>
    <w:p>
      <w:pPr>
        <w:spacing w:after="0" w:line="1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general, under Rule 701 under the Securities Act, beginning 90 days after we become subject to the public company reporting requirements of the Exchange Act, any of our employees, directors or officers who acquired shares from us in connection with a written compensatory stock or option plan or other written agreement in compliance with Rule 701 is entitled to sell such shares in reliance on Rule 144 but without compliance with certain of the requirements contained in Rule 144. Accordingly, subject to any applicable lock-up agreements, beginning 90 days after we become subject to the public company reporting requirements of the Exchange Act, under Rule 701 persons who are not our affiliates may resell those shares without complying with the minimum holding period or public information requirements of Rule 144, and persons who are our affiliates may resell those shares without compliance with Rule 144’s minimum holding period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29"/>
          <w:szCs w:val="29"/>
          <w:b w:val="1"/>
          <w:bCs w:val="1"/>
          <w:color w:val="auto"/>
        </w:rPr>
        <w:t>MATERIAL UNITED STATES FEDERAL INCOME TAX CONSIDERATIONS FOR U.S. HOLDERS</w:t>
      </w:r>
    </w:p>
    <w:p>
      <w:pPr>
        <w:spacing w:after="0" w:line="220" w:lineRule="exact"/>
        <w:rPr>
          <w:sz w:val="20"/>
          <w:szCs w:val="20"/>
          <w:color w:val="auto"/>
        </w:rPr>
      </w:pPr>
    </w:p>
    <w:p>
      <w:pPr>
        <w:ind w:right="60"/>
        <w:spacing w:after="0" w:line="217" w:lineRule="exact"/>
        <w:rPr>
          <w:sz w:val="20"/>
          <w:szCs w:val="20"/>
          <w:color w:val="auto"/>
        </w:rPr>
      </w:pPr>
      <w:r>
        <w:rPr>
          <w:rFonts w:ascii="Arial" w:cs="Arial" w:eastAsia="Arial" w:hAnsi="Arial"/>
          <w:sz w:val="17"/>
          <w:szCs w:val="17"/>
          <w:color w:val="auto"/>
        </w:rPr>
        <w:t>The following discussion describes the material U.S. federal income tax considerations relating to the ownership and disposition of our ADSs by U.S. Holders (as defined below). This discussion applies to U.S. Holders that purchase ADSs pursuant to the offering and hold such ADSs as capital assets within the meaning of Section 1221 of the U.S. Internal Revenue Code of 1986, as amended, or the Code. This discussion is based on the Code, U.S. Treasury regulations promulgated thereunder, the income tax treaty between the United States and Switzerland, or the Treaty,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w:t>
      </w:r>
      <w:r>
        <w:rPr>
          <w:rFonts w:ascii="MS PGothic" w:cs="MS PGothic" w:eastAsia="MS PGothic" w:hAnsi="MS PGothic"/>
          <w:sz w:val="17"/>
          <w:szCs w:val="17"/>
          <w:color w:val="auto"/>
        </w:rPr>
        <w:t>‑</w:t>
      </w:r>
      <w:r>
        <w:rPr>
          <w:rFonts w:ascii="Arial" w:cs="Arial" w:eastAsia="Arial" w:hAnsi="Arial"/>
          <w:sz w:val="17"/>
          <w:szCs w:val="17"/>
          <w:color w:val="auto"/>
        </w:rPr>
        <w:t>dealers and traders in securities or other persons that generally mark their securities to market for U.S. federal income tax purposes, tax</w:t>
      </w:r>
      <w:r>
        <w:rPr>
          <w:rFonts w:ascii="MS PGothic" w:cs="MS PGothic" w:eastAsia="MS PGothic" w:hAnsi="MS PGothic"/>
          <w:sz w:val="17"/>
          <w:szCs w:val="17"/>
          <w:color w:val="auto"/>
        </w:rPr>
        <w:t>‑</w:t>
      </w:r>
      <w:r>
        <w:rPr>
          <w:rFonts w:ascii="Arial" w:cs="Arial" w:eastAsia="Arial" w:hAnsi="Arial"/>
          <w:sz w:val="17"/>
          <w:szCs w:val="17"/>
          <w:color w:val="auto"/>
        </w:rPr>
        <w:t>exempt entities, retirement plans, regulated investment companies, real estate investment trusts, certain former citizens or residents of the United States, persons who hold ADSs as part of a “straddle,” “conversion transaction,” “synthetic security” or integrated investment, persons who received their ADSs as compensatory payments, persons that have a “functional currency” other than the U.S. dollar, persons that own directly, indirectly or through attribution 10% or more of the voting power or value of our shares, corporations that accumulate earnings to avoid U.S. federal income tax, partnerships and other pass</w:t>
      </w:r>
      <w:r>
        <w:rPr>
          <w:rFonts w:ascii="MS PGothic" w:cs="MS PGothic" w:eastAsia="MS PGothic" w:hAnsi="MS PGothic"/>
          <w:sz w:val="17"/>
          <w:szCs w:val="17"/>
          <w:color w:val="auto"/>
        </w:rPr>
        <w:t>‑</w:t>
      </w:r>
      <w:r>
        <w:rPr>
          <w:rFonts w:ascii="Arial" w:cs="Arial" w:eastAsia="Arial" w:hAnsi="Arial"/>
          <w:sz w:val="17"/>
          <w:szCs w:val="17"/>
          <w:color w:val="auto"/>
        </w:rPr>
        <w:t>through entities, and investors in such pass</w:t>
      </w:r>
      <w:r>
        <w:rPr>
          <w:rFonts w:ascii="MS PGothic" w:cs="MS PGothic" w:eastAsia="MS PGothic" w:hAnsi="MS PGothic"/>
          <w:sz w:val="17"/>
          <w:szCs w:val="17"/>
          <w:color w:val="auto"/>
        </w:rPr>
        <w:t>‑</w:t>
      </w:r>
      <w:r>
        <w:rPr>
          <w:rFonts w:ascii="Arial" w:cs="Arial" w:eastAsia="Arial" w:hAnsi="Arial"/>
          <w:sz w:val="17"/>
          <w:szCs w:val="17"/>
          <w:color w:val="auto"/>
        </w:rPr>
        <w:t>through entities). This discussion does not address any U.S. state or local or non</w:t>
      </w:r>
      <w:r>
        <w:rPr>
          <w:rFonts w:ascii="MS PGothic" w:cs="MS PGothic" w:eastAsia="MS PGothic" w:hAnsi="MS PGothic"/>
          <w:sz w:val="17"/>
          <w:szCs w:val="17"/>
          <w:color w:val="auto"/>
        </w:rPr>
        <w:t>‑</w:t>
      </w:r>
      <w:r>
        <w:rPr>
          <w:rFonts w:ascii="Arial" w:cs="Arial" w:eastAsia="Arial" w:hAnsi="Arial"/>
          <w:sz w:val="17"/>
          <w:szCs w:val="17"/>
          <w:color w:val="auto"/>
        </w:rPr>
        <w:t>U.S. tax consequences or any U.S. federal estate, gift or alternative minimum tax consequences.</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should consult its own tax advisor regarding the U.S. federal income tax consequences applicable to it and its partners of the purchase, ownership and disposition of ADSs.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A U.S. Holder of ADSs will generally be treated for U.S. federal income tax purposes as holding the common shares represented by the ADSs, and, accordingly, no gain or loss will be recognized upon an exchange of ADSs for common shares.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Passive Foreign Investment Company Consequences</w:t>
      </w:r>
    </w:p>
    <w:p>
      <w:pPr>
        <w:spacing w:after="0" w:line="138"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general, a corporation organized outside the United States will be treated as a passive foreign investment company, or PFIC, for any taxable year in which either (1) at least 75% of its gross income is “passive income,” or (2) on average at least 50% of its assets, determined on a quarterly basis, are assets that produce passive income or are held for the production of passive income.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w:t>
      </w:r>
      <w:r>
        <w:rPr>
          <w:rFonts w:ascii="MS PGothic" w:cs="MS PGothic" w:eastAsia="MS PGothic" w:hAnsi="MS PGothic"/>
          <w:sz w:val="16"/>
          <w:szCs w:val="16"/>
          <w:color w:val="auto"/>
        </w:rPr>
        <w:t>‑</w:t>
      </w:r>
      <w:r>
        <w:rPr>
          <w:rFonts w:ascii="Arial" w:cs="Arial" w:eastAsia="Arial" w:hAnsi="Arial"/>
          <w:sz w:val="16"/>
          <w:szCs w:val="16"/>
          <w:color w:val="auto"/>
        </w:rPr>
        <w:t>U.S. corporation is a PFIC, a proportionate share of the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320" w:top="1440" w:right="359" w:bottom="1440" w:gutter="0" w:footer="0" w:header="0"/>
        </w:sectPr>
      </w:pPr>
    </w:p>
    <w:bookmarkStart w:id="228" w:name="page229"/>
    <w:bookmarkEnd w:id="228"/>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 assets of each corporation in which it owns, directly or indirectly, at least a 25% interest (by value) is taken into account.</w:t>
      </w:r>
    </w:p>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status as a PFIC will depend on the nature and composition of our income and the nature, composition and value of our assets. Based upon the value of our assets and the nature and composition of our income and assets, we believe we may have been classified as a PFIC for the taxable year ended December 31, 2020, although no assurances can be made in this regard. We have not yet determined whether we were a PFIC for the taxable year ended December 31, 2020. Because the determination of whether we are a PFIC for any taxable year is a factual determination made annually after the end of each taxable year, there can be no assurance that we will not be considered a PFIC in any taxable year. Accordingly, our U.S. counsel expresses no opinion with respect to our PFIC status for our taxable year ended December 31, 2020, and also expresses no opinion with regard to our expectations regarding our PFIC status in the future. Even if we determine that we are not a PFIC for a taxable year, there can be no assurance that the IRS will agree with our conclusion and will not successfully challenge our position.</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a PFIC in any taxable year during which a U.S. Holder owns ADSs, the U.S. Holder would be liable for additional taxes and interest charges under the “PFIC excess distribution regime” upon (1) a distribution made during a taxable year that is greater than 125% of the average annual distributions made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for ordinary income for each such taxable year, and an interest charge, generally applicable to underpayments of tax, will be added to the tax.</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this election is made, the U.S. Holder will be deemed to sell the ADSs it holds at their fair market value on the last day of the last taxable year in which we qualified as a PFIC. Any gain recognized from such deemed sale will be taxed under the PFIC excess distribution regime, and any loss will not be recognized. The U.S. Holder’s tax basis in its ADSs will be increased by the amount of gain recognized, and the U.S. Holder’s holding period for its ADSs will start on the day after the last day of the last taxable year in which we qualified as a PFIC. After the deemed sale election, the U.S. Holder’s ADSs will not be treated as shares of a PFIC unless we subsequently become a PFIC.</w:t>
      </w:r>
    </w:p>
    <w:p>
      <w:pPr>
        <w:spacing w:after="0" w:line="8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If we are a PFIC for any taxable year during which a U.S. Holder holds ADSs and one of our non</w:t>
      </w:r>
      <w:r>
        <w:rPr>
          <w:rFonts w:ascii="MS PGothic" w:cs="MS PGothic" w:eastAsia="MS PGothic" w:hAnsi="MS PGothic"/>
          <w:sz w:val="17"/>
          <w:szCs w:val="17"/>
          <w:color w:val="auto"/>
        </w:rPr>
        <w:t>‑</w:t>
      </w:r>
      <w:r>
        <w:rPr>
          <w:rFonts w:ascii="Arial" w:cs="Arial" w:eastAsia="Arial" w:hAnsi="Arial"/>
          <w:sz w:val="17"/>
          <w:szCs w:val="17"/>
          <w:color w:val="auto"/>
        </w:rPr>
        <w:t>U.S. corporate subsidiaries is also a PFIC (i.e., a</w:t>
      </w:r>
    </w:p>
    <w:p>
      <w:pPr>
        <w:spacing w:after="0" w:line="35"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lower</w:t>
      </w:r>
      <w:r>
        <w:rPr>
          <w:rFonts w:ascii="MS PGothic" w:cs="MS PGothic" w:eastAsia="MS PGothic" w:hAnsi="MS PGothic"/>
          <w:sz w:val="18"/>
          <w:szCs w:val="18"/>
          <w:color w:val="auto"/>
        </w:rPr>
        <w:t>‑</w:t>
      </w:r>
      <w:r>
        <w:rPr>
          <w:rFonts w:ascii="Arial" w:cs="Arial" w:eastAsia="Arial" w:hAnsi="Arial"/>
          <w:sz w:val="18"/>
          <w:szCs w:val="18"/>
          <w:color w:val="auto"/>
        </w:rPr>
        <w:t>tier PFIC), such U.S. Holder will be treated as owning a proportionate amount (by value) of the shares of the lower</w:t>
      </w:r>
      <w:r>
        <w:rPr>
          <w:rFonts w:ascii="MS PGothic" w:cs="MS PGothic" w:eastAsia="MS PGothic" w:hAnsi="MS PGothic"/>
          <w:sz w:val="18"/>
          <w:szCs w:val="18"/>
          <w:color w:val="auto"/>
        </w:rPr>
        <w:t>‑</w:t>
      </w:r>
      <w:r>
        <w:rPr>
          <w:rFonts w:ascii="Arial" w:cs="Arial" w:eastAsia="Arial" w:hAnsi="Arial"/>
          <w:sz w:val="18"/>
          <w:szCs w:val="18"/>
          <w:color w:val="auto"/>
        </w:rPr>
        <w:t>tier PFIC and will be taxed under the PFIC excess distribution regime on distributions by the lower</w:t>
      </w:r>
      <w:r>
        <w:rPr>
          <w:rFonts w:ascii="MS PGothic" w:cs="MS PGothic" w:eastAsia="MS PGothic" w:hAnsi="MS PGothic"/>
          <w:sz w:val="18"/>
          <w:szCs w:val="18"/>
          <w:color w:val="auto"/>
        </w:rPr>
        <w:t>‑</w:t>
      </w:r>
      <w:r>
        <w:rPr>
          <w:rFonts w:ascii="Arial" w:cs="Arial" w:eastAsia="Arial" w:hAnsi="Arial"/>
          <w:sz w:val="18"/>
          <w:szCs w:val="18"/>
          <w:color w:val="auto"/>
        </w:rPr>
        <w:t>tier PFIC and on gain from the disposition of shares of the lower</w:t>
      </w:r>
      <w:r>
        <w:rPr>
          <w:rFonts w:ascii="MS PGothic" w:cs="MS PGothic" w:eastAsia="MS PGothic" w:hAnsi="MS PGothic"/>
          <w:sz w:val="18"/>
          <w:szCs w:val="18"/>
          <w:color w:val="auto"/>
        </w:rPr>
        <w:t>‑</w:t>
      </w:r>
      <w:r>
        <w:rPr>
          <w:rFonts w:ascii="Arial" w:cs="Arial" w:eastAsia="Arial" w:hAnsi="Arial"/>
          <w:sz w:val="18"/>
          <w:szCs w:val="18"/>
          <w:color w:val="auto"/>
        </w:rPr>
        <w:t>tier PFIC even though such U.S. Holder would not receive the proceeds of those distributions or dispositions. Each U.S. Holder is advised to consult its tax advisors regarding the application of the PFIC rules to our non</w:t>
      </w:r>
      <w:r>
        <w:rPr>
          <w:rFonts w:ascii="MS PGothic" w:cs="MS PGothic" w:eastAsia="MS PGothic" w:hAnsi="MS PGothic"/>
          <w:sz w:val="18"/>
          <w:szCs w:val="18"/>
          <w:color w:val="auto"/>
        </w:rPr>
        <w:t>‑</w:t>
      </w:r>
      <w:r>
        <w:rPr>
          <w:rFonts w:ascii="Arial" w:cs="Arial" w:eastAsia="Arial" w:hAnsi="Arial"/>
          <w:sz w:val="18"/>
          <w:szCs w:val="18"/>
          <w:color w:val="auto"/>
        </w:rPr>
        <w:t>U.S. subsidiaries.</w:t>
      </w:r>
    </w:p>
    <w:p>
      <w:pPr>
        <w:spacing w:after="0" w:line="136"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If we are a PFIC, a U.S. Holder will not be subject to tax under the PFIC excess distribution regime on distributions or gain recognized on ADSs if such U.S. Holder makes a valid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for our ADSs.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is available to a U.S. Holder only for “marketable stock.” Our ADSs will be marketable stock as long as they remain listed on the Nasdaq Global Market and are regularly traded, other than in de minimis quantities, on at least 15 days during each calendar quarter. If 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is in effect, a U.S. Holder generally will take into account, as ordinary income for each taxable year of the U.S. Holder, any excess of the fair market value of ADSs held at the end of such taxable year over the U.S. Holder's adjusted tax basis in such ADSs. The U.S. Holder will also take into account, as an ordinary loss for each taxable year, any excess of its adjusted tax basis in such ADSs over their fair market value at the end of the taxable year, but only to the extent of the excess of amounts previously included in income over ordinary losses deducted as a result of the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The U.S. Holder’s tax basis in ADSs will be adjusted to reflect any income or loss recognized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30"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Any gain from a sale, exchange or other disposition of ADSs in any taxable year in which we are a PFIC will be treated as ordinary income and any loss from such sale, exchange or other disposition would be treated first as ordinary loss (to the extent of any net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gains previously included in income) and thereafter as capital loss.</w:t>
      </w:r>
    </w:p>
    <w:p>
      <w:pPr>
        <w:spacing w:after="0" w:line="123"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A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will not apply to ADSs for any taxable year during which we are not a PFIC but will remain in effect with respect to any subsequent taxable year in which we become a PFIC. Such election will not apply to any non</w:t>
      </w:r>
      <w:r>
        <w:rPr>
          <w:rFonts w:ascii="MS PGothic" w:cs="MS PGothic" w:eastAsia="MS PGothic" w:hAnsi="MS PGothic"/>
          <w:sz w:val="18"/>
          <w:szCs w:val="18"/>
          <w:color w:val="auto"/>
        </w:rPr>
        <w:t>‑</w:t>
      </w:r>
      <w:r>
        <w:rPr>
          <w:rFonts w:ascii="Arial" w:cs="Arial" w:eastAsia="Arial" w:hAnsi="Arial"/>
          <w:sz w:val="18"/>
          <w:szCs w:val="18"/>
          <w:color w:val="auto"/>
        </w:rPr>
        <w:t>U.S. subsidiaries that we may organize or acquire in the future. Accordingly, a U.S. Holder may continue to be subject to tax under the PFIC excess distribution regime with respect to any lower</w:t>
      </w:r>
      <w:r>
        <w:rPr>
          <w:rFonts w:ascii="MS PGothic" w:cs="MS PGothic" w:eastAsia="MS PGothic" w:hAnsi="MS PGothic"/>
          <w:sz w:val="18"/>
          <w:szCs w:val="18"/>
          <w:color w:val="auto"/>
        </w:rPr>
        <w:t>‑</w:t>
      </w:r>
      <w:r>
        <w:rPr>
          <w:rFonts w:ascii="Arial" w:cs="Arial" w:eastAsia="Arial" w:hAnsi="Arial"/>
          <w:sz w:val="18"/>
          <w:szCs w:val="18"/>
          <w:color w:val="auto"/>
        </w:rPr>
        <w:t>tier PFICs that we may organize or acquire in the future notwithstanding the U.S. Holder’s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election for the ADSs.</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tax consequences that would apply if we are a PFIC would also be different from those described above if a U.S. Holder were able to make a valid qualified electing fund, or QEF, election. At this time, we do not expect to provide U.S. Holders with the information necessary for a U.S. Holder to make a QEF election. Accordingly, prospective investors should assume that a QEF election will not be available.</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Each U.S. person (as defined in the Code) that is an investor of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spacing w:after="0" w:line="9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U.S. federal income tax rules relating to PFICs are very complex. Prospective U.S. investors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52"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As described in the section entitled “— Dividend Policy,” we do not anticipate declaring or paying dividends to holders of our common stock in the foreseeable future. However, if we make a distribution contrary to this expectation, subject to the discussion above under “— 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w:t>
      </w:r>
      <w:r>
        <w:rPr>
          <w:rFonts w:ascii="MS PGothic" w:cs="MS PGothic" w:eastAsia="MS PGothic" w:hAnsi="MS PGothic"/>
          <w:sz w:val="16"/>
          <w:szCs w:val="16"/>
          <w:color w:val="auto"/>
        </w:rPr>
        <w:t>‑</w:t>
      </w:r>
      <w:r>
        <w:rPr>
          <w:rFonts w:ascii="Arial" w:cs="Arial" w:eastAsia="Arial" w:hAnsi="Arial"/>
          <w:sz w:val="16"/>
          <w:szCs w:val="16"/>
          <w:color w:val="auto"/>
        </w:rPr>
        <w:t>free return of capital and reduce (but not below zero) the adjusted tax basis of the U.S. Holder’s ADSs. To the extent the distribution exceeds the adjusted tax basis of the U.S. Holder’s ADSs, the excess will be taxed as capital gain. Because we may not account for our earnings and profits in accordance with U.S. federal income tax principles, U.S. Holders should expect all distributions to them to be treated as dividends. The amount of any dividend income paid in a currency other than the U.S. dollar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Distributions on ADSs that are treated as dividends generally will constitute income from sources outside the United States for foreign tax credit purposes and generally will constitute passive category income. Subject to certain complex conditions and limitations and subject to the discussion above regarding concerns expressed by the U.S. Treasury, Swiss taxes withheld on any distributions on ADSs at a rate not exceeding the rate provided by the Treaty may be eligible for credit against a U.S. Holder’s federal income tax liability. The rules relating to the determination of the U.S. foreign tax credit are complex, and U.S. Holders should consult their tax advisors regarding the availability of a foreign tax credit in their particular circumstances and the possibility of claiming a deduction (in lieu of the foreign tax credit) for any foreign taxes paid or withheld.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20"/>
          </w:cols>
          <w:pgMar w:left="320" w:top="1440" w:right="359" w:bottom="1440" w:gutter="0" w:footer="0" w:header="0"/>
        </w:sectPr>
      </w:pPr>
    </w:p>
    <w:bookmarkStart w:id="230" w:name="page231"/>
    <w:bookmarkEnd w:id="230"/>
    <w:p>
      <w:pPr>
        <w:spacing w:after="0" w:line="130" w:lineRule="exact"/>
        <w:rPr>
          <w:sz w:val="20"/>
          <w:szCs w:val="20"/>
          <w:color w:val="auto"/>
        </w:rPr>
      </w:pPr>
    </w:p>
    <w:p>
      <w:pPr>
        <w:ind w:right="160"/>
        <w:spacing w:after="0" w:line="218" w:lineRule="exact"/>
        <w:rPr>
          <w:sz w:val="20"/>
          <w:szCs w:val="20"/>
          <w:color w:val="auto"/>
        </w:rPr>
      </w:pPr>
      <w:r>
        <w:rPr>
          <w:rFonts w:ascii="Arial" w:cs="Arial" w:eastAsia="Arial" w:hAnsi="Arial"/>
          <w:sz w:val="18"/>
          <w:szCs w:val="18"/>
          <w:color w:val="auto"/>
        </w:rPr>
        <w:t>Dividends paid by a “qualified foreign corporation” are eligible for taxation to non</w:t>
      </w:r>
      <w:r>
        <w:rPr>
          <w:rFonts w:ascii="MS PGothic" w:cs="MS PGothic" w:eastAsia="MS PGothic" w:hAnsi="MS PGothic"/>
          <w:sz w:val="18"/>
          <w:szCs w:val="18"/>
          <w:color w:val="auto"/>
        </w:rPr>
        <w:t>‑</w:t>
      </w:r>
      <w:r>
        <w:rPr>
          <w:rFonts w:ascii="Arial" w:cs="Arial" w:eastAsia="Arial" w:hAnsi="Arial"/>
          <w:sz w:val="18"/>
          <w:szCs w:val="18"/>
          <w:color w:val="auto"/>
        </w:rPr>
        <w:t>corporate U.S. Holders at a reduced capital gains rate rather than the marginal tax rates generally applicable to ordinary income provided that certain requirements are met, including holding period and the absence of certain risk reduction transaction requirements. Each U.S. Holder is advised to consult its tax advisors regarding the availability of the reduced tax rate on dividends with regard to its particular circumstances. Prospective investors should be aware, however, that dividends paid by a company that is a PFIC in the taxable year in which the distribution is paid or in the preceding taxable year are not eligible to be taxed at such reduced rate. Distributions on ADSs that are treated as dividends generally will not be eligible for the “dividends received” deduction generally allowed to corporate shareholders with respect to dividends received from U.S. corporations.</w:t>
      </w:r>
    </w:p>
    <w:p>
      <w:pPr>
        <w:spacing w:after="0" w:line="126"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A non</w:t>
      </w:r>
      <w:r>
        <w:rPr>
          <w:rFonts w:ascii="MS PGothic" w:cs="MS PGothic" w:eastAsia="MS PGothic" w:hAnsi="MS PGothic"/>
          <w:sz w:val="17"/>
          <w:szCs w:val="17"/>
          <w:color w:val="auto"/>
        </w:rPr>
        <w:t>‑</w:t>
      </w:r>
      <w:r>
        <w:rPr>
          <w:rFonts w:ascii="Arial" w:cs="Arial" w:eastAsia="Arial" w:hAnsi="Arial"/>
          <w:sz w:val="17"/>
          <w:szCs w:val="17"/>
          <w:color w:val="auto"/>
        </w:rPr>
        <w:t>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that are readily tradable on an established securities market in the United States. We believe that we qualify as a resident of Switzerland for purposes of, and are eligible for the benefits of the Treaty, although there can be no assurance in this regard. Further, the IRS has determined that the Treaty is satisfactory for purposes of the qualified dividend rules and that it includes an exchange of information provision. Our ADSs will generally be considered to be readily tradable on an established securities marked in the United States if they are listed on Nasdaq Global Select Market, as we intend our ADSs to be. U.S. Holders should consult their own tax advisors regarding the availability of the lower rate for dividends paid with respect to our ADSs.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Exchange or Other Disposition of ADSs</w:t>
      </w:r>
    </w:p>
    <w:p>
      <w:pPr>
        <w:spacing w:after="0" w:line="15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 xml:space="preserve">Subject to the discussion above under “— </w:t>
      </w:r>
      <w:r>
        <w:rPr>
          <w:rFonts w:ascii="Arial" w:cs="Arial" w:eastAsia="Arial" w:hAnsi="Arial"/>
          <w:sz w:val="17"/>
          <w:szCs w:val="17"/>
          <w:i w:val="1"/>
          <w:iCs w:val="1"/>
          <w:color w:val="auto"/>
        </w:rPr>
        <w:t>Passive Foreign Investment Company Consequences</w:t>
      </w:r>
      <w:r>
        <w:rPr>
          <w:rFonts w:ascii="Arial" w:cs="Arial" w:eastAsia="Arial" w:hAnsi="Arial"/>
          <w:sz w:val="17"/>
          <w:szCs w:val="17"/>
          <w:color w:val="auto"/>
        </w:rPr>
        <w:t>,” a U.S. Holder generally will recognize capital gain or loss for U.S. federal income tax purposes upon the sale, exchange or other disposition of ADSs in an amount equal to the difference, if any, between the amount realized (i.e., the amount of cash plus the fair market value of any property received) on the sale, exchange or other disposition and such U.S. Holder’s adjusted tax basis in the ADSs. Such capital gain or loss generally will be long</w:t>
      </w:r>
      <w:r>
        <w:rPr>
          <w:rFonts w:ascii="MS PGothic" w:cs="MS PGothic" w:eastAsia="MS PGothic" w:hAnsi="MS PGothic"/>
          <w:sz w:val="17"/>
          <w:szCs w:val="17"/>
          <w:color w:val="auto"/>
        </w:rPr>
        <w:t>‑</w:t>
      </w:r>
      <w:r>
        <w:rPr>
          <w:rFonts w:ascii="Arial" w:cs="Arial" w:eastAsia="Arial" w:hAnsi="Arial"/>
          <w:sz w:val="17"/>
          <w:szCs w:val="17"/>
          <w:color w:val="auto"/>
        </w:rPr>
        <w:t>term capital gain taxable at a reduced rate for non</w:t>
      </w:r>
      <w:r>
        <w:rPr>
          <w:rFonts w:ascii="MS PGothic" w:cs="MS PGothic" w:eastAsia="MS PGothic" w:hAnsi="MS PGothic"/>
          <w:sz w:val="17"/>
          <w:szCs w:val="17"/>
          <w:color w:val="auto"/>
        </w:rPr>
        <w:t>‑</w:t>
      </w:r>
      <w:r>
        <w:rPr>
          <w:rFonts w:ascii="Arial" w:cs="Arial" w:eastAsia="Arial" w:hAnsi="Arial"/>
          <w:sz w:val="17"/>
          <w:szCs w:val="17"/>
          <w:color w:val="auto"/>
        </w:rPr>
        <w:t>corporate U.S. Holders or long</w:t>
      </w:r>
      <w:r>
        <w:rPr>
          <w:rFonts w:ascii="MS PGothic" w:cs="MS PGothic" w:eastAsia="MS PGothic" w:hAnsi="MS PGothic"/>
          <w:sz w:val="17"/>
          <w:szCs w:val="17"/>
          <w:color w:val="auto"/>
        </w:rPr>
        <w:t>‑</w:t>
      </w:r>
      <w:r>
        <w:rPr>
          <w:rFonts w:ascii="Arial" w:cs="Arial" w:eastAsia="Arial" w:hAnsi="Arial"/>
          <w:sz w:val="17"/>
          <w:szCs w:val="17"/>
          <w:color w:val="auto"/>
        </w:rPr>
        <w:t>term capital loss if, on the date of sale, exchange or other disposition, the ADSs were held by the U.S. Holder for more than one year. Any capital gain of a non</w:t>
      </w:r>
      <w:r>
        <w:rPr>
          <w:rFonts w:ascii="MS PGothic" w:cs="MS PGothic" w:eastAsia="MS PGothic" w:hAnsi="MS PGothic"/>
          <w:sz w:val="17"/>
          <w:szCs w:val="17"/>
          <w:color w:val="auto"/>
        </w:rPr>
        <w:t>‑</w:t>
      </w:r>
      <w:r>
        <w:rPr>
          <w:rFonts w:ascii="Arial" w:cs="Arial" w:eastAsia="Arial" w:hAnsi="Arial"/>
          <w:sz w:val="17"/>
          <w:szCs w:val="17"/>
          <w:color w:val="auto"/>
        </w:rPr>
        <w:t>corporate U.S. Holder that is not long</w:t>
      </w:r>
      <w:r>
        <w:rPr>
          <w:rFonts w:ascii="MS PGothic" w:cs="MS PGothic" w:eastAsia="MS PGothic" w:hAnsi="MS PGothic"/>
          <w:sz w:val="17"/>
          <w:szCs w:val="17"/>
          <w:color w:val="auto"/>
        </w:rPr>
        <w:t>‑</w:t>
      </w:r>
      <w:r>
        <w:rPr>
          <w:rFonts w:ascii="Arial" w:cs="Arial" w:eastAsia="Arial" w:hAnsi="Arial"/>
          <w:sz w:val="17"/>
          <w:szCs w:val="17"/>
          <w:color w:val="auto"/>
        </w:rPr>
        <w:t>term capital gain will be taxed at ordinary income rates. The deductibility of capital losses is subject to limitations. Any gain or loss recognized from the sale or other disposition of ADSs will generally be gain or loss from sources within the United States for U.S. foreign tax credit purposes.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Medicare Tax</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U.S. Holders that are individuals, estates or trusts and whose income exceeds certain thresholds generally are subject to a 3.8% tax on all or a portion of their net investment income, which may include their gross dividend income and net gains from the disposition of ADSs. If you are a United States person that is an individual, estate or trust, you are encouraged to consult your tax advisors regarding the applicability of this Medicare tax to your income and gains in respect of your investment in ADSs.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U.S. Holders may be required to file certain U.S. information reporting returns with the IRS with respect to their investment in ADSs, including, among others, IRS Form 8938 (Statement of Specified Foreign Financial Assets). As described above under “Passive Foreign Investment Company Consequences”, each U.S. Holder who is a shareholder of a PFIC must file an annual report containing certain information. U.S. Holders paying more than US$100,000 for ADSs may be required to file IRS Form 926 (Return by a U.S. Transferor of Property to a Foreign Corporation) reporting this payment. Substantial penalties may be imposed upon a U.S. Holder that fails to comply with the required information reporting.</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on and proceeds from the sale or other disposition of ADSs may be subject to U.S. backup withholding unless the U.S. Holder establishes a basis for exemption. Backup withholding may apply if the holder (1)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30"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provide an accurate United States taxpayer identification number or otherwise establish a basis for exemption (usually on IRS Form W</w:t>
      </w:r>
      <w:r>
        <w:rPr>
          <w:rFonts w:ascii="MS PGothic" w:cs="MS PGothic" w:eastAsia="MS PGothic" w:hAnsi="MS PGothic"/>
          <w:sz w:val="18"/>
          <w:szCs w:val="18"/>
          <w:color w:val="auto"/>
        </w:rPr>
        <w:t>‑</w:t>
      </w:r>
      <w:r>
        <w:rPr>
          <w:rFonts w:ascii="Arial" w:cs="Arial" w:eastAsia="Arial" w:hAnsi="Arial"/>
          <w:sz w:val="18"/>
          <w:szCs w:val="18"/>
          <w:color w:val="auto"/>
        </w:rPr>
        <w:t>9), or (2) another person exempt from information reporting and backup withholding.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U.S. Holders should consult their own tax advisors regarding the backup withholding and information reporting rules.</w:t>
      </w:r>
    </w:p>
    <w:p>
      <w:pPr>
        <w:spacing w:after="0" w:line="1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EACH PROSPECTIVE INVESTOR IS URGED TO CONSULT ITS OWN TAX ADVISOR ABOUT THE TAX CONSEQUENCES TO IT OF AN INVESTMENT IN AN ADS IN LIGHT OF THE INVESTOR’S OWN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00"/>
          </w:cols>
          <w:pgMar w:left="320" w:top="1440" w:right="479" w:bottom="1440" w:gutter="0" w:footer="0" w:header="0"/>
        </w:sectPr>
      </w:pPr>
    </w:p>
    <w:bookmarkStart w:id="232" w:name="page233"/>
    <w:bookmarkEnd w:id="232"/>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SWISS TAX IMPLICATIONS FOR U.S. HOLDERS</w:t>
      </w: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The following summary does not purport to address all tax consequences of the offering, the acquisition, the ownership and sale or other disposition of ADSs and does not take into account the specific circumstances of any particular investor. This summary is based on the tax laws, regulations and regulatory practices of Switzerland as in the date hereof, which are subject to change (or subject to changes in interpretation), possibly with retroactive effect.</w:t>
      </w:r>
    </w:p>
    <w:p>
      <w:pPr>
        <w:spacing w:after="0" w:line="11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color w:val="auto"/>
        </w:rPr>
        <w:t>Current and prospective investors are advised to consult their own tax advisors in light of their particular circumstances as to the Swiss tax laws and regulatory practices that could be relevant for them in connection with the offering, the acquiring, owning and selling or otherwise disposing of ADSs and receiving dividends and similar cash or in-kind distributions on shares underlying the ADSs (including dividends or liquidation proceeds and stock dividends) or distributions on shares underlying the ADSs based upon a capital reduction (Nennwertrückzahlung) or paid out of reserves from capital contributions (Reserve aus Kapitaleinlagen) and the consequences thereof under the tax laws and regulatory practices of Switzerland.</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Swiss Tax Considerations</w:t>
      </w:r>
    </w:p>
    <w:p>
      <w:pPr>
        <w:spacing w:after="0" w:line="152" w:lineRule="exact"/>
        <w:rPr>
          <w:sz w:val="20"/>
          <w:szCs w:val="20"/>
          <w:color w:val="auto"/>
        </w:rPr>
      </w:pPr>
    </w:p>
    <w:p>
      <w:pPr>
        <w:ind w:right="4160"/>
        <w:spacing w:after="0" w:line="414" w:lineRule="auto"/>
        <w:rPr>
          <w:sz w:val="20"/>
          <w:szCs w:val="20"/>
          <w:color w:val="auto"/>
        </w:rPr>
      </w:pPr>
      <w:r>
        <w:rPr>
          <w:rFonts w:ascii="Arial" w:cs="Arial" w:eastAsia="Arial" w:hAnsi="Arial"/>
          <w:sz w:val="18"/>
          <w:szCs w:val="18"/>
          <w:b w:val="1"/>
          <w:bCs w:val="1"/>
          <w:i w:val="1"/>
          <w:iCs w:val="1"/>
          <w:color w:val="auto"/>
        </w:rPr>
        <w:t xml:space="preserve">1.1 Swiss Federal, Cantonal and Communal Individual Income Tax and Corporate Income Tax </w:t>
      </w:r>
      <w:r>
        <w:rPr>
          <w:rFonts w:ascii="Arial" w:cs="Arial" w:eastAsia="Arial" w:hAnsi="Arial"/>
          <w:sz w:val="18"/>
          <w:szCs w:val="18"/>
          <w:i w:val="1"/>
          <w:iCs w:val="1"/>
          <w:color w:val="auto"/>
        </w:rPr>
        <w:t>(A) Non-Resident Shareholders</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Holders of ADSs representing our shares who are not resident in Switzerland for tax purposes, and who, during the relevant taxation year, have not engaged in a trade or business carried on through a permanent establishment or fixed place of business situated in Switzerland for tax purposes (all such shareholders are hereinafter referred to as the Non-Resident Shareholders), will not be subject to any Swiss federal, cantonal and communal income tax on dividends and similar cash or in-kind distributions on ADSs representing our shares (including dividends on liquidation proceeds and stock dividends) (hereinafter referred to as the Dividends), distributions based upon a capital reduction (</w:t>
      </w:r>
      <w:r>
        <w:rPr>
          <w:rFonts w:ascii="Arial" w:cs="Arial" w:eastAsia="Arial" w:hAnsi="Arial"/>
          <w:sz w:val="17"/>
          <w:szCs w:val="17"/>
          <w:i w:val="1"/>
          <w:iCs w:val="1"/>
          <w:color w:val="auto"/>
        </w:rPr>
        <w:t>Nennwertrückzahlungen</w:t>
      </w:r>
      <w:r>
        <w:rPr>
          <w:rFonts w:ascii="Arial" w:cs="Arial" w:eastAsia="Arial" w:hAnsi="Arial"/>
          <w:sz w:val="17"/>
          <w:szCs w:val="17"/>
          <w:color w:val="auto"/>
        </w:rPr>
        <w:t>) or paid out of reserves from capital contributions (</w:t>
      </w:r>
      <w:r>
        <w:rPr>
          <w:rFonts w:ascii="Arial" w:cs="Arial" w:eastAsia="Arial" w:hAnsi="Arial"/>
          <w:sz w:val="17"/>
          <w:szCs w:val="17"/>
          <w:i w:val="1"/>
          <w:iCs w:val="1"/>
          <w:color w:val="auto"/>
        </w:rPr>
        <w:t>Reserven aus Kapitaleinlagen</w:t>
      </w:r>
      <w:r>
        <w:rPr>
          <w:rFonts w:ascii="Arial" w:cs="Arial" w:eastAsia="Arial" w:hAnsi="Arial"/>
          <w:sz w:val="17"/>
          <w:szCs w:val="17"/>
          <w:color w:val="auto"/>
        </w:rPr>
        <w:t>) on shares underlying the ADSs, or capital gains realized on the sale or other disposition of ADSs (see, however, paragraph 1.3 "</w:t>
      </w:r>
      <w:r>
        <w:rPr>
          <w:rFonts w:ascii="Arial" w:cs="Arial" w:eastAsia="Arial" w:hAnsi="Arial"/>
          <w:sz w:val="17"/>
          <w:szCs w:val="17"/>
          <w:i w:val="1"/>
          <w:iCs w:val="1"/>
          <w:color w:val="auto"/>
        </w:rPr>
        <w:t>Swiss Federal Withholding Tax</w:t>
      </w:r>
      <w:r>
        <w:rPr>
          <w:rFonts w:ascii="Arial" w:cs="Arial" w:eastAsia="Arial" w:hAnsi="Arial"/>
          <w:sz w:val="17"/>
          <w:szCs w:val="17"/>
          <w:color w:val="auto"/>
        </w:rPr>
        <w:t>" for a summary of Swiss federal withholding tax on Dividends).</w:t>
      </w:r>
    </w:p>
    <w:p>
      <w:pPr>
        <w:spacing w:after="0" w:line="1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i w:val="1"/>
          <w:iCs w:val="1"/>
          <w:color w:val="auto"/>
        </w:rPr>
        <w:t>(B)</w:t>
        <w:tab/>
        <w:t>Resident Private Shareholders</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Swiss resident individuals who hold their ADSs as private assets (all such shareholders are hereinafter referred to as the Resident Private Shareholders) are required to include Dividends, but not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of the shares underlying the ADSs,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Capital gains resulting from the sale or other dispositions of ADSs are not subject to Swiss federal, cantonal and communal income tax, and conversely, capital losses are not tax-deductible for Resident Private Shareholders. See paragraph 1.1(C)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for a summary of the taxation treatment applicable to Swiss resident individuals, who, for income tax purposes, are classified as "professional securities dealers".</w:t>
      </w:r>
    </w:p>
    <w:p>
      <w:pPr>
        <w:spacing w:after="0" w:line="84" w:lineRule="exact"/>
        <w:rPr>
          <w:sz w:val="20"/>
          <w:szCs w:val="20"/>
          <w:color w:val="auto"/>
        </w:rPr>
      </w:pPr>
    </w:p>
    <w:p>
      <w:pPr>
        <w:ind w:left="420" w:hanging="412"/>
        <w:spacing w:after="0"/>
        <w:tabs>
          <w:tab w:leader="none" w:pos="420" w:val="left"/>
        </w:tabs>
        <w:numPr>
          <w:ilvl w:val="0"/>
          <w:numId w:val="131"/>
        </w:numPr>
        <w:rPr>
          <w:rFonts w:ascii="Arial" w:cs="Arial" w:eastAsia="Arial" w:hAnsi="Arial"/>
          <w:sz w:val="18"/>
          <w:szCs w:val="18"/>
          <w:i w:val="1"/>
          <w:iCs w:val="1"/>
          <w:color w:val="auto"/>
        </w:rPr>
      </w:pPr>
      <w:r>
        <w:rPr>
          <w:rFonts w:ascii="Arial" w:cs="Arial" w:eastAsia="Arial" w:hAnsi="Arial"/>
          <w:sz w:val="18"/>
          <w:szCs w:val="18"/>
          <w:i w:val="1"/>
          <w:iCs w:val="1"/>
          <w:color w:val="auto"/>
        </w:rPr>
        <w:t>Domestic Commercial Shareholders</w:t>
      </w:r>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Corporate and individual shareholders who are resident in Switzerland for tax purposes and corporate and individual shareholder who are not resident in Switzerland, and who, in each case, hold their ADSs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8"/>
          <w:szCs w:val="18"/>
          <w:i w:val="1"/>
          <w:iCs w:val="1"/>
          <w:color w:val="auto"/>
        </w:rPr>
        <w:t>Nennwertrückzahlungen</w:t>
      </w:r>
      <w:r>
        <w:rPr>
          <w:rFonts w:ascii="Arial" w:cs="Arial" w:eastAsia="Arial" w:hAnsi="Arial"/>
          <w:sz w:val="18"/>
          <w:szCs w:val="18"/>
          <w:color w:val="auto"/>
        </w:rPr>
        <w:t>) or paid out of reserves from capital contributions (</w:t>
      </w:r>
      <w:r>
        <w:rPr>
          <w:rFonts w:ascii="Arial" w:cs="Arial" w:eastAsia="Arial" w:hAnsi="Arial"/>
          <w:sz w:val="18"/>
          <w:szCs w:val="18"/>
          <w:i w:val="1"/>
          <w:iCs w:val="1"/>
          <w:color w:val="auto"/>
        </w:rPr>
        <w:t>Reserven aus Kapitaleinlagen</w:t>
      </w:r>
      <w:r>
        <w:rPr>
          <w:rFonts w:ascii="Arial" w:cs="Arial" w:eastAsia="Arial" w:hAnsi="Arial"/>
          <w:sz w:val="18"/>
          <w:szCs w:val="18"/>
          <w:color w:val="auto"/>
        </w:rPr>
        <w:t>) received on shares underlying the ADSs and capital gains or losses realized on the sale or other disposition of ADSs in their income statement for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ADSs and other securities (the shareholders referred to in this paragraph 1.1.(C), hereinafter for the purposes of this section, as the Domestic Commercial Shareholders). Domestic Commercial Shareholders who are corporate taxpayers may be eligible for dividend relief (</w:t>
      </w:r>
      <w:r>
        <w:rPr>
          <w:rFonts w:ascii="Arial" w:cs="Arial" w:eastAsia="Arial" w:hAnsi="Arial"/>
          <w:sz w:val="16"/>
          <w:szCs w:val="16"/>
          <w:i w:val="1"/>
          <w:iCs w:val="1"/>
          <w:color w:val="auto"/>
        </w:rPr>
        <w:t>Beteiligungsabzug</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Nennwertrückzahlungen</w:t>
      </w:r>
      <w:r>
        <w:rPr>
          <w:rFonts w:ascii="Arial" w:cs="Arial" w:eastAsia="Arial" w:hAnsi="Arial"/>
          <w:sz w:val="16"/>
          <w:szCs w:val="16"/>
          <w:color w:val="auto"/>
        </w:rPr>
        <w:t>) or paid out of reserves from capital contributions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if the shares underlying the ADSs held by them as part of a Swiss business have an aggregate market value of at least CHF 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Swiss Cantonal and Communal Private Wealth Tax and Capital Tax</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i w:val="1"/>
          <w:iCs w:val="1"/>
          <w:color w:val="auto"/>
        </w:rPr>
        <w:t>(A)</w:t>
        <w:tab/>
        <w:t>Non-Resident Shareholders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i w:val="1"/>
          <w:iCs w:val="1"/>
          <w:color w:val="auto"/>
        </w:rPr>
        <w:t>(B)</w:t>
        <w:tab/>
        <w:t>Resident Private Shareholders and Domestic Commercial Shareholders</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ADSs as part of private wealth or their Swiss business assets, as the case may be, and will be subject to Swiss cantonal and communal private wealth tax on any net taxable wealth (including the ADSs), in the case of Domestic Commercial Shareholders to the extent the aggregate taxable wealth is allocated in Switzerland. Domestic Commercial Shareholders who are corporate taxpayers are subject to Swiss cantonal and communal capital tax on taxable capital to the extent the aggregate taxable capital is allocated to Switzerland.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Swiss Federal Withholding Tax</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Dividends that the Company pays on the shares underlying the ADSs are subject to Swiss Federal withholding tax (</w:t>
      </w:r>
      <w:r>
        <w:rPr>
          <w:rFonts w:ascii="Arial" w:cs="Arial" w:eastAsia="Arial" w:hAnsi="Arial"/>
          <w:sz w:val="18"/>
          <w:szCs w:val="18"/>
          <w:i w:val="1"/>
          <w:iCs w:val="1"/>
          <w:color w:val="auto"/>
        </w:rPr>
        <w:t>Verrechnungssteuer</w:t>
      </w:r>
      <w:r>
        <w:rPr>
          <w:rFonts w:ascii="Arial" w:cs="Arial" w:eastAsia="Arial" w:hAnsi="Arial"/>
          <w:sz w:val="18"/>
          <w:szCs w:val="18"/>
          <w:color w:val="auto"/>
        </w:rPr>
        <w:t>)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Nennwertrückzahlungen</w:t>
      </w:r>
      <w:r>
        <w:rPr>
          <w:rFonts w:ascii="Arial" w:cs="Arial" w:eastAsia="Arial" w:hAnsi="Arial"/>
          <w:sz w:val="18"/>
          <w:szCs w:val="18"/>
          <w:color w:val="auto"/>
        </w:rPr>
        <w:t>) or paid out of reserves from capital contributions (</w:t>
      </w:r>
      <w:r>
        <w:rPr>
          <w:rFonts w:ascii="Arial" w:cs="Arial" w:eastAsia="Arial" w:hAnsi="Arial"/>
          <w:sz w:val="18"/>
          <w:szCs w:val="18"/>
          <w:i w:val="1"/>
          <w:iCs w:val="1"/>
          <w:color w:val="auto"/>
        </w:rPr>
        <w:t>Reserven aus Kapitaleinlagen</w:t>
      </w:r>
      <w:r>
        <w:rPr>
          <w:rFonts w:ascii="Arial" w:cs="Arial" w:eastAsia="Arial" w:hAnsi="Arial"/>
          <w:sz w:val="18"/>
          <w:szCs w:val="18"/>
          <w:color w:val="auto"/>
        </w:rPr>
        <w:t>) are not subject to Swiss federal withholding tax.</w:t>
      </w:r>
    </w:p>
    <w:p>
      <w:pPr>
        <w:spacing w:after="0" w:line="11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Swiss federal withholding tax on a Dividend will be refundable in full to a Resident Private Shareholder and to a Domestic Commercial Shareholder, who, in each case, inter alia, as a condition to refund, duly reports the Dividend in his or her individual income tax return as income or recognizes the Dividends in its income statement as earnings, as applicable.</w:t>
      </w:r>
    </w:p>
    <w:p>
      <w:pPr>
        <w:spacing w:after="0" w:line="11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Dividend if the country of his or her residence for tax purposes has entered into a bilateral treaty for the avoidance of double taxation with Switzerland and the conditions of such treaty are met. Such shareholders should be aware that the procedures for claiming tax treaty benefits (and the time required for obtaining a refund) might be different from country to country. For example, a shareholder who is resident of the U.S. for the purposes of the bilateral treaty between the U.S. and Switzerland is eligible for a refund of the amount of the withholding tax in excess of the 15% treaty rate, provided such shareholder: (i) qualifies for benefits under this treaty and qualifies as beneficial owner of the Dividends; (ii) hold, directly or indirectly, less than 10% of the voting stock of the Company; (iii) does not qualify as a pension scheme or retirement arrangement for the purpose of the bilateral treaty; and (iv) does not conduct business through a permanent establishment or fixed base in Switzerland to which the ADSs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December 31 of the third year following the calendar year in which the dividend was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Swiss Federal Stamp Taxes</w:t>
      </w:r>
    </w:p>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dealings in the ADSs, where a bank or another securities dealer in Switzerland, as defined in the Swiss Federal Stamp Tax Act, acts as intermediary or is a party to the transaction, are, subject to certain exemptions provided for in the Swiss Federal Stamp Tax Act, subject to Swiss securities turnover tax at an aggregate tax rate of up to 0.15% of the consideration paid for such ADSs.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International Automatic Exchange of Information in Tax Matters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19, 2014, Switzerland signed the Multilateral Competent Authority Agreement, which is based on article 6 of the OECD/Council of Europe administrative assistance convention and is intended to ensure the uniform implementation of automatic exchange of information, or the AEOI. The Federal Act on the International Automatic Exchange of Information in Tax Matters, or the AEOI Act, entered into force on January 1, 2017. The AEOI Act is the legal basis for the implementation of the AEOI standard in Switzerland.</w:t>
      </w:r>
    </w:p>
    <w:p>
      <w:pPr>
        <w:spacing w:after="0" w:line="11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AEOI is being introduced in Switzerland through bilateral agreements or multilateral agreements. The agreements have, and will be, concluded on the basis of guaranteed reciprocity, compliance with the principle of specialty (i.e., the information exchanged may only be used to assess and levy taxes (and for criminal tax proceedings) and adequate data protection.</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Based on such multilateral agreements and bilateral agreements and the implementing laws of Switzerland, Switzerland exchanges data in respect of financial assets, including the Shares, held in, and income derived thereon and credited to, accounts or deposits with a paying agent in Switzerland for the benefit of individuals resident in a EU member state or in a treaty state.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Swiss Facilitation of the Implementation of the U.S. Foreign Account Tax Compliance Act</w:t>
      </w:r>
    </w:p>
    <w:p>
      <w:pPr>
        <w:spacing w:after="0" w:line="15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Switzerland has concluded an intergovernmental agreement with the U.S. to facilitate the implementation of FATCA.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double taxation agreement between the U.S. and Switzerland. On October 8, 2014, the Swiss Federal Council approved a mandate for negotiations with the U.S. on changing the current direct-notification-based regime to a regime where the relevant information is sent to the Swiss Federal Tax Administration, which in turn provides the information to the U.S.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UNDERWRITING</w:t>
      </w:r>
    </w:p>
    <w:p>
      <w:pPr>
        <w:spacing w:after="0" w:line="305" w:lineRule="exact"/>
        <w:rPr>
          <w:sz w:val="20"/>
          <w:szCs w:val="20"/>
          <w:color w:val="auto"/>
        </w:rPr>
      </w:pPr>
    </w:p>
    <w:p>
      <w:pPr>
        <w:ind w:right="120"/>
        <w:spacing w:after="0" w:line="219" w:lineRule="exact"/>
        <w:rPr>
          <w:sz w:val="20"/>
          <w:szCs w:val="20"/>
          <w:color w:val="auto"/>
        </w:rPr>
      </w:pPr>
      <w:r>
        <w:rPr>
          <w:rFonts w:ascii="Arial" w:cs="Arial" w:eastAsia="Arial" w:hAnsi="Arial"/>
          <w:sz w:val="17"/>
          <w:szCs w:val="17"/>
          <w:color w:val="auto"/>
        </w:rPr>
        <w:t>We are offering the ADSs described in this prospectus through a number of underwriters. J.P. Morgan Securities LLC, SVB Leerink LLC and Cowen and Company, LLC are acting as joint book</w:t>
      </w:r>
      <w:r>
        <w:rPr>
          <w:rFonts w:ascii="MS PGothic" w:cs="MS PGothic" w:eastAsia="MS PGothic" w:hAnsi="MS PGothic"/>
          <w:sz w:val="17"/>
          <w:szCs w:val="17"/>
          <w:color w:val="auto"/>
        </w:rPr>
        <w:t>‑</w:t>
      </w:r>
      <w:r>
        <w:rPr>
          <w:rFonts w:ascii="Arial" w:cs="Arial" w:eastAsia="Arial" w:hAnsi="Arial"/>
          <w:sz w:val="17"/>
          <w:szCs w:val="17"/>
          <w:color w:val="auto"/>
        </w:rPr>
        <w:t>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5" w:lineRule="exact"/>
        <w:rPr>
          <w:sz w:val="20"/>
          <w:szCs w:val="20"/>
          <w:color w:val="auto"/>
        </w:rPr>
      </w:pPr>
    </w:p>
    <w:p>
      <w:pPr>
        <w:ind w:left="20"/>
        <w:spacing w:after="0"/>
        <w:tabs>
          <w:tab w:leader="none" w:pos="1002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SVB Leerink LLC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Kempen &amp; Co.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underwriters are committed to purchase all the ADSs offered by us if they purchase any ADSs. The underwriting agreement also provides that if an underwriter defaults, the purchase commitments of non-defaulting underwriters may also be increased or the offering may be terminated.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propose to offer the ADSs directly to the public at the initial public offering price set forth on the cover page of this prospectus and to</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certain dealers at that price less a concession not in excess of $ per ADS. After the initial offering of the ADSs to the public, if all of the ADSs are not sold at the initial public offering price, the underwriters may change the offering price and the other selling terms. Sales of any ADSs made outside of the United States may be made by affiliates of the underwriters. The offering of the ADSs by the underwriters is subject to receipt and acceptance and subject to the underwriters’ right to reject any order in whole or in part.</w:t>
      </w:r>
    </w:p>
    <w:p>
      <w:pPr>
        <w:spacing w:after="0" w:line="1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underwriters have an option to buy up to additional ADSs from us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0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underwriting fee is equal to the public offering price per ADS less the amount paid by the underwriters to us per ADS. The underwriting fee is $ per share. The following table shows the per share and total underwriting discounts and commissions to be paid to the underwriters assuming both no exercise and full exercise of the underwriters’ option to purchase additional ADSs.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Without option to purchase</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With full option to purchase</w:t>
            </w:r>
          </w:p>
        </w:tc>
      </w:tr>
      <w:tr>
        <w:trPr>
          <w:trHeight w:val="213"/>
        </w:trPr>
        <w:tc>
          <w:tcPr>
            <w:tcW w:w="71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additional ADSs exercise</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additional ADSs exercise</w:t>
            </w:r>
          </w:p>
        </w:tc>
      </w:tr>
      <w:tr>
        <w:trPr>
          <w:trHeight w:val="253"/>
        </w:trPr>
        <w:tc>
          <w:tcPr>
            <w:tcW w:w="71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Per ADS</w:t>
            </w:r>
          </w:p>
        </w:tc>
        <w:tc>
          <w:tcPr>
            <w:tcW w:w="2040" w:type="dxa"/>
            <w:vAlign w:val="bottom"/>
          </w:tcPr>
          <w:p>
            <w:pPr>
              <w:jc w:val="right"/>
              <w:ind w:right="1855"/>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ind w:right="1855"/>
              <w:spacing w:after="0"/>
              <w:rPr>
                <w:sz w:val="20"/>
                <w:szCs w:val="20"/>
                <w:color w:val="auto"/>
              </w:rPr>
            </w:pPr>
            <w:r>
              <w:rPr>
                <w:rFonts w:ascii="Arial" w:cs="Arial" w:eastAsia="Arial" w:hAnsi="Arial"/>
                <w:sz w:val="18"/>
                <w:szCs w:val="18"/>
                <w:color w:val="auto"/>
                <w:w w:val="99"/>
              </w:rPr>
              <w:t>$</w:t>
            </w:r>
          </w:p>
        </w:tc>
      </w:tr>
      <w:tr>
        <w:trPr>
          <w:trHeight w:val="257"/>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shd w:val="clear" w:color="auto" w:fill="CCEEFF"/>
          </w:tcPr>
          <w:p>
            <w:pPr>
              <w:jc w:val="right"/>
              <w:ind w:right="1855"/>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ind w:right="1855"/>
              <w:spacing w:after="0"/>
              <w:rPr>
                <w:sz w:val="20"/>
                <w:szCs w:val="20"/>
                <w:color w:val="auto"/>
              </w:rPr>
            </w:pPr>
            <w:r>
              <w:rPr>
                <w:rFonts w:ascii="Arial" w:cs="Arial" w:eastAsia="Arial" w:hAnsi="Arial"/>
                <w:sz w:val="18"/>
                <w:szCs w:val="18"/>
                <w:color w:val="auto"/>
                <w:w w:val="99"/>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w:t>
      </w:r>
    </w:p>
    <w:p>
      <w:pPr>
        <w:spacing w:after="0" w:line="35" w:lineRule="exact"/>
        <w:rPr>
          <w:sz w:val="20"/>
          <w:szCs w:val="20"/>
          <w:color w:val="auto"/>
        </w:rPr>
      </w:pPr>
    </w:p>
    <w:p>
      <w:pPr>
        <w:spacing w:after="0"/>
        <w:tabs>
          <w:tab w:leader="none" w:pos="6420" w:val="left"/>
        </w:tabs>
        <w:rPr>
          <w:sz w:val="20"/>
          <w:szCs w:val="20"/>
          <w:color w:val="auto"/>
        </w:rPr>
      </w:pPr>
      <w:r>
        <w:rPr>
          <w:rFonts w:ascii="Arial" w:cs="Arial" w:eastAsia="Arial" w:hAnsi="Arial"/>
          <w:sz w:val="18"/>
          <w:szCs w:val="18"/>
          <w:color w:val="auto"/>
        </w:rPr>
        <w:t>excluding the underwriting discounts and commissions, will be approximately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common shares or ADSs or securities convertible into or exercisable or exchangeable for any common shares or ADSs, or publicly disclose the intention to undertake any of the foregoing, or (ii) enter into any swap or other arrangement that transfers all or a portion of the economic consequences associated with the ownership of any common shares or ADSs or any such other securities (regardless of whether any of these transactions are to be settled by the delivery of common shares, ADSs or such other securities, in cash or otherwise), in each case without the prior written consent of J.P. Morgan Securities LLC, SVB Leerink LLC and Cowen and Company, LLC for a period of 90 days after the date of this prospectus, other than the ADSs to be sold in this offering.</w:t>
      </w:r>
    </w:p>
    <w:p>
      <w:pPr>
        <w:spacing w:after="0" w:line="111" w:lineRule="exact"/>
        <w:rPr>
          <w:sz w:val="20"/>
          <w:szCs w:val="20"/>
          <w:color w:val="auto"/>
        </w:rPr>
      </w:pPr>
    </w:p>
    <w:p>
      <w:pPr>
        <w:ind w:right="80"/>
        <w:spacing w:after="0" w:line="217" w:lineRule="exact"/>
        <w:rPr>
          <w:sz w:val="20"/>
          <w:szCs w:val="20"/>
          <w:color w:val="auto"/>
        </w:rPr>
      </w:pPr>
      <w:r>
        <w:rPr>
          <w:rFonts w:ascii="Arial" w:cs="Arial" w:eastAsia="Arial" w:hAnsi="Arial"/>
          <w:sz w:val="16"/>
          <w:szCs w:val="16"/>
          <w:color w:val="auto"/>
        </w:rPr>
        <w:t>Our directors and executive officers, and certain of our shareholders, or the lock-up parties, have entered into lock</w:t>
      </w:r>
      <w:r>
        <w:rPr>
          <w:rFonts w:ascii="MS PGothic" w:cs="MS PGothic" w:eastAsia="MS PGothic" w:hAnsi="MS PGothic"/>
          <w:sz w:val="16"/>
          <w:szCs w:val="16"/>
          <w:color w:val="auto"/>
        </w:rPr>
        <w:t>‑</w:t>
      </w:r>
      <w:r>
        <w:rPr>
          <w:rFonts w:ascii="Arial" w:cs="Arial" w:eastAsia="Arial" w:hAnsi="Arial"/>
          <w:sz w:val="16"/>
          <w:szCs w:val="16"/>
          <w:color w:val="auto"/>
        </w:rPr>
        <w:t>up agreements with the underwriters prior to the commencement of this offering pursuant to which each lock-up party, with limited exceptions, for a period of 90 days after the date of this prospectus (such period, the “restricted period”), may not (and may not cause any of their direct or indirect affiliates to), without the prior written consent of J.P. Morgan Securities LLC, SVB Leerink LLC and Cowen and Company, LLC, (1) offer, pledge, sell, contract to sell, sell any option or contract to purchase, purchase any option or contract to sell, grant any option, right or warrant to purchase, lend, grant instruction rights (Weisungsrechte) pursuant to article 25 of the Swiss Federal Intermediated Securities Act or otherwise transfer or dispose of, directly or indirectly, any shares of our common shares, ADSs or any securities convertible into or exercisable or exchangeable for our common shares or ADSs (including, without limitation, common shares, ADSs or such other securities which may be deemed to be beneficially owned by such lock-up parties in accordance with the rules and regulations of the SEC and securities which may be issued upon exercise of a stock option or warrant (collectively with the common shares and ADSs,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J.P. Morgan Securities LLC, SVB Leerink LLC and Cowen and Company, LLC, in their sole discretion, may release the securities subject to any of the lock-up agreements with the underwriters described above, in whole or in part at any time.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have our ADSs approved for listing on Nasdaq Global Market under the symbol “MOLN”.</w:t>
      </w:r>
    </w:p>
    <w:p>
      <w:pPr>
        <w:spacing w:after="0" w:line="15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ADSs, which involves the sale by the underwriters of a greater number of ADSs than they are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00"/>
          </w:cols>
          <w:pgMar w:left="320" w:top="1440" w:right="379" w:bottom="1440" w:gutter="0" w:footer="0" w:header="0"/>
        </w:sectPr>
      </w:pPr>
    </w:p>
    <w:bookmarkStart w:id="237" w:name="page238"/>
    <w:bookmarkEnd w:id="237"/>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ADSs in the open market to cover the position.</w:t>
      </w:r>
    </w:p>
    <w:p>
      <w:pPr>
        <w:spacing w:after="0" w:line="9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ADSs as part of this offering to repay the underwriting discount received by them.</w:t>
      </w:r>
    </w:p>
    <w:p>
      <w:pPr>
        <w:spacing w:after="0" w:line="104" w:lineRule="exact"/>
        <w:rPr>
          <w:sz w:val="20"/>
          <w:szCs w:val="20"/>
          <w:color w:val="auto"/>
        </w:rPr>
      </w:pPr>
    </w:p>
    <w:p>
      <w:pPr>
        <w:ind w:right="220"/>
        <w:spacing w:after="0" w:line="220" w:lineRule="exact"/>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3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Prior to this offering, there has been no public market for our ADSs.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3" w:lineRule="exact"/>
        <w:rPr>
          <w:sz w:val="20"/>
          <w:szCs w:val="20"/>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ADSs, or that the ADSs will trade in the public market at or above the initial public offering price.</w:t>
      </w:r>
    </w:p>
    <w:p>
      <w:pPr>
        <w:spacing w:after="0" w:line="10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3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European Economic Area</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20" w:lineRule="exact"/>
        <w:rPr>
          <w:sz w:val="20"/>
          <w:szCs w:val="20"/>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44" w:lineRule="exact"/>
        <w:rPr>
          <w:rFonts w:ascii="Arial" w:cs="Arial" w:eastAsia="Arial" w:hAnsi="Arial"/>
          <w:sz w:val="18"/>
          <w:szCs w:val="18"/>
          <w:color w:val="auto"/>
        </w:rPr>
      </w:pPr>
    </w:p>
    <w:p>
      <w:pPr>
        <w:ind w:left="340" w:right="80" w:hanging="332"/>
        <w:spacing w:after="0" w:line="277" w:lineRule="auto"/>
        <w:tabs>
          <w:tab w:leader="none" w:pos="3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ADSs shall require the Issuer or any underwriter to publish a prospectus pursuant to Article 3 of the Prospectus Regulation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 prospectus pursuant to Article 23 of the Prospectus Regulation and each person who initially acquires any ADSs or to whom any offer is made will be deemed to have represented, acknowledged and agreed to and with each of the underwriters and the Issuer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has been obtained to each such proposed offer or resale.</w:t>
      </w:r>
    </w:p>
    <w:p>
      <w:pPr>
        <w:spacing w:after="0" w:line="8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15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No ADSs have been offered or will be offered pursuant to the offering to the public in the United Kingdom prior to the publication of a prospectus in relation to the ADSs which has been approved by the Financial Conduct Authority, except that the ADSs may be offered to the public in the United Kingdom at any time:</w:t>
      </w:r>
    </w:p>
    <w:p>
      <w:pPr>
        <w:spacing w:after="0" w:line="103"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57" w:lineRule="exact"/>
        <w:rPr>
          <w:rFonts w:ascii="Arial" w:cs="Arial" w:eastAsia="Arial" w:hAnsi="Arial"/>
          <w:sz w:val="18"/>
          <w:szCs w:val="18"/>
          <w:color w:val="auto"/>
        </w:rPr>
      </w:pPr>
    </w:p>
    <w:p>
      <w:pPr>
        <w:ind w:left="340" w:right="420" w:hanging="332"/>
        <w:spacing w:after="0" w:line="277" w:lineRule="auto"/>
        <w:tabs>
          <w:tab w:leader="none" w:pos="3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4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 such offer of the ADSs shall require the Issuer or any underwriter to publish a prospectus pursuant to Section 85 of the FSMA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20"/>
          </w:cols>
          <w:pgMar w:left="320" w:top="1440" w:right="359" w:bottom="1440" w:gutter="0" w:footer="0" w:header="0"/>
        </w:sectPr>
      </w:pPr>
    </w:p>
    <w:bookmarkStart w:id="239" w:name="page240"/>
    <w:bookmarkEnd w:id="239"/>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“U.K. Prospectus Regulation” means Regulation (EU) 2017/1129 as it forms part of domestic law by virtue of the European Union (Withdrawal) Act 2018.</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ADSs in the United Kingdom within the meaning of the Financial Services and Markets Act 2000.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9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ADSs are not being be publicly offered in Switzerland and will not be listed on any trading venue (i.e., exchange or multilateral trading facility) in Switzerland.</w:t>
      </w:r>
    </w:p>
    <w:p>
      <w:pPr>
        <w:spacing w:after="0" w:line="10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common shares underlying the ADSs will be listed on the SIX Swiss Exchange. In connection with this listing, this document constitutes a foreign prospectus within the meaning of article 54 paras. 2 and 3 of the Swiss Financial Services Act of June 15, 2018 (“FinSA”) and article 70 paras. 2-4 of the Swiss Financial Services Ordinance of November 6, 2019 (“FinSO”).</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ADSs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intended to be disposed of only to persons outside Hong Kong or only to “professional investors” as defined in the SFO and any rules made thereunder.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Each representative has acknowledged that this prospectus has not been registered as a prospectus with the Monetary Authority of Singapore. Accordingly, each representative has represented and agreed that it has not offered or sold any ADSs or caused the ADSs to be made the subject of an invitation for subscription or purchase and will not offer or sell any ADSs or cause the ADSs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ADSs, whether directly or indirectly, to any person in Singapore other than:</w:t>
      </w:r>
    </w:p>
    <w:p>
      <w:pPr>
        <w:spacing w:after="0" w:line="94" w:lineRule="exact"/>
        <w:rPr>
          <w:sz w:val="20"/>
          <w:szCs w:val="20"/>
          <w:color w:val="auto"/>
        </w:rPr>
      </w:pPr>
    </w:p>
    <w:p>
      <w:pPr>
        <w:ind w:left="340" w:right="100" w:hanging="332"/>
        <w:spacing w:after="0" w:line="277" w:lineRule="auto"/>
        <w:tabs>
          <w:tab w:leader="none" w:pos="3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89" w:lineRule="exact"/>
        <w:rPr>
          <w:rFonts w:ascii="Arial" w:cs="Arial" w:eastAsia="Arial" w:hAnsi="Arial"/>
          <w:sz w:val="18"/>
          <w:szCs w:val="18"/>
          <w:color w:val="auto"/>
        </w:rPr>
      </w:pPr>
    </w:p>
    <w:p>
      <w:pPr>
        <w:ind w:left="340" w:right="40" w:hanging="332"/>
        <w:spacing w:after="0" w:line="277" w:lineRule="auto"/>
        <w:tabs>
          <w:tab w:leader="none" w:pos="3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44" w:lineRule="exact"/>
        <w:rPr>
          <w:sz w:val="20"/>
          <w:szCs w:val="20"/>
          <w:color w:val="auto"/>
        </w:rPr>
      </w:pPr>
    </w:p>
    <w:p>
      <w:pPr>
        <w:ind w:left="340" w:right="380" w:hanging="332"/>
        <w:spacing w:after="0" w:line="277" w:lineRule="auto"/>
        <w:tabs>
          <w:tab w:leader="none" w:pos="3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03" w:lineRule="exact"/>
        <w:rPr>
          <w:sz w:val="20"/>
          <w:szCs w:val="20"/>
          <w:color w:val="auto"/>
        </w:rPr>
      </w:pPr>
    </w:p>
    <w:p>
      <w:pPr>
        <w:ind w:left="340" w:right="140" w:hanging="332"/>
        <w:spacing w:after="0" w:line="277" w:lineRule="auto"/>
        <w:tabs>
          <w:tab w:leader="none" w:pos="3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340" w:right="800" w:hanging="332"/>
        <w:spacing w:after="0" w:line="277" w:lineRule="auto"/>
        <w:tabs>
          <w:tab w:leader="none" w:pos="3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ADSs have not been and will not be registered pursuant to Article 4, Paragraph 1 of the Financial Instruments and Exchange Act. Accordingly, none of the ADSs nor any interest therein may be offered or sold,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00"/>
          </w:cols>
          <w:pgMar w:left="320" w:top="1440" w:right="379" w:bottom="1440" w:gutter="0" w:footer="0" w:header="0"/>
        </w:sectPr>
      </w:pPr>
    </w:p>
    <w:bookmarkStart w:id="241" w:name="page242"/>
    <w:bookmarkEnd w:id="241"/>
    <w:p>
      <w:pPr>
        <w:spacing w:after="0" w:line="1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3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ADSs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1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ADSs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LEGAL MATTERS</w:t>
      </w: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validity of the common shares and ADSs and certain other matters of Swiss law, including matters of Swiss income tax law, will be passed upon for us by Homburger AG, Zurich, Switzerland. Certain matters of U.S. federal law will be passed upon for us by Cooley LLP, New York, New York. The underwriters are being represented by Advestra AG, Zurich, Switzerland, with respect to Swiss law and Davis Polk &amp; Wardwell LLP, New York, New York, with respect to U.S.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80"/>
          </w:cols>
          <w:pgMar w:left="320" w:top="1440" w:right="399" w:bottom="1440" w:gutter="0" w:footer="0" w:header="0"/>
        </w:sectPr>
      </w:pPr>
    </w:p>
    <w:bookmarkStart w:id="243" w:name="page244"/>
    <w:bookmarkEnd w:id="24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EXPERTS</w:t>
      </w:r>
    </w:p>
    <w:p>
      <w:pPr>
        <w:spacing w:after="0" w:line="3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of Molecular Partners AG and its subsidiary as of December 31, 2020 and 2019 and for each of the years in the two-year period ended December 31, 2020 have been included herein in reliance upon the report of KPMG AG,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40"/>
          </w:cols>
          <w:pgMar w:left="320" w:top="1440" w:right="439" w:bottom="1440" w:gutter="0" w:footer="0" w:header="0"/>
        </w:sectPr>
      </w:pPr>
    </w:p>
    <w:bookmarkStart w:id="244" w:name="page245"/>
    <w:bookmarkEnd w:id="24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ENFORCEMENT OF CIVIL LIABILITIES</w:t>
      </w:r>
    </w:p>
    <w:p>
      <w:pPr>
        <w:spacing w:after="0" w:line="30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are a corporation organized and incorporated under the laws of Switzerland with registered office and domicile in Schlieren, Switzerland, and the majority of our assets are located within Switzerland. Moreover, a number of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w:t>
      </w:r>
    </w:p>
    <w:p>
      <w:pPr>
        <w:spacing w:after="0" w:line="10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is doubt that a lawsuit based upon United States federal or state securities laws could be brought in an original action in Switzerland and that a judgment of a U.S. court based upon United States securities laws would be enforced in Switzerland.</w:t>
      </w:r>
    </w:p>
    <w:p>
      <w:pPr>
        <w:spacing w:after="0" w:line="8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w:t>
      </w:r>
    </w:p>
    <w:p>
      <w:pPr>
        <w:spacing w:after="0" w:line="1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However, if a person has obtained a final and conclusive judgment rendered by a U.S. court that is enforceable in the United States and files a claim with the competent Swiss court, such final judgment by a U.S. court may be recognized in Switzerland in an action before a court of competent jurisdiction in accordance with the proceedings set forth by the Swiss Federal Act on International Private Law (</w:t>
      </w:r>
      <w:r>
        <w:rPr>
          <w:rFonts w:ascii="Arial" w:cs="Arial" w:eastAsia="Arial" w:hAnsi="Arial"/>
          <w:sz w:val="16"/>
          <w:szCs w:val="16"/>
          <w:i w:val="1"/>
          <w:iCs w:val="1"/>
          <w:color w:val="auto"/>
        </w:rPr>
        <w:t>Bundesgesetz über das internationale Privatrecht</w:t>
      </w:r>
      <w:r>
        <w:rPr>
          <w:rFonts w:ascii="Arial" w:cs="Arial" w:eastAsia="Arial" w:hAnsi="Arial"/>
          <w:sz w:val="16"/>
          <w:szCs w:val="16"/>
          <w:color w:val="auto"/>
        </w:rPr>
        <w:t>) and the Swiss Federal Act on Civil Procedure (</w:t>
      </w:r>
      <w:r>
        <w:rPr>
          <w:rFonts w:ascii="Arial" w:cs="Arial" w:eastAsia="Arial" w:hAnsi="Arial"/>
          <w:sz w:val="16"/>
          <w:szCs w:val="16"/>
          <w:i w:val="1"/>
          <w:iCs w:val="1"/>
          <w:color w:val="auto"/>
        </w:rPr>
        <w:t>Schweizerische Zivilprozessordnung</w:t>
      </w:r>
      <w:r>
        <w:rPr>
          <w:rFonts w:ascii="Arial" w:cs="Arial" w:eastAsia="Arial" w:hAnsi="Arial"/>
          <w:sz w:val="16"/>
          <w:szCs w:val="16"/>
          <w:color w:val="auto"/>
        </w:rPr>
        <w:t>) and, in certain circumstances, the Swiss Federal Act on Debt Collection and Bankruptcy (</w:t>
      </w:r>
      <w:r>
        <w:rPr>
          <w:rFonts w:ascii="Arial" w:cs="Arial" w:eastAsia="Arial" w:hAnsi="Arial"/>
          <w:sz w:val="16"/>
          <w:szCs w:val="16"/>
          <w:i w:val="1"/>
          <w:iCs w:val="1"/>
          <w:color w:val="auto"/>
        </w:rPr>
        <w:t>Bundesgesetz über Schuldbetreibung und Konkurs</w:t>
      </w:r>
      <w:r>
        <w:rPr>
          <w:rFonts w:ascii="Arial" w:cs="Arial" w:eastAsia="Arial" w:hAnsi="Arial"/>
          <w:sz w:val="16"/>
          <w:szCs w:val="16"/>
          <w:color w:val="auto"/>
        </w:rPr>
        <w:t>). In such an action, a Swiss court generally would not reinvestigate the merits of the original matter decided by a U.S. court. The recognition and enforcement of a U.S. judgment by a Swiss court would be conditional upon a number of conditions including those set out in articles 25 et seqq. of the Swiss Federal Act on International Private Law, which include, among others:</w:t>
      </w:r>
    </w:p>
    <w:p>
      <w:pPr>
        <w:spacing w:after="0" w:line="99" w:lineRule="exact"/>
        <w:rPr>
          <w:sz w:val="20"/>
          <w:szCs w:val="20"/>
          <w:color w:val="auto"/>
        </w:rPr>
      </w:pPr>
    </w:p>
    <w:p>
      <w:pPr>
        <w:ind w:left="320" w:hanging="312"/>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U.S. court having had jurisdiction over the original proceedings from a Swiss perspective;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judgment of such U.S. court being final and non-appealable under U.S. federal or state law;</w:t>
      </w:r>
    </w:p>
    <w:p>
      <w:pPr>
        <w:spacing w:after="0" w:line="157" w:lineRule="exact"/>
        <w:rPr>
          <w:rFonts w:ascii="Arial" w:cs="Arial" w:eastAsia="Arial" w:hAnsi="Arial"/>
          <w:sz w:val="18"/>
          <w:szCs w:val="18"/>
          <w:color w:val="auto"/>
        </w:rPr>
      </w:pPr>
    </w:p>
    <w:p>
      <w:pPr>
        <w:ind w:left="340" w:right="40" w:hanging="332"/>
        <w:spacing w:after="0" w:line="263" w:lineRule="auto"/>
        <w:tabs>
          <w:tab w:leader="none" w:pos="3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service of process to the defendant having been completed in accordance with the relevant legal requirements at the defendant’s domicile or permanent residence (including requirements resulting from applicable international treaties), or the defendant having unconditionally participated in the foreign proceedings;</w:t>
      </w:r>
    </w:p>
    <w:p>
      <w:pPr>
        <w:spacing w:after="0" w:line="116" w:lineRule="exact"/>
        <w:rPr>
          <w:rFonts w:ascii="Arial" w:cs="Arial" w:eastAsia="Arial" w:hAnsi="Arial"/>
          <w:sz w:val="18"/>
          <w:szCs w:val="18"/>
          <w:color w:val="auto"/>
        </w:rPr>
      </w:pPr>
    </w:p>
    <w:p>
      <w:pPr>
        <w:ind w:left="340" w:right="180" w:hanging="332"/>
        <w:spacing w:after="0" w:line="277" w:lineRule="auto"/>
        <w:tabs>
          <w:tab w:leader="none" w:pos="3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original proceeding not having been conducted under a violation of material principles of Swiss civil proceedings law, in particular the right to be heard;</w:t>
      </w:r>
    </w:p>
    <w:p>
      <w:pPr>
        <w:spacing w:after="0" w:line="89" w:lineRule="exact"/>
        <w:rPr>
          <w:rFonts w:ascii="Arial" w:cs="Arial" w:eastAsia="Arial" w:hAnsi="Arial"/>
          <w:sz w:val="18"/>
          <w:szCs w:val="18"/>
          <w:color w:val="auto"/>
        </w:rPr>
      </w:pPr>
    </w:p>
    <w:p>
      <w:pPr>
        <w:ind w:left="340" w:hanging="332"/>
        <w:spacing w:after="0" w:line="279" w:lineRule="auto"/>
        <w:tabs>
          <w:tab w:leader="none" w:pos="33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matter (</w:t>
      </w:r>
      <w:r>
        <w:rPr>
          <w:rFonts w:ascii="Arial" w:cs="Arial" w:eastAsia="Arial" w:hAnsi="Arial"/>
          <w:sz w:val="17"/>
          <w:szCs w:val="17"/>
          <w:i w:val="1"/>
          <w:iCs w:val="1"/>
          <w:color w:val="auto"/>
        </w:rPr>
        <w:t>Verfahren</w:t>
      </w:r>
      <w:r>
        <w:rPr>
          <w:rFonts w:ascii="Arial" w:cs="Arial" w:eastAsia="Arial" w:hAnsi="Arial"/>
          <w:sz w:val="17"/>
          <w:szCs w:val="17"/>
          <w:color w:val="auto"/>
        </w:rPr>
        <w:t>) between the same parties and on the same subject resulting in the judgment of the U.S. court not having been (i) commenced or decided by a Swiss court, provided that such Swiss matter was pending before a Swiss court prior to the U.S. court entered its proceedings or decided by a Swiss court before the decision of the U.S. court, or (ii) decided by a court in a third country, provided such third country matter was decided prior to the decision of the U.S. court and such third country matter is recognizable in Switzerland; and</w:t>
      </w:r>
    </w:p>
    <w:p>
      <w:pPr>
        <w:spacing w:after="0" w:line="103" w:lineRule="exact"/>
        <w:rPr>
          <w:rFonts w:ascii="Arial" w:cs="Arial" w:eastAsia="Arial" w:hAnsi="Arial"/>
          <w:sz w:val="17"/>
          <w:szCs w:val="17"/>
          <w:color w:val="auto"/>
        </w:rPr>
      </w:pPr>
    </w:p>
    <w:p>
      <w:pPr>
        <w:ind w:left="320" w:hanging="312"/>
        <w:spacing w:after="0"/>
        <w:tabs>
          <w:tab w:leader="none" w:pos="3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enforcement of the judgment by the U.S. court not being manifestly incompatible with Swiss public policy (</w:t>
      </w:r>
      <w:r>
        <w:rPr>
          <w:rFonts w:ascii="Arial" w:cs="Arial" w:eastAsia="Arial" w:hAnsi="Arial"/>
          <w:sz w:val="17"/>
          <w:szCs w:val="17"/>
          <w:i w:val="1"/>
          <w:iCs w:val="1"/>
          <w:color w:val="auto"/>
        </w:rPr>
        <w:t>schweizerischer Ordre public</w:t>
      </w:r>
      <w:r>
        <w:rPr>
          <w:rFonts w:ascii="Arial" w:cs="Arial" w:eastAsia="Arial" w:hAnsi="Arial"/>
          <w:sz w:val="17"/>
          <w:szCs w:val="17"/>
          <w:color w:val="auto"/>
        </w:rPr>
        <w:t>).</w:t>
      </w:r>
    </w:p>
    <w:p>
      <w:pPr>
        <w:spacing w:after="0" w:line="16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Moreover, a Swiss court may reduce the amount of damages granted by a U.S. court and recognize damages only to the extent that they are necessary to compensate actual losses or damages. Enforcement and recognition of judgments of U.S. courts in Switzerland are solely governed by Swiss procedural law.</w:t>
      </w:r>
    </w:p>
    <w:p>
      <w:pPr>
        <w:spacing w:after="0" w:line="1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Original actions against persons in Switzerland based solely upon the U.S. federal or state securities laws are governed, among other things, by the principles set forth in the Swiss Federal Act on International Private Law.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3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statute provides that the application of provisions of non-Swiss law by the courts in Switzerland shall be precluded if the result was incompatible with Swiss public policy. Also, mandatory provisions of Swiss law may be applicable regardless of any other law that would otherwise apply.</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Swiss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Swiss law. Rather, Swiss civil procedure provides for the possibility for judicial pre-trial proceedings concerning the precautionary production of evidence (</w:t>
      </w:r>
      <w:r>
        <w:rPr>
          <w:rFonts w:ascii="Arial" w:cs="Arial" w:eastAsia="Arial" w:hAnsi="Arial"/>
          <w:sz w:val="18"/>
          <w:szCs w:val="18"/>
          <w:i w:val="1"/>
          <w:iCs w:val="1"/>
          <w:color w:val="auto"/>
        </w:rPr>
        <w:t>vorsorgliche Beweisführung</w:t>
      </w:r>
      <w:r>
        <w:rPr>
          <w:rFonts w:ascii="Arial" w:cs="Arial" w:eastAsia="Arial" w:hAnsi="Arial"/>
          <w:sz w:val="18"/>
          <w:szCs w:val="18"/>
          <w:color w:val="auto"/>
        </w:rPr>
        <w:t>) only in certain circumstances and under certain conditions. In addition, during the main proceedings, a Swiss court would decide upon the claims for which evidence is required from the parties and the related burden of proof.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agent for service of process in the United States is Molecular Partners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60"/>
          </w:cols>
          <w:pgMar w:left="320" w:top="1440" w:right="419" w:bottom="1440" w:gutter="0" w:footer="0" w:header="0"/>
        </w:sectPr>
      </w:pPr>
    </w:p>
    <w:bookmarkStart w:id="246" w:name="page247"/>
    <w:bookmarkEnd w:id="246"/>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EXPENSES RELATED TO THIS OFFERING</w:t>
      </w:r>
    </w:p>
    <w:p>
      <w:pPr>
        <w:spacing w:after="0" w:line="30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ADSs in this offering. With the exception of the registration fee payable to the SEC and the filing fee payable to FINRA, all amounts are estimates.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Item</w:t>
            </w:r>
          </w:p>
        </w:tc>
        <w:tc>
          <w:tcPr>
            <w:tcW w:w="33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 to be paid</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10,910</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15,500</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3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3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3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3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agent and registrar fees and expenses</w:t>
            </w:r>
          </w:p>
        </w:tc>
        <w:tc>
          <w:tcPr>
            <w:tcW w:w="3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Miscellaneous expenses</w:t>
            </w:r>
          </w:p>
        </w:tc>
        <w:tc>
          <w:tcPr>
            <w:tcW w:w="3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374"/>
        </w:trPr>
        <w:tc>
          <w:tcPr>
            <w:tcW w:w="6400" w:type="dxa"/>
            <w:vAlign w:val="bottom"/>
          </w:tcPr>
          <w:p>
            <w:pPr>
              <w:spacing w:after="0"/>
              <w:rPr>
                <w:sz w:val="20"/>
                <w:szCs w:val="20"/>
                <w:color w:val="auto"/>
              </w:rPr>
            </w:pPr>
            <w:r>
              <w:rPr>
                <w:rFonts w:ascii="Arial" w:cs="Arial" w:eastAsia="Arial" w:hAnsi="Arial"/>
                <w:sz w:val="13"/>
                <w:szCs w:val="13"/>
                <w:color w:val="auto"/>
              </w:rPr>
              <w:t>____________________</w:t>
            </w:r>
          </w:p>
        </w:tc>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2"/>
        </w:trPr>
        <w:tc>
          <w:tcPr>
            <w:tcW w:w="6400" w:type="dxa"/>
            <w:vAlign w:val="bottom"/>
          </w:tcPr>
          <w:p>
            <w:pPr>
              <w:spacing w:after="0"/>
              <w:rPr>
                <w:sz w:val="20"/>
                <w:szCs w:val="20"/>
                <w:color w:val="auto"/>
              </w:rPr>
            </w:pPr>
            <w:r>
              <w:rPr>
                <w:rFonts w:ascii="Arial" w:cs="Arial" w:eastAsia="Arial" w:hAnsi="Arial"/>
                <w:sz w:val="13"/>
                <w:szCs w:val="13"/>
                <w:color w:val="auto"/>
              </w:rPr>
              <w:t>*  To be provided by amendment.</w:t>
            </w:r>
          </w:p>
        </w:tc>
        <w:tc>
          <w:tcPr>
            <w:tcW w:w="334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WHERE YOU CAN FIND MORE INFORMATION</w:t>
      </w: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filed with the SEC a registration statement on Form F-1 under the Securities Act with respect to the ADSs offered hereby. This prospectus, which constitutes a part of the registration statement, does not contain all of the information set forth in the registration statement or the exhibits and schedules filed therewith. For further information with respect to us and the ADSs offered hereby, please refer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maintains a website that contains reports, proxy and information statements and other information regarding registrants that file electronically with the SEC. The address is www.sec.gov.</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Upon completion of this offering, we will be subject to periodic reporting and other informational requirements of the Exchange Act as applicable to foreign private issuers. Accordingly, we are required to file reports, including annual reports on Form 20-F, and other information with the SEC. We are not required to prepare and issue quarterly reports as a foreign private issuer. As a foreign private issuer, we are exempt from the rules of the Exchange Act prescribing the furnishing and content of proxy statements to shareholders and Section 16 short-swing profit reporting for our officers, directors and holders of more than 10% of our common shares. In addition, we will not be required under the Exchange Act to file periodic reports and financial statements with the SEC as frequently or as promptly as U.S. companies whose securities are registered under the Exchange Act.</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a corporate website at www.molecularpartners.com. Information contained on, or that can be accessed through, our website does not constitute a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INDEX TO THE</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FINANCIAL STATEMENTS</w:t>
      </w:r>
    </w:p>
    <w:p>
      <w:pPr>
        <w:spacing w:after="0" w:line="34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Consolidated financial statements as of and for the years ended December 31, 2020 and December 31, 2019</w:t>
      </w:r>
    </w:p>
    <w:p>
      <w:pPr>
        <w:spacing w:after="0" w:line="293" w:lineRule="exact"/>
        <w:rPr>
          <w:sz w:val="20"/>
          <w:szCs w:val="20"/>
          <w:color w:val="auto"/>
        </w:rPr>
      </w:pPr>
    </w:p>
    <w:p>
      <w:pPr>
        <w:ind w:left="20"/>
        <w:spacing w:after="0"/>
        <w:rPr>
          <w:rFonts w:ascii="Arial" w:cs="Arial" w:eastAsia="Arial" w:hAnsi="Arial"/>
          <w:sz w:val="18"/>
          <w:szCs w:val="18"/>
          <w:u w:val="single" w:color="auto"/>
          <w:color w:val="0000FF"/>
        </w:rPr>
      </w:pPr>
      <w:hyperlink w:anchor="page250">
        <w:r>
          <w:rPr>
            <w:rFonts w:ascii="Arial" w:cs="Arial" w:eastAsia="Arial" w:hAnsi="Arial"/>
            <w:sz w:val="18"/>
            <w:szCs w:val="18"/>
            <w:u w:val="single" w:color="auto"/>
            <w:color w:val="0000FF"/>
          </w:rPr>
          <w:t>Report of Independent Registered Public Accounting Firm</w:t>
        </w:r>
      </w:hyperlink>
    </w:p>
    <w:p>
      <w:pPr>
        <w:spacing w:after="0" w:line="36" w:lineRule="exact"/>
        <w:rPr>
          <w:sz w:val="20"/>
          <w:szCs w:val="20"/>
          <w:color w:val="auto"/>
        </w:rPr>
      </w:pPr>
    </w:p>
    <w:p>
      <w:pPr>
        <w:ind w:left="20"/>
        <w:spacing w:after="0"/>
        <w:rPr>
          <w:rFonts w:ascii="Arial" w:cs="Arial" w:eastAsia="Arial" w:hAnsi="Arial"/>
          <w:sz w:val="18"/>
          <w:szCs w:val="18"/>
          <w:u w:val="single" w:color="auto"/>
          <w:color w:val="0000FF"/>
        </w:rPr>
      </w:pPr>
      <w:hyperlink w:anchor="page251">
        <w:r>
          <w:rPr>
            <w:rFonts w:ascii="Arial" w:cs="Arial" w:eastAsia="Arial" w:hAnsi="Arial"/>
            <w:sz w:val="18"/>
            <w:szCs w:val="18"/>
            <w:u w:val="single" w:color="auto"/>
            <w:color w:val="0000FF"/>
          </w:rPr>
          <w:t>Consolidated Statement of Financial Position as of December 31, 2020 and 2019</w:t>
        </w:r>
      </w:hyperlink>
    </w:p>
    <w:p>
      <w:pPr>
        <w:spacing w:after="0" w:line="50" w:lineRule="exact"/>
        <w:rPr>
          <w:sz w:val="20"/>
          <w:szCs w:val="20"/>
          <w:color w:val="auto"/>
        </w:rPr>
      </w:pPr>
    </w:p>
    <w:p>
      <w:pPr>
        <w:ind w:left="20" w:right="2840"/>
        <w:spacing w:after="0" w:line="334" w:lineRule="auto"/>
        <w:rPr>
          <w:rFonts w:ascii="Arial" w:cs="Arial" w:eastAsia="Arial" w:hAnsi="Arial"/>
          <w:sz w:val="16"/>
          <w:szCs w:val="16"/>
          <w:u w:val="single" w:color="auto"/>
          <w:color w:val="0000FF"/>
        </w:rPr>
      </w:pPr>
      <w:hyperlink w:anchor="page252">
        <w:r>
          <w:rPr>
            <w:rFonts w:ascii="Arial" w:cs="Arial" w:eastAsia="Arial" w:hAnsi="Arial"/>
            <w:sz w:val="16"/>
            <w:szCs w:val="16"/>
            <w:u w:val="single" w:color="auto"/>
            <w:color w:val="0000FF"/>
          </w:rPr>
          <w:t>Consolidated Statement of Comprehensive Loss for the years ended December 31, 2020 and 2019</w:t>
        </w:r>
      </w:hyperlink>
      <w:r>
        <w:rPr>
          <w:rFonts w:ascii="Arial" w:cs="Arial" w:eastAsia="Arial" w:hAnsi="Arial"/>
          <w:sz w:val="16"/>
          <w:szCs w:val="16"/>
          <w:u w:val="single" w:color="auto"/>
          <w:color w:val="0000FF"/>
        </w:rPr>
        <w:t xml:space="preserve"> </w:t>
      </w:r>
      <w:hyperlink w:anchor="page253">
        <w:r>
          <w:rPr>
            <w:rFonts w:ascii="Arial" w:cs="Arial" w:eastAsia="Arial" w:hAnsi="Arial"/>
            <w:sz w:val="16"/>
            <w:szCs w:val="16"/>
            <w:u w:val="single" w:color="auto"/>
            <w:color w:val="0000FF"/>
          </w:rPr>
          <w:t>Consolidated Statement of Cash Flows for the years ended December 31, 2020 and 2019</w:t>
        </w:r>
      </w:hyperlink>
    </w:p>
    <w:p>
      <w:pPr>
        <w:spacing w:after="0" w:line="1" w:lineRule="exact"/>
        <w:rPr>
          <w:sz w:val="20"/>
          <w:szCs w:val="20"/>
          <w:color w:val="auto"/>
        </w:rPr>
      </w:pPr>
    </w:p>
    <w:p>
      <w:pPr>
        <w:ind w:left="20" w:right="3020"/>
        <w:spacing w:after="0" w:line="324" w:lineRule="auto"/>
        <w:rPr>
          <w:rFonts w:ascii="Arial" w:cs="Arial" w:eastAsia="Arial" w:hAnsi="Arial"/>
          <w:sz w:val="18"/>
          <w:szCs w:val="18"/>
          <w:u w:val="single" w:color="auto"/>
          <w:color w:val="0000FF"/>
        </w:rPr>
      </w:pPr>
      <w:hyperlink w:anchor="page254">
        <w:r>
          <w:rPr>
            <w:rFonts w:ascii="Arial" w:cs="Arial" w:eastAsia="Arial" w:hAnsi="Arial"/>
            <w:sz w:val="18"/>
            <w:szCs w:val="18"/>
            <w:u w:val="single" w:color="auto"/>
            <w:color w:val="0000FF"/>
          </w:rPr>
          <w:t>Consolidated Statement of Changes in Equity for the years ended December 31, 2020 and 2019</w:t>
        </w:r>
      </w:hyperlink>
      <w:r>
        <w:rPr>
          <w:rFonts w:ascii="Arial" w:cs="Arial" w:eastAsia="Arial" w:hAnsi="Arial"/>
          <w:sz w:val="18"/>
          <w:szCs w:val="18"/>
          <w:u w:val="single" w:color="auto"/>
          <w:color w:val="0000FF"/>
        </w:rPr>
        <w:t xml:space="preserve"> </w:t>
      </w:r>
      <w:hyperlink w:anchor="page255">
        <w:r>
          <w:rPr>
            <w:rFonts w:ascii="Arial" w:cs="Arial" w:eastAsia="Arial" w:hAnsi="Arial"/>
            <w:sz w:val="18"/>
            <w:szCs w:val="18"/>
            <w:u w:val="single" w:color="auto"/>
            <w:color w:val="0000FF"/>
          </w:rPr>
          <w:t>Notes to the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17145</wp:posOffset>
            </wp:positionV>
            <wp:extent cx="5403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20" w:lineRule="exact"/>
        <w:rPr>
          <w:sz w:val="20"/>
          <w:szCs w:val="20"/>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0">
        <w:r>
          <w:rPr>
            <w:rFonts w:ascii="Arial" w:cs="Arial" w:eastAsia="Arial" w:hAnsi="Arial"/>
            <w:sz w:val="18"/>
            <w:szCs w:val="18"/>
            <w:u w:val="single" w:color="auto"/>
            <w:color w:val="0000FF"/>
          </w:rPr>
          <w:t>2</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1">
        <w:r>
          <w:rPr>
            <w:rFonts w:ascii="Arial" w:cs="Arial" w:eastAsia="Arial" w:hAnsi="Arial"/>
            <w:sz w:val="18"/>
            <w:szCs w:val="18"/>
            <w:u w:val="single" w:color="auto"/>
            <w:color w:val="0000FF"/>
          </w:rPr>
          <w:t>4</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2">
        <w:r>
          <w:rPr>
            <w:rFonts w:ascii="Arial" w:cs="Arial" w:eastAsia="Arial" w:hAnsi="Arial"/>
            <w:sz w:val="18"/>
            <w:szCs w:val="18"/>
            <w:u w:val="single" w:color="auto"/>
            <w:color w:val="0000FF"/>
          </w:rPr>
          <w:t>5</w:t>
        </w:r>
      </w:hyperlink>
    </w:p>
    <w:p>
      <w:pPr>
        <w:spacing w:after="0" w:line="62" w:lineRule="exact"/>
        <w:rPr>
          <w:sz w:val="20"/>
          <w:szCs w:val="20"/>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3">
        <w:r>
          <w:rPr>
            <w:rFonts w:ascii="Arial" w:cs="Arial" w:eastAsia="Arial" w:hAnsi="Arial"/>
            <w:sz w:val="18"/>
            <w:szCs w:val="18"/>
            <w:u w:val="single" w:color="auto"/>
            <w:color w:val="0000FF"/>
          </w:rPr>
          <w:t>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4">
        <w:r>
          <w:rPr>
            <w:rFonts w:ascii="Arial" w:cs="Arial" w:eastAsia="Arial" w:hAnsi="Arial"/>
            <w:sz w:val="18"/>
            <w:szCs w:val="18"/>
            <w:u w:val="single" w:color="auto"/>
            <w:color w:val="0000FF"/>
          </w:rPr>
          <w:t>7</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r>
        <w:rPr>
          <w:rFonts w:ascii="Arial" w:cs="Arial" w:eastAsia="Arial" w:hAnsi="Arial"/>
          <w:sz w:val="18"/>
          <w:szCs w:val="18"/>
          <w:u w:val="single" w:color="auto"/>
          <w:color w:val="0000FF"/>
        </w:rPr>
        <w:t>F-</w:t>
      </w:r>
      <w:hyperlink w:anchor="page255">
        <w:r>
          <w:rPr>
            <w:rFonts w:ascii="Arial" w:cs="Arial" w:eastAsia="Arial" w:hAnsi="Arial"/>
            <w:sz w:val="18"/>
            <w:szCs w:val="18"/>
            <w:u w:val="single" w:color="auto"/>
            <w:color w:val="0000FF"/>
          </w:rPr>
          <w:t>8</w:t>
        </w:r>
      </w:hyperlink>
    </w:p>
    <w:p>
      <w:pPr>
        <w:sectPr>
          <w:pgSz w:w="11900" w:h="16838" w:orient="portrait"/>
          <w:cols w:equalWidth="0" w:num="2">
            <w:col w:w="9920" w:space="720"/>
            <w:col w:w="580"/>
          </w:cols>
          <w:pgMar w:left="320" w:top="1440" w:right="359" w:bottom="1440" w:gutter="0" w:footer="0" w:header="0"/>
        </w:sectPr>
      </w:pPr>
    </w:p>
    <w:bookmarkStart w:id="249" w:name="page250"/>
    <w:bookmarkEnd w:id="249"/>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We have audited the accompanying consolidated statements of financial position of Molecular Partners AG and subsidiary (the Group) as of December 31, 2020 and 2019, the related consolidated statements of comprehensive loss, changes in equity, and cash flows for each of the years in the two-year period ended December 31, 2020, and the related notes to the consolidated financial statements (collectively, the consolidated financial statements). In our opinion, the consolidated financial statements present fairly, in all material respects, the financial position of the Group as of December 31, 2020 and 2019, and the results of its operations and its cash flows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2020, in conformity with International Financial Reporting Standards (IFRS) as issued by the International Accounting Standards Board.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Group’s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4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for license and collaboration agreement with Amgen</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discussed in Notes 2 and 5 to the consolidated financial statements, the Group recognized revenue for the year ended December 31, 2020 of CHF 9,344 thousand related to the license and collaboration agreement with Amgen. In December 2018, the Group entered into a license and collaboration agreement with Amgen Inc. and received an upfront payment of $50 million. The Group recognizes revenue for the license and collaboration agreement with Amgen in relation to progress made towards completion of the performance obligation.</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identified the assessment of the progress made towards completion of the performance obligation, including the assessment of the estimated future costs to be incurred, as a critical audit matter. Specifically, the assessment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250" w:name="page251"/>
    <w:bookmarkEnd w:id="250"/>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operational and/or technical collaboration and project requirements that could lead to a change in the amount of estimated project costs, required a high degree of complex auditor judgement.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primary procedures we performed to address the critical audit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assessed the Group’s estimated project costs by:</w:t>
      </w:r>
    </w:p>
    <w:p>
      <w:pPr>
        <w:spacing w:after="0" w:line="158" w:lineRule="exact"/>
        <w:rPr>
          <w:sz w:val="20"/>
          <w:szCs w:val="20"/>
          <w:color w:val="auto"/>
        </w:rPr>
      </w:pPr>
    </w:p>
    <w:p>
      <w:pPr>
        <w:ind w:left="340" w:hanging="324"/>
        <w:spacing w:after="0" w:line="277" w:lineRule="auto"/>
        <w:rPr>
          <w:sz w:val="20"/>
          <w:szCs w:val="20"/>
          <w:color w:val="auto"/>
        </w:rPr>
      </w:pPr>
      <w:r>
        <w:rPr>
          <w:rFonts w:ascii="Arial" w:cs="Arial" w:eastAsia="Arial" w:hAnsi="Arial"/>
          <w:sz w:val="18"/>
          <w:szCs w:val="18"/>
          <w:color w:val="auto"/>
        </w:rPr>
        <w:t>– Performing inquiry of collaboration project leaders to assess the Group’s assertions made in the accounting analysis, collaboration project plan, and the estimated project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Performing a retrospective assessment of historical forecasts of project costs by comparing prior period forecasts to actual results.</w:t>
      </w:r>
    </w:p>
    <w:p>
      <w:pPr>
        <w:spacing w:after="0" w:line="157" w:lineRule="exact"/>
        <w:rPr>
          <w:sz w:val="20"/>
          <w:szCs w:val="20"/>
          <w:color w:val="auto"/>
        </w:rPr>
      </w:pPr>
    </w:p>
    <w:p>
      <w:pPr>
        <w:ind w:left="340" w:right="20" w:hanging="324"/>
        <w:spacing w:after="0" w:line="263" w:lineRule="auto"/>
        <w:rPr>
          <w:sz w:val="20"/>
          <w:szCs w:val="20"/>
          <w:color w:val="auto"/>
        </w:rPr>
      </w:pPr>
      <w:r>
        <w:rPr>
          <w:rFonts w:ascii="Arial" w:cs="Arial" w:eastAsia="Arial" w:hAnsi="Arial"/>
          <w:sz w:val="18"/>
          <w:szCs w:val="18"/>
          <w:color w:val="auto"/>
        </w:rPr>
        <w:t>– Assessing management’s process for estimating total project costs to complete by selecting certain vendor contracts and obtaining underlying evidence including but not limited to actual invoices, email correspondence, clinical development progress, and collaboration project committee meeting minutes to evaluate the estimated project costs.</w:t>
      </w:r>
    </w:p>
    <w:p>
      <w:pPr>
        <w:spacing w:after="0" w:line="116" w:lineRule="exact"/>
        <w:rPr>
          <w:sz w:val="20"/>
          <w:szCs w:val="20"/>
          <w:color w:val="auto"/>
        </w:rPr>
      </w:pPr>
    </w:p>
    <w:p>
      <w:pPr>
        <w:ind w:left="340" w:right="60" w:hanging="324"/>
        <w:spacing w:after="0" w:line="277" w:lineRule="auto"/>
        <w:rPr>
          <w:sz w:val="20"/>
          <w:szCs w:val="20"/>
          <w:color w:val="auto"/>
        </w:rPr>
      </w:pPr>
      <w:r>
        <w:rPr>
          <w:rFonts w:ascii="Arial" w:cs="Arial" w:eastAsia="Arial" w:hAnsi="Arial"/>
          <w:sz w:val="18"/>
          <w:szCs w:val="18"/>
          <w:color w:val="auto"/>
        </w:rPr>
        <w:t>– Obtaining the minutes of the collaboration project committees and comparing with other evidence obtained regarding clinical development progress to assess that any changes are properly reflected in the estimated project costs.</w:t>
      </w:r>
    </w:p>
    <w:p>
      <w:pPr>
        <w:spacing w:after="0" w:line="89" w:lineRule="exact"/>
        <w:rPr>
          <w:sz w:val="20"/>
          <w:szCs w:val="20"/>
          <w:color w:val="auto"/>
        </w:rPr>
      </w:pPr>
    </w:p>
    <w:p>
      <w:pPr>
        <w:ind w:left="340" w:right="260" w:hanging="324"/>
        <w:spacing w:after="0" w:line="277" w:lineRule="auto"/>
        <w:rPr>
          <w:sz w:val="20"/>
          <w:szCs w:val="20"/>
          <w:color w:val="auto"/>
        </w:rPr>
      </w:pPr>
      <w:r>
        <w:rPr>
          <w:rFonts w:ascii="Arial" w:cs="Arial" w:eastAsia="Arial" w:hAnsi="Arial"/>
          <w:sz w:val="18"/>
          <w:szCs w:val="18"/>
          <w:color w:val="auto"/>
        </w:rPr>
        <w:t>– Evaluating the Group’s assessment of project costs incurred to date relative to the Group’s estimated project costs. For a sample of costs incurred to date, we compared such costs to underlying invoices, certain vendor contracts and other records obtained.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KPMG AG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Group’s auditor since 2009.</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Financial Position</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w:t>
            </w: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r>
      <w:tr>
        <w:trPr>
          <w:trHeight w:val="213"/>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Note</w:t>
            </w: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9,387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9,734</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5,014</w:t>
            </w:r>
          </w:p>
        </w:tc>
      </w:tr>
      <w:tr>
        <w:trPr>
          <w:trHeight w:val="270"/>
        </w:trPr>
        <w:tc>
          <w:tcPr>
            <w:tcW w:w="67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spacing w:after="0"/>
              <w:rPr>
                <w:sz w:val="23"/>
                <w:szCs w:val="23"/>
                <w:color w:val="auto"/>
              </w:rPr>
            </w:pPr>
          </w:p>
        </w:tc>
        <w:tc>
          <w:tcPr>
            <w:tcW w:w="1680" w:type="dxa"/>
            <w:vAlign w:val="bottom"/>
            <w:gridSpan w:val="2"/>
            <w:shd w:val="clear" w:color="auto" w:fill="CCEEFF"/>
          </w:tcPr>
          <w:p>
            <w:pPr>
              <w:spacing w:after="0"/>
              <w:rPr>
                <w:sz w:val="23"/>
                <w:szCs w:val="23"/>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19,368</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accrued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2,837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2,344</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177,812</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99,921</w:t>
            </w:r>
          </w:p>
        </w:tc>
      </w:tr>
      <w:tr>
        <w:trPr>
          <w:trHeight w:val="257"/>
        </w:trPr>
        <w:tc>
          <w:tcPr>
            <w:tcW w:w="67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spacing w:after="0"/>
              <w:rPr>
                <w:sz w:val="22"/>
                <w:szCs w:val="22"/>
                <w:color w:val="auto"/>
              </w:rPr>
            </w:pPr>
          </w:p>
        </w:tc>
        <w:tc>
          <w:tcPr>
            <w:tcW w:w="1680" w:type="dxa"/>
            <w:vAlign w:val="bottom"/>
            <w:gridSpan w:val="2"/>
            <w:shd w:val="clear" w:color="auto" w:fill="CCEEFF"/>
          </w:tcPr>
          <w:p>
            <w:pPr>
              <w:spacing w:after="0"/>
              <w:rPr>
                <w:sz w:val="22"/>
                <w:szCs w:val="22"/>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187,546</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104,935</w:t>
            </w:r>
          </w:p>
        </w:tc>
      </w:tr>
      <w:tr>
        <w:trPr>
          <w:trHeight w:val="250"/>
        </w:trPr>
        <w:tc>
          <w:tcPr>
            <w:tcW w:w="67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Shareholders' equity and liabilities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08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299,479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182,849</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losses</w:t>
            </w:r>
          </w:p>
        </w:tc>
        <w:tc>
          <w:tcPr>
            <w:tcW w:w="10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(130,870)</w:t>
            </w:r>
          </w:p>
        </w:tc>
      </w:tr>
      <w:tr>
        <w:trPr>
          <w:trHeight w:val="22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107,220</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54,139</w:t>
            </w:r>
          </w:p>
        </w:tc>
      </w:tr>
      <w:tr>
        <w:trPr>
          <w:trHeight w:val="250"/>
        </w:trPr>
        <w:tc>
          <w:tcPr>
            <w:tcW w:w="67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Contract liability</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10,017</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Employee benefits</w:t>
            </w: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13,678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10,896</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22,656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22,191</w:t>
            </w:r>
          </w:p>
        </w:tc>
      </w:tr>
      <w:tr>
        <w:trPr>
          <w:trHeight w:val="270"/>
        </w:trPr>
        <w:tc>
          <w:tcPr>
            <w:tcW w:w="67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00" w:type="dxa"/>
            <w:vAlign w:val="bottom"/>
            <w:gridSpan w:val="2"/>
          </w:tcPr>
          <w:p>
            <w:pPr>
              <w:spacing w:after="0"/>
              <w:rPr>
                <w:sz w:val="23"/>
                <w:szCs w:val="23"/>
                <w:color w:val="auto"/>
              </w:rPr>
            </w:pPr>
          </w:p>
        </w:tc>
        <w:tc>
          <w:tcPr>
            <w:tcW w:w="1680" w:type="dxa"/>
            <w:vAlign w:val="bottom"/>
            <w:gridSpan w:val="2"/>
          </w:tcPr>
          <w:p>
            <w:pPr>
              <w:spacing w:after="0"/>
              <w:rPr>
                <w:sz w:val="23"/>
                <w:szCs w:val="23"/>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payables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7,718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6,618</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42,948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18,310</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1,267</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0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57,670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28,605</w:t>
            </w:r>
          </w:p>
        </w:tc>
      </w:tr>
      <w:tr>
        <w:trPr>
          <w:trHeight w:val="22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80,326</w:t>
            </w:r>
          </w:p>
        </w:tc>
        <w:tc>
          <w:tcPr>
            <w:tcW w:w="1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50,796</w:t>
            </w:r>
          </w:p>
        </w:tc>
      </w:tr>
      <w:tr>
        <w:trPr>
          <w:trHeight w:val="236"/>
        </w:trPr>
        <w:tc>
          <w:tcPr>
            <w:tcW w:w="67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shareholders' equity and liabilities</w:t>
            </w:r>
          </w:p>
        </w:tc>
        <w:tc>
          <w:tcPr>
            <w:tcW w:w="10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187,546</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104,935</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Comprehensive Loss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17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70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Note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40"/>
        </w:trPr>
        <w:tc>
          <w:tcPr>
            <w:tcW w:w="6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research and development collaborations</w:t>
            </w:r>
          </w:p>
        </w:tc>
        <w:tc>
          <w:tcPr>
            <w:tcW w:w="17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170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9,344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20,383</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(43,498)</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Borders>
              <w:bottom w:val="single" w:sz="8" w:color="CCEEFF"/>
            </w:tcBorders>
          </w:tcPr>
          <w:p>
            <w:pPr>
              <w:jc w:val="right"/>
              <w:ind w:right="91"/>
              <w:spacing w:after="0"/>
              <w:rPr>
                <w:sz w:val="20"/>
                <w:szCs w:val="20"/>
                <w:color w:val="auto"/>
              </w:rPr>
            </w:pPr>
            <w:r>
              <w:rPr>
                <w:rFonts w:ascii="Arial" w:cs="Arial" w:eastAsia="Arial" w:hAnsi="Arial"/>
                <w:sz w:val="18"/>
                <w:szCs w:val="18"/>
                <w:color w:val="auto"/>
              </w:rPr>
              <w:t>16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(13,545)</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r>
      <w:tr>
        <w:trPr>
          <w:trHeight w:val="256"/>
        </w:trPr>
        <w:tc>
          <w:tcPr>
            <w:tcW w:w="628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result</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(58,326)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(36,660)</w:t>
            </w:r>
          </w:p>
        </w:tc>
      </w:tr>
      <w:tr>
        <w:trPr>
          <w:trHeight w:val="257"/>
        </w:trPr>
        <w:tc>
          <w:tcPr>
            <w:tcW w:w="6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Financial expenses</w:t>
            </w:r>
          </w:p>
        </w:tc>
        <w:tc>
          <w:tcPr>
            <w:tcW w:w="170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19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finance result</w:t>
            </w:r>
          </w:p>
        </w:tc>
        <w:tc>
          <w:tcPr>
            <w:tcW w:w="17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r>
      <w:tr>
        <w:trPr>
          <w:trHeight w:val="237"/>
        </w:trPr>
        <w:tc>
          <w:tcPr>
            <w:tcW w:w="6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 before income taxes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(36,271)</w:t>
            </w:r>
          </w:p>
        </w:tc>
      </w:tr>
      <w:tr>
        <w:trPr>
          <w:trHeight w:val="270"/>
        </w:trPr>
        <w:tc>
          <w:tcPr>
            <w:tcW w:w="6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Net result, attributable to shareholders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(62,764)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(36,288)</w:t>
            </w: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result</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7"/>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Items that will not be reclassified to profit or loss</w:t>
            </w:r>
          </w:p>
        </w:tc>
        <w:tc>
          <w:tcPr>
            <w:tcW w:w="1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 of net pension liabilities, net of tax</w:t>
            </w:r>
          </w:p>
        </w:tc>
        <w:tc>
          <w:tcPr>
            <w:tcW w:w="17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r>
        <w:trPr>
          <w:trHeight w:val="256"/>
        </w:trPr>
        <w:tc>
          <w:tcPr>
            <w:tcW w:w="6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Items that are or may be reclassified subsequently to profit or loss</w:t>
            </w:r>
          </w:p>
        </w:tc>
        <w:tc>
          <w:tcPr>
            <w:tcW w:w="17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6"/>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result, net of tax</w:t>
            </w:r>
          </w:p>
        </w:tc>
        <w:tc>
          <w:tcPr>
            <w:tcW w:w="17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(4,725)</w:t>
            </w:r>
          </w:p>
        </w:tc>
      </w:tr>
      <w:tr>
        <w:trPr>
          <w:trHeight w:val="236"/>
        </w:trPr>
        <w:tc>
          <w:tcPr>
            <w:tcW w:w="6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result, attributable to shareholders</w:t>
            </w:r>
          </w:p>
        </w:tc>
        <w:tc>
          <w:tcPr>
            <w:tcW w:w="1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(41,013)</w:t>
            </w:r>
          </w:p>
        </w:tc>
      </w:tr>
      <w:tr>
        <w:trPr>
          <w:trHeight w:val="256"/>
        </w:trPr>
        <w:tc>
          <w:tcPr>
            <w:tcW w:w="6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and diluted net result per share</w:t>
            </w:r>
          </w:p>
        </w:tc>
        <w:tc>
          <w:tcPr>
            <w:tcW w:w="1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439"/>
        </w:trPr>
        <w:tc>
          <w:tcPr>
            <w:tcW w:w="9680" w:type="dxa"/>
            <w:vAlign w:val="bottom"/>
            <w:gridSpan w:val="4"/>
          </w:tcPr>
          <w:p>
            <w:pPr>
              <w:ind w:left="2140"/>
              <w:spacing w:after="0"/>
              <w:rPr>
                <w:sz w:val="20"/>
                <w:szCs w:val="20"/>
                <w:color w:val="auto"/>
              </w:rPr>
            </w:pPr>
            <w:r>
              <w:rPr>
                <w:rFonts w:ascii="Arial" w:cs="Arial" w:eastAsia="Arial" w:hAnsi="Arial"/>
                <w:sz w:val="18"/>
                <w:szCs w:val="18"/>
                <w:i w:val="1"/>
                <w:iCs w:val="1"/>
                <w:color w:val="auto"/>
                <w:w w:val="97"/>
              </w:rPr>
              <w:t>See accompanying notes, which form an integral part of these consolidated financial statements.</w:t>
            </w:r>
          </w:p>
        </w:tc>
        <w:tc>
          <w:tcPr>
            <w:tcW w:w="1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Cash Flows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19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19"/>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Note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199"/>
        </w:trPr>
        <w:tc>
          <w:tcPr>
            <w:tcW w:w="6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 attributable to shareholders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(36,288)</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Adjustments for:</w:t>
            </w:r>
          </w:p>
        </w:tc>
        <w:tc>
          <w:tcPr>
            <w:tcW w:w="1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 / 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Share-based compensation costs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18</w:t>
            </w:r>
          </w:p>
        </w:tc>
        <w:tc>
          <w:tcPr>
            <w:tcW w:w="156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employee benefits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Income tax</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income</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Financial expenses</w:t>
            </w:r>
          </w:p>
        </w:tc>
        <w:tc>
          <w:tcPr>
            <w:tcW w:w="19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560" w:type="dxa"/>
            <w:vAlign w:val="bottom"/>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working capital:</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Change in prepaid expenses and accrued income</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trade and other receivables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49,570</w:t>
            </w: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Change in trade and other payables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contract liability</w:t>
            </w: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9"/>
        </w:trPr>
        <w:tc>
          <w:tcPr>
            <w:tcW w:w="6120" w:type="dxa"/>
            <w:vAlign w:val="bottom"/>
          </w:tcPr>
          <w:p>
            <w:pPr>
              <w:ind w:left="360"/>
              <w:spacing w:after="0"/>
              <w:rPr>
                <w:sz w:val="20"/>
                <w:szCs w:val="20"/>
                <w:color w:val="auto"/>
              </w:rPr>
            </w:pPr>
            <w:r>
              <w:rPr>
                <w:rFonts w:ascii="Arial" w:cs="Arial" w:eastAsia="Arial" w:hAnsi="Arial"/>
                <w:sz w:val="18"/>
                <w:szCs w:val="18"/>
                <w:color w:val="auto"/>
              </w:rPr>
              <w:t>Change in accrued expenses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gain/(loss) on working capital positions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financial expense</w:t>
            </w:r>
          </w:p>
        </w:tc>
        <w:tc>
          <w:tcPr>
            <w:tcW w:w="1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r>
      <w:tr>
        <w:trPr>
          <w:trHeight w:val="270"/>
        </w:trPr>
        <w:tc>
          <w:tcPr>
            <w:tcW w:w="6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investments in short term time deposits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56,630</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Investments in short term time deposits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(73,397)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(75,998)</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Acquisition of intangible assets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7</w:t>
            </w:r>
          </w:p>
        </w:tc>
        <w:tc>
          <w:tcPr>
            <w:tcW w:w="15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received</w:t>
            </w:r>
          </w:p>
        </w:tc>
        <w:tc>
          <w:tcPr>
            <w:tcW w:w="19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cash from (used in) investing activities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(21,746)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(19,836)</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Proceeds from issuance of new shares, net of transaction costs</w:t>
            </w:r>
          </w:p>
        </w:tc>
        <w:tc>
          <w:tcPr>
            <w:tcW w:w="190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113,613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 net of transaction costs</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principal portion of lease liabilities</w:t>
            </w:r>
          </w:p>
        </w:tc>
        <w:tc>
          <w:tcPr>
            <w:tcW w:w="19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from (used in) financing activities</w:t>
            </w:r>
          </w:p>
        </w:tc>
        <w:tc>
          <w:tcPr>
            <w:tcW w:w="19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113,202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r>
      <w:tr>
        <w:trPr>
          <w:trHeight w:val="270"/>
        </w:trPr>
        <w:tc>
          <w:tcPr>
            <w:tcW w:w="6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gain/(loss) on cash positions</w:t>
            </w:r>
          </w:p>
        </w:tc>
        <w:tc>
          <w:tcPr>
            <w:tcW w:w="19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58,009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(23,246)</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January 1</w:t>
            </w:r>
          </w:p>
        </w:tc>
        <w:tc>
          <w:tcPr>
            <w:tcW w:w="19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75,712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98,958</w:t>
            </w:r>
          </w:p>
        </w:tc>
      </w:tr>
      <w:tr>
        <w:trPr>
          <w:trHeight w:val="270"/>
        </w:trPr>
        <w:tc>
          <w:tcPr>
            <w:tcW w:w="61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r>
      <w:tr>
        <w:trPr>
          <w:trHeight w:val="22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December 31</w:t>
            </w:r>
          </w:p>
        </w:tc>
        <w:tc>
          <w:tcPr>
            <w:tcW w:w="1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133,721</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75,712</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240"/>
          </w:cols>
          <w:pgMar w:left="320" w:top="1440" w:right="339" w:bottom="1440" w:gutter="0" w:footer="0" w:header="0"/>
          <w:type w:val="continuous"/>
        </w:sectPr>
      </w:pPr>
    </w:p>
    <w:bookmarkStart w:id="254" w:name="page255"/>
    <w:bookmarkEnd w:id="254"/>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Consolidated Statement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66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Share capital</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Additional paid-in</w:t>
            </w:r>
          </w:p>
        </w:tc>
        <w:tc>
          <w:tcPr>
            <w:tcW w:w="166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w w:val="95"/>
              </w:rPr>
              <w:t>Cumulative losses</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Total shareholders'</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1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capital</w:t>
            </w:r>
          </w:p>
        </w:tc>
        <w:tc>
          <w:tcPr>
            <w:tcW w:w="1660" w:type="dxa"/>
            <w:vAlign w:val="bottom"/>
            <w:tcBorders>
              <w:bottom w:val="single" w:sz="8" w:color="auto"/>
            </w:tcBorders>
            <w:gridSpan w:val="2"/>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179,438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91,704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result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(36,288)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Remeasurement of net pension liabilities </w:t>
            </w:r>
            <w:r>
              <w:rPr>
                <w:rFonts w:ascii="Arial" w:cs="Arial" w:eastAsia="Arial" w:hAnsi="Arial"/>
                <w:sz w:val="23"/>
                <w:szCs w:val="23"/>
                <w:color w:val="auto"/>
                <w:vertAlign w:val="superscript"/>
              </w:rPr>
              <w:t>(1)</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(41,013)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 of stock options, net of transaction costs </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At January 1, 2020</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182,849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(130,870)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54,139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result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Remeasurement of net pension liabilities </w:t>
            </w:r>
            <w:r>
              <w:rPr>
                <w:rFonts w:ascii="Arial" w:cs="Arial" w:eastAsia="Arial" w:hAnsi="Arial"/>
                <w:sz w:val="23"/>
                <w:szCs w:val="23"/>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 on translation foreign costs</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(64,304)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Issuance of new shares, net of transaction costs</w:t>
            </w:r>
            <w:r>
              <w:rPr>
                <w:rFonts w:ascii="Arial" w:cs="Arial" w:eastAsia="Arial" w:hAnsi="Arial"/>
                <w:sz w:val="23"/>
                <w:szCs w:val="23"/>
                <w:color w:val="auto"/>
                <w:vertAlign w:val="superscript"/>
              </w:rPr>
              <w:t>(3)</w:t>
            </w:r>
          </w:p>
        </w:tc>
        <w:tc>
          <w:tcPr>
            <w:tcW w:w="15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112,886</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113,613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Exercise of stock options, net of transaction costs </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2,915</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299,479</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(195,174)</w:t>
            </w: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107,220</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320" w:hanging="312"/>
        <w:spacing w:after="0"/>
        <w:tabs>
          <w:tab w:leader="none" w:pos="32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See note 18</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See note 12</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See note 1 and note 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which form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1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Notes to the Consolidated Financial Statements</w:t>
      </w:r>
    </w:p>
    <w:p>
      <w:pPr>
        <w:spacing w:after="0" w:line="306" w:lineRule="exact"/>
        <w:rPr>
          <w:sz w:val="20"/>
          <w:szCs w:val="20"/>
          <w:color w:val="auto"/>
        </w:rPr>
      </w:pPr>
    </w:p>
    <w:p>
      <w:pPr>
        <w:ind w:left="380" w:hanging="372"/>
        <w:spacing w:after="0"/>
        <w:tabs>
          <w:tab w:leader="none" w:pos="38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color w:val="auto"/>
        </w:rPr>
        <w:t>General Information</w:t>
      </w:r>
    </w:p>
    <w:p>
      <w:pPr>
        <w:spacing w:after="0" w:line="1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Molecular Partners AG, or the Company, and its subsidiary, or, collectively, Molecular Partners, Group, is a clinical stage biopharmaceutical company focusing on the discovery, development and commercialization of DARPin®, a novel class of therapeutic proteins. DARPin® combine the specificity and selectivity of monoclonal antibodies, or mAbs, with many properties of small molecules, enabling new therapeutic approaches.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w:t>
      </w:r>
      <w:r>
        <w:rPr>
          <w:rFonts w:ascii="Arial" w:cs="Arial" w:eastAsia="Arial" w:hAnsi="Arial"/>
          <w:sz w:val="16"/>
          <w:szCs w:val="16"/>
          <w:i w:val="1"/>
          <w:iCs w:val="1"/>
          <w:color w:val="auto"/>
        </w:rPr>
        <w:t>Aktiengesellschaften</w:t>
      </w:r>
      <w:r>
        <w:rPr>
          <w:rFonts w:ascii="Arial" w:cs="Arial" w:eastAsia="Arial" w:hAnsi="Arial"/>
          <w:sz w:val="16"/>
          <w:szCs w:val="16"/>
          <w:color w:val="auto"/>
        </w:rPr>
        <w:t>).</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audited consolidated financial statements as of and for the twelve-month period ended December 31, 2020 comprise Molecular Partners AG and Molecular Partners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shares are listed on the SIX Swiss Exchange (Ticker: MOLN) since November 5, 2014.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reporting period</w:t>
      </w:r>
    </w:p>
    <w:p>
      <w:pPr>
        <w:spacing w:after="0" w:line="16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Allergan, an AbbVie Company following the acquisition by AbbVie, announced in June 2020 that the U.S. Food and Drug Administration issued a Complete Response Letter to the Biologics License Application for abicipar. AbbVie is to determine appropriate next steps with relevant regulatory agencies.</w:t>
      </w:r>
    </w:p>
    <w:p>
      <w:pPr>
        <w:spacing w:after="0" w:line="1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Group announced on July 7, 2020 a placement of 5,528,089 new registered shares, corresponding to approximately 25% of the Group's registered share capital, by way of an accelerated bookbuilding process, at an offering price of CHF 14.50 per share. The gross proceeds, before deducting commissions and offering expenses, amounted to CHF 80.2 million. The offering included participation by new and existing institutional investors in Switzerland, the United States and the European Union. Please also see note 12.</w:t>
      </w:r>
    </w:p>
    <w:p>
      <w:pPr>
        <w:spacing w:after="0" w:line="1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11, 2020 the Group announced the reservation by the Swiss Federal Office of Public Health: Bundesamt für Gesundheit (FOPH-BAG) of a defined number of initial doses of the Group's anti-COVID-19 candidate, MP0420. Under the terms of the agreement, the Group has received a reservation fee of CHF 7,0 million. This will secure priority access for the FOPH-BAG to purchase reserved doses of MP0420, if clinical trials are successful and MP0420 is approved in Switzerland. Clinical studies were initiated in Q4 2020. See also note 5.</w:t>
      </w:r>
    </w:p>
    <w:p>
      <w:pPr>
        <w:spacing w:after="0" w:line="11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October 28, 2020 the Group announced an Option and Equity Rights agreement with Novartis. Novartis has been granted an option to in-license global rights of MP0420 and MP0423 – multi-targeted direct-acting antiviral therapeutic candidates demonstrating potential efficacy against COVID-19. Under the terms of the agreement, Molecular Partners has received a non-refundable cash payment of CHF 20 million for development activities relating to tech transfer and manufacturing for the commercial supply of MP0420. As part of the transaction, Novartis also agreed to acquire CHF 40 million worth of common shares, at a price of CHF 23 per share. As a result, Novartis holds approximately 6% of the outstanding shares of the Company as of December 31, 2020. Molecular Partners is eligible to receive a future payment of CHF 150 million, upon Novartis exercising the option for an exclusive license to both therapeutic candidates, two milestone payments of CHF 2.5 million each related to Phase 1 activities for MP0423 plus a 22% royalty on future commercial sales. Molecular Partners has agreed to forgo royalties in lower income countries, and is aligned with Novartis’ plans to ensure affordability based on countries’ needs and capabilities. Please also see note 5 and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320" w:top="1440" w:right="399" w:bottom="1440" w:gutter="0" w:footer="0" w:header="0"/>
        </w:sectPr>
      </w:pPr>
    </w:p>
    <w:bookmarkStart w:id="256" w:name="page257"/>
    <w:bookmarkEnd w:id="256"/>
    <w:p>
      <w:pPr>
        <w:spacing w:after="0" w:line="131" w:lineRule="exact"/>
        <w:rPr>
          <w:sz w:val="20"/>
          <w:szCs w:val="20"/>
          <w:color w:val="auto"/>
        </w:rPr>
      </w:pPr>
    </w:p>
    <w:p>
      <w:pPr>
        <w:ind w:right="6780" w:firstLine="8"/>
        <w:spacing w:after="0" w:line="377" w:lineRule="auto"/>
        <w:tabs>
          <w:tab w:leader="none" w:pos="378"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Basis of Preparation</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the International Financial Reporting Standards, or IFRS, as issued by the IASB. The accounting policies set forth below have been consistently applied to all years presented. Unless stated otherwise, all financial statements are presented in thousands of Swiss Francs, or TCHF.</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consolidated financial statements have been prepared under the historical cost convention. The preparation of financial statements in conformity with IFRS requires the use of certain critical accounting estimates. It also requires management to exercise its judgment in the process of applying the Group's accounting policies. The areas involving a higher degree of judgment or complexity, or areas where assumptions and estimates are significant to the financial statements are disclosed in note 4 “Critical accounting estimates and judgments”.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Group is monitoring the situation surrounding the COVID-19 pandemic and its potential impact on patients, the team, the partners and the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twelve month period ended December 31, 2020 as well as of the reporting date there are no, nor were there any, major disruptions to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Group continues to comply with all local and federal instructions as it relates to the safety of our employees, patients, and citizens.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Group's cash position at December 31, 2020 and supported by the above, the Group deemed there to be no material uncertainties that would cast doubt on the Group's ability to operate on a going concern basis.</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consolidated financial statements as of and for the period ended December 31, 2020 were approved for issuance by the Company's Board of Directors on February 24,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the numbers presented in the financial statements might not precisely equal those included in the accompanying notes.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consolidation</w:t>
      </w:r>
    </w:p>
    <w:p>
      <w:pPr>
        <w:spacing w:after="0" w:line="1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Subsidiaries</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(ii) Transactions eliminated on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Intra-group balances and transactions, and any unrealized income and expenses arising from intra-group transactions, are eliminated.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or Revised IFRS Standards and Interpretations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new or revised standards that became effective during 2020 did not have a material effect on these consolidated financial statements:</w:t>
      </w:r>
    </w:p>
    <w:p>
      <w:pPr>
        <w:spacing w:after="0" w:line="169" w:lineRule="exact"/>
        <w:rPr>
          <w:sz w:val="20"/>
          <w:szCs w:val="20"/>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Amendments to References to Conceptual Framework in IFRS Standards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Definition of Material (Amendments to IAS 1 and IAS 8)</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Definition of a Business (Amendments to IFRS 3)</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Interest Rate Benchmark Reform (Amendments to IFRS 9, IAS 39 and IFRS 7)</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COVID-19-Related Rent Concessions (Amendment to IFRS 16)</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Several new or revised standards have been published that are not yet effective and that have not been early adopted. No significant impacts on the Group's consolidated financial statements are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1440" w:right="359" w:bottom="1440" w:gutter="0" w:footer="0" w:header="0"/>
        </w:sectPr>
      </w:pPr>
    </w:p>
    <w:bookmarkStart w:id="257" w:name="page258"/>
    <w:bookmarkEnd w:id="257"/>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Reporting</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Group operates in one segment, focusing on the discovery, development and prospective commercialization of a new class of biopharmaceutical products. The executive management, acting together as the chief operating decision makers, assess the financial performance and allocate resources on an aggregated level, and monitor the Group's operating expenses. Accounting policies applied are the same for both internal and external reporting purposes. The Group derives its research and collaboration revenues from research and development collaborations with third parties.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Translation / Transactions</w:t>
      </w:r>
    </w:p>
    <w:p>
      <w:pPr>
        <w:spacing w:after="0" w:line="1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are presented in thousands of CHF. The presentation currency of the Group is the functional currency of the Company. 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profit or loss.</w:t>
      </w:r>
    </w:p>
    <w:p>
      <w:pPr>
        <w:spacing w:after="0" w:line="10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results and financial position of foreign operations that have a functional currency different from the presentation currency are translated into the presentation currency as follows:</w:t>
      </w:r>
    </w:p>
    <w:p>
      <w:pPr>
        <w:spacing w:after="0" w:line="103" w:lineRule="exact"/>
        <w:rPr>
          <w:sz w:val="20"/>
          <w:szCs w:val="20"/>
          <w:color w:val="auto"/>
        </w:rPr>
      </w:pPr>
    </w:p>
    <w:p>
      <w:pPr>
        <w:ind w:left="320" w:hanging="312"/>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assets and liabilities are translated at the closing rate at the date of the respective balance sheet;</w:t>
      </w:r>
    </w:p>
    <w:p>
      <w:pPr>
        <w:spacing w:after="0" w:line="157" w:lineRule="exact"/>
        <w:rPr>
          <w:rFonts w:ascii="Arial" w:cs="Arial" w:eastAsia="Arial" w:hAnsi="Arial"/>
          <w:sz w:val="18"/>
          <w:szCs w:val="18"/>
          <w:color w:val="auto"/>
        </w:rPr>
      </w:pPr>
    </w:p>
    <w:p>
      <w:pPr>
        <w:ind w:left="340" w:right="280" w:hanging="332"/>
        <w:spacing w:after="0" w:line="263" w:lineRule="auto"/>
        <w:tabs>
          <w:tab w:leader="none" w:pos="3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income and expenses for each consolidated statement of comprehensive loss are translated at average exchange rates (unless this is not a reasonable approximation of the cumulative effect of the rates prevailing on the transaction dates, in which case income and expenses are translated at the exchange rates at the dates of the transactions); and</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resulting exchange differences are recognized in other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15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Laboratory equipment, Office equipment, IT hardware and Leasehold improvements are stated at historical cost less accumulated depreciation and any impairment. Historical cost includes expenditures that are directly attributable to the acquisition of the items. Depreciation is calculated on a straight-line basis over the expected useful lives of the individual assets or asset categories. The applicable estimated useful lives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5040" w:type="dxa"/>
            <w:vAlign w:val="bottom"/>
            <w:tcBorders>
              <w:top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w w:val="88"/>
              </w:rPr>
              <w:t>5 years</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5040" w:type="dxa"/>
            <w:vAlign w:val="bottom"/>
          </w:tcPr>
          <w:p>
            <w:pPr>
              <w:ind w:left="4500"/>
              <w:spacing w:after="0"/>
              <w:rPr>
                <w:sz w:val="20"/>
                <w:szCs w:val="20"/>
                <w:color w:val="auto"/>
              </w:rPr>
            </w:pPr>
            <w:r>
              <w:rPr>
                <w:rFonts w:ascii="Arial" w:cs="Arial" w:eastAsia="Arial" w:hAnsi="Arial"/>
                <w:sz w:val="18"/>
                <w:szCs w:val="18"/>
                <w:color w:val="auto"/>
                <w:w w:val="88"/>
              </w:rPr>
              <w:t>3 years</w:t>
            </w:r>
          </w:p>
        </w:tc>
      </w:tr>
      <w:tr>
        <w:trPr>
          <w:trHeight w:val="230"/>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 hardware:</w:t>
            </w:r>
          </w:p>
        </w:tc>
        <w:tc>
          <w:tcPr>
            <w:tcW w:w="5040" w:type="dxa"/>
            <w:vAlign w:val="bottom"/>
            <w:tcBorders>
              <w:bottom w:val="single" w:sz="8" w:color="auto"/>
            </w:tcBorders>
            <w:shd w:val="clear" w:color="auto" w:fill="CCEEFF"/>
          </w:tcPr>
          <w:p>
            <w:pPr>
              <w:ind w:left="4500"/>
              <w:spacing w:after="0"/>
              <w:rPr>
                <w:sz w:val="20"/>
                <w:szCs w:val="20"/>
                <w:color w:val="auto"/>
              </w:rPr>
            </w:pPr>
            <w:r>
              <w:rPr>
                <w:rFonts w:ascii="Arial" w:cs="Arial" w:eastAsia="Arial" w:hAnsi="Arial"/>
                <w:sz w:val="18"/>
                <w:szCs w:val="18"/>
                <w:color w:val="auto"/>
                <w:w w:val="88"/>
              </w:rPr>
              <w:t>2 years</w:t>
            </w:r>
          </w:p>
        </w:tc>
      </w:tr>
    </w:tbl>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Leasehold improvements and right-of-use assets are depreciated using the straight line method over the shorter of their estimated useful life and the lease term.</w:t>
      </w:r>
    </w:p>
    <w:p>
      <w:pPr>
        <w:spacing w:after="0" w:line="1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Subsequent costs are included in each asset’s carrying amount or recognized as a separate asset, as appropriate, only when it is probable that future economic benefits associated with the item will flow to the Group and the cost of the item can be measured reliably. Repairs and maintenance are charged to profit or loss during the financial period in which they are incurred.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reporting date. An asset’s carrying amount is written down to its recoverable amount, if the asset's carrying amount exceeds its estimated recoverable amount.</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Cost and accumulated depreciation related to assets retired or otherwise disposed are derecognized at the time of retirement or disposal and any resulting gain or loss is included in profit or loss in the period of retirement or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138"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Intangible assets currently solely comprise of IT software. They are stated at historical cost less accumulated amortization and any impairment. Historical cost includes expenditures that are directly attributable to the acquisition of the items. Amortization is calculated on a straight-line basis over the expected useful lives of the individual assets or asset categories. The applicable estimated useful life of intangible assets is determined to be two years.</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Leases</w:t>
      </w:r>
    </w:p>
    <w:p>
      <w:pPr>
        <w:spacing w:after="0" w:line="15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At inception of a contract, the Group assesses whether a contract is, or contains a lease. This is the case if the contract conveys the right to control the use of an identified asset for a period of time in exchange for consideration. The Group has elected not to recognize right-of-use assets and lease liabilities for leases of low-value assets (threshold of CHF 5,000) and short-term leases. Short-term leases are leases with a lease term of 12 months or less that do not contain a purchase option. For all other leases the Group recognizes a right-of-use asset and a lease liability at the lease commencement date.</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Subsequently the right-of-use asset is depreciated using the straight-line method over the shorter of the asset's useful life and the lease term.</w:t>
      </w:r>
    </w:p>
    <w:p>
      <w:pPr>
        <w:spacing w:after="0" w:line="11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lease liability is initially measured at the present value of the lease payments required over the lease term that are not paid at the commencement date, discounted using the Group’s incremental borrowing rate, as the interest rate implicit in the lease generally cannot be readily determined. Lease payments that are included in the measurement of the lease liability include fixed payments or in-substance fixed payments and variable payments that depend on an index.</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Subsequently, the lease liability is measured at amortized cost using the effective interest method. The Group remeasures the lease liability when there is a change in future lease payments arising from a change in index, or if the group changes its assessment of whether it will exercise an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9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Each lease payment is allocated between the liability and finance cost. The finance cost is charged to profit or loss over the lease period so as to produce a constant periodic rate of interest on the remaining balance of the lease liability for each period. The Group does not provide residual value guarantees and does not have any leases not yet commenced to which it is committed. The Group is presenting right-of-use assets in Property, Plant and Equipment, whereas lease liabilities are presented separately within current and non-current liabilities in the consolidated statement of financial position.</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non-financial Assets</w:t>
      </w:r>
    </w:p>
    <w:p>
      <w:pPr>
        <w:spacing w:after="0" w:line="1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Non-financial assets that are subject to depreciation or amortization are reviewed for impairment whenever events or changes in circumstances indicate that the carrying amount exceeds their recoverable amount. An impairment loss is recognized for this difference. The recoverable amount is the higher of an asset’s fair value less costs of disposal and value in use. For the purpose of assessing impairment, assets are grouped at the lowest levels for which there are separately identifiable cash flows.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Assets at Amortized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and cash equivalents / short-term deposits / trade and other receivables (except for VAT and withholding taxes) (and when applicable accrued interest income) are all considered held-to-collect items and are labeled under financial assets measured at amortized costs, with the following definition / accounting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440" w:right="359" w:bottom="1440" w:gutter="0" w:footer="0" w:header="0"/>
        </w:sectPr>
      </w:pPr>
    </w:p>
    <w:bookmarkStart w:id="259" w:name="page260"/>
    <w:bookmarkEnd w:id="259"/>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Financial assets measured at amortized cost are assets that meet both of the following conditions: (1) the asset is held within a business model whose objective is to hold assets in order to collect contractual cash flows; and (2) the contractual terms of the financial asset give rise on specified dates to cash flows that are solely payments of principal and interest on the principal amount outstanding.</w:t>
      </w:r>
    </w:p>
    <w:p>
      <w:pPr>
        <w:spacing w:after="0" w:line="1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They arise when the Group provides money, goods or services directly to a debtor with no intention of trading the receivable. They are included in current assets, except for maturities longer than 12 months after the balance sheet date. These are classified as non-current assets. Interest income on the short-term deposit is accounted for on the statement of comprehensive loss as financial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Initially, financial assets, except for trade receivables, are measured at their fair value plus, in the case of financial assets not at fair value through profit or loss, transaction costs that are directly attributable to the acquisition or issue of the financial asset; for the Group these are considered to be immaterial. Trade receivables are initially measured at their transaction price.</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Subsequent measurement for the financial assets mentioned above which are classified as measured at amortized cost, is based on the effective interest method, reduced by any impairment loss.</w:t>
      </w:r>
    </w:p>
    <w:p>
      <w:pPr>
        <w:spacing w:after="0" w:line="103"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color w:val="auto"/>
        </w:rPr>
        <w:t>For financial assets measured at amortized cost, a loss allowance for expected credit losses on the financial assets is recognized. Measurement of any impairment loss is based on the ‘expected credit loss’ (ECL) model, which is based on a predictive model. The loss allowance for a financial asset is measured at an amount equal to the lifetime expected credit losses if the credit risk on that financial asset has increased significantly since initial recognition. If the credit risk on a financial asset has not increased significantly since initial recognition, the Group measures the loss allowance / impairment loss for that financial asset at an amount equal to 12-month expected credit losses.</w:t>
      </w:r>
    </w:p>
    <w:p>
      <w:pPr>
        <w:spacing w:after="0" w:line="1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trade receivables, the Group applies a simplified approach which requires expected credit losses to be recognized from initial recognition (measuring the loss allowance at an amount equal to lifetime expected credit losses). This takes into consideration past history, combined with predictive information which takes into consideration the specific circumstances of the customer (e.g. credit rating etc.), and other relevant factors such as the economic environment.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assets at amortized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receivables generally arise from transactions outside the usual operating activities of the Group.</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Liabilities at Amortized Costs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and non-employee related accrued expense are measured at amortized costs and classified as financial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includes cash at banks. The Group considers all short-term, highly liquid investments convertible into known amounts of cash with maturities of three months or less from the date of acquisition to be cash equivalents, provided that they are subject to an insignificant risk of changes in value. The cash flow statement is based on cash and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Capital / Additional Paid-in Capital</w:t>
      </w:r>
    </w:p>
    <w:p>
      <w:pPr>
        <w:spacing w:after="0" w:line="1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Common shares are classified as equity. Incremental costs directly attributable to the issue of new shares are shown in equity as a deduction from the proceeds. The Group has not paid any dividends since its inception and does not anticipate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1440" w:right="359" w:bottom="1440" w:gutter="0" w:footer="0" w:header="0"/>
        </w:sectPr>
      </w:pPr>
    </w:p>
    <w:bookmarkStart w:id="260" w:name="page261"/>
    <w:bookmarkEnd w:id="260"/>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current and deferred taxes. Current income taxes are recognized on taxable profits at applicable tax rates.</w:t>
      </w:r>
    </w:p>
    <w:p>
      <w:pPr>
        <w:spacing w:after="0" w:line="15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Deferred taxes are calculated using the balance sheet liability method. Deferred income taxes reflect the net tax effects of temporary differences between the carrying amounts of assets and liabilities for financial reporting purposes and the amounts used for income tax purposes. Deferred tax assets and liabilities are measured using the tax rates expected to apply to taxable income in the years in which those temporary differences are expected to be recovered or settled based on tax rates enacted or substantially enacted at the balance sheet date.</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Deferred tax assets are recognized if it is probable that sufficient taxable profits will be available against which the deferred tax assets can be utilized. At each balance sheet date, the Group reassesses unrecognized deferred tax assets and the carrying amount of recognized deferred tax assets. The Group recognizes a previously unrecognized deferred tax asset to the extent that it has become probable that future taxable profit will allow the deferred tax asset to be recovered. The Group conversely reduces the carrying amount of a deferred tax asset to the extent that it is no longer probable that sufficient taxable profit will be available to allow the benefit of part or the entire deferred tax asset to be utilized.</w:t>
      </w:r>
    </w:p>
    <w:p>
      <w:pPr>
        <w:spacing w:after="0" w:line="9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amount of deferred tax liabilities and deferred tax assets reflects the tax consequences on the balance sheet date of the Group's expectation of recovery or settlement of the carrying amounts of its assets and liabilities. Deferred tax assets and liabilities are not discounted and are classified as non-current assets and liabilities in the statement of financial position. They are offset against each other if they relate to the same taxable entity and tax authority.</w:t>
      </w:r>
    </w:p>
    <w:p>
      <w:pPr>
        <w:spacing w:after="0" w:line="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did not have to pay income taxes in Switzerland in the presented reporting periods for 2020 and 2019. The Company’s accumulated taxable losses may be used as tax loss carry forwards to offset future taxable income over a period of seven years in Switzerland. No deferred tax assets have been established for these losses, because the Company does not have a history of sustainable taxable profits, increasing research costs are expected to be incurred in the foreseeable future and future revenues are highly volatile and uncertain. No deferred tax assets were recognized on deductible temporary differences on pension liabilities for the same reasons.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Inc, the group's US subsidiary is liable for US federal and Massachusetts and California state tax.</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(pension plans)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provides retirement, death and disability benefits to its Swiss employees in line with local customs and requirements through two separate plans, which are both accounted for as defined benefit plans.</w:t>
      </w:r>
    </w:p>
    <w:p>
      <w:pPr>
        <w:spacing w:after="0" w:line="8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first plan is the compulsory defined benefit plan which is funded through employer (60%) and employee (40%) contributions to VSAO, a Switzerland based plan. This Company-wide plan has been in place since inception of the Company and all employees of the Company are eligible to its benefits. On retirement, the plan participant will receive his or her accumulated savings, which consist of all contributions paid in by the employer and the employee (net of any withdrawals) and the interest granted on those savings at the discretion of the pension foundation.</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that time, the plan participant has the right to choose between a lump-sum payment and an annuity, or a combination thereof. The annuity is calculated using a fixed conversion rate determined by the pension foundation. The VSAO’s plan assets are pooled and the Company’s share is calculated based on its share of retirement savings. Additional funding requirements may be determined by the pension foundation in case of a severe underfunding. Should the Company withdraw from the plan, the withdrawal may qualify as a partial liquidation under Swiss law.</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second plan is a voluntary complementary defined management benefit scheme established as of January 1, 2014, in which only employees with an annual base salary exceeding CHF 150,000 are eligible to participate. 29 of the 31 eligible employees participated in this plan as of December 31, 2020 (30 out of 32 eligible employees as of December 2019). This plan is set up as a collective foundation with Swiss Life, a Switzerland-based insurance company, for which contributions are 30% funded by the employee and 70% funded by the Company.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320" w:top="1440" w:right="379" w:bottom="1440" w:gutter="0" w:footer="0" w:header="0"/>
        </w:sectPr>
      </w:pPr>
    </w:p>
    <w:bookmarkStart w:id="261" w:name="page262"/>
    <w:bookmarkEnd w:id="261"/>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of this voluntary plan is to allow higher savings opportunity in a tax effective manner and risk benefits for senior management. In addition, plan participants are entitled to a lump sum payment of five times their annual base salary in case of death. This is a fully insured Swiss pension plan that covers all investment and actuarial risks, including invalidity and death.</w:t>
      </w:r>
    </w:p>
    <w:p>
      <w:pPr>
        <w:spacing w:after="0" w:line="10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VSAO pension plan accounts for over 90% of both the Company’s defined benefit obligation and plan assets. The liability recognized in the statement of financial position in respect of defined benefit pension plans is the present value of the defined benefit obligations at the balance sheet date less the fair value of plan assets.</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defined benefit obligation is calculated annually by independent actuaries using the projected unit credit method. The present value of the defined benefit obligation is determined by discounting the estimated future cash outflows. Pension liabilities are determined on an actuarial basis using a number of assumptions, such as the discount rate and expected salary increases applied to determine the defined benefit obligation and an estimate of the fair value of plan assets attributable to the Company. In determining the appropriate discount rate, for example, the Company considers the interest rates of high-quality corporate bonds that are denominated in the currency in which the benefits will be paid, and that have terms to maturity approximating the terms of the related pension liability. In determining the fair value of plan assets, the Company adds to the participants’ savings a share of the pension plan’s technical and fluctuation reserves. Additional information is disclosed in note 18.1.</w:t>
      </w:r>
    </w:p>
    <w:p>
      <w:pPr>
        <w:spacing w:after="0" w:line="11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Current and past service costs as well as the net interest on the defined benefit obligation are recognized in profit or loss in the period in which they are incurred, and are presented as part of personnel expenses. Remeasurements of the defined benefit pension plans are recognized in other comprehensive income.</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Group has set up a 401k plan for its US based employees. Under the plan the US entity matches the employee's contribution and provides a true-up in matched contributions at year end. The 401k plan qualifies as a defined contribution scheme and the associated expenses are presented under operating expenses in the statement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Group operates share-based compensation plans that qualify as equity-settled plans. The fair value of the employee services received in exchange for the grant of equity instruments is recognized as an expense. The total amount to be expensed over the vesting period is determined by reference to the fair value of the equity instruments granted, which is determined at grant date. The fair values are determined by management with the assistance of an independent valuation expert. At each reporting date, estimates of the number of equity instruments that are expected to vest are revised. The impact of the revision of the previous estimates, if any, is recognized as part of share-based compensation (non-cash effective) with a corresponding adjustment to equity. When the vested equity instruments are exercised, any proceeds received net of any directly attributable transaction costs are credited to share capital (nominal value) and additional paid-in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recognizes an accrual where contractually obliged or where there is a past practice that has created a constructive obligation. Bonuses are based on a formula that takes into consideration the achievement of the Company’s goals.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As a guiding principle of IFRS 15, revenues from research and development collaboration agreements are recognized when earned based upon the performance requirements of the respective agreements. For revenue arrangements with separately identifiable components (separate performance obligations), the revenue recognition criteria are applied to each component. The transaction price is determined as the consideration expected to be received from the arrangement and is allocated amongst the separate components based on their relative stand-alone selling prices. The corresponding amount of transaction price allocated to each component is recognized as revenue when (or as) the Group satisfies the performance obligation by transferring the good or service to the customer, which generally is over time for upfront payments or at a point in time for milestone payments and development option payments. Payments received in excess of revenue recognized are recorded as contract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1440" w:right="359" w:bottom="1440" w:gutter="0" w:footer="0" w:header="0"/>
        </w:sectPr>
      </w:pPr>
    </w:p>
    <w:bookmarkStart w:id="262" w:name="page263"/>
    <w:bookmarkEnd w:id="262"/>
    <w:p>
      <w:pPr>
        <w:spacing w:after="0" w:line="13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Revenues include fees such as upfront payments received in connection with out-licensing of products and/or access the knowledge without transfer of a license as well as in connection with discovery alliances, as well as fees for maintenance of patents, R&amp;D support and services, participation in Joint Steering Committees and other involvement in collaboration agreements. In exchange for these non-refundable upfront fees, the Group does not immediately transfer a good or a service to the customer, rather the upfront fee consists of an advance payment for future services and the right to access the underlying intellectual property of the Group. For such arrangements, the Group has determined that the promised goods and services are not distinct and are accounted for as one performance obligation. The Group recognizes revenue for this performance obligation over time using a cost-based method to measure its progress towards complete satisfaction of the performance obligation. Accordingly, revenue is recognized over time based on the percentage of actual costs incurred to date relative to the Group's estimate of total costs expected to satisfy the performance obligation. Estimated costs are reviewed and updated routinely for contracts in progress to reflect any changes of which the Group becomes aware. The cumulative effect of any change in estimate is recorded in the period when the change in estimate is determined.</w:t>
      </w:r>
    </w:p>
    <w:p>
      <w:pPr>
        <w:spacing w:after="0" w:line="10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could include fees such as milestone and development option payments received in connection with out-licensing of products and in connection with discovery alliances. Upon meeting the set milestone or upon a development option being exercised, the Group obtains a right to a non-refundable payment and the customer has typically acquired the right to use the underlying intellectual property, without any remaining performance obligations for the Group. Consequently, the related revenues are typically recognized at a point in time, either when the milestone is met or the option is exercised by the customer.</w:t>
      </w:r>
    </w:p>
    <w:p>
      <w:pPr>
        <w:spacing w:after="0" w:line="12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Revenue could also include reservation fees that will be recognized into revenue in case of successful development of a final drug and exercise or lapse of the related reservation right or, alternatively, in case the results from the research will not justify further development of the drug.</w:t>
      </w:r>
    </w:p>
    <w:p>
      <w:pPr>
        <w:spacing w:after="0" w:line="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Consideration payable to a customer is recorded as a reduction of the arrangement's transaction price, if it relates to the same arrangement, thereby reducing the amount of revenue recognized, unless the payment is for a distinct good or service received from the customer consistent with IFRS 15.</w:t>
      </w:r>
    </w:p>
    <w:p>
      <w:pPr>
        <w:spacing w:after="0" w:line="6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details of the accounting policy, based on the type of payments received, are set out below. Under IFRS 15, revenue is recognized as or when a customer obtains control of the services. Determining the timing of the transfer of control - at a point in time or over time - requires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2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w w:val="96"/>
              </w:rPr>
              <w:t>Type of payments received</w:t>
            </w:r>
          </w:p>
        </w:tc>
        <w:tc>
          <w:tcPr>
            <w:tcW w:w="8840" w:type="dxa"/>
            <w:vAlign w:val="bottom"/>
            <w:tcBorders>
              <w:top w:val="single" w:sz="8" w:color="auto"/>
              <w:bottom w:val="single" w:sz="8" w:color="auto"/>
            </w:tcBorders>
          </w:tcPr>
          <w:p>
            <w:pPr>
              <w:ind w:left="3440"/>
              <w:spacing w:after="0"/>
              <w:rPr>
                <w:sz w:val="20"/>
                <w:szCs w:val="20"/>
                <w:color w:val="auto"/>
              </w:rPr>
            </w:pPr>
            <w:r>
              <w:rPr>
                <w:rFonts w:ascii="Arial" w:cs="Arial" w:eastAsia="Arial" w:hAnsi="Arial"/>
                <w:sz w:val="16"/>
                <w:szCs w:val="16"/>
                <w:b w:val="1"/>
                <w:bCs w:val="1"/>
                <w:color w:val="auto"/>
              </w:rPr>
              <w:t>Timing of revenue recognition</w:t>
            </w:r>
          </w:p>
        </w:tc>
      </w:tr>
      <w:tr>
        <w:trPr>
          <w:trHeight w:val="172"/>
        </w:trPr>
        <w:tc>
          <w:tcPr>
            <w:tcW w:w="2200" w:type="dxa"/>
            <w:vAlign w:val="bottom"/>
          </w:tcPr>
          <w:p>
            <w:pPr>
              <w:ind w:left="20"/>
              <w:spacing w:after="0" w:line="172" w:lineRule="exact"/>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line="172" w:lineRule="exact"/>
              <w:rPr>
                <w:sz w:val="20"/>
                <w:szCs w:val="20"/>
                <w:color w:val="auto"/>
              </w:rPr>
            </w:pPr>
            <w:r>
              <w:rPr>
                <w:rFonts w:ascii="Arial" w:cs="Arial" w:eastAsia="Arial" w:hAnsi="Arial"/>
                <w:sz w:val="18"/>
                <w:szCs w:val="18"/>
                <w:color w:val="auto"/>
                <w:w w:val="93"/>
              </w:rPr>
              <w:t>Upfront payments received in connection with out-licensing arrangements are typically non-refundable fees for which</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upfront payments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the Group does not transfer a good or a service to the customer, rather the upfront payments consists of an advance</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1"/>
              </w:rPr>
              <w:t>payment for future services and/or an acquisition of the right to the current or future access to the underlying intellectual</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1"/>
              </w:rPr>
              <w:t>property of the Group. For such arrangements, the Group has determined that the promised goods and services are not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distinct and are accounted for as one performance obligation. The Group recognizes revenue for this performance</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rPr>
              <w:t>obligation over time using a cost-based method to measure its progress towards complete satisfaction of the</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performance obligation.</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2"/>
              </w:rPr>
              <w:t>Milestone payments received in connection with out-licensing or other arrangements are typically non-refundable fees</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milestone payments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7"/>
              </w:rPr>
              <w:t>entitling the Group to a right to payment upon such milestone being met. At that time, the customer has typically</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acquired the right to use the underlying intellectual property or additional knowledge about drug candidate(s), without</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6"/>
              </w:rPr>
              <w:t>any remaining performance obligation of the Group. Considering the uncertainty surrounding the outcome of such</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0"/>
              </w:rPr>
              <w:t>development activities, the revenue is consequently recognized at a point in time, when the milestone is reached. At this</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stage it is highly probable that a reversal of the cumulative revenue will not occur.</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1"/>
              </w:rPr>
              <w:t>Development option payments received in connection with out-licensing arrangements are typically non-refundable fees</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payments received for</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entitling the Group to a right to payment upon such option being exercised. At that time, the customer has typically</w:t>
            </w:r>
          </w:p>
        </w:tc>
      </w:tr>
      <w:tr>
        <w:trPr>
          <w:trHeight w:val="176"/>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development options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acquired the right to use the underlying intellectual property, without any remaining performance obligations of the</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exercises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2"/>
              </w:rPr>
              <w:t>Group. Considering the fact that the exercise of any option is outside the control of the Group, revenue for options that</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4"/>
              </w:rPr>
              <w:t>provide the right to use is recognized at a point in time at the effective exercise of the option. At this stage it is highly</w:t>
            </w:r>
          </w:p>
        </w:tc>
      </w:tr>
      <w:tr>
        <w:trPr>
          <w:trHeight w:val="230"/>
        </w:trPr>
        <w:tc>
          <w:tcPr>
            <w:tcW w:w="2200" w:type="dxa"/>
            <w:vAlign w:val="bottom"/>
          </w:tcPr>
          <w:p>
            <w:pPr>
              <w:spacing w:after="0"/>
              <w:rPr>
                <w:sz w:val="20"/>
                <w:szCs w:val="20"/>
                <w:color w:val="auto"/>
              </w:rPr>
            </w:pPr>
          </w:p>
        </w:tc>
        <w:tc>
          <w:tcPr>
            <w:tcW w:w="8840" w:type="dxa"/>
            <w:vAlign w:val="bottom"/>
          </w:tcPr>
          <w:p>
            <w:pPr>
              <w:ind w:left="140"/>
              <w:spacing w:after="0"/>
              <w:rPr>
                <w:sz w:val="20"/>
                <w:szCs w:val="20"/>
                <w:color w:val="auto"/>
              </w:rPr>
            </w:pPr>
            <w:r>
              <w:rPr>
                <w:rFonts w:ascii="Arial" w:cs="Arial" w:eastAsia="Arial" w:hAnsi="Arial"/>
                <w:sz w:val="18"/>
                <w:szCs w:val="18"/>
                <w:color w:val="auto"/>
              </w:rPr>
              <w:t>probable that a reversal of the cumulative revenue will not occur.</w:t>
            </w: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Revenue recognition of</w:t>
            </w:r>
          </w:p>
        </w:tc>
        <w:tc>
          <w:tcPr>
            <w:tcW w:w="8840" w:type="dxa"/>
            <w:vAlign w:val="bottom"/>
          </w:tcPr>
          <w:p>
            <w:pPr>
              <w:ind w:left="140"/>
              <w:spacing w:after="0"/>
              <w:rPr>
                <w:sz w:val="20"/>
                <w:szCs w:val="20"/>
                <w:color w:val="auto"/>
              </w:rPr>
            </w:pPr>
            <w:r>
              <w:rPr>
                <w:rFonts w:ascii="Arial" w:cs="Arial" w:eastAsia="Arial" w:hAnsi="Arial"/>
                <w:sz w:val="18"/>
                <w:szCs w:val="18"/>
                <w:color w:val="auto"/>
                <w:w w:val="94"/>
              </w:rPr>
              <w:t>Reservation fees received are typically non-refundable fees. The timing of revenue recognition depends on whether</w:t>
            </w:r>
          </w:p>
        </w:tc>
      </w:tr>
      <w:tr>
        <w:trPr>
          <w:trHeight w:val="175"/>
        </w:trPr>
        <w:tc>
          <w:tcPr>
            <w:tcW w:w="2200" w:type="dxa"/>
            <w:vAlign w:val="bottom"/>
          </w:tcPr>
          <w:p>
            <w:pPr>
              <w:ind w:left="180"/>
              <w:spacing w:after="0" w:line="176" w:lineRule="exact"/>
              <w:rPr>
                <w:sz w:val="20"/>
                <w:szCs w:val="20"/>
                <w:color w:val="auto"/>
              </w:rPr>
            </w:pPr>
            <w:r>
              <w:rPr>
                <w:rFonts w:ascii="Arial" w:cs="Arial" w:eastAsia="Arial" w:hAnsi="Arial"/>
                <w:sz w:val="18"/>
                <w:szCs w:val="18"/>
                <w:color w:val="auto"/>
              </w:rPr>
              <w:t>reservation fees</w:t>
            </w: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2"/>
              </w:rPr>
              <w:t>development of the final drug is successful. If development is successful, revenue will be recognized when the related</w:t>
            </w:r>
          </w:p>
        </w:tc>
      </w:tr>
      <w:tr>
        <w:trPr>
          <w:trHeight w:val="176"/>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5"/>
              </w:rPr>
              <w:t>reservation right is exercised or lapses (as the exercise of any reservation right is outside the control of the Group).</w:t>
            </w:r>
          </w:p>
        </w:tc>
      </w:tr>
      <w:tr>
        <w:trPr>
          <w:trHeight w:val="175"/>
        </w:trPr>
        <w:tc>
          <w:tcPr>
            <w:tcW w:w="2200" w:type="dxa"/>
            <w:vAlign w:val="bottom"/>
          </w:tcPr>
          <w:p>
            <w:pPr>
              <w:spacing w:after="0"/>
              <w:rPr>
                <w:sz w:val="15"/>
                <w:szCs w:val="15"/>
                <w:color w:val="auto"/>
              </w:rPr>
            </w:pPr>
          </w:p>
        </w:tc>
        <w:tc>
          <w:tcPr>
            <w:tcW w:w="8840" w:type="dxa"/>
            <w:vAlign w:val="bottom"/>
          </w:tcPr>
          <w:p>
            <w:pPr>
              <w:ind w:left="140"/>
              <w:spacing w:after="0" w:line="176" w:lineRule="exact"/>
              <w:rPr>
                <w:sz w:val="20"/>
                <w:szCs w:val="20"/>
                <w:color w:val="auto"/>
              </w:rPr>
            </w:pPr>
            <w:r>
              <w:rPr>
                <w:rFonts w:ascii="Arial" w:cs="Arial" w:eastAsia="Arial" w:hAnsi="Arial"/>
                <w:sz w:val="18"/>
                <w:szCs w:val="18"/>
                <w:color w:val="auto"/>
                <w:w w:val="93"/>
              </w:rPr>
              <w:t>Alternatively, revenue will be recognized at the point in time when the results from the research will not justify further</w:t>
            </w:r>
          </w:p>
        </w:tc>
      </w:tr>
      <w:tr>
        <w:trPr>
          <w:trHeight w:val="230"/>
        </w:trPr>
        <w:tc>
          <w:tcPr>
            <w:tcW w:w="2200" w:type="dxa"/>
            <w:vAlign w:val="bottom"/>
            <w:tcBorders>
              <w:bottom w:val="single" w:sz="8" w:color="auto"/>
            </w:tcBorders>
          </w:tcPr>
          <w:p>
            <w:pPr>
              <w:spacing w:after="0"/>
              <w:rPr>
                <w:sz w:val="19"/>
                <w:szCs w:val="19"/>
                <w:color w:val="auto"/>
              </w:rPr>
            </w:pPr>
          </w:p>
        </w:tc>
        <w:tc>
          <w:tcPr>
            <w:tcW w:w="8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5"/>
              </w:rPr>
              <w:t>development of the drug. At this stage it is highly probable that a reversal of the cumulative revenue will not occur.</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 Expenses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as disclosed in note 16 consist primarily of compensation and other expenses related to:</w:t>
      </w:r>
    </w:p>
    <w:p>
      <w:pPr>
        <w:spacing w:after="0" w:line="144" w:lineRule="exact"/>
        <w:rPr>
          <w:sz w:val="20"/>
          <w:szCs w:val="20"/>
          <w:color w:val="auto"/>
        </w:rPr>
      </w:pPr>
    </w:p>
    <w:p>
      <w:pPr>
        <w:ind w:left="320" w:hanging="31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research and development personnel;</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preclinical studies and clinical trials of the Group's product candidates, including the costs of manufacturing the product candidates;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research and services performed under collaboration agreements;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research and development services outsourced to research institutions;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attributable facility expenses, including depreciation of equipment and amortization.</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Internal development costs are capitalized as intangible assets only when there is an identifiable asset that can be completed that will generate probable future economic benefits, and when the cost of such an asset can be measured reliably. The Group does not currently have any such internal development costs that qualify for capitalization as intangible assets.</w:t>
      </w:r>
    </w:p>
    <w:p>
      <w:pPr>
        <w:spacing w:after="0" w:line="10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to its internal research and development activities, the Group is also party to in-licensing and similar arrangements with its partners. The Group may also acquire in-process research and development assets, either through business combinations or through purchases of specific assets. Intangible assets are initially recorded at cost. Intangible assets are amortized over their useful lives on a straight-line basis beginning from the point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60"/>
          </w:cols>
          <w:pgMar w:left="320" w:top="1440" w:right="419" w:bottom="1440" w:gutter="0" w:footer="0" w:header="0"/>
        </w:sectPr>
      </w:pPr>
    </w:p>
    <w:bookmarkStart w:id="264" w:name="page265"/>
    <w:bookmarkEnd w:id="264"/>
    <w:p>
      <w:pPr>
        <w:spacing w:after="0" w:line="13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they are available for use. The estimated useful life of intangible assets is regularly reviewed. The Group does not currently have any such externally acquired in-process research and development assets.</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Group charges all research and development expenses, including internal patent filing and patent maintenance costs, to profit or loss when incurred, as the criteria for recognition as an asset are not currently met.</w:t>
      </w:r>
    </w:p>
    <w:p>
      <w:pPr>
        <w:spacing w:after="0" w:line="103" w:lineRule="exact"/>
        <w:rPr>
          <w:sz w:val="20"/>
          <w:szCs w:val="20"/>
          <w:color w:val="auto"/>
        </w:rPr>
      </w:pPr>
    </w:p>
    <w:p>
      <w:pPr>
        <w:ind w:right="8240" w:firstLine="8"/>
        <w:spacing w:after="0" w:line="437" w:lineRule="auto"/>
        <w:tabs>
          <w:tab w:leader="none" w:pos="378" w:val="left"/>
        </w:tabs>
        <w:numPr>
          <w:ilvl w:val="0"/>
          <w:numId w:val="146"/>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 Financial Risk Factors</w:t>
      </w:r>
    </w:p>
    <w:p>
      <w:pPr>
        <w:ind w:right="40"/>
        <w:spacing w:after="0" w:line="270" w:lineRule="auto"/>
        <w:rPr>
          <w:sz w:val="20"/>
          <w:szCs w:val="20"/>
          <w:color w:val="auto"/>
        </w:rPr>
      </w:pPr>
      <w:r>
        <w:rPr>
          <w:rFonts w:ascii="Arial" w:cs="Arial" w:eastAsia="Arial" w:hAnsi="Arial"/>
          <w:sz w:val="17"/>
          <w:szCs w:val="17"/>
          <w:color w:val="auto"/>
        </w:rPr>
        <w:t>The Group is subject to risks common to companies in the biotechnology industry, including, but not limited to, uncertainties regarding the effectiveness and safety of new drugs, new and unproven technologies, development process and outcome of clinical trials, rigorous governmental regulation and uncertainty regarding regulatory approvals, long product development cycles, continuing capital requirements to fund research and development, history of operating losses and uncertainty of future profitability, uncertainty regarding commercial success and acceptance, third party reimbursements, uncertainties regarding patents and legally protected products or technologies, uncertainty regarding third party intellectual property rights, dependence on third parties, dependence on publicly available scientific findings and research data, lack of experience with production facilities, dependence on third party manufacturers and service providers, competition, concentration of operations, product liability, dependence on important employees, environment, health, data protection and safety, lack of experience in marketing and sales, litigation, currency fluctuation risks and other financial risks, volatility of market value, as well as limited liquidity and shares eligible for future sale.</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Group is developing several products currently not generating constant revenue streams which results in volatile cash flow from operating activities. Currently, the Group’s revenues stem mainly from irregular and difficult to predict income from product out-licensing, milestone payments and fees from R&amp;D collaboration agreements. This will likely remain the same at least until the first product reaches the market on the Group’s own or through a partner. This results in a lack of regular positive operating cash flow, which may expose the Group to financing risks in the medium-term. See note 4, “Critical accounting estimates and judgments.” Furthermore, management has taken actions to manage financial risks, such as foreign exchange risk and liquidity risk.</w:t>
      </w:r>
    </w:p>
    <w:p>
      <w:pPr>
        <w:spacing w:after="0" w:line="1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Molecular Partners conducts research and development activities primarily in Switzerland, the European Union and the United States. As a result, the Group is exposed to a variety of financial risks, such as foreign exchange rate risk, credit risk, liquidity risk, cash-flow and interest rate risk. The Group’s overall financial risk management program focuses on the unpredictability of financial markets and seeks to minimize potential adverse effects on the financial performance of the Group. Further details are disclosed under note 25.</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Management</w:t>
      </w:r>
    </w:p>
    <w:p>
      <w:pPr>
        <w:spacing w:after="0" w:line="1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Group is not regulated and not subject to specific capital requirements. The amount of equity depends on the Group’s funding needs and statutory capital requirements. The Group monitors capital periodically on an interim and annual basis. From time to time, the Group may take appropriate measures or propose capital increases to its shareholders to ensure the necessary capital remains intact. The Group did not have any short-term or long-term debt outstanding as of December 31, 2020 and 2019.</w:t>
      </w:r>
    </w:p>
    <w:p>
      <w:pPr>
        <w:spacing w:after="0" w:line="119" w:lineRule="exact"/>
        <w:rPr>
          <w:sz w:val="20"/>
          <w:szCs w:val="20"/>
          <w:color w:val="auto"/>
        </w:rPr>
      </w:pPr>
    </w:p>
    <w:p>
      <w:pPr>
        <w:ind w:left="380" w:hanging="372"/>
        <w:spacing w:after="0"/>
        <w:tabs>
          <w:tab w:leader="none" w:pos="3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Critical Accounting Estimates and Judgments</w:t>
      </w:r>
    </w:p>
    <w:p>
      <w:pPr>
        <w:spacing w:after="0" w:line="1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Group’s accounts are prepared on a going concern basis. The preparation of the consolidated financial statements in conformity with IFRS requires that management and the Board of Directors make estimates and assumptions which affect the amounts of the assets and liabilities, contingent liabilities, as well as the income and expenses reported in the consolidated financial statements. These estimates take into consideration historic experience as well as developments in the economic circumstances and are further based on management’s best knowledge of current events and actions that the Group may undertake in the future. These circumstances include also the possible impacts of the COVID-19 pandemic.</w:t>
      </w:r>
    </w:p>
    <w:p>
      <w:pPr>
        <w:spacing w:after="0" w:line="1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estimates are subject to risks and uncertainties. The actual results can deviate from these estimates. The estimates and assumptions identified by the Group, which have a significant risk of causing a material adjustment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assets and liabilities in a future period or have a significant effect on reported results, are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w:t>
      </w:r>
    </w:p>
    <w:p>
      <w:pPr>
        <w:spacing w:after="0" w:line="1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Fluctuation in revenues is common to biopharmaceutical companies focused on research and development as the revenues are often linked to up-front fees, reservation fees, milestones or license payments as well as income for delivery of drug substance, which occur sporadically. Depending on the complexity of the relevant agreements, judgment (for instance in regards to the performance obligations recognized using the cost based method, where revenue is recognized based on costs incurred in relation to the Group’s estimate of total estimated costs to complete satisfaction of the underlying performance obligations) is required to reflect the substance of the arrangement in the recognition of revenues. Under the cost-based method, the Group’s estimate of total costs to be incurred under certain agreements is for example, based on actual project-related contracts and history of similar contracts of other collaborations as well as industry experience. The Group is required to evaluate whether any changes in operational and/or technical collaboration and project requirements could lead to a change in the timing and/or amount of estimated project costs, and how such changes, if any, impact the recognition of revenue. Other revenue related judgments with regard to the determination of performance obligations under reservation agreements relate to assumptions on future production costs and market prices. More information on revenue recognition is provided in the respective accounting policy. Additional information related to the Group’s significant revenue agreements is disclosed in note 5.</w:t>
      </w:r>
    </w:p>
    <w:p>
      <w:pPr>
        <w:spacing w:after="0" w:line="105" w:lineRule="exact"/>
        <w:rPr>
          <w:sz w:val="20"/>
          <w:szCs w:val="20"/>
          <w:color w:val="auto"/>
        </w:rPr>
      </w:pPr>
    </w:p>
    <w:p>
      <w:pPr>
        <w:ind w:left="380" w:hanging="372"/>
        <w:spacing w:after="0"/>
        <w:tabs>
          <w:tab w:leader="none" w:pos="38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Revenues and entity-wide Disclosures</w:t>
      </w:r>
    </w:p>
    <w:p>
      <w:pPr>
        <w:spacing w:after="0" w:line="1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Group assesses and estimates the progress of its projects with alliance partners at each reporting date. When the cost-based / input method is applied, the Group recognizes revenue based on the ratio of the associated costs incurred to date and the total forecasted costs to satisfy the performance obligation.</w:t>
      </w:r>
    </w:p>
    <w:p>
      <w:pPr>
        <w:spacing w:after="0" w:line="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second half of 2020 the Group increased its estimate of the total future costs required to satisfy the performance obligation under the Amgen collaboration. This change in estimate affects the allocation of revenue over time and has no impact on the total amount recognized or to be recognized into revenue under the agreement with Amgen. This increase in the total estimated future costs resulted in a lower amount of revenue recognized for the twelve month period ended December 31, 2020, as compared to the comparable prior year period. The increase in total future costs is primarily related to continued development of various dosing schedules under Phase 1a of the collaboration. The remaining unrecognized transaction price at December 31, 2020 of TCHF 18,983 for Amgen will be recognized in line with the recognition of estimated expenses to satisfy the performance obligation.</w:t>
      </w:r>
    </w:p>
    <w:p>
      <w:pPr>
        <w:spacing w:after="0" w:line="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October 2020, the Group entered into a contract with Novartis, granting Novartis the exclusive option to in-license global rights in relation to drug candidates MP0420 and MP0423. Under the terms of the agreement, the Group has received an upfront, non-refundable fee of CHF 20 million for the tech transfer and manufacturing of MP0420. The Group has equally committed to utilize up to the maximum amount of this upfront fee for the manufacturing of the commercial supply for MP0420. Any such amount which is paid for manufacturing performed by the Novartis Group is considered to be a consideration payable to a customer. Given the significant inter-dependencies between the upfront fee and the manufacturing activities, the manufacturing costs paid to the Novartis Group are to be offset against the upfront non-refundable fee from the contract (see below, as well as note 15).</w:t>
      </w:r>
    </w:p>
    <w:p>
      <w:pPr>
        <w:spacing w:after="0" w:line="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reporting period, costs paid to the Novartis Group for the manufacturing of the drug product to establish the commercial supply of MP0420 in the amount of TCHF 96 have been offset against the upfront non refundable fee (see note 15).</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twelve month periods ended December 31, 2020 and 2019, the Group recognized revenues as disclosed in the table below. Revenues in the table below are attributable to individual countries and are based on the location of the Group’s alliance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320" w:top="1440" w:right="359" w:bottom="1440" w:gutter="0" w:footer="0" w:header="0"/>
        </w:sectPr>
      </w:pPr>
    </w:p>
    <w:bookmarkStart w:id="266" w:name="page267"/>
    <w:bookmarkEnd w:id="26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0"/>
        </w:trPr>
        <w:tc>
          <w:tcPr>
            <w:tcW w:w="6420" w:type="dxa"/>
            <w:vAlign w:val="bottom"/>
          </w:tcPr>
          <w:p>
            <w:pPr>
              <w:spacing w:after="0"/>
              <w:rPr>
                <w:sz w:val="20"/>
                <w:szCs w:val="20"/>
                <w:color w:val="auto"/>
              </w:rPr>
            </w:pPr>
            <w:r>
              <w:rPr>
                <w:rFonts w:ascii="Arial" w:cs="Arial" w:eastAsia="Arial" w:hAnsi="Arial"/>
                <w:sz w:val="16"/>
                <w:szCs w:val="16"/>
                <w:b w:val="1"/>
                <w:bCs w:val="1"/>
                <w:color w:val="auto"/>
              </w:rPr>
              <w:t>Revenues by country</w:t>
            </w: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6"/>
                <w:szCs w:val="16"/>
                <w:b w:val="1"/>
                <w:bCs w:val="1"/>
                <w:color w:val="auto"/>
              </w:rPr>
              <w:t>in CHF thousands, for the years ended December 31</w:t>
            </w:r>
          </w:p>
        </w:tc>
        <w:tc>
          <w:tcPr>
            <w:tcW w:w="37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USA</w:t>
            </w:r>
          </w:p>
        </w:tc>
        <w:tc>
          <w:tcPr>
            <w:tcW w:w="374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9,344</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9,344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20,383</w:t>
            </w:r>
          </w:p>
        </w:tc>
      </w:tr>
      <w:tr>
        <w:trPr>
          <w:trHeight w:val="500"/>
        </w:trPr>
        <w:tc>
          <w:tcPr>
            <w:tcW w:w="63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0"/>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Analysis of revenue by major alliance partner</w:t>
            </w:r>
          </w:p>
        </w:tc>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 for the years ended December 31</w:t>
            </w:r>
          </w:p>
        </w:tc>
        <w:tc>
          <w:tcPr>
            <w:tcW w:w="37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 Inc., USA</w:t>
            </w:r>
          </w:p>
        </w:tc>
        <w:tc>
          <w:tcPr>
            <w:tcW w:w="3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9,344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w:t>
            </w:r>
          </w:p>
        </w:tc>
      </w:tr>
      <w:tr>
        <w:trPr>
          <w:trHeight w:val="22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9,344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and Equity Rights Agreement with Novartis</w:t>
      </w:r>
    </w:p>
    <w:p>
      <w:pPr>
        <w:spacing w:after="0" w:line="1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October 28, 2020 the Group announced entering into an Option and Equity Rights agreement with Novartis. Novartis has been granted an option to in-license global rights of MP0420 and MP0423 – multi-targeted direct-acting antiviral therapeutic candidates demonstrating potential efficacy against COVID-19. Please see note 12 for the related acquisition of shares by Novartis.</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agreement, during the option period, Molecular Partners will conduct Phase 1 clinical trials for MP0420 and, if agreed between the parties, perform all remaining preclinical work for MP0423 and conduct the MP0423 Phase 1 trial for which two milestone payments of CHF 2.5 million each will be due in case of initiation and completion. Novartis will conduct Phase 2/3 clinical trials, with Molecular Partners as legal sponsor of these trials. The contract foresees the sharing of knowledge of the results of Phase 1 and Phase 2 activities with Novartis, though these do not result in a transfer of a license until the exercise of the option for an exclusive license. Upon exercise of such option, Novartis would be responsible for all further development and commercialization activities. During the clinical development stage, Molecular Partners will provide clinical supply.</w:t>
      </w:r>
    </w:p>
    <w:p>
      <w:pPr>
        <w:spacing w:after="0" w:line="97"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Group is eligible to receive a future payment of CHF 150 million, upon Novartis exercising the option for exclusive license to the therapeutic candidates, in addition to a 22% royalty on future commercial sales. Molecular Partners has agreed to forgo royalties in lower income countries, and is aligned with Novartis’ plans to ensure affordability based on countries’ needs and capabilities.</w:t>
      </w:r>
    </w:p>
    <w:p>
      <w:pPr>
        <w:spacing w:after="0" w:line="11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Molecular Partners is required to spend up to the full amount of the non-refundable fee of CHF 20 million for the commercial supply of MP0420, which is to be manufactured by Sandoz, a division of the Novartis Group. The full amount of the upfront fee is therefore allocated to the performance obligation for the tech transfer and manufacturing in relation to the required commercial supply of MP0420.</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Given the urgency of finding a therapeutic solution for COVID-19, such production is already on-going, and anticipated to occur in parallel to Phase 1 and Phase 2/3 activities. The commercial supply manufacturing with Sandoz will provide Molecular Partners a supply of the drug candidate MP0420, which will be able to be commercialized only upon receiving regulatory approval. Should Novartis exercise the option for the exclusive license for drug candidates MP0420 and MP0423, such supply will be purchased by Novartis by reference to the costs incurred by the Group.</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Molecular Partners’ performance obligation in relation to the tech transfer and manufacturing is highly inter-dependent with the actual manufacturing of the drug candidate MP0420 by the Novartis Group, the amount paid by Molecular Partners to the Novartis Group for the manufacturing and purchase of materials for the drug product is considered to be consideration payable to a customer. The related manufacturing costs paid to the Novartis Group are therefore offset against the non-refundable upfront fee (see note 15). The Group determined using an over time cost-based method to measure its progress in relation to the related tech transfer and manufacturing activity performed by third parties, most faithfully depicts the progress of the Group to satisfy the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Reservation Agreement with the Swiss Federal office of Public Health</w:t>
      </w:r>
    </w:p>
    <w:p>
      <w:pPr>
        <w:spacing w:after="0" w:line="14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reservation agreement announced on August 11, 2020, resulted in a current contract liability of CHF 7.0 million, as presented in the consolidated statement of financial position. The agreement consists of two reservation rights: the first being FOPH-BAG's option to have priority access to the first 200,000 doses produced; and the second being FOPH-BAG's option to obtain access to 5% of the additional planned total production, up to 3,000,000 doses, if such production is undertaken by the Group. In case a final product will become available, the initial 200,000 doses, and any additional doses are to be subject to a separate sales contract to be agreed amongst the parties. Certain pricing provisions have been pre-negotiated, but remain subject to final therapeutic dose and while there is preferential pricing for the initial doses, which results in a performance obligation, the pricing for any further doses is expected to be at market prices and therefore not considered to result in a separate performance obligation.</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period, the Group has met the contractually agreed milestone specified in the contract, meaning that the reservation fee received from the FOPH-BAG is no longer refundable. However, as the fee refers to a reservation right, it will only be recognized as revenue in case of successful development of a final drug and exercise or lapse of the related reservation right or, alternatively, in case the results from the research will not justify further development of the drug.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 with Amgen</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2018, the Group entered into a License and Collaboration Agreement with Amgen for the clinical development and commercialization of MP0310 / AMG 506. Under the terms of the agreement, the Group granted to Amgen an exclusive worldwide, royalty-bearing, sublicensable license under the Group’s patents and know-how relating to MP0310 / AMG506 to develop and commercialize MP0310 / AMG 506. The parties will jointly evaluate MP0310 / AMG 506 in combination with Amgen`s oncology pipeline products, including its investigational bispecific T-cell engager, or TCE, or BiTE, molecules. Under the collaboration, Molecular Partners retains certain rights to develop and commercialize its proprietary DARPin pipeline products in combination with MP0310 / AMG 506.</w:t>
      </w:r>
    </w:p>
    <w:p>
      <w:pPr>
        <w:spacing w:after="0" w:line="1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agreement the Group received a non-refundable upfront payment of $50 million. The Group has the lead on performing certain clinical development, manufacturing and regulatory activities in the first clinical phase and the Group assigned the full $50 million upfront as the transaction price to this performance obligation, based on the Group's development plan and the contractual agreement. The Group has considered if the contract contains a significant financing component and has concluded this was not the case. The Group is recognizing the related revenue using the cost-based method to measure it progress by reference to actual costs incurred in relation to the Group's best estimate of total expected costs to satisfy the performance obligation. This cost-based method is subject to the assessment of the management of the Group. The Group determined using an over-time cost-based method to measure its progress most faithfully depicts the inputs it will take the Group to satisfy the performance obligation. Please see also note 15 for the amount that has not yet been recognized as revenue.</w:t>
      </w:r>
    </w:p>
    <w:p>
      <w:pPr>
        <w:spacing w:after="0" w:line="11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the Group is eligible to receive up to $497 million in development, regulatory and commercial milestone payments, as well as double-digit, tiered royalties up to the high teens. The Group considers these various milestones to be variable consideration as they are contingent upon achieving uncertain, future development stages and net sales. For this reason the Group considers the achievement of the various milestones as binary events that will be recognized into revenue upon occurrence. Furthermore, the parties will share the clinical development costs in defined percentages for the first three indications subject to certain conditions. For all additional clinical trials, Amgen is responsible for all development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Abicipar Agreement with Allergan</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May 2011, the Group entered into a license and collaboration agreement with Allergan. Under the agreement, the Group granted Allergan an exclusive, worldwide, royalty-bearing, sublicensable license under our patents and know-how relating to abicipar and other backup compounds to make, use, sell, offer for sale, and import products containing abicipar and its corresponding backups for ophthalmic indications. Allergan is responsible, at its expense, for developing and commercializing abicipar, and must use commercially reasonable efforts to develop, seek regulatory approval for, and commercialize abicipar in certain key countries, including the United States,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320" w:top="1440" w:right="379" w:bottom="1440" w:gutter="0" w:footer="0" w:header="0"/>
        </w:sectPr>
      </w:pPr>
    </w:p>
    <w:bookmarkStart w:id="268" w:name="page269"/>
    <w:bookmarkEnd w:id="268"/>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major European markets and Japan. Allergan paid the Group an upfront license fee of $45 million in May 2011 and a regulatory milestone fee of $15 million upon the initiation of its Phase 3 clinical trials for nAMD in July 2015. These non-refundable upfront fees have all been recognized into revenue in prior years. The Group is also eligible to receive up to an additional $210 million upon the achievement of certain development and regulatory milestone events and $150 million upon the achievement of certain sales milestone events. In addition, the Group will receive a tiered royalty percentage ranging from the low to mid-teens on worldwide annual net sales of abicipar.</w:t>
      </w:r>
    </w:p>
    <w:p>
      <w:pPr>
        <w:spacing w:after="0" w:line="107"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Allergan, an AbbVie Company following the acquisition by AbbVie, announced in June 2020 that the U.S. Food and Drug Administration issued a Complete Response Letter to the Biologics License Application for abicipar. AbbVie is to determine appropriate next steps with relevant regulatory agencies.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Alliance Agreement with Allergan</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August 2012, the Group strategically expanded its existing relationship with Allergan by entering into an exclusive discovery alliance agreement under which the parties will collaborate to design and develop DARPin products against selected targets that are implicated in causing diseases of the eye. The Group received an upfront payment of $40 million and a further $1.5 million upfront payment in connection with a 2014 amendment to the agreement, and Allergan agreed to pay us an option exercise fee of $10 million upon its exercise of further options. In July 2015, Allergan agreed to make an accelerated payment of $30 million for the exercise of these options. In February 2018 Allergan exercised its last of the three options resulting in a recognized revenue of CHF 9.4 million. All revenue from these non refundable fees has been recognized in prior years. The Group is also eligible to receive additional success-based payments, including up to $960 million in development, regulatory and sales milestones, and tiered royalties ranging from a mid-single digit to low double digit percentage for future product sales by Allergan.</w:t>
      </w:r>
    </w:p>
    <w:p>
      <w:pPr>
        <w:spacing w:after="0" w:line="98" w:lineRule="exact"/>
        <w:rPr>
          <w:sz w:val="20"/>
          <w:szCs w:val="20"/>
          <w:color w:val="auto"/>
        </w:rPr>
      </w:pPr>
    </w:p>
    <w:p>
      <w:pPr>
        <w:ind w:left="380" w:hanging="372"/>
        <w:spacing w:after="0"/>
        <w:tabs>
          <w:tab w:leader="none" w:pos="38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color w:val="auto"/>
        </w:rPr>
        <w:t>Property, Plant and Equipment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4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Lab equipment</w:t>
            </w:r>
          </w:p>
        </w:tc>
        <w:tc>
          <w:tcPr>
            <w:tcW w:w="14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w w:val="99"/>
              </w:rPr>
              <w:t>Office equipment</w:t>
            </w:r>
          </w:p>
        </w:tc>
        <w:tc>
          <w:tcPr>
            <w:tcW w:w="1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IT</w:t>
            </w:r>
          </w:p>
        </w:tc>
        <w:tc>
          <w:tcPr>
            <w:tcW w:w="1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Right-of-use</w:t>
            </w:r>
          </w:p>
        </w:tc>
        <w:tc>
          <w:tcPr>
            <w:tcW w:w="16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Leasehold</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hardware</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assets</w:t>
            </w:r>
          </w:p>
        </w:tc>
        <w:tc>
          <w:tcPr>
            <w:tcW w:w="1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improvements</w:t>
            </w: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13,123</w:t>
            </w: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5,984</w:t>
            </w: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8,337</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9,616</w:t>
            </w:r>
          </w:p>
        </w:tc>
        <w:tc>
          <w:tcPr>
            <w:tcW w:w="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20,049</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1320" w:type="dxa"/>
            <w:vAlign w:val="bottom"/>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charge for the year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(6,602)</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w:t>
            </w:r>
          </w:p>
        </w:tc>
        <w:tc>
          <w:tcPr>
            <w:tcW w:w="8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(10,662)</w:t>
            </w: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5"/>
              </w:rPr>
              <w:t>Carrying amount at December 31,</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1,735</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7,203</w:t>
            </w:r>
          </w:p>
        </w:tc>
        <w:tc>
          <w:tcPr>
            <w:tcW w:w="8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9,387</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right-of-use assets relate to the facilities the Group is leasing in Schlieren, Switzerland. The additions to the the right-of-use assets during 2020 were TCHF 5,984 and related to the remeasurement of the lease liability following the exercise by the Group of an option for the extension of the lease by 5 years (until December 31, 2026) with a new earliest contractual termination date for both the lessor and the Group on the major real estate lease of December 31, 2025. Disposals under the right-of-use assets related to the return of certain assets to the lessor. Please also see note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14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Lab equipment</w:t>
            </w:r>
          </w:p>
        </w:tc>
        <w:tc>
          <w:tcPr>
            <w:tcW w:w="14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w w:val="99"/>
              </w:rPr>
              <w:t>Office equipment</w:t>
            </w:r>
          </w:p>
        </w:tc>
        <w:tc>
          <w:tcPr>
            <w:tcW w:w="14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IT</w:t>
            </w:r>
          </w:p>
        </w:tc>
        <w:tc>
          <w:tcPr>
            <w:tcW w:w="14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Right-of-use</w:t>
            </w:r>
          </w:p>
        </w:tc>
        <w:tc>
          <w:tcPr>
            <w:tcW w:w="1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Leasehold</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hardware</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assets</w:t>
            </w:r>
          </w:p>
        </w:tc>
        <w:tc>
          <w:tcPr>
            <w:tcW w:w="1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improvements</w:t>
            </w: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176"/>
        </w:trPr>
        <w:tc>
          <w:tcPr>
            <w:tcW w:w="2780" w:type="dxa"/>
            <w:vAlign w:val="bottom"/>
          </w:tcPr>
          <w:p>
            <w:pPr>
              <w:ind w:left="180"/>
              <w:spacing w:after="0" w:line="176" w:lineRule="exact"/>
              <w:rPr>
                <w:sz w:val="20"/>
                <w:szCs w:val="20"/>
                <w:color w:val="auto"/>
              </w:rPr>
            </w:pPr>
            <w:r>
              <w:rPr>
                <w:rFonts w:ascii="Arial" w:cs="Arial" w:eastAsia="Arial" w:hAnsi="Arial"/>
                <w:sz w:val="18"/>
                <w:szCs w:val="18"/>
                <w:color w:val="auto"/>
                <w:w w:val="93"/>
              </w:rPr>
              <w:t>Adoption of IFRS 16 as of January</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5"/>
                <w:szCs w:val="15"/>
                <w:color w:val="auto"/>
              </w:rPr>
            </w:pP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29"/>
        </w:trPr>
        <w:tc>
          <w:tcPr>
            <w:tcW w:w="2780" w:type="dxa"/>
            <w:vAlign w:val="bottom"/>
          </w:tcPr>
          <w:p>
            <w:pPr>
              <w:ind w:left="180"/>
              <w:spacing w:after="0"/>
              <w:rPr>
                <w:sz w:val="20"/>
                <w:szCs w:val="20"/>
                <w:color w:val="auto"/>
              </w:rPr>
            </w:pPr>
            <w:r>
              <w:rPr>
                <w:rFonts w:ascii="Arial" w:cs="Arial" w:eastAsia="Arial" w:hAnsi="Arial"/>
                <w:sz w:val="18"/>
                <w:szCs w:val="18"/>
                <w:color w:val="auto"/>
              </w:rPr>
              <w:t>1, 2019</w:t>
            </w:r>
          </w:p>
        </w:tc>
        <w:tc>
          <w:tcPr>
            <w:tcW w:w="142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3,782</w:t>
            </w:r>
          </w:p>
        </w:tc>
        <w:tc>
          <w:tcPr>
            <w:tcW w:w="8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8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13,123</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70"/>
        </w:trPr>
        <w:tc>
          <w:tcPr>
            <w:tcW w:w="2780" w:type="dxa"/>
            <w:vAlign w:val="bottom"/>
          </w:tcPr>
          <w:p>
            <w:pPr>
              <w:ind w:left="180"/>
              <w:spacing w:after="0"/>
              <w:rPr>
                <w:sz w:val="20"/>
                <w:szCs w:val="20"/>
                <w:color w:val="auto"/>
              </w:rPr>
            </w:pPr>
            <w:r>
              <w:rPr>
                <w:rFonts w:ascii="Arial" w:cs="Arial" w:eastAsia="Arial" w:hAnsi="Arial"/>
                <w:sz w:val="18"/>
                <w:szCs w:val="18"/>
                <w:color w:val="auto"/>
              </w:rPr>
              <w:t>Depreciation charge for the year</w:t>
            </w:r>
          </w:p>
        </w:tc>
        <w:tc>
          <w:tcPr>
            <w:tcW w:w="132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Disposals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(5,963)</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w:t>
            </w:r>
          </w:p>
        </w:tc>
        <w:tc>
          <w:tcPr>
            <w:tcW w:w="8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(8,881)</w:t>
            </w:r>
          </w:p>
        </w:tc>
        <w:tc>
          <w:tcPr>
            <w:tcW w:w="0" w:type="dxa"/>
            <w:vAlign w:val="bottom"/>
          </w:tcPr>
          <w:p>
            <w:pPr>
              <w:spacing w:after="0"/>
              <w:rPr>
                <w:sz w:val="1"/>
                <w:szCs w:val="1"/>
                <w:color w:val="auto"/>
              </w:rPr>
            </w:pPr>
          </w:p>
        </w:tc>
      </w:tr>
      <w:tr>
        <w:trPr>
          <w:trHeight w:val="155"/>
        </w:trPr>
        <w:tc>
          <w:tcPr>
            <w:tcW w:w="27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5"/>
              </w:rPr>
              <w:t>Carrying amount at December 31,</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2,535</w:t>
            </w:r>
          </w:p>
        </w:tc>
        <w:tc>
          <w:tcPr>
            <w:tcW w:w="8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4,242</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Intangible 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500" w:type="dxa"/>
            <w:vAlign w:val="bottom"/>
            <w:tcBorders>
              <w:top w:val="single" w:sz="8" w:color="auto"/>
            </w:tcBorders>
          </w:tcPr>
          <w:p>
            <w:pPr>
              <w:spacing w:after="0"/>
              <w:rPr>
                <w:sz w:val="20"/>
                <w:szCs w:val="20"/>
                <w:color w:val="auto"/>
              </w:rPr>
            </w:pPr>
          </w:p>
        </w:tc>
      </w:tr>
      <w:tr>
        <w:trPr>
          <w:trHeight w:val="262"/>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4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IT software</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450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450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Disposals</w:t>
            </w:r>
          </w:p>
        </w:tc>
        <w:tc>
          <w:tcPr>
            <w:tcW w:w="45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450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Amortization charge for the year</w:t>
            </w:r>
          </w:p>
        </w:tc>
        <w:tc>
          <w:tcPr>
            <w:tcW w:w="45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4500" w:type="dxa"/>
            <w:vAlign w:val="bottom"/>
          </w:tcPr>
          <w:p>
            <w:pPr>
              <w:jc w:val="right"/>
              <w:spacing w:after="0"/>
              <w:rPr>
                <w:sz w:val="20"/>
                <w:szCs w:val="20"/>
                <w:color w:val="auto"/>
              </w:rPr>
            </w:pPr>
            <w:r>
              <w:rPr>
                <w:rFonts w:ascii="Arial" w:cs="Arial" w:eastAsia="Arial" w:hAnsi="Arial"/>
                <w:sz w:val="18"/>
                <w:szCs w:val="18"/>
                <w:b w:val="1"/>
                <w:bCs w:val="1"/>
                <w:color w:val="auto"/>
              </w:rPr>
              <w:t>(1,183)</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 2020</w:t>
            </w:r>
          </w:p>
        </w:tc>
        <w:tc>
          <w:tcPr>
            <w:tcW w:w="4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320" w:type="dxa"/>
            <w:vAlign w:val="bottom"/>
            <w:tcBorders>
              <w:top w:val="single" w:sz="8" w:color="auto"/>
            </w:tcBorders>
          </w:tcPr>
          <w:p>
            <w:pPr>
              <w:spacing w:after="0"/>
              <w:rPr>
                <w:sz w:val="20"/>
                <w:szCs w:val="20"/>
                <w:color w:val="auto"/>
              </w:rPr>
            </w:pPr>
          </w:p>
        </w:tc>
      </w:tr>
      <w:tr>
        <w:trPr>
          <w:trHeight w:val="262"/>
        </w:trPr>
        <w:tc>
          <w:tcPr>
            <w:tcW w:w="9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IT software</w:t>
            </w:r>
          </w:p>
        </w:tc>
      </w:tr>
      <w:tr>
        <w:trPr>
          <w:trHeight w:val="223"/>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320" w:type="dxa"/>
            <w:vAlign w:val="bottom"/>
            <w:shd w:val="clear" w:color="auto" w:fill="CCEEFF"/>
          </w:tcPr>
          <w:p>
            <w:pPr>
              <w:spacing w:after="0"/>
              <w:rPr>
                <w:sz w:val="19"/>
                <w:szCs w:val="19"/>
                <w:color w:val="auto"/>
              </w:rPr>
            </w:pPr>
          </w:p>
        </w:tc>
      </w:tr>
      <w:tr>
        <w:trPr>
          <w:trHeight w:val="229"/>
        </w:trPr>
        <w:tc>
          <w:tcPr>
            <w:tcW w:w="9820" w:type="dxa"/>
            <w:vAlign w:val="bottom"/>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9820" w:type="dxa"/>
            <w:vAlign w:val="bottom"/>
          </w:tcPr>
          <w:p>
            <w:pPr>
              <w:ind w:left="20"/>
              <w:spacing w:after="0"/>
              <w:rPr>
                <w:sz w:val="20"/>
                <w:szCs w:val="20"/>
                <w:color w:val="auto"/>
              </w:rPr>
            </w:pPr>
            <w:r>
              <w:rPr>
                <w:rFonts w:ascii="Arial" w:cs="Arial" w:eastAsia="Arial" w:hAnsi="Arial"/>
                <w:sz w:val="18"/>
                <w:szCs w:val="18"/>
                <w:color w:val="auto"/>
              </w:rPr>
              <w:t>Disposals</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w:t>
            </w:r>
          </w:p>
        </w:tc>
      </w:tr>
      <w:tr>
        <w:trPr>
          <w:trHeight w:val="209"/>
        </w:trPr>
        <w:tc>
          <w:tcPr>
            <w:tcW w:w="982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320" w:type="dxa"/>
            <w:vAlign w:val="bottom"/>
          </w:tcPr>
          <w:p>
            <w:pPr>
              <w:spacing w:after="0"/>
              <w:rPr>
                <w:sz w:val="18"/>
                <w:szCs w:val="18"/>
                <w:color w:val="auto"/>
              </w:rPr>
            </w:pPr>
          </w:p>
        </w:tc>
      </w:tr>
      <w:tr>
        <w:trPr>
          <w:trHeight w:val="23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9820" w:type="dxa"/>
            <w:vAlign w:val="bottom"/>
          </w:tcPr>
          <w:p>
            <w:pPr>
              <w:ind w:left="20"/>
              <w:spacing w:after="0"/>
              <w:rPr>
                <w:sz w:val="20"/>
                <w:szCs w:val="20"/>
                <w:color w:val="auto"/>
              </w:rPr>
            </w:pPr>
            <w:r>
              <w:rPr>
                <w:rFonts w:ascii="Arial" w:cs="Arial" w:eastAsia="Arial" w:hAnsi="Arial"/>
                <w:sz w:val="18"/>
                <w:szCs w:val="18"/>
                <w:color w:val="auto"/>
              </w:rPr>
              <w:t>Amortization charge for the year</w:t>
            </w:r>
          </w:p>
        </w:tc>
        <w:tc>
          <w:tcPr>
            <w:tcW w:w="132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Disposals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r>
      <w:tr>
        <w:trPr>
          <w:trHeight w:val="223"/>
        </w:trPr>
        <w:tc>
          <w:tcPr>
            <w:tcW w:w="9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Carrying amount at December 31,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w:t>
            </w:r>
          </w:p>
        </w:tc>
      </w:tr>
    </w:tbl>
    <w:p>
      <w:pPr>
        <w:spacing w:after="0" w:line="216" w:lineRule="exact"/>
        <w:rPr>
          <w:sz w:val="20"/>
          <w:szCs w:val="20"/>
          <w:color w:val="auto"/>
        </w:rPr>
      </w:pPr>
    </w:p>
    <w:p>
      <w:pPr>
        <w:ind w:left="380" w:hanging="372"/>
        <w:spacing w:after="0"/>
        <w:tabs>
          <w:tab w:leader="none" w:pos="38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CHF thousands</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Financial assets at</w:t>
            </w:r>
          </w:p>
        </w:tc>
        <w:tc>
          <w:tcPr>
            <w:tcW w:w="0" w:type="dxa"/>
            <w:vAlign w:val="bottom"/>
          </w:tcPr>
          <w:p>
            <w:pPr>
              <w:spacing w:after="0"/>
              <w:rPr>
                <w:sz w:val="1"/>
                <w:szCs w:val="1"/>
                <w:color w:val="auto"/>
              </w:rPr>
            </w:pPr>
          </w:p>
        </w:tc>
      </w:tr>
      <w:tr>
        <w:trPr>
          <w:trHeight w:val="47"/>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costs</w:t>
            </w:r>
          </w:p>
        </w:tc>
        <w:tc>
          <w:tcPr>
            <w:tcW w:w="0" w:type="dxa"/>
            <w:vAlign w:val="bottom"/>
          </w:tcPr>
          <w:p>
            <w:pPr>
              <w:spacing w:after="0"/>
              <w:rPr>
                <w:sz w:val="1"/>
                <w:szCs w:val="1"/>
                <w:color w:val="auto"/>
              </w:rPr>
            </w:pPr>
          </w:p>
        </w:tc>
      </w:tr>
      <w:tr>
        <w:trPr>
          <w:trHeight w:val="26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133,721</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6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64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173,882</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16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0"/>
        </w:trPr>
        <w:tc>
          <w:tcPr>
            <w:tcW w:w="960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1640" w:type="dxa"/>
            <w:vAlign w:val="bottom"/>
          </w:tcPr>
          <w:p>
            <w:pPr>
              <w:jc w:val="right"/>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70"/>
        </w:trPr>
        <w:tc>
          <w:tcPr>
            <w:tcW w:w="9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above mentioned amounts were neither past due nor impaired at the end of the respective reporting period and were of highly rated quality. Please also see note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ind w:left="20"/>
              <w:spacing w:after="0"/>
              <w:rPr>
                <w:sz w:val="20"/>
                <w:szCs w:val="20"/>
                <w:color w:val="auto"/>
              </w:rPr>
            </w:pPr>
            <w:r>
              <w:rPr>
                <w:rFonts w:ascii="Arial" w:cs="Arial" w:eastAsia="Arial" w:hAnsi="Arial"/>
                <w:sz w:val="16"/>
                <w:szCs w:val="16"/>
                <w:b w:val="1"/>
                <w:bCs w:val="1"/>
                <w:color w:val="auto"/>
              </w:rPr>
              <w:t>in CHF thousands</w:t>
            </w:r>
          </w:p>
        </w:tc>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Financial liabilities at</w:t>
            </w:r>
          </w:p>
        </w:tc>
        <w:tc>
          <w:tcPr>
            <w:tcW w:w="0" w:type="dxa"/>
            <w:vAlign w:val="bottom"/>
          </w:tcPr>
          <w:p>
            <w:pPr>
              <w:spacing w:after="0"/>
              <w:rPr>
                <w:sz w:val="1"/>
                <w:szCs w:val="1"/>
                <w:color w:val="auto"/>
              </w:rPr>
            </w:pPr>
          </w:p>
        </w:tc>
      </w:tr>
      <w:tr>
        <w:trPr>
          <w:trHeight w:val="47"/>
        </w:trPr>
        <w:tc>
          <w:tcPr>
            <w:tcW w:w="9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60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37"/>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Accrued project costs and royalties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non-employee related accrued expenses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12,765</w:t>
            </w:r>
          </w:p>
        </w:tc>
        <w:tc>
          <w:tcPr>
            <w:tcW w:w="0" w:type="dxa"/>
            <w:vAlign w:val="bottom"/>
          </w:tcPr>
          <w:p>
            <w:pPr>
              <w:spacing w:after="0"/>
              <w:rPr>
                <w:sz w:val="1"/>
                <w:szCs w:val="1"/>
                <w:color w:val="auto"/>
              </w:rPr>
            </w:pPr>
          </w:p>
        </w:tc>
      </w:tr>
      <w:tr>
        <w:trPr>
          <w:trHeight w:val="210"/>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Accrued project costs and royalties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169"/>
        </w:trPr>
        <w:tc>
          <w:tcPr>
            <w:tcW w:w="96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non-employee related accrued expenses</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162"/>
        </w:trPr>
        <w:tc>
          <w:tcPr>
            <w:tcW w:w="96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2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1440" w:right="339" w:bottom="277" w:gutter="0" w:footer="0" w:header="0"/>
          <w:type w:val="continuous"/>
        </w:sectPr>
      </w:pPr>
    </w:p>
    <w:bookmarkStart w:id="271" w:name="page272"/>
    <w:bookmarkEnd w:id="271"/>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carrying amount of financial assets and financial liabilities not measured at fair value (except for lease liabilities) is a reasonable approximation of fair value.</w:t>
      </w:r>
    </w:p>
    <w:p>
      <w:pPr>
        <w:spacing w:after="0" w:line="9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Prepaid Expenses and Accrued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6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Prepayments</w:t>
            </w:r>
          </w:p>
        </w:tc>
        <w:tc>
          <w:tcPr>
            <w:tcW w:w="466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1,252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Accrued income</w:t>
            </w:r>
          </w:p>
        </w:tc>
        <w:tc>
          <w:tcPr>
            <w:tcW w:w="466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46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1,254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2,497</w:t>
            </w:r>
          </w:p>
        </w:tc>
      </w:tr>
    </w:tbl>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Trade and Other Receivables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3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880" w:type="dxa"/>
            <w:vAlign w:val="bottom"/>
          </w:tcPr>
          <w:p>
            <w:pPr>
              <w:ind w:left="20"/>
              <w:spacing w:after="0"/>
              <w:rPr>
                <w:sz w:val="20"/>
                <w:szCs w:val="20"/>
                <w:color w:val="auto"/>
              </w:rPr>
            </w:pPr>
            <w:r>
              <w:rPr>
                <w:rFonts w:ascii="Arial" w:cs="Arial" w:eastAsia="Arial" w:hAnsi="Arial"/>
                <w:sz w:val="18"/>
                <w:szCs w:val="18"/>
                <w:color w:val="auto"/>
              </w:rPr>
              <w:t>Value added tax</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1,376</w:t>
            </w:r>
          </w:p>
        </w:tc>
        <w:tc>
          <w:tcPr>
            <w:tcW w:w="10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7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 tax</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70"/>
        </w:trPr>
        <w:tc>
          <w:tcPr>
            <w:tcW w:w="688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1,103</w:t>
            </w:r>
          </w:p>
        </w:tc>
        <w:tc>
          <w:tcPr>
            <w:tcW w:w="104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7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3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2,837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2,344</w:t>
            </w:r>
          </w:p>
        </w:tc>
      </w:tr>
      <w:tr>
        <w:trPr>
          <w:trHeight w:val="682"/>
        </w:trPr>
        <w:tc>
          <w:tcPr>
            <w:tcW w:w="6880" w:type="dxa"/>
            <w:vAlign w:val="bottom"/>
          </w:tcPr>
          <w:p>
            <w:pPr>
              <w:spacing w:after="0"/>
              <w:rPr>
                <w:sz w:val="20"/>
                <w:szCs w:val="20"/>
                <w:color w:val="auto"/>
              </w:rPr>
            </w:pPr>
            <w:r>
              <w:rPr>
                <w:rFonts w:ascii="Arial" w:cs="Arial" w:eastAsia="Arial" w:hAnsi="Arial"/>
                <w:sz w:val="18"/>
                <w:szCs w:val="18"/>
                <w:color w:val="auto"/>
              </w:rPr>
              <w:t>Trade receivables are denominated in the following currencies:</w:t>
            </w:r>
          </w:p>
        </w:tc>
        <w:tc>
          <w:tcPr>
            <w:tcW w:w="3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68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213"/>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3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33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159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USD</w:t>
            </w:r>
          </w:p>
        </w:tc>
        <w:tc>
          <w:tcPr>
            <w:tcW w:w="332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3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159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200" w:lineRule="exact"/>
        <w:rPr>
          <w:sz w:val="20"/>
          <w:szCs w:val="20"/>
          <w:color w:val="auto"/>
        </w:rPr>
      </w:pPr>
    </w:p>
    <w:p>
      <w:pPr>
        <w:spacing w:after="0" w:line="259" w:lineRule="exact"/>
        <w:rPr>
          <w:sz w:val="20"/>
          <w:szCs w:val="20"/>
          <w:color w:val="auto"/>
        </w:rPr>
      </w:pPr>
    </w:p>
    <w:p>
      <w:pPr>
        <w:ind w:left="480" w:hanging="472"/>
        <w:spacing w:after="0"/>
        <w:tabs>
          <w:tab w:leader="none" w:pos="48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Cash, Cash Equivalents and Short-term Time Deposits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bank in 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Cash at bank in EUR</w:t>
            </w:r>
          </w:p>
        </w:tc>
        <w:tc>
          <w:tcPr>
            <w:tcW w:w="1460" w:type="dxa"/>
            <w:vAlign w:val="bottom"/>
          </w:tcPr>
          <w:p>
            <w:pPr>
              <w:jc w:val="right"/>
              <w:spacing w:after="0"/>
              <w:rPr>
                <w:sz w:val="20"/>
                <w:szCs w:val="20"/>
                <w:color w:val="auto"/>
              </w:rPr>
            </w:pPr>
            <w:r>
              <w:rPr>
                <w:rFonts w:ascii="Arial" w:cs="Arial" w:eastAsia="Arial" w:hAnsi="Arial"/>
                <w:sz w:val="18"/>
                <w:szCs w:val="18"/>
                <w:color w:val="auto"/>
              </w:rPr>
              <w:t>6,365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12,803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bank in USD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Cash at bank in GBP</w:t>
            </w:r>
          </w:p>
        </w:tc>
        <w:tc>
          <w:tcPr>
            <w:tcW w:w="146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4,239</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at bank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133,721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75,712</w:t>
            </w:r>
          </w:p>
        </w:tc>
      </w:tr>
      <w:tr>
        <w:trPr>
          <w:trHeight w:val="250"/>
        </w:trPr>
        <w:tc>
          <w:tcPr>
            <w:tcW w:w="8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time deposits CHF</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Short-term time deposits USD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short-term time deposits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19,368</w:t>
            </w: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short-term time deposits in CHF at December 31, 2020 contain three positions with two major Swiss banks. The short-term time deposits in USD at December 31, 2019 contain one position with a major Swiss bank. Please also refer to note 25.</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increase in Cash, Cash equivalents and Short-term time deposits during 2020 was the result of the placement of new shares in July 2020, the reservation agreement with the Swiss Federal Office of Public Health: Bundesamt für Gesundheit (FOPH-BAG) in August 2020 and the Option and Equity Rights agreement with Novartis in October 2020, as also described in notes 1, 5 and 12.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240"/>
          </w:cols>
          <w:pgMar w:left="320" w:top="1440" w:right="339" w:bottom="1440" w:gutter="0" w:footer="0" w:header="0"/>
          <w:type w:val="continuous"/>
        </w:sectPr>
      </w:pPr>
    </w:p>
    <w:bookmarkStart w:id="272" w:name="page273"/>
    <w:bookmarkEnd w:id="272"/>
    <w:p>
      <w:pPr>
        <w:spacing w:after="0" w:line="131" w:lineRule="exact"/>
        <w:rPr>
          <w:sz w:val="20"/>
          <w:szCs w:val="20"/>
          <w:color w:val="auto"/>
        </w:rPr>
      </w:pPr>
    </w:p>
    <w:p>
      <w:pPr>
        <w:ind w:left="500" w:hanging="492"/>
        <w:spacing w:after="0"/>
        <w:tabs>
          <w:tab w:leader="none" w:pos="500"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color w:val="auto"/>
        </w:rPr>
        <w:t>Shareholders’ Equity</w:t>
      </w:r>
    </w:p>
    <w:p>
      <w:pPr>
        <w:spacing w:after="0" w:line="138"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Group announced on July 7, 2020 a placement of 5,528,089 new registered shares, corresponding to approximately 25% of the Group's registered share capital, by way of an accelerated bookbuilding process, at an offering price of CHF 14.50 per share. The new shares were issued from existing authorized share capital of the company under exclusion of the existing shareholders' pre-emptive rights. The new shares were listed and admitted to trading on SIX Swiss Exchange as of July 9, 2020. Payment and settlement took place on the same date.</w:t>
      </w:r>
    </w:p>
    <w:p>
      <w:pPr>
        <w:spacing w:after="0" w:line="10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Presented under the caption of additional paid-in capital on the statement of financial position, the Group accounted for a deduction of 6,043 TCHF for transaction costs. This deduction represents the costs that were incremental and directly attributable to the issuance of the new shares. The Group invested part of the net proceeds from the capital increase into short-term time deposits and the remaining part into cash and cash equivalents.</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28, 2020 the Group announced an Option and Equity Rights Agreement with Novartis. As part of the transaction, Novartis agreed to acquire 1,739,130 new common shares for CHF 40 million, out of the conditional capital, at a price of CHF 23 per share. As a result, Novartis holds approximately 6% of the outstanding shares of the Company.</w:t>
      </w:r>
    </w:p>
    <w:p>
      <w:pPr>
        <w:spacing w:after="0" w:line="10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Presented under the caption of additional paid-in capital on the statement of financial position, the Group accounted for a deduction of TCHF 501 for transaction costs. This deduction represents the costs that were incremental and directly attributable to the issuance of the new shares.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Group invested part of the net proceeds from the capital increases into short-term time deposits and the remaining part into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Classes of Share Capital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 capital</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31, 2020, the Company’s issued share capital amounted to CHF 2,914,699.20 divided into 29,146,992 fully paid registered shares with a nominal value of CHF 0.10 each. As of December 31, 2019, the Company’s issued share capital consisted of 21,601,192 fully paid registered shares with a nominal value of CHF 0.10 each. Common shares are entitled to one vote per share and rank equally with regards to the Company's residual assets and dividends (if any should be declared in the future).</w:t>
      </w:r>
    </w:p>
    <w:p>
      <w:pPr>
        <w:spacing w:after="0" w:line="11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share capital registered with the Swiss Commercial Register on December 31, 2020, amounted to CHF 2,886,841.10 divided into 28,868,411 fully paid up registered shares with a nominal value of CHF 0.10 per share.</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total of 7,545,800 new registered shares were issued in 2020 as a result of the placement of new shares following the capital raise in July 2020 and the Novartis agreement in October 2020 plus the option exercises and the vesting of Performance Share Units, or PSU, and Restricted Share Units (RSU), from the PSU and RSU plans 2017. The corresponding capital increases were registered with the commercial register in three steps on July 20, 2020, and November 9, 2020 for the transactions in July and October and on January 29, 2021 for the option exercises and the vesting of the PSU and RSU Plans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58"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The Board of Directors is authorized to increase the share capital at any time until April 19, 2022 by a maximum amount of CHF 13,177 by issuing a maximum of 131,771 fully paid up shares with a nominal value of CHF 0.10 each. An increase of the share capital in partial amounts is permissible.</w:t>
      </w:r>
    </w:p>
    <w:p>
      <w:pPr>
        <w:spacing w:after="0" w:line="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2020, the share capital was increased out of authorized share capital for the private placement performed in July 2020. As a result, the available authorized share capital was reduced by CHF 552,809 from CHF 565,986 to CHF 13,177.</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of Directors is authorized to determine the issue price, type of payment, time of the issuance, conditions for the exercise of the preemptive rights and the date from which the shares carry the right to dividends.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320" w:top="1440" w:right="359" w:bottom="1440" w:gutter="0" w:footer="0" w:header="0"/>
        </w:sectPr>
      </w:pPr>
    </w:p>
    <w:bookmarkStart w:id="273" w:name="page274"/>
    <w:bookmarkEnd w:id="273"/>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of Directors can issue new shares by means of an underwriting arrangement by a bank or another third party with a subsequent offer of these shares to the existing shareholders or third parties (if the preemptive rights of the existing shareholders have been denied or not been duly exercised). The Board of Directors is authorized to permit, to restrict or to deny the trade of preemptive rights. 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Group.</w:t>
      </w:r>
    </w:p>
    <w:p>
      <w:pPr>
        <w:spacing w:after="0" w:line="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Board of Directors is further authorized to restrict or deny the preemptive rights of shareholders and to allocate them to third parties: (a) for the acquisition of companies, parts of companies or participations, for the acquisition of products, intellectual property or licenses, for investment projects or for the financing or refinancing of such transactions through a placement of shares, (b) for the purpose of broadening the shareholder constituency or in connection with a listing of shares on domestic or foreign stock exchanges, (c) if the issue price of the new shares is determined by reference to the market price, (d) for purposes of granting an over-allotment option (Greenshoe) of up to 20% of the total number of shares in a placement or sale of shares to the respective initial purchasers or underwriters, (e) following a shareholder or a group of shareholders acting in concert having accumulated shareholdings in excess of 15% of the share capital registered with the commercial register of the Canton of Zurich, without having submitted to the other shareholders a take-over offer recommended by the Board of Directors, or (f) for the defense of an actual, threatened or potential takeover bid, in relation to which the Board of Directors has not recommended to the shareholders acceptance on the basis that the Board of Directors has not found the takeover bid to be financially fair to the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Conditional share capital</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2020 the Company’s share capital was allowed to be increased by an amount not to exceed CHF 176,068 through the issuance of up to 1,760,677 fully paid up shares with a nominal value of CHF 0.10 per share through the direct or indirect issuance of shares, options or preemptive rights granted to employees, members of the Board of Directors or members of any advisory boards. During 2020, the share capital was increased out of this conditional capital for employee participation (Article 3b of the Articles of Association). As a result, the available conditional capital for employee participation was reduced by CHF 27,858 from CHF 203,926 to CHF 176,068.</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share capital may be increased by an amount not to exceed CHF 226,087 through the issuance of up to 2,260,870 fully paid up shares with a nominal value of CHF 0.10 per share through the exercise or mandatory exercise of conversion, exchange, option, warrant or similar rights for the subscription of shares granted to shareholders or third parties alone or in connection with bonds, notes, options, warrants or other securities or contractual obligations by or of the Company. During 2020, the share capital was increased out of this conditional capital for financing transactions and other purposes (Article 3c of the Articles of Association). As a result, the available conditional capital for financing transactions and other purposes was reduced by CHF 173,913 from CHF 400,000 to CHF 226,087.</w:t>
      </w:r>
    </w:p>
    <w:p>
      <w:pPr>
        <w:spacing w:after="0" w:line="1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2020, the cash proceeds from the exercise of share options and the vesting of PSUs amounted to TCHF 848 and was all serviced from the issuance of new shares (conditional share capital).</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2019, the cash proceeds from the exercise of share options and the early vesting of PSUs amounted to TCHF 1,020 and all was serviced from the issuance of new shares (conditional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320" w:top="1440" w:right="399" w:bottom="1440" w:gutter="0" w:footer="0" w:header="0"/>
        </w:sectPr>
      </w:pPr>
    </w:p>
    <w:bookmarkStart w:id="274" w:name="page275"/>
    <w:bookmarkEnd w:id="274"/>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Shareholders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the largest shareholders in the Company disclosed to the Company based on the published notifications to SIX, as applicable, 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Shareholders with over 3% of share capital registered with the</w:t>
            </w:r>
          </w:p>
        </w:tc>
        <w:tc>
          <w:tcPr>
            <w:tcW w:w="3460" w:type="dxa"/>
            <w:vAlign w:val="bottom"/>
            <w:tcBorders>
              <w:top w:val="single" w:sz="8" w:color="auto"/>
            </w:tcBorders>
            <w:vMerge w:val="restart"/>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Commercial Register</w:t>
            </w:r>
          </w:p>
        </w:tc>
        <w:tc>
          <w:tcPr>
            <w:tcW w:w="34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 N. Lampert (Biotechnology Value Funds)</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7.56 %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Hansjoerg Wyss</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7.07 %</w:t>
            </w:r>
          </w:p>
        </w:tc>
        <w:tc>
          <w:tcPr>
            <w:tcW w:w="1060" w:type="dxa"/>
            <w:vAlign w:val="bottom"/>
          </w:tcPr>
          <w:p>
            <w:pPr>
              <w:jc w:val="right"/>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Suvretta Capital Management, LLC</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6.06 %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Novartis AG</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6.02 %</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Federated Hermes, Inc.</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5.81 %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Essex Woodlands Health Ventures VIII, LLC</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5.61 %</w:t>
            </w:r>
          </w:p>
        </w:tc>
        <w:tc>
          <w:tcPr>
            <w:tcW w:w="1060" w:type="dxa"/>
            <w:vAlign w:val="bottom"/>
          </w:tcPr>
          <w:p>
            <w:pPr>
              <w:jc w:val="right"/>
              <w:spacing w:after="0"/>
              <w:rPr>
                <w:sz w:val="20"/>
                <w:szCs w:val="20"/>
                <w:color w:val="auto"/>
              </w:rPr>
            </w:pPr>
            <w:r>
              <w:rPr>
                <w:rFonts w:ascii="Arial" w:cs="Arial" w:eastAsia="Arial" w:hAnsi="Arial"/>
                <w:sz w:val="18"/>
                <w:szCs w:val="18"/>
                <w:color w:val="auto"/>
              </w:rPr>
              <w:t>7.63 %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UBS Fund Management (Switzerland) AG</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3.72 %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Michael Tobias Stumpp</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4.80 %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Patrick Amstutz</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Andreas Plückthun</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Pictet Asset Management (Direction de Fonds)</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Johnson &amp;Johnson</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Patrik Forrer</w:t>
            </w:r>
          </w:p>
        </w:tc>
        <w:tc>
          <w:tcPr>
            <w:tcW w:w="3460" w:type="dxa"/>
            <w:vAlign w:val="bottom"/>
            <w:tcBorders>
              <w:bottom w:val="single" w:sz="8" w:color="CCEEFF"/>
            </w:tcBorders>
            <w:shd w:val="clear" w:color="auto" w:fill="CCEEFF"/>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GAM Holding AG</w:t>
            </w:r>
          </w:p>
        </w:tc>
        <w:tc>
          <w:tcPr>
            <w:tcW w:w="3460" w:type="dxa"/>
            <w:vAlign w:val="bottom"/>
          </w:tcPr>
          <w:p>
            <w:pPr>
              <w:jc w:val="right"/>
              <w:ind w:right="451"/>
              <w:spacing w:after="0"/>
              <w:rPr>
                <w:sz w:val="20"/>
                <w:szCs w:val="20"/>
                <w:color w:val="auto"/>
              </w:rPr>
            </w:pPr>
            <w:r>
              <w:rPr>
                <w:rFonts w:ascii="Arial" w:cs="Arial" w:eastAsia="Arial" w:hAnsi="Arial"/>
                <w:sz w:val="18"/>
                <w:szCs w:val="18"/>
                <w:color w:val="auto"/>
              </w:rPr>
              <w:t>&lt;3.00%</w:t>
            </w:r>
          </w:p>
        </w:tc>
        <w:tc>
          <w:tcPr>
            <w:tcW w:w="1060" w:type="dxa"/>
            <w:vAlign w:val="bottom"/>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percentages above are based on (i) the number of shares held by such shareholders, excluding any options, PSUs and RSUs held by such shareholders and (ii) for the year ended December 31, 2020, 28,868,411 common shares, which is the share capital registered with the commercial registry on December 31, 2020 (December 31, 2019, 21,228,593 common shares</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b w:val="1"/>
          <w:bCs w:val="1"/>
          <w:color w:val="auto"/>
        </w:rPr>
        <w:t>Trade and Other Payables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2,800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Social security</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1,715</w:t>
            </w: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added tax</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1,310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4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5,825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2,410</w:t>
            </w:r>
          </w:p>
        </w:tc>
      </w:tr>
      <w:tr>
        <w:trPr>
          <w:trHeight w:val="439"/>
        </w:trPr>
        <w:tc>
          <w:tcPr>
            <w:tcW w:w="6720" w:type="dxa"/>
            <w:vAlign w:val="bottom"/>
          </w:tcPr>
          <w:p>
            <w:pPr>
              <w:spacing w:after="0"/>
              <w:rPr>
                <w:sz w:val="20"/>
                <w:szCs w:val="20"/>
                <w:color w:val="auto"/>
              </w:rPr>
            </w:pPr>
            <w:r>
              <w:rPr>
                <w:rFonts w:ascii="Arial" w:cs="Arial" w:eastAsia="Arial" w:hAnsi="Arial"/>
                <w:sz w:val="18"/>
                <w:szCs w:val="18"/>
                <w:color w:val="auto"/>
              </w:rPr>
              <w:t>Trade payables are denominated in the following currencies:</w:t>
            </w:r>
          </w:p>
        </w:tc>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2"/>
        </w:trPr>
        <w:tc>
          <w:tcPr>
            <w:tcW w:w="672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1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556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EUR</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2,043</w:t>
            </w: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34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GBP</w:t>
            </w:r>
          </w:p>
        </w:tc>
        <w:tc>
          <w:tcPr>
            <w:tcW w:w="3420" w:type="dxa"/>
            <w:vAlign w:val="bottom"/>
          </w:tcPr>
          <w:p>
            <w:pPr>
              <w:jc w:val="right"/>
              <w:ind w:right="572"/>
              <w:spacing w:after="0"/>
              <w:rPr>
                <w:sz w:val="20"/>
                <w:szCs w:val="20"/>
                <w:color w:val="auto"/>
              </w:rPr>
            </w:pPr>
            <w:r>
              <w:rPr>
                <w:rFonts w:ascii="Arial" w:cs="Arial" w:eastAsia="Arial" w:hAnsi="Arial"/>
                <w:sz w:val="18"/>
                <w:szCs w:val="18"/>
                <w:color w:val="auto"/>
              </w:rPr>
              <w:t>184</w:t>
            </w: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6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42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2,800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31" w:lineRule="exact"/>
        <w:rPr>
          <w:sz w:val="20"/>
          <w:szCs w:val="20"/>
          <w:color w:val="auto"/>
        </w:rPr>
      </w:pPr>
    </w:p>
    <w:p>
      <w:pPr>
        <w:ind w:left="100"/>
        <w:spacing w:after="0"/>
        <w:tabs>
          <w:tab w:leader="none" w:pos="5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color w:val="auto"/>
        </w:rPr>
        <w:t>Accrued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 CHF thousands</w:t>
            </w:r>
          </w:p>
        </w:tc>
        <w:tc>
          <w:tcPr>
            <w:tcW w:w="436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20" w:type="dxa"/>
            <w:vAlign w:val="bottom"/>
          </w:tcPr>
          <w:p>
            <w:pPr>
              <w:spacing w:after="0"/>
              <w:rPr>
                <w:sz w:val="19"/>
                <w:szCs w:val="19"/>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project costs and royalties</w:t>
            </w:r>
          </w:p>
        </w:tc>
        <w:tc>
          <w:tcPr>
            <w:tcW w:w="4360" w:type="dxa"/>
            <w:vAlign w:val="bottom"/>
            <w:tcBorders>
              <w:top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1,972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r>
      <w:tr>
        <w:trPr>
          <w:trHeight w:val="229"/>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Accrued payroll and bonuses</w:t>
            </w:r>
          </w:p>
        </w:tc>
        <w:tc>
          <w:tcPr>
            <w:tcW w:w="4360" w:type="dxa"/>
            <w:vAlign w:val="bottom"/>
          </w:tcPr>
          <w:p>
            <w:pPr>
              <w:jc w:val="right"/>
              <w:ind w:right="572"/>
              <w:spacing w:after="0"/>
              <w:rPr>
                <w:sz w:val="20"/>
                <w:szCs w:val="20"/>
                <w:color w:val="auto"/>
              </w:rPr>
            </w:pPr>
            <w:r>
              <w:rPr>
                <w:rFonts w:ascii="Arial" w:cs="Arial" w:eastAsia="Arial" w:hAnsi="Arial"/>
                <w:sz w:val="18"/>
                <w:szCs w:val="18"/>
                <w:color w:val="auto"/>
              </w:rPr>
              <w:t>4,967</w:t>
            </w:r>
          </w:p>
        </w:tc>
        <w:tc>
          <w:tcPr>
            <w:tcW w:w="110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29"/>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779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20" w:type="dxa"/>
            <w:vAlign w:val="bottom"/>
          </w:tcPr>
          <w:p>
            <w:pPr>
              <w:spacing w:after="0"/>
              <w:rPr>
                <w:sz w:val="19"/>
                <w:szCs w:val="19"/>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at December 31</w:t>
            </w:r>
          </w:p>
        </w:tc>
        <w:tc>
          <w:tcPr>
            <w:tcW w:w="43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7,718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60"/>
          </w:cols>
          <w:pgMar w:left="220" w:top="1440" w:right="419" w:bottom="1440" w:gutter="0" w:footer="0" w:header="0"/>
        </w:sectPr>
      </w:pPr>
    </w:p>
    <w:bookmarkStart w:id="276" w:name="page277"/>
    <w:bookmarkEnd w:id="276"/>
    <w:p>
      <w:pPr>
        <w:spacing w:after="0" w:line="131" w:lineRule="exact"/>
        <w:rPr>
          <w:sz w:val="20"/>
          <w:szCs w:val="20"/>
          <w:color w:val="auto"/>
        </w:rPr>
      </w:pPr>
    </w:p>
    <w:p>
      <w:pPr>
        <w:ind w:left="500" w:hanging="492"/>
        <w:spacing w:after="0"/>
        <w:tabs>
          <w:tab w:leader="none" w:pos="50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Contract Liability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Group expects the contract liability to be recognized as revenue or (in case of consideration payable to a customer) reduction of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revenue recognition / cost reduction in year one after the balance sheet date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revenue recognition in year two after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revenue recognition in year three after the balance sheet date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Expected revenue recognition in year four after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Expected revenue recognition in year five and later after the balance sheet date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CHF thousands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color w:val="auto"/>
        </w:rPr>
        <w:t>Contract liability</w:t>
      </w:r>
    </w:p>
    <w:p>
      <w:pPr>
        <w:spacing w:after="0" w:line="7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42,948</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2,939</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45,887</w:t>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 liability</w:t>
      </w:r>
    </w:p>
    <w:p>
      <w:pPr>
        <w:spacing w:after="0" w:line="37" w:lineRule="exact"/>
        <w:rPr>
          <w:sz w:val="20"/>
          <w:szCs w:val="20"/>
          <w:color w:val="auto"/>
        </w:rPr>
      </w:pPr>
    </w:p>
    <w:p>
      <w:pPr>
        <w:sectPr>
          <w:pgSz w:w="11900" w:h="16838" w:orient="portrait"/>
          <w:cols w:equalWidth="0" w:num="2">
            <w:col w:w="9300" w:space="720"/>
            <w:col w:w="12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8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one after the balance sheet date</w:t>
            </w:r>
          </w:p>
        </w:tc>
        <w:tc>
          <w:tcPr>
            <w:tcW w:w="3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18,310</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Expected revenue recognition in year two after the balance sheet date</w:t>
            </w:r>
          </w:p>
        </w:tc>
        <w:tc>
          <w:tcPr>
            <w:tcW w:w="3060" w:type="dxa"/>
            <w:vAlign w:val="bottom"/>
          </w:tcPr>
          <w:p>
            <w:pPr>
              <w:jc w:val="right"/>
              <w:spacing w:after="0"/>
              <w:rPr>
                <w:sz w:val="20"/>
                <w:szCs w:val="20"/>
                <w:color w:val="auto"/>
              </w:rPr>
            </w:pPr>
            <w:r>
              <w:rPr>
                <w:rFonts w:ascii="Arial" w:cs="Arial" w:eastAsia="Arial" w:hAnsi="Arial"/>
                <w:sz w:val="18"/>
                <w:szCs w:val="18"/>
                <w:color w:val="auto"/>
              </w:rPr>
              <w:t>9,530</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three after the balance sheet date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Expected revenue recognition in year four after the balance sheet date</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revenue recognition in year five and later after the balance sheet date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movement during 2020 on the contract liability: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in CHF thousands</w:t>
            </w:r>
          </w:p>
        </w:tc>
        <w:tc>
          <w:tcPr>
            <w:tcW w:w="3020" w:type="dxa"/>
            <w:vAlign w:val="bottom"/>
            <w:tcBorders>
              <w:top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Contract liability at</w:t>
            </w:r>
          </w:p>
        </w:tc>
        <w:tc>
          <w:tcPr>
            <w:tcW w:w="138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6"/>
                <w:szCs w:val="16"/>
                <w:b w:val="1"/>
                <w:bCs w:val="1"/>
                <w:color w:val="auto"/>
              </w:rPr>
              <w:t>Additions</w:t>
            </w:r>
          </w:p>
        </w:tc>
        <w:tc>
          <w:tcPr>
            <w:tcW w:w="1540" w:type="dxa"/>
            <w:vAlign w:val="bottom"/>
            <w:tcBorders>
              <w:top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Recognized as</w:t>
            </w:r>
          </w:p>
        </w:tc>
        <w:tc>
          <w:tcPr>
            <w:tcW w:w="132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w w:val="91"/>
              </w:rPr>
              <w:t>Offset of costs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Contract liability at</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auto"/>
            </w:tcBorders>
            <w:vMerge w:val="continue"/>
          </w:tcPr>
          <w:p>
            <w:pPr>
              <w:spacing w:after="0"/>
              <w:rPr>
                <w:sz w:val="18"/>
                <w:szCs w:val="18"/>
                <w:color w:val="auto"/>
              </w:rPr>
            </w:pPr>
          </w:p>
        </w:tc>
        <w:tc>
          <w:tcPr>
            <w:tcW w:w="3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January 1, 2020</w:t>
            </w:r>
          </w:p>
        </w:tc>
        <w:tc>
          <w:tcPr>
            <w:tcW w:w="138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Revenue</w:t>
            </w:r>
          </w:p>
        </w:tc>
        <w:tc>
          <w:tcPr>
            <w:tcW w:w="132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2020</w:t>
            </w:r>
          </w:p>
        </w:tc>
        <w:tc>
          <w:tcPr>
            <w:tcW w:w="0" w:type="dxa"/>
            <w:vAlign w:val="bottom"/>
          </w:tcPr>
          <w:p>
            <w:pPr>
              <w:spacing w:after="0"/>
              <w:rPr>
                <w:sz w:val="1"/>
                <w:szCs w:val="1"/>
                <w:color w:val="auto"/>
              </w:rPr>
            </w:pPr>
          </w:p>
        </w:tc>
      </w:tr>
      <w:tr>
        <w:trPr>
          <w:trHeight w:val="26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3020" w:type="dxa"/>
            <w:vAlign w:val="bottom"/>
            <w:shd w:val="clear" w:color="auto" w:fill="CCEEFF"/>
          </w:tcPr>
          <w:p>
            <w:pPr>
              <w:jc w:val="right"/>
              <w:ind w:right="413"/>
              <w:spacing w:after="0"/>
              <w:rPr>
                <w:sz w:val="20"/>
                <w:szCs w:val="20"/>
                <w:color w:val="auto"/>
              </w:rPr>
            </w:pPr>
            <w:r>
              <w:rPr>
                <w:rFonts w:ascii="Arial" w:cs="Arial" w:eastAsia="Arial" w:hAnsi="Arial"/>
                <w:sz w:val="18"/>
                <w:szCs w:val="18"/>
                <w:b w:val="1"/>
                <w:bCs w:val="1"/>
                <w:color w:val="auto"/>
              </w:rPr>
              <w:t>28,327</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(9,344)</w:t>
            </w:r>
          </w:p>
        </w:tc>
        <w:tc>
          <w:tcPr>
            <w:tcW w:w="132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18,983</w:t>
            </w:r>
          </w:p>
        </w:tc>
        <w:tc>
          <w:tcPr>
            <w:tcW w:w="0" w:type="dxa"/>
            <w:vAlign w:val="bottom"/>
          </w:tcPr>
          <w:p>
            <w:pPr>
              <w:spacing w:after="0"/>
              <w:rPr>
                <w:sz w:val="1"/>
                <w:szCs w:val="1"/>
                <w:color w:val="auto"/>
              </w:rPr>
            </w:pPr>
          </w:p>
        </w:tc>
      </w:tr>
      <w:tr>
        <w:trPr>
          <w:trHeight w:val="270"/>
        </w:trPr>
        <w:tc>
          <w:tcPr>
            <w:tcW w:w="2500" w:type="dxa"/>
            <w:vAlign w:val="bottom"/>
          </w:tcPr>
          <w:p>
            <w:pPr>
              <w:ind w:left="20"/>
              <w:spacing w:after="0"/>
              <w:rPr>
                <w:sz w:val="20"/>
                <w:szCs w:val="20"/>
                <w:color w:val="auto"/>
              </w:rPr>
            </w:pPr>
            <w:r>
              <w:rPr>
                <w:rFonts w:ascii="Arial" w:cs="Arial" w:eastAsia="Arial" w:hAnsi="Arial"/>
                <w:sz w:val="18"/>
                <w:szCs w:val="18"/>
                <w:color w:val="auto"/>
              </w:rPr>
              <w:t>Novartis</w:t>
            </w:r>
          </w:p>
        </w:tc>
        <w:tc>
          <w:tcPr>
            <w:tcW w:w="3020" w:type="dxa"/>
            <w:vAlign w:val="bottom"/>
          </w:tcPr>
          <w:p>
            <w:pPr>
              <w:jc w:val="right"/>
              <w:ind w:right="413"/>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20,000</w:t>
            </w:r>
          </w:p>
        </w:tc>
        <w:tc>
          <w:tcPr>
            <w:tcW w:w="1540" w:type="dxa"/>
            <w:vAlign w:val="bottom"/>
          </w:tcPr>
          <w:p>
            <w:pPr>
              <w:ind w:left="1020"/>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772"/>
              <w:spacing w:after="0"/>
              <w:rPr>
                <w:sz w:val="20"/>
                <w:szCs w:val="20"/>
                <w:color w:val="auto"/>
              </w:rPr>
            </w:pPr>
            <w:r>
              <w:rPr>
                <w:rFonts w:ascii="Arial" w:cs="Arial" w:eastAsia="Arial" w:hAnsi="Arial"/>
                <w:sz w:val="18"/>
                <w:szCs w:val="18"/>
                <w:color w:val="auto"/>
                <w:w w:val="93"/>
              </w:rPr>
              <w:t>(96)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19,904</w:t>
            </w:r>
          </w:p>
        </w:tc>
        <w:tc>
          <w:tcPr>
            <w:tcW w:w="0" w:type="dxa"/>
            <w:vAlign w:val="bottom"/>
          </w:tcPr>
          <w:p>
            <w:pPr>
              <w:spacing w:after="0"/>
              <w:rPr>
                <w:sz w:val="1"/>
                <w:szCs w:val="1"/>
                <w:color w:val="auto"/>
              </w:rPr>
            </w:pPr>
          </w:p>
        </w:tc>
      </w:tr>
      <w:tr>
        <w:trPr>
          <w:trHeight w:val="27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FOPH-BAG</w:t>
            </w:r>
          </w:p>
        </w:tc>
        <w:tc>
          <w:tcPr>
            <w:tcW w:w="3020" w:type="dxa"/>
            <w:vAlign w:val="bottom"/>
            <w:shd w:val="clear" w:color="auto" w:fill="CCEEFF"/>
          </w:tcPr>
          <w:p>
            <w:pPr>
              <w:jc w:val="right"/>
              <w:ind w:right="413"/>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7,000</w:t>
            </w:r>
          </w:p>
        </w:tc>
        <w:tc>
          <w:tcPr>
            <w:tcW w:w="1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3020" w:type="dxa"/>
            <w:vAlign w:val="bottom"/>
          </w:tcPr>
          <w:p>
            <w:pPr>
              <w:jc w:val="right"/>
              <w:ind w:right="413"/>
              <w:spacing w:after="0"/>
              <w:rPr>
                <w:sz w:val="20"/>
                <w:szCs w:val="20"/>
                <w:color w:val="auto"/>
              </w:rPr>
            </w:pPr>
            <w:r>
              <w:rPr>
                <w:rFonts w:ascii="Arial" w:cs="Arial" w:eastAsia="Arial" w:hAnsi="Arial"/>
                <w:sz w:val="18"/>
                <w:szCs w:val="18"/>
                <w:b w:val="1"/>
                <w:bCs w:val="1"/>
                <w:color w:val="auto"/>
              </w:rPr>
              <w:t>28,327</w:t>
            </w:r>
          </w:p>
        </w:tc>
        <w:tc>
          <w:tcPr>
            <w:tcW w:w="1380" w:type="dxa"/>
            <w:vAlign w:val="bottom"/>
          </w:tcPr>
          <w:p>
            <w:pPr>
              <w:jc w:val="right"/>
              <w:ind w:right="252"/>
              <w:spacing w:after="0"/>
              <w:rPr>
                <w:sz w:val="20"/>
                <w:szCs w:val="20"/>
                <w:color w:val="auto"/>
              </w:rPr>
            </w:pPr>
            <w:r>
              <w:rPr>
                <w:rFonts w:ascii="Arial" w:cs="Arial" w:eastAsia="Arial" w:hAnsi="Arial"/>
                <w:sz w:val="18"/>
                <w:szCs w:val="18"/>
                <w:b w:val="1"/>
                <w:bCs w:val="1"/>
                <w:color w:val="auto"/>
              </w:rPr>
              <w:t>27,000</w:t>
            </w:r>
          </w:p>
        </w:tc>
        <w:tc>
          <w:tcPr>
            <w:tcW w:w="1540" w:type="dxa"/>
            <w:vAlign w:val="bottom"/>
          </w:tcPr>
          <w:p>
            <w:pPr>
              <w:jc w:val="right"/>
              <w:ind w:right="213"/>
              <w:spacing w:after="0"/>
              <w:rPr>
                <w:sz w:val="20"/>
                <w:szCs w:val="20"/>
                <w:color w:val="auto"/>
              </w:rPr>
            </w:pPr>
            <w:r>
              <w:rPr>
                <w:rFonts w:ascii="Arial" w:cs="Arial" w:eastAsia="Arial" w:hAnsi="Arial"/>
                <w:sz w:val="18"/>
                <w:szCs w:val="18"/>
                <w:b w:val="1"/>
                <w:bCs w:val="1"/>
                <w:color w:val="auto"/>
              </w:rPr>
              <w:t>(9,344)</w:t>
            </w:r>
          </w:p>
        </w:tc>
        <w:tc>
          <w:tcPr>
            <w:tcW w:w="1320" w:type="dxa"/>
            <w:vAlign w:val="bottom"/>
          </w:tcPr>
          <w:p>
            <w:pPr>
              <w:jc w:val="center"/>
              <w:ind w:left="772"/>
              <w:spacing w:after="0"/>
              <w:rPr>
                <w:sz w:val="20"/>
                <w:szCs w:val="20"/>
                <w:color w:val="auto"/>
              </w:rPr>
            </w:pPr>
            <w:r>
              <w:rPr>
                <w:rFonts w:ascii="Arial" w:cs="Arial" w:eastAsia="Arial" w:hAnsi="Arial"/>
                <w:sz w:val="18"/>
                <w:szCs w:val="18"/>
                <w:b w:val="1"/>
                <w:bCs w:val="1"/>
                <w:color w:val="auto"/>
                <w:w w:val="93"/>
              </w:rPr>
              <w:t>(96)</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45,887</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 amount of TCHF 96 has been released to offset a corresponding amount of costs paid to the Novartis Group for the manufacturing of the drug product to establish the commercial supply of MP0420 (see note 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Current</w:t>
            </w:r>
          </w:p>
        </w:tc>
        <w:tc>
          <w:tcPr>
            <w:tcW w:w="15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Non-Current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liability</w:t>
            </w:r>
          </w:p>
        </w:tc>
      </w:tr>
      <w:tr>
        <w:trPr>
          <w:trHeight w:val="26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16,044</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2,939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Novartis</w:t>
            </w:r>
          </w:p>
        </w:tc>
        <w:tc>
          <w:tcPr>
            <w:tcW w:w="3440" w:type="dxa"/>
            <w:vAlign w:val="bottom"/>
          </w:tcPr>
          <w:p>
            <w:pPr>
              <w:jc w:val="right"/>
              <w:ind w:right="352"/>
              <w:spacing w:after="0"/>
              <w:rPr>
                <w:sz w:val="20"/>
                <w:szCs w:val="20"/>
                <w:color w:val="auto"/>
              </w:rPr>
            </w:pPr>
            <w:r>
              <w:rPr>
                <w:rFonts w:ascii="Arial" w:cs="Arial" w:eastAsia="Arial" w:hAnsi="Arial"/>
                <w:sz w:val="18"/>
                <w:szCs w:val="18"/>
                <w:color w:val="auto"/>
              </w:rPr>
              <w:t>19,904</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19,904</w:t>
            </w: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FOPG-BAG</w:t>
            </w:r>
          </w:p>
        </w:tc>
        <w:tc>
          <w:tcPr>
            <w:tcW w:w="34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7,000</w:t>
            </w:r>
          </w:p>
        </w:tc>
        <w:tc>
          <w:tcPr>
            <w:tcW w:w="15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r>
      <w:tr>
        <w:trPr>
          <w:trHeight w:val="27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34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42,948</w:t>
            </w:r>
          </w:p>
        </w:tc>
        <w:tc>
          <w:tcPr>
            <w:tcW w:w="15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2,939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type w:val="continuous"/>
        </w:sectPr>
      </w:pPr>
    </w:p>
    <w:bookmarkStart w:id="277" w:name="page278"/>
    <w:bookmarkEnd w:id="277"/>
    <w:p>
      <w:pPr>
        <w:spacing w:after="0" w:line="131"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Additional Information on the Nature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Research and development expenses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consumables and external research and development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325"/>
        </w:trPr>
        <w:tc>
          <w:tcPr>
            <w:tcW w:w="8220" w:type="dxa"/>
            <w:vAlign w:val="bottom"/>
          </w:tcPr>
          <w:p>
            <w:pPr>
              <w:ind w:left="360"/>
              <w:spacing w:after="0"/>
              <w:rPr>
                <w:sz w:val="20"/>
                <w:szCs w:val="20"/>
                <w:color w:val="auto"/>
              </w:rPr>
            </w:pPr>
            <w:r>
              <w:rPr>
                <w:rFonts w:ascii="Arial" w:cs="Arial" w:eastAsia="Arial" w:hAnsi="Arial"/>
                <w:sz w:val="18"/>
                <w:szCs w:val="18"/>
                <w:color w:val="auto"/>
              </w:rPr>
              <w:t xml:space="preserve">Personnel expenses </w:t>
            </w:r>
            <w:r>
              <w:rPr>
                <w:rFonts w:ascii="Arial" w:cs="Arial" w:eastAsia="Arial" w:hAnsi="Arial"/>
                <w:sz w:val="23"/>
                <w:szCs w:val="23"/>
                <w:color w:val="auto"/>
                <w:vertAlign w:val="superscript"/>
              </w:rPr>
              <w:t>(1)</w:t>
            </w:r>
            <w:r>
              <w:rPr>
                <w:rFonts w:ascii="Arial" w:cs="Arial" w:eastAsia="Arial" w:hAnsi="Arial"/>
                <w:sz w:val="18"/>
                <w:szCs w:val="18"/>
                <w:color w:val="auto"/>
              </w:rPr>
              <w:t>, see also note 18</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(25,251)</w:t>
            </w: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(19,722)</w:t>
            </w:r>
          </w:p>
        </w:tc>
        <w:tc>
          <w:tcPr>
            <w:tcW w:w="0" w:type="dxa"/>
            <w:vAlign w:val="bottom"/>
          </w:tcPr>
          <w:p>
            <w:pPr>
              <w:spacing w:after="0"/>
              <w:rPr>
                <w:sz w:val="1"/>
                <w:szCs w:val="1"/>
                <w:color w:val="auto"/>
              </w:rPr>
            </w:pPr>
          </w:p>
        </w:tc>
      </w:tr>
      <w:tr>
        <w:trPr>
          <w:trHeight w:val="80"/>
        </w:trPr>
        <w:tc>
          <w:tcPr>
            <w:tcW w:w="82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14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Facility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research and development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Royalties and license fees, see also note 17</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(56,075)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(43,498)</w:t>
            </w:r>
          </w:p>
        </w:tc>
        <w:tc>
          <w:tcPr>
            <w:tcW w:w="0" w:type="dxa"/>
            <w:vAlign w:val="bottom"/>
          </w:tcPr>
          <w:p>
            <w:pPr>
              <w:spacing w:after="0"/>
              <w:rPr>
                <w:sz w:val="1"/>
                <w:szCs w:val="1"/>
                <w:color w:val="auto"/>
              </w:rPr>
            </w:pPr>
          </w:p>
        </w:tc>
      </w:tr>
      <w:tr>
        <w:trPr>
          <w:trHeight w:val="27"/>
        </w:trPr>
        <w:tc>
          <w:tcPr>
            <w:tcW w:w="8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Selling, general and administrative expenses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25"/>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Personnel expenses </w:t>
            </w:r>
            <w:r>
              <w:rPr>
                <w:rFonts w:ascii="Arial" w:cs="Arial" w:eastAsia="Arial" w:hAnsi="Arial"/>
                <w:sz w:val="23"/>
                <w:szCs w:val="23"/>
                <w:color w:val="auto"/>
                <w:vertAlign w:val="superscript"/>
              </w:rPr>
              <w:t>(2)</w:t>
            </w:r>
            <w:r>
              <w:rPr>
                <w:rFonts w:ascii="Arial" w:cs="Arial" w:eastAsia="Arial" w:hAnsi="Arial"/>
                <w:sz w:val="18"/>
                <w:szCs w:val="18"/>
                <w:color w:val="auto"/>
              </w:rPr>
              <w:t>, see also note 18</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2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87"/>
        </w:trPr>
        <w:tc>
          <w:tcPr>
            <w:tcW w:w="822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Other administrative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220" w:type="dxa"/>
            <w:vAlign w:val="bottom"/>
          </w:tcPr>
          <w:p>
            <w:pPr>
              <w:ind w:left="360"/>
              <w:spacing w:after="0"/>
              <w:rPr>
                <w:sz w:val="20"/>
                <w:szCs w:val="20"/>
                <w:color w:val="auto"/>
              </w:rPr>
            </w:pPr>
            <w:r>
              <w:rPr>
                <w:rFonts w:ascii="Arial" w:cs="Arial" w:eastAsia="Arial" w:hAnsi="Arial"/>
                <w:sz w:val="18"/>
                <w:szCs w:val="18"/>
                <w:color w:val="auto"/>
              </w:rPr>
              <w:t>Facility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(11,595)</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(13,545)</w:t>
            </w:r>
          </w:p>
        </w:tc>
        <w:tc>
          <w:tcPr>
            <w:tcW w:w="0" w:type="dxa"/>
            <w:vAlign w:val="bottom"/>
          </w:tcPr>
          <w:p>
            <w:pPr>
              <w:spacing w:after="0"/>
              <w:rPr>
                <w:sz w:val="1"/>
                <w:szCs w:val="1"/>
                <w:color w:val="auto"/>
              </w:rPr>
            </w:pPr>
          </w:p>
        </w:tc>
      </w:tr>
      <w:tr>
        <w:trPr>
          <w:trHeight w:val="237"/>
        </w:trPr>
        <w:tc>
          <w:tcPr>
            <w:tcW w:w="82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(67,670)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(57,043)</w:t>
            </w:r>
          </w:p>
        </w:tc>
        <w:tc>
          <w:tcPr>
            <w:tcW w:w="0" w:type="dxa"/>
            <w:vAlign w:val="bottom"/>
          </w:tcPr>
          <w:p>
            <w:pPr>
              <w:spacing w:after="0"/>
              <w:rPr>
                <w:sz w:val="1"/>
                <w:szCs w:val="1"/>
                <w:color w:val="auto"/>
              </w:rPr>
            </w:pPr>
          </w:p>
        </w:tc>
      </w:tr>
      <w:tr>
        <w:trPr>
          <w:trHeight w:val="20"/>
        </w:trPr>
        <w:tc>
          <w:tcPr>
            <w:tcW w:w="8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Research and development non-cash effective pension and share-based compensation costs were TCHF 2,612 in 2020 and TCHF 1,549 in 2019.</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Selling, general and administrative non-cash effective pension and share based compensation costs were TCHF 1,573 in 2020 and TCHF 1,351 in 2019.</w:t>
      </w:r>
    </w:p>
    <w:p>
      <w:pPr>
        <w:spacing w:after="0" w:line="134" w:lineRule="exact"/>
        <w:rPr>
          <w:sz w:val="20"/>
          <w:szCs w:val="20"/>
          <w:color w:val="auto"/>
        </w:rPr>
      </w:pPr>
    </w:p>
    <w:p>
      <w:pPr>
        <w:ind w:left="500" w:hanging="492"/>
        <w:spacing w:after="0"/>
        <w:tabs>
          <w:tab w:leader="none" w:pos="500" w:val="left"/>
        </w:tabs>
        <w:numPr>
          <w:ilvl w:val="0"/>
          <w:numId w:val="155"/>
        </w:numPr>
        <w:rPr>
          <w:rFonts w:ascii="Arial" w:cs="Arial" w:eastAsia="Arial" w:hAnsi="Arial"/>
          <w:sz w:val="22"/>
          <w:szCs w:val="22"/>
          <w:b w:val="1"/>
          <w:bCs w:val="1"/>
          <w:color w:val="auto"/>
        </w:rPr>
      </w:pPr>
      <w:r>
        <w:rPr>
          <w:rFonts w:ascii="Arial" w:cs="Arial" w:eastAsia="Arial" w:hAnsi="Arial"/>
          <w:sz w:val="22"/>
          <w:szCs w:val="22"/>
          <w:b w:val="1"/>
          <w:bCs w:val="1"/>
          <w:color w:val="auto"/>
        </w:rPr>
        <w:t>Royalties and License Fees</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Group holds an exclusive perpetual license from the University of Zurich on patent applications and patents relating to the DARPin® base technology. Under this license agreement, the Group is required to pay the University of Zurich flat royalties of a low single digit percentage on net sales of licensed products, which vary based on the field in which the licensed product is commercialized. In addition, the Group is obligated to pay the University of Zurich a percentage of license fee revenues it receives from sublicensing its rights to third parties in five tiers, ranging from the low single digits to the low teens, depending on the total amount of payments received for the particular sublicense granted.</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Finally, the Group is also obligated to pay the University of Zurich a percentage of the royalty payments it receives from sublicensees in three tiers based on their net sales of licensed products and the applicable field in which the licensed product is sold, ranging from the low single digits to the mid teens. The Group has the right to terminate the license at any time with six months’ prior written notice. The minimum amount the Group is required to pay is CHF 60,000 per annum (including CHF 10,000 for another separate license). The minimum amount payable for 2019 was CHF 50,000. For both 2020 and 2019 the minimum amounts were payable. Royalties to the University of Zurich are due annually based on a full calendar year and payable until the end of February in the following calendar year.</w:t>
      </w:r>
    </w:p>
    <w:p>
      <w:pPr>
        <w:spacing w:after="0" w:line="1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May 2020, the Group entered into a research collaboration agreement with the University of Utrecht regarding the development of the Group's COVID-19 program. Under this agreement, the Group paid a fee of CHF 250,000 to the University of Utrecht. An additional fee of CHF 250,000 is payable under this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240"/>
          </w:cols>
          <w:pgMar w:left="320" w:top="1440" w:right="339" w:bottom="1440" w:gutter="0" w:footer="0" w:header="0"/>
          <w:type w:val="continuous"/>
        </w:sectPr>
      </w:pPr>
    </w:p>
    <w:bookmarkStart w:id="278" w:name="page279"/>
    <w:bookmarkEnd w:id="278"/>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8"/>
          <w:szCs w:val="18"/>
          <w:b w:val="1"/>
          <w:bCs w:val="1"/>
          <w:color w:val="auto"/>
        </w:rPr>
        <w:t>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(23,525)</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Share-based compensation (non-cash effective)</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costs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60"/>
              <w:spacing w:after="0"/>
              <w:rPr>
                <w:sz w:val="20"/>
                <w:szCs w:val="20"/>
                <w:color w:val="auto"/>
              </w:rPr>
            </w:pPr>
            <w:r>
              <w:rPr>
                <w:rFonts w:ascii="Arial" w:cs="Arial" w:eastAsia="Arial" w:hAnsi="Arial"/>
                <w:sz w:val="18"/>
                <w:szCs w:val="18"/>
                <w:color w:val="auto"/>
              </w:rPr>
              <w:t>Social security costs</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(2,393)</w:t>
            </w:r>
          </w:p>
        </w:tc>
        <w:tc>
          <w:tcPr>
            <w:tcW w:w="120" w:type="dxa"/>
            <w:vAlign w:val="bottom"/>
          </w:tcPr>
          <w:p>
            <w:pPr>
              <w:spacing w:after="0"/>
              <w:rPr>
                <w:sz w:val="21"/>
                <w:szCs w:val="21"/>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162"/>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personnel expenses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21"/>
                <w:szCs w:val="21"/>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169"/>
        </w:trPr>
        <w:tc>
          <w:tcPr>
            <w:tcW w:w="798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(33,634)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(27,592)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Full-time equivalents and head count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number of full-time equivalents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Full-time equivalents at year end</w:t>
            </w:r>
          </w:p>
        </w:tc>
        <w:tc>
          <w:tcPr>
            <w:tcW w:w="158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Headcount at year end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503"/>
        </w:trPr>
        <w:tc>
          <w:tcPr>
            <w:tcW w:w="7980" w:type="dxa"/>
            <w:vAlign w:val="bottom"/>
            <w:tcBorders>
              <w:top w:val="single" w:sz="8" w:color="auto"/>
            </w:tcBorders>
          </w:tcPr>
          <w:p>
            <w:pPr>
              <w:spacing w:after="0"/>
              <w:rPr>
                <w:sz w:val="20"/>
                <w:szCs w:val="20"/>
                <w:color w:val="auto"/>
              </w:rPr>
            </w:pPr>
            <w:r>
              <w:rPr>
                <w:rFonts w:ascii="Arial" w:cs="Arial" w:eastAsia="Arial" w:hAnsi="Arial"/>
                <w:sz w:val="22"/>
                <w:szCs w:val="22"/>
                <w:b w:val="1"/>
                <w:bCs w:val="1"/>
                <w:color w:val="auto"/>
              </w:rPr>
              <w:t>18.1  Pension Costs and Liabilities</w:t>
            </w:r>
          </w:p>
        </w:tc>
        <w:tc>
          <w:tcPr>
            <w:tcW w:w="1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79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Actuarial assumptions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Discount rate at January 1</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Discount rate at December 31 </w:t>
            </w:r>
            <w:r>
              <w:rPr>
                <w:rFonts w:ascii="Arial" w:cs="Arial" w:eastAsia="Arial" w:hAnsi="Arial"/>
                <w:sz w:val="23"/>
                <w:szCs w:val="23"/>
                <w:color w:val="auto"/>
                <w:vertAlign w:val="superscript"/>
              </w:rPr>
              <w:t>(1)</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0.20 %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 salary increases at December 31</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Mortality tables</w:t>
            </w:r>
          </w:p>
        </w:tc>
        <w:tc>
          <w:tcPr>
            <w:tcW w:w="1700" w:type="dxa"/>
            <w:vAlign w:val="bottom"/>
            <w:gridSpan w:val="2"/>
          </w:tcPr>
          <w:p>
            <w:pPr>
              <w:ind w:left="400"/>
              <w:spacing w:after="0"/>
              <w:rPr>
                <w:sz w:val="20"/>
                <w:szCs w:val="20"/>
                <w:color w:val="auto"/>
              </w:rPr>
            </w:pPr>
            <w:r>
              <w:rPr>
                <w:rFonts w:ascii="Arial" w:cs="Arial" w:eastAsia="Arial" w:hAnsi="Arial"/>
                <w:sz w:val="18"/>
                <w:szCs w:val="18"/>
                <w:color w:val="auto"/>
              </w:rPr>
              <w:t>BVG2015 GT</w:t>
            </w:r>
          </w:p>
        </w:tc>
        <w:tc>
          <w:tcPr>
            <w:tcW w:w="1560" w:type="dxa"/>
            <w:vAlign w:val="bottom"/>
          </w:tcPr>
          <w:p>
            <w:pPr>
              <w:jc w:val="right"/>
              <w:spacing w:after="0"/>
              <w:rPr>
                <w:sz w:val="20"/>
                <w:szCs w:val="20"/>
                <w:color w:val="auto"/>
              </w:rPr>
            </w:pPr>
            <w:r>
              <w:rPr>
                <w:rFonts w:ascii="Arial" w:cs="Arial" w:eastAsia="Arial" w:hAnsi="Arial"/>
                <w:sz w:val="18"/>
                <w:szCs w:val="18"/>
                <w:color w:val="auto"/>
              </w:rPr>
              <w:t>BVG2015 GT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last actuarial valuation</w:t>
            </w:r>
          </w:p>
        </w:tc>
        <w:tc>
          <w:tcPr>
            <w:tcW w:w="1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31.12.2020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31.12.2019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Reconciliation of the amount recognized in the statement of financial position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54,512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48,455</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Fair value of plan assets at December 31</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41,089</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37,799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b w:val="1"/>
                <w:bCs w:val="1"/>
                <w:color w:val="auto"/>
              </w:rPr>
              <w:t xml:space="preserve">Net defined benefit liability at December 31 </w:t>
            </w:r>
            <w:r>
              <w:rPr>
                <w:rFonts w:ascii="Arial" w:cs="Arial" w:eastAsia="Arial" w:hAnsi="Arial"/>
                <w:sz w:val="23"/>
                <w:szCs w:val="23"/>
                <w:b w:val="1"/>
                <w:bCs w:val="1"/>
                <w:color w:val="auto"/>
                <w:vertAlign w:val="superscript"/>
              </w:rPr>
              <w:t>(2)</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13,423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10,656</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Components of defined benefit cost in profit or loss</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service cost (employer)</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Past service cost</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on defined benefit obligation</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Interest (income) on plan assets</w:t>
            </w:r>
          </w:p>
        </w:tc>
        <w:tc>
          <w:tcPr>
            <w:tcW w:w="1580" w:type="dxa"/>
            <w:vAlign w:val="bottom"/>
          </w:tcPr>
          <w:p>
            <w:pPr>
              <w:jc w:val="right"/>
              <w:ind w:right="2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cost excl. cost for managing plan assets</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b w:val="1"/>
                <w:bCs w:val="1"/>
                <w:color w:val="auto"/>
              </w:rPr>
              <w:t>Defined benefit cost recognized in profit or loss</w:t>
            </w:r>
          </w:p>
        </w:tc>
        <w:tc>
          <w:tcPr>
            <w:tcW w:w="1580" w:type="dxa"/>
            <w:vAlign w:val="bottom"/>
          </w:tcPr>
          <w:p>
            <w:pPr>
              <w:jc w:val="right"/>
              <w:ind w:right="251"/>
              <w:spacing w:after="0"/>
              <w:rPr>
                <w:sz w:val="20"/>
                <w:szCs w:val="20"/>
                <w:color w:val="auto"/>
              </w:rPr>
            </w:pPr>
            <w:r>
              <w:rPr>
                <w:rFonts w:ascii="Arial" w:cs="Arial" w:eastAsia="Arial" w:hAnsi="Arial"/>
                <w:sz w:val="18"/>
                <w:szCs w:val="18"/>
                <w:b w:val="1"/>
                <w:bCs w:val="1"/>
                <w:color w:val="auto"/>
              </w:rPr>
              <w:t>3,080</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thereof service cost and administrative cost</w:t>
            </w:r>
          </w:p>
        </w:tc>
        <w:tc>
          <w:tcPr>
            <w:tcW w:w="158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thereof net interest expense on the net defined benefit liability</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Reconciliation of net defined benefit liability</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defined benefit liability at January 1</w:t>
            </w:r>
          </w:p>
        </w:tc>
        <w:tc>
          <w:tcPr>
            <w:tcW w:w="1580" w:type="dxa"/>
            <w:vAlign w:val="bottom"/>
          </w:tcPr>
          <w:p>
            <w:pPr>
              <w:jc w:val="right"/>
              <w:ind w:right="251"/>
              <w:spacing w:after="0"/>
              <w:rPr>
                <w:sz w:val="20"/>
                <w:szCs w:val="20"/>
                <w:color w:val="auto"/>
              </w:rPr>
            </w:pPr>
            <w:r>
              <w:rPr>
                <w:rFonts w:ascii="Arial" w:cs="Arial" w:eastAsia="Arial" w:hAnsi="Arial"/>
                <w:sz w:val="18"/>
                <w:szCs w:val="18"/>
                <w:color w:val="auto"/>
              </w:rPr>
              <w:t>10,656</w:t>
            </w:r>
          </w:p>
        </w:tc>
        <w:tc>
          <w:tcPr>
            <w:tcW w:w="120" w:type="dxa"/>
            <w:vAlign w:val="bottom"/>
          </w:tcPr>
          <w:p>
            <w:pPr>
              <w:spacing w:after="0"/>
              <w:rPr>
                <w:sz w:val="20"/>
                <w:szCs w:val="20"/>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240"/>
          </w:cols>
          <w:pgMar w:left="320" w:top="1440" w:right="339" w:bottom="1440" w:gutter="0" w:footer="0" w:header="0"/>
          <w:type w:val="continuous"/>
        </w:sectPr>
      </w:pPr>
    </w:p>
    <w:bookmarkStart w:id="279" w:name="page280"/>
    <w:bookmarkEnd w:id="279"/>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820" w:type="dxa"/>
            <w:vAlign w:val="bottom"/>
            <w:shd w:val="clear" w:color="auto" w:fill="CCEEFF"/>
          </w:tcPr>
          <w:p>
            <w:pPr>
              <w:ind w:left="360"/>
              <w:spacing w:after="0" w:line="225" w:lineRule="exact"/>
              <w:rPr>
                <w:sz w:val="20"/>
                <w:szCs w:val="20"/>
                <w:color w:val="auto"/>
              </w:rPr>
            </w:pPr>
            <w:r>
              <w:rPr>
                <w:rFonts w:ascii="Arial" w:cs="Arial" w:eastAsia="Arial" w:hAnsi="Arial"/>
                <w:sz w:val="18"/>
                <w:szCs w:val="18"/>
                <w:color w:val="auto"/>
              </w:rPr>
              <w:t xml:space="preserve">Defined benefit cost recognized in profit or loss </w:t>
            </w:r>
            <w:r>
              <w:rPr>
                <w:rFonts w:ascii="Arial" w:cs="Arial" w:eastAsia="Arial" w:hAnsi="Arial"/>
                <w:sz w:val="23"/>
                <w:szCs w:val="23"/>
                <w:color w:val="auto"/>
                <w:vertAlign w:val="superscript"/>
              </w:rPr>
              <w:t>(3)</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3,080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Remeasurement of net pension liabilities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1,514</w:t>
            </w:r>
          </w:p>
        </w:tc>
        <w:tc>
          <w:tcPr>
            <w:tcW w:w="1140" w:type="dxa"/>
            <w:vAlign w:val="bottom"/>
          </w:tcPr>
          <w:p>
            <w:pPr>
              <w:jc w:val="right"/>
              <w:spacing w:after="0"/>
              <w:rPr>
                <w:sz w:val="20"/>
                <w:szCs w:val="20"/>
                <w:color w:val="auto"/>
              </w:rPr>
            </w:pPr>
            <w:r>
              <w:rPr>
                <w:rFonts w:ascii="Arial" w:cs="Arial" w:eastAsia="Arial" w:hAnsi="Arial"/>
                <w:sz w:val="18"/>
                <w:szCs w:val="18"/>
                <w:color w:val="auto"/>
              </w:rPr>
              <w:t>4,711</w:t>
            </w:r>
          </w:p>
        </w:tc>
      </w:tr>
      <w:tr>
        <w:trPr>
          <w:trHeight w:val="230"/>
        </w:trPr>
        <w:tc>
          <w:tcPr>
            <w:tcW w:w="68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Contributions by the employer </w:t>
            </w:r>
            <w:r>
              <w:rPr>
                <w:rFonts w:ascii="Arial" w:cs="Arial" w:eastAsia="Arial" w:hAnsi="Arial"/>
                <w:sz w:val="23"/>
                <w:szCs w:val="23"/>
                <w:color w:val="auto"/>
                <w:vertAlign w:val="superscript"/>
              </w:rPr>
              <w:t>(3)</w:t>
            </w:r>
          </w:p>
        </w:tc>
        <w:tc>
          <w:tcPr>
            <w:tcW w:w="3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29"/>
        </w:trPr>
        <w:tc>
          <w:tcPr>
            <w:tcW w:w="6820" w:type="dxa"/>
            <w:vAlign w:val="bottom"/>
          </w:tcPr>
          <w:p>
            <w:pPr>
              <w:ind w:left="360"/>
              <w:spacing w:after="0" w:line="230" w:lineRule="exact"/>
              <w:rPr>
                <w:sz w:val="20"/>
                <w:szCs w:val="20"/>
                <w:color w:val="auto"/>
              </w:rPr>
            </w:pPr>
            <w:r>
              <w:rPr>
                <w:rFonts w:ascii="Arial" w:cs="Arial" w:eastAsia="Arial" w:hAnsi="Arial"/>
                <w:sz w:val="18"/>
                <w:szCs w:val="18"/>
                <w:b w:val="1"/>
                <w:bCs w:val="1"/>
                <w:color w:val="auto"/>
              </w:rPr>
              <w:t xml:space="preserve">Net defined benefit liability at December 31 </w:t>
            </w:r>
            <w:r>
              <w:rPr>
                <w:rFonts w:ascii="Arial" w:cs="Arial" w:eastAsia="Arial" w:hAnsi="Arial"/>
                <w:sz w:val="23"/>
                <w:szCs w:val="23"/>
                <w:b w:val="1"/>
                <w:bCs w:val="1"/>
                <w:color w:val="auto"/>
                <w:vertAlign w:val="superscript"/>
              </w:rPr>
              <w:t>(2)</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13,423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10,656</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defined benefit obligation</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Defined benefit obligation at January 1</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48,455</w:t>
            </w:r>
          </w:p>
        </w:tc>
        <w:tc>
          <w:tcPr>
            <w:tcW w:w="1140" w:type="dxa"/>
            <w:vAlign w:val="bottom"/>
          </w:tcPr>
          <w:p>
            <w:pPr>
              <w:jc w:val="right"/>
              <w:spacing w:after="0"/>
              <w:rPr>
                <w:sz w:val="20"/>
                <w:szCs w:val="20"/>
                <w:color w:val="auto"/>
              </w:rPr>
            </w:pPr>
            <w:r>
              <w:rPr>
                <w:rFonts w:ascii="Arial" w:cs="Arial" w:eastAsia="Arial" w:hAnsi="Arial"/>
                <w:sz w:val="18"/>
                <w:szCs w:val="18"/>
                <w:color w:val="auto"/>
              </w:rPr>
              <w:t>36,609</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expenses on defined benefit obligation</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Current service cost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3,033</w:t>
            </w:r>
          </w:p>
        </w:tc>
        <w:tc>
          <w:tcPr>
            <w:tcW w:w="114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plan participants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Benefits (paid)/deposited</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1,424</w:t>
            </w:r>
          </w:p>
        </w:tc>
        <w:tc>
          <w:tcPr>
            <w:tcW w:w="114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Past service cost</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Administrative cost (excl. cost for managing plan assets)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(gain)/loss on defined benefit obligation</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Defined benefit obligation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54,512</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48,455</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amount recognized in OCI</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Actuarial (gain) / loss on changes in financial assumptions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4,774</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 / loss arising from experience adjustments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Actuarial (gain)/loss on defined benefit obligation</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335</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5,737</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plan assets excluding interest income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Remeasurement of net pension liabilities</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1,514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4,711</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fair value of plan assets</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Fair value of plan assets at January 1</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37,799</w:t>
            </w:r>
          </w:p>
        </w:tc>
        <w:tc>
          <w:tcPr>
            <w:tcW w:w="1140" w:type="dxa"/>
            <w:vAlign w:val="bottom"/>
          </w:tcPr>
          <w:p>
            <w:pPr>
              <w:jc w:val="right"/>
              <w:spacing w:after="0"/>
              <w:rPr>
                <w:sz w:val="20"/>
                <w:szCs w:val="20"/>
                <w:color w:val="auto"/>
              </w:rPr>
            </w:pPr>
            <w:r>
              <w:rPr>
                <w:rFonts w:ascii="Arial" w:cs="Arial" w:eastAsia="Arial" w:hAnsi="Arial"/>
                <w:sz w:val="18"/>
                <w:szCs w:val="18"/>
                <w:color w:val="auto"/>
              </w:rPr>
              <w:t>31,127</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on plan assets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Contributions by the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1,827</w:t>
            </w:r>
          </w:p>
        </w:tc>
        <w:tc>
          <w:tcPr>
            <w:tcW w:w="1140" w:type="dxa"/>
            <w:vAlign w:val="bottom"/>
          </w:tcPr>
          <w:p>
            <w:pPr>
              <w:jc w:val="right"/>
              <w:spacing w:after="0"/>
              <w:rPr>
                <w:sz w:val="20"/>
                <w:szCs w:val="20"/>
                <w:color w:val="auto"/>
              </w:rPr>
            </w:pPr>
            <w:r>
              <w:rPr>
                <w:rFonts w:ascii="Arial" w:cs="Arial" w:eastAsia="Arial" w:hAnsi="Arial"/>
                <w:sz w:val="18"/>
                <w:szCs w:val="18"/>
                <w:color w:val="auto"/>
              </w:rPr>
              <w:t>1,556</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by plan participants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Benefits (paid)/deposited</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1,424</w:t>
            </w:r>
          </w:p>
        </w:tc>
        <w:tc>
          <w:tcPr>
            <w:tcW w:w="1140" w:type="dxa"/>
            <w:vAlign w:val="bottom"/>
          </w:tcPr>
          <w:p>
            <w:pPr>
              <w:jc w:val="right"/>
              <w:spacing w:after="0"/>
              <w:rPr>
                <w:sz w:val="20"/>
                <w:szCs w:val="20"/>
                <w:color w:val="auto"/>
              </w:rPr>
            </w:pPr>
            <w:r>
              <w:rPr>
                <w:rFonts w:ascii="Arial" w:cs="Arial" w:eastAsia="Arial" w:hAnsi="Arial"/>
                <w:sz w:val="18"/>
                <w:szCs w:val="18"/>
                <w:color w:val="auto"/>
              </w:rPr>
              <w:t>2,819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plan assets excl. interest income</w:t>
            </w:r>
          </w:p>
        </w:tc>
        <w:tc>
          <w:tcPr>
            <w:tcW w:w="32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Fair value of plan assets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41,089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37,799</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Best estimate of contributions of next year</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Contributions by the employer</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1,834</w:t>
            </w:r>
          </w:p>
        </w:tc>
        <w:tc>
          <w:tcPr>
            <w:tcW w:w="1140" w:type="dxa"/>
            <w:vAlign w:val="bottom"/>
          </w:tcPr>
          <w:p>
            <w:pPr>
              <w:jc w:val="right"/>
              <w:spacing w:after="0"/>
              <w:rPr>
                <w:sz w:val="20"/>
                <w:szCs w:val="20"/>
                <w:color w:val="auto"/>
              </w:rPr>
            </w:pPr>
            <w:r>
              <w:rPr>
                <w:rFonts w:ascii="Arial" w:cs="Arial" w:eastAsia="Arial" w:hAnsi="Arial"/>
                <w:sz w:val="18"/>
                <w:szCs w:val="18"/>
                <w:color w:val="auto"/>
              </w:rPr>
              <w:t>1,724</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Plan asset classes</w:t>
            </w:r>
          </w:p>
        </w:tc>
        <w:tc>
          <w:tcPr>
            <w:tcW w:w="3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8,118</w:t>
            </w:r>
          </w:p>
        </w:tc>
        <w:tc>
          <w:tcPr>
            <w:tcW w:w="114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instruments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16,791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Debt instruments (e.g. bonds)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5,671</w:t>
            </w:r>
          </w:p>
        </w:tc>
        <w:tc>
          <w:tcPr>
            <w:tcW w:w="1140" w:type="dxa"/>
            <w:vAlign w:val="bottom"/>
          </w:tcPr>
          <w:p>
            <w:pPr>
              <w:jc w:val="right"/>
              <w:spacing w:after="0"/>
              <w:rPr>
                <w:sz w:val="20"/>
                <w:szCs w:val="20"/>
                <w:color w:val="auto"/>
              </w:rPr>
            </w:pPr>
            <w:r>
              <w:rPr>
                <w:rFonts w:ascii="Arial" w:cs="Arial" w:eastAsia="Arial" w:hAnsi="Arial"/>
                <w:sz w:val="18"/>
                <w:szCs w:val="18"/>
                <w:color w:val="auto"/>
              </w:rPr>
              <w:t>5,466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funds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Others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1,483</w:t>
            </w: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29"/>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plan assets at fair value (quoted market price)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33,138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33,003</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Others</w:t>
            </w:r>
          </w:p>
        </w:tc>
        <w:tc>
          <w:tcPr>
            <w:tcW w:w="3280" w:type="dxa"/>
            <w:vAlign w:val="bottom"/>
          </w:tcPr>
          <w:p>
            <w:pPr>
              <w:jc w:val="right"/>
              <w:ind w:right="530"/>
              <w:spacing w:after="0"/>
              <w:rPr>
                <w:sz w:val="20"/>
                <w:szCs w:val="20"/>
                <w:color w:val="auto"/>
              </w:rPr>
            </w:pPr>
            <w:r>
              <w:rPr>
                <w:rFonts w:ascii="Arial" w:cs="Arial" w:eastAsia="Arial" w:hAnsi="Arial"/>
                <w:sz w:val="18"/>
                <w:szCs w:val="18"/>
                <w:color w:val="auto"/>
              </w:rPr>
              <w:t>7,951</w:t>
            </w:r>
          </w:p>
        </w:tc>
        <w:tc>
          <w:tcPr>
            <w:tcW w:w="1140" w:type="dxa"/>
            <w:vAlign w:val="bottom"/>
          </w:tcPr>
          <w:p>
            <w:pPr>
              <w:jc w:val="right"/>
              <w:spacing w:after="0"/>
              <w:rPr>
                <w:sz w:val="20"/>
                <w:szCs w:val="20"/>
                <w:color w:val="auto"/>
              </w:rPr>
            </w:pPr>
            <w:r>
              <w:rPr>
                <w:rFonts w:ascii="Arial" w:cs="Arial" w:eastAsia="Arial" w:hAnsi="Arial"/>
                <w:sz w:val="18"/>
                <w:szCs w:val="18"/>
                <w:color w:val="auto"/>
              </w:rPr>
              <w:t>4,796</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plan assets at fair value (non-quoted market price)</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7,951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4,796</w:t>
            </w: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b w:val="1"/>
                <w:bCs w:val="1"/>
                <w:color w:val="auto"/>
              </w:rPr>
              <w:t>Total plan assets at fair value at December 31</w:t>
            </w:r>
          </w:p>
        </w:tc>
        <w:tc>
          <w:tcPr>
            <w:tcW w:w="3280" w:type="dxa"/>
            <w:vAlign w:val="bottom"/>
          </w:tcPr>
          <w:p>
            <w:pPr>
              <w:jc w:val="right"/>
              <w:ind w:right="530"/>
              <w:spacing w:after="0"/>
              <w:rPr>
                <w:sz w:val="20"/>
                <w:szCs w:val="20"/>
                <w:color w:val="auto"/>
              </w:rPr>
            </w:pPr>
            <w:r>
              <w:rPr>
                <w:rFonts w:ascii="Arial" w:cs="Arial" w:eastAsia="Arial" w:hAnsi="Arial"/>
                <w:sz w:val="18"/>
                <w:szCs w:val="18"/>
                <w:b w:val="1"/>
                <w:bCs w:val="1"/>
                <w:color w:val="auto"/>
              </w:rPr>
              <w:t>41,089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37,799</w:t>
            </w: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thereof entity's own transferable financial instruments</w:t>
            </w:r>
          </w:p>
        </w:tc>
        <w:tc>
          <w:tcPr>
            <w:tcW w:w="3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020" w:type="dxa"/>
            <w:vAlign w:val="bottom"/>
          </w:tcPr>
          <w:p>
            <w:pPr>
              <w:ind w:left="360"/>
              <w:spacing w:after="0"/>
              <w:rPr>
                <w:sz w:val="20"/>
                <w:szCs w:val="20"/>
                <w:color w:val="auto"/>
              </w:rPr>
            </w:pPr>
            <w:r>
              <w:rPr>
                <w:rFonts w:ascii="Arial" w:cs="Arial" w:eastAsia="Arial" w:hAnsi="Arial"/>
                <w:sz w:val="18"/>
                <w:szCs w:val="18"/>
                <w:color w:val="auto"/>
              </w:rPr>
              <w:t>thereof property occupied or other assets used by the entity</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Sensitivity </w:t>
            </w:r>
            <w:r>
              <w:rPr>
                <w:rFonts w:ascii="Arial" w:cs="Arial" w:eastAsia="Arial" w:hAnsi="Arial"/>
                <w:sz w:val="23"/>
                <w:szCs w:val="23"/>
                <w:b w:val="1"/>
                <w:bCs w:val="1"/>
                <w:color w:val="auto"/>
                <w:vertAlign w:val="superscript"/>
              </w:rPr>
              <w:t>(4)</w:t>
            </w:r>
          </w:p>
        </w:tc>
        <w:tc>
          <w:tcPr>
            <w:tcW w:w="2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discount rate -0.25%</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57,383</w:t>
            </w:r>
          </w:p>
        </w:tc>
        <w:tc>
          <w:tcPr>
            <w:tcW w:w="1140" w:type="dxa"/>
            <w:vAlign w:val="bottom"/>
          </w:tcPr>
          <w:p>
            <w:pPr>
              <w:jc w:val="right"/>
              <w:spacing w:after="0"/>
              <w:rPr>
                <w:sz w:val="20"/>
                <w:szCs w:val="20"/>
                <w:color w:val="auto"/>
              </w:rPr>
            </w:pPr>
            <w:r>
              <w:rPr>
                <w:rFonts w:ascii="Arial" w:cs="Arial" w:eastAsia="Arial" w:hAnsi="Arial"/>
                <w:sz w:val="18"/>
                <w:szCs w:val="18"/>
                <w:color w:val="auto"/>
              </w:rPr>
              <w:t>51,038</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discount rate +0.25%</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51,871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46,077</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salary increases -0.25%</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54,033</w:t>
            </w:r>
          </w:p>
        </w:tc>
        <w:tc>
          <w:tcPr>
            <w:tcW w:w="1140" w:type="dxa"/>
            <w:vAlign w:val="bottom"/>
          </w:tcPr>
          <w:p>
            <w:pPr>
              <w:jc w:val="right"/>
              <w:spacing w:after="0"/>
              <w:rPr>
                <w:sz w:val="20"/>
                <w:szCs w:val="20"/>
                <w:color w:val="auto"/>
              </w:rPr>
            </w:pPr>
            <w:r>
              <w:rPr>
                <w:rFonts w:ascii="Arial" w:cs="Arial" w:eastAsia="Arial" w:hAnsi="Arial"/>
                <w:sz w:val="18"/>
                <w:szCs w:val="18"/>
                <w:color w:val="auto"/>
              </w:rPr>
              <w:t>48,017</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salary increases +0.25%</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54,999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48,887</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Defined benefit obligation at December 31 with life expectancy +1 year</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55,417</w:t>
            </w:r>
          </w:p>
        </w:tc>
        <w:tc>
          <w:tcPr>
            <w:tcW w:w="1140" w:type="dxa"/>
            <w:vAlign w:val="bottom"/>
          </w:tcPr>
          <w:p>
            <w:pPr>
              <w:jc w:val="right"/>
              <w:spacing w:after="0"/>
              <w:rPr>
                <w:sz w:val="20"/>
                <w:szCs w:val="20"/>
                <w:color w:val="auto"/>
              </w:rPr>
            </w:pPr>
            <w:r>
              <w:rPr>
                <w:rFonts w:ascii="Arial" w:cs="Arial" w:eastAsia="Arial" w:hAnsi="Arial"/>
                <w:sz w:val="18"/>
                <w:szCs w:val="18"/>
                <w:color w:val="auto"/>
              </w:rPr>
              <w:t>47,691</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obligation at December 31 with life expectancy -1 year</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53,611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Maturity profile of defined benefit obligation</w:t>
            </w:r>
          </w:p>
        </w:tc>
        <w:tc>
          <w:tcPr>
            <w:tcW w:w="20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w:t>
            </w:r>
          </w:p>
        </w:tc>
        <w:tc>
          <w:tcPr>
            <w:tcW w:w="208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20.2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 for active members</w:t>
            </w:r>
          </w:p>
        </w:tc>
        <w:tc>
          <w:tcPr>
            <w:tcW w:w="2080" w:type="dxa"/>
            <w:vAlign w:val="bottom"/>
          </w:tcPr>
          <w:p>
            <w:pPr>
              <w:jc w:val="right"/>
              <w:ind w:right="531"/>
              <w:spacing w:after="0"/>
              <w:rPr>
                <w:sz w:val="20"/>
                <w:szCs w:val="20"/>
                <w:color w:val="auto"/>
              </w:rPr>
            </w:pPr>
            <w:r>
              <w:rPr>
                <w:rFonts w:ascii="Arial" w:cs="Arial" w:eastAsia="Arial" w:hAnsi="Arial"/>
                <w:sz w:val="18"/>
                <w:szCs w:val="18"/>
                <w:color w:val="auto"/>
              </w:rPr>
              <w:t>20.2</w:t>
            </w: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Weighted average duration of defined obligation in years at December 31 for pensioners</w:t>
            </w:r>
          </w:p>
        </w:tc>
        <w:tc>
          <w:tcPr>
            <w:tcW w:w="208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8"/>
                <w:szCs w:val="18"/>
                <w:color w:val="auto"/>
              </w:rPr>
              <w:t>20.3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bl>
    <w:p>
      <w:pPr>
        <w:spacing w:after="0" w:line="219" w:lineRule="exact"/>
        <w:rPr>
          <w:sz w:val="20"/>
          <w:szCs w:val="20"/>
          <w:color w:val="auto"/>
        </w:rPr>
      </w:pPr>
    </w:p>
    <w:p>
      <w:pPr>
        <w:ind w:left="320" w:hanging="312"/>
        <w:spacing w:after="0"/>
        <w:tabs>
          <w:tab w:leader="none" w:pos="3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Discount rates are based on industry benchmarks related to benefits with a 20 year duration</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In liabilities for employee benefits, as presented in the statement of financial position included are also TCHF 255 (2019: TCHF 240) for accrued sabbatical cost.</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 sum of these two positions represent the non-cash effective pension costs recognized in the income statement, of which TCHF 1,039 are research and development costs (2019: TCHF 358) and</w:t>
      </w:r>
    </w:p>
    <w:p>
      <w:pPr>
        <w:spacing w:after="0" w:line="24"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3"/>
          <w:szCs w:val="13"/>
          <w:color w:val="auto"/>
        </w:rPr>
        <w:t>TCHF 214 are selling, general and administrative costs (2019: TCHF 104).</w:t>
      </w:r>
    </w:p>
    <w:p>
      <w:pPr>
        <w:spacing w:after="0" w:line="12" w:lineRule="exact"/>
        <w:rPr>
          <w:rFonts w:ascii="Arial" w:cs="Arial" w:eastAsia="Arial" w:hAnsi="Arial"/>
          <w:sz w:val="12"/>
          <w:szCs w:val="12"/>
          <w:color w:val="auto"/>
        </w:rPr>
      </w:pPr>
    </w:p>
    <w:p>
      <w:pPr>
        <w:ind w:left="340" w:right="40" w:hanging="332"/>
        <w:spacing w:after="0" w:line="270" w:lineRule="auto"/>
        <w:tabs>
          <w:tab w:leader="none" w:pos="335" w:val="left"/>
        </w:tabs>
        <w:numPr>
          <w:ilvl w:val="0"/>
          <w:numId w:val="156"/>
        </w:numPr>
        <w:rPr>
          <w:rFonts w:ascii="Arial" w:cs="Arial" w:eastAsia="Arial" w:hAnsi="Arial"/>
          <w:sz w:val="13"/>
          <w:szCs w:val="13"/>
          <w:color w:val="auto"/>
        </w:rPr>
      </w:pPr>
      <w:r>
        <w:rPr>
          <w:rFonts w:ascii="Arial" w:cs="Arial" w:eastAsia="Arial" w:hAnsi="Arial"/>
          <w:sz w:val="13"/>
          <w:szCs w:val="13"/>
          <w:color w:val="auto"/>
        </w:rPr>
        <w:t>For the most important parameters which influence the pension obligation of the Company a sensitivity analysis was performed. The discount rate and the assumption for salary increases were modified by a certain percentage value. Sensitivity on mortality was calculated by changing the mortality with a constant factor for all age groups. With this procedure we could change the longevity for most of the age categories by one year longer or shorter than the baseline value.</w:t>
      </w:r>
    </w:p>
    <w:p>
      <w:pPr>
        <w:spacing w:after="0" w:line="13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b w:val="1"/>
          <w:bCs w:val="1"/>
          <w:color w:val="auto"/>
        </w:rPr>
        <w:t>Share-based Compensation Plan</w:t>
      </w:r>
    </w:p>
    <w:p>
      <w:pPr>
        <w:spacing w:after="0" w:line="15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18.2.1</w:t>
      </w:r>
      <w:r>
        <w:rPr>
          <w:sz w:val="20"/>
          <w:szCs w:val="20"/>
          <w:color w:val="auto"/>
        </w:rPr>
        <w:tab/>
      </w:r>
      <w:r>
        <w:rPr>
          <w:rFonts w:ascii="Arial" w:cs="Arial" w:eastAsia="Arial" w:hAnsi="Arial"/>
          <w:sz w:val="19"/>
          <w:szCs w:val="19"/>
          <w:b w:val="1"/>
          <w:bCs w:val="1"/>
          <w:color w:val="auto"/>
        </w:rPr>
        <w:t>Employee Share Option Plans, or ESOP</w:t>
      </w:r>
    </w:p>
    <w:p>
      <w:pPr>
        <w:spacing w:after="0" w:line="138" w:lineRule="exact"/>
        <w:rPr>
          <w:sz w:val="20"/>
          <w:szCs w:val="20"/>
          <w:color w:val="auto"/>
        </w:rPr>
      </w:pPr>
    </w:p>
    <w:p>
      <w:pPr>
        <w:ind w:left="320" w:hanging="312"/>
        <w:spacing w:after="0"/>
        <w:tabs>
          <w:tab w:leader="none" w:pos="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ESOP 2009 established in December 2009</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ESOP 2014 established in July 2014</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ESOP is an incentive tool that fosters the entrepreneurial spirit and performance by way of financial participation in the Group’s long term success. It gives employees, members of the Board of Directors and selected advisors a beneficial opportunity to purchase shares of the Company. Each option entitles its holder to purchase one share of the Company at a pre-defined exercise price. The number of options granted to each participant was determined by the Board of Directors based on a participant’s position and level of responsibility. The options generally vest quarterly over four years, with cliff vesting of 25% after one year. At the end of the option term, unexercised options expire without value The expenses are recognized pro rata as per the graded vesting schedule starting generally from grant date until vesting date.</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2020, an aggregate of 382,059 options were outstanding under the ESOP 2009 and ESOP 2014. All these options are fully vested at the reporting date.</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2019, an aggregate of 560,250 options were outstanding under the ESOP 2009 and ESOP 2014. All these options are fully vested at the reporting date.</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Since the initial public offering of the Company on the SIX Swiss Exchange on November 5, 2014, no further option grants have been made under any of these two share option plans.</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18.2.2</w:t>
      </w:r>
      <w:r>
        <w:rPr>
          <w:sz w:val="20"/>
          <w:szCs w:val="20"/>
          <w:color w:val="auto"/>
        </w:rPr>
        <w:tab/>
      </w:r>
      <w:r>
        <w:rPr>
          <w:rFonts w:ascii="Arial" w:cs="Arial" w:eastAsia="Arial" w:hAnsi="Arial"/>
          <w:sz w:val="19"/>
          <w:szCs w:val="19"/>
          <w:b w:val="1"/>
          <w:bCs w:val="1"/>
          <w:color w:val="auto"/>
        </w:rPr>
        <w:t>Long term Incentive, or LTI, Plans: Restricted Share Units, or RSU, and PSU</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LTI plans 2016 established in March 2016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LTI plans 2017 established in March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LTI plans 2018 established in March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LTI plans 2019 established in March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LTI plans 2020 established in March 2020</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LTI plans, members of the Board of Directors are eligible to be granted RSUs, whereas members of the Management Board and other employees are eligible to be granted PSUs.</w:t>
      </w:r>
    </w:p>
    <w:p>
      <w:pPr>
        <w:spacing w:after="0" w:line="8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RSUs are contingent rights to receive a certain number of shares of the Company at the end of a three-year blocking period. The number of RSUs per plan participant is a function of the approved CHF amount per position divided by the fair value of each RSU as at the grant date. In certain circumstances, including a change of control, a full or partial accelerated vesting of the RSUs may occur. RSUs vest over a one-year period from date of grant.</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PSUs are contingent rights to receive a variable number of shares of the Company at the end of a three-year cliff-vesting period. The number of PSUs per plan participant is a function of the approved CHF amount per position divided by the fair value of each PSU as of the grant date. While the PSUs are designed to let the beneficiaries participate in the long-term share price development, the number of shares to be earned in relation to a PSU also depends on the achievement of certain corporate goals for the respective year. Accordingly, the number of shares to be issued based on the PSUs can be between zero and 120% of the number of PSUs granted. Even after the determination of goal achievement, participants may lose their entitlements in full or in part depending on certain conditions relating to their employment. In certain circumstances, including a change of control, a full or partial accelerated vesting of the PSUs may occur.</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LTI plans are rolled out annually, which allows the Board of Directors to review and adjust the terms and targets on an annual basis. Employees generally receive the grants on April 1 of each calendar year, or for new employees on the first day of the calendar quarter after the start of their employment. Members of the Management Board and the Board of Directors receive the annual grants after the approval of the ordinary shareholders’ meeting.</w:t>
      </w:r>
    </w:p>
    <w:p>
      <w:pPr>
        <w:spacing w:after="0" w:line="10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As of December 31, 2020, 445,198 PSUs and 87,906 RSUs were outstanding. As of December 31, 2019, 363,165 PSUs and 81,840 RSUs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b w:val="1"/>
          <w:bCs w:val="1"/>
          <w:color w:val="auto"/>
        </w:rPr>
        <w:t>18.2.3</w:t>
      </w:r>
      <w:r>
        <w:rPr>
          <w:sz w:val="20"/>
          <w:szCs w:val="20"/>
          <w:color w:val="auto"/>
        </w:rPr>
        <w:tab/>
      </w:r>
      <w:r>
        <w:rPr>
          <w:rFonts w:ascii="Arial" w:cs="Arial" w:eastAsia="Arial" w:hAnsi="Arial"/>
          <w:sz w:val="19"/>
          <w:szCs w:val="19"/>
          <w:b w:val="1"/>
          <w:bCs w:val="1"/>
          <w:color w:val="auto"/>
        </w:rPr>
        <w:t>Conditions Attached to and Measurement of Fair Values of Equity-settled Share-based Payment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conditions as well as the inputs used in the measurement of the fair values at grant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RSU/PSU, conditions and assumptions</w:t>
            </w:r>
          </w:p>
        </w:tc>
        <w:tc>
          <w:tcPr>
            <w:tcW w:w="3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Nature of arrangement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Grant of PSU/RSU</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Grant of PSU/RSU</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Grant date RSU</w:t>
            </w:r>
          </w:p>
        </w:tc>
        <w:tc>
          <w:tcPr>
            <w:tcW w:w="3280" w:type="dxa"/>
            <w:vAlign w:val="bottom"/>
          </w:tcPr>
          <w:p>
            <w:pPr>
              <w:jc w:val="right"/>
              <w:spacing w:after="0"/>
              <w:rPr>
                <w:sz w:val="20"/>
                <w:szCs w:val="20"/>
                <w:color w:val="auto"/>
              </w:rPr>
            </w:pPr>
            <w:r>
              <w:rPr>
                <w:rFonts w:ascii="Arial" w:cs="Arial" w:eastAsia="Arial" w:hAnsi="Arial"/>
                <w:sz w:val="18"/>
                <w:szCs w:val="18"/>
                <w:color w:val="auto"/>
              </w:rPr>
              <w:t>April 29, 2020</w:t>
            </w:r>
          </w:p>
        </w:tc>
        <w:tc>
          <w:tcPr>
            <w:tcW w:w="1500" w:type="dxa"/>
            <w:vAlign w:val="bottom"/>
          </w:tcPr>
          <w:p>
            <w:pPr>
              <w:jc w:val="right"/>
              <w:spacing w:after="0"/>
              <w:rPr>
                <w:sz w:val="20"/>
                <w:szCs w:val="20"/>
                <w:color w:val="auto"/>
              </w:rPr>
            </w:pPr>
            <w:r>
              <w:rPr>
                <w:rFonts w:ascii="Arial" w:cs="Arial" w:eastAsia="Arial" w:hAnsi="Arial"/>
                <w:sz w:val="18"/>
                <w:szCs w:val="18"/>
                <w:color w:val="auto"/>
              </w:rPr>
              <w:t>April 16, 2019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dates PSU</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1 - Oct 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 1 - Oct 1</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Number of RSU granted</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33,467</w:t>
            </w:r>
          </w:p>
        </w:tc>
        <w:tc>
          <w:tcPr>
            <w:tcW w:w="1500" w:type="dxa"/>
            <w:vAlign w:val="bottom"/>
          </w:tcPr>
          <w:p>
            <w:pPr>
              <w:jc w:val="right"/>
              <w:spacing w:after="0"/>
              <w:rPr>
                <w:sz w:val="20"/>
                <w:szCs w:val="20"/>
                <w:color w:val="auto"/>
              </w:rPr>
            </w:pPr>
            <w:r>
              <w:rPr>
                <w:rFonts w:ascii="Arial" w:cs="Arial" w:eastAsia="Arial" w:hAnsi="Arial"/>
                <w:sz w:val="18"/>
                <w:szCs w:val="18"/>
                <w:color w:val="auto"/>
              </w:rPr>
              <w:t>32,649</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PSU granted</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267,657.00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258,445.00</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exercise price (CHF)</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0.10</w:t>
            </w:r>
          </w:p>
        </w:tc>
        <w:tc>
          <w:tcPr>
            <w:tcW w:w="15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(CHF)</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14.50 - 21.50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14.56 - 19.06</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Full contractual life for RSU (years)</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3.00</w:t>
            </w: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Full contractual life for PSU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Vesting period for RSU (years)</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period for PSU (years)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2.25 - 3.00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3280" w:type="dxa"/>
            <w:vAlign w:val="bottom"/>
          </w:tcPr>
          <w:p>
            <w:pPr>
              <w:jc w:val="right"/>
              <w:spacing w:after="0"/>
              <w:rPr>
                <w:sz w:val="20"/>
                <w:szCs w:val="20"/>
                <w:color w:val="auto"/>
              </w:rPr>
            </w:pPr>
            <w:r>
              <w:rPr>
                <w:rFonts w:ascii="Arial" w:cs="Arial" w:eastAsia="Arial" w:hAnsi="Arial"/>
                <w:sz w:val="18"/>
                <w:szCs w:val="18"/>
                <w:color w:val="auto"/>
              </w:rPr>
              <w:t>Common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Common Shares</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Common shares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42.73 - 56.26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42.24 - 42.98</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CHF LIBOR / Common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(-0.42) - (-0.60)</w:t>
            </w:r>
          </w:p>
        </w:tc>
        <w:tc>
          <w:tcPr>
            <w:tcW w:w="1500" w:type="dxa"/>
            <w:vAlign w:val="bottom"/>
          </w:tcPr>
          <w:p>
            <w:pPr>
              <w:jc w:val="right"/>
              <w:spacing w:after="0"/>
              <w:rPr>
                <w:sz w:val="20"/>
                <w:szCs w:val="20"/>
                <w:color w:val="auto"/>
              </w:rPr>
            </w:pPr>
            <w:r>
              <w:rPr>
                <w:rFonts w:ascii="Arial" w:cs="Arial" w:eastAsia="Arial" w:hAnsi="Arial"/>
                <w:sz w:val="18"/>
                <w:szCs w:val="18"/>
                <w:color w:val="auto"/>
              </w:rPr>
              <w:t>(-0.50) - (-0.71)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NBI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21.20 - 25.70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21.67 - 23.37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USD LIBOR / NBI</w:t>
            </w:r>
          </w:p>
        </w:tc>
        <w:tc>
          <w:tcPr>
            <w:tcW w:w="3280" w:type="dxa"/>
            <w:vAlign w:val="bottom"/>
          </w:tcPr>
          <w:p>
            <w:pPr>
              <w:jc w:val="right"/>
              <w:spacing w:after="0"/>
              <w:rPr>
                <w:sz w:val="20"/>
                <w:szCs w:val="20"/>
                <w:color w:val="auto"/>
              </w:rPr>
            </w:pPr>
            <w:r>
              <w:rPr>
                <w:rFonts w:ascii="Arial" w:cs="Arial" w:eastAsia="Arial" w:hAnsi="Arial"/>
                <w:sz w:val="18"/>
                <w:szCs w:val="18"/>
                <w:color w:val="auto"/>
              </w:rPr>
              <w:t>0.36 - 2.00</w:t>
            </w:r>
          </w:p>
        </w:tc>
        <w:tc>
          <w:tcPr>
            <w:tcW w:w="1500" w:type="dxa"/>
            <w:vAlign w:val="bottom"/>
          </w:tcPr>
          <w:p>
            <w:pPr>
              <w:jc w:val="right"/>
              <w:spacing w:after="0"/>
              <w:rPr>
                <w:sz w:val="20"/>
                <w:szCs w:val="20"/>
                <w:color w:val="auto"/>
              </w:rPr>
            </w:pPr>
            <w:r>
              <w:rPr>
                <w:rFonts w:ascii="Arial" w:cs="Arial" w:eastAsia="Arial" w:hAnsi="Arial"/>
                <w:sz w:val="18"/>
                <w:szCs w:val="18"/>
                <w:color w:val="auto"/>
              </w:rPr>
              <w:t>2.03 - 2.76</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on SPI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11.19 - 15.79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11.11 - 12.37</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Risk-free interest rate p. a. (%) / CHF LIBOR / SPI</w:t>
            </w:r>
          </w:p>
        </w:tc>
        <w:tc>
          <w:tcPr>
            <w:tcW w:w="3280" w:type="dxa"/>
            <w:vAlign w:val="bottom"/>
          </w:tcPr>
          <w:p>
            <w:pPr>
              <w:jc w:val="right"/>
              <w:spacing w:after="0"/>
              <w:rPr>
                <w:sz w:val="20"/>
                <w:szCs w:val="20"/>
                <w:color w:val="auto"/>
              </w:rPr>
            </w:pPr>
            <w:r>
              <w:rPr>
                <w:rFonts w:ascii="Arial" w:cs="Arial" w:eastAsia="Arial" w:hAnsi="Arial"/>
                <w:sz w:val="18"/>
                <w:szCs w:val="18"/>
                <w:color w:val="auto"/>
              </w:rPr>
              <w:t>(-0.42) - (-0.60)</w:t>
            </w:r>
          </w:p>
        </w:tc>
        <w:tc>
          <w:tcPr>
            <w:tcW w:w="1500" w:type="dxa"/>
            <w:vAlign w:val="bottom"/>
          </w:tcPr>
          <w:p>
            <w:pPr>
              <w:jc w:val="right"/>
              <w:spacing w:after="0"/>
              <w:rPr>
                <w:sz w:val="20"/>
                <w:szCs w:val="20"/>
                <w:color w:val="auto"/>
              </w:rPr>
            </w:pPr>
            <w:r>
              <w:rPr>
                <w:rFonts w:ascii="Arial" w:cs="Arial" w:eastAsia="Arial" w:hAnsi="Arial"/>
                <w:sz w:val="18"/>
                <w:szCs w:val="18"/>
                <w:color w:val="auto"/>
              </w:rPr>
              <w:t>(-0.50) - (-0.71)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(CHF)</w:t>
            </w:r>
          </w:p>
        </w:tc>
        <w:tc>
          <w:tcPr>
            <w:tcW w:w="3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Weighted average fair value of rights granted (CHF)</w:t>
            </w:r>
          </w:p>
        </w:tc>
        <w:tc>
          <w:tcPr>
            <w:tcW w:w="328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1500" w:type="dxa"/>
            <w:vAlign w:val="bottom"/>
          </w:tcPr>
          <w:p>
            <w:pPr>
              <w:jc w:val="right"/>
              <w:spacing w:after="0"/>
              <w:rPr>
                <w:sz w:val="20"/>
                <w:szCs w:val="20"/>
                <w:color w:val="auto"/>
              </w:rPr>
            </w:pPr>
            <w:r>
              <w:rPr>
                <w:rFonts w:ascii="Arial" w:cs="Arial" w:eastAsia="Arial" w:hAnsi="Arial"/>
                <w:sz w:val="18"/>
                <w:szCs w:val="18"/>
                <w:color w:val="auto"/>
              </w:rPr>
              <w:t>19.13</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Latest expiry date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 30,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 30, 2022</w:t>
            </w:r>
          </w:p>
        </w:tc>
      </w:tr>
      <w:tr>
        <w:trPr>
          <w:trHeight w:val="23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model</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Monte Carlo</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Monte Carlo</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Additional comments:</w:t>
      </w:r>
    </w:p>
    <w:p>
      <w:pPr>
        <w:spacing w:after="0" w:line="23" w:lineRule="exact"/>
        <w:rPr>
          <w:sz w:val="20"/>
          <w:szCs w:val="20"/>
          <w:color w:val="auto"/>
        </w:rPr>
      </w:pPr>
    </w:p>
    <w:p>
      <w:pPr>
        <w:ind w:left="320" w:hanging="312"/>
        <w:spacing w:after="0"/>
        <w:tabs>
          <w:tab w:leader="none" w:pos="32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Expected volatility: Historical share prices of the Company have been used.</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indices, Nasdaq Biotechnology Index, or NBI, and Swiss performance Index, SPI, were introduced as assumptions in determining the fair values for the 2019 and 2020 PSU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movements in the number of all issued RSUs, PSUs and share options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1"/>
              </w:rPr>
              <w:t>Weighted average</w:t>
            </w:r>
          </w:p>
        </w:tc>
        <w:tc>
          <w:tcPr>
            <w:tcW w:w="1420" w:type="dxa"/>
            <w:vAlign w:val="bottom"/>
            <w:tcBorders>
              <w:top w:val="single" w:sz="8" w:color="auto"/>
            </w:tcBorders>
            <w:gridSpan w:val="2"/>
            <w:vMerge w:val="restart"/>
          </w:tcPr>
          <w:p>
            <w:pPr>
              <w:ind w:left="740"/>
              <w:spacing w:after="0"/>
              <w:rPr>
                <w:sz w:val="20"/>
                <w:szCs w:val="20"/>
                <w:color w:val="auto"/>
              </w:rPr>
            </w:pPr>
            <w:r>
              <w:rPr>
                <w:rFonts w:ascii="Arial" w:cs="Arial" w:eastAsia="Arial" w:hAnsi="Arial"/>
                <w:sz w:val="16"/>
                <w:szCs w:val="16"/>
                <w:b w:val="1"/>
                <w:bCs w:val="1"/>
                <w:color w:val="auto"/>
              </w:rPr>
              <w:t>Options</w:t>
            </w:r>
          </w:p>
        </w:tc>
        <w:tc>
          <w:tcPr>
            <w:tcW w:w="14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3"/>
              </w:rPr>
              <w:t>Weighted average</w:t>
            </w:r>
          </w:p>
        </w:tc>
        <w:tc>
          <w:tcPr>
            <w:tcW w:w="144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PSU/RSU</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Share Option / PSU / RSU movements</w:t>
            </w:r>
          </w:p>
        </w:tc>
        <w:tc>
          <w:tcPr>
            <w:tcW w:w="14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Total (numbers)</w:t>
            </w:r>
          </w:p>
        </w:tc>
        <w:tc>
          <w:tcPr>
            <w:tcW w:w="142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exercise price</w:t>
            </w:r>
          </w:p>
        </w:tc>
        <w:tc>
          <w:tcPr>
            <w:tcW w:w="1420" w:type="dxa"/>
            <w:vAlign w:val="bottom"/>
            <w:gridSpan w:val="2"/>
            <w:vMerge w:val="continue"/>
          </w:tcPr>
          <w:p>
            <w:pPr>
              <w:spacing w:after="0"/>
              <w:rPr>
                <w:sz w:val="14"/>
                <w:szCs w:val="14"/>
                <w:color w:val="auto"/>
              </w:rPr>
            </w:pPr>
          </w:p>
        </w:tc>
        <w:tc>
          <w:tcPr>
            <w:tcW w:w="144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exercise price</w:t>
            </w:r>
          </w:p>
        </w:tc>
        <w:tc>
          <w:tcPr>
            <w:tcW w:w="1440" w:type="dxa"/>
            <w:vAlign w:val="bottom"/>
            <w:gridSpan w:val="2"/>
            <w:vMerge w:val="continue"/>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(CHF)</w:t>
            </w:r>
          </w:p>
        </w:tc>
        <w:tc>
          <w:tcPr>
            <w:tcW w:w="14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(numbers)</w:t>
            </w:r>
          </w:p>
        </w:tc>
        <w:tc>
          <w:tcPr>
            <w:tcW w:w="1440" w:type="dxa"/>
            <w:vAlign w:val="bottom"/>
            <w:tcBorders>
              <w:bottom w:val="single" w:sz="8" w:color="auto"/>
            </w:tcBorders>
            <w:gridSpan w:val="2"/>
          </w:tcPr>
          <w:p>
            <w:pPr>
              <w:jc w:val="center"/>
              <w:ind w:left="633"/>
              <w:spacing w:after="0"/>
              <w:rPr>
                <w:sz w:val="20"/>
                <w:szCs w:val="20"/>
                <w:color w:val="auto"/>
              </w:rPr>
            </w:pPr>
            <w:r>
              <w:rPr>
                <w:rFonts w:ascii="Arial" w:cs="Arial" w:eastAsia="Arial" w:hAnsi="Arial"/>
                <w:sz w:val="16"/>
                <w:szCs w:val="16"/>
                <w:b w:val="1"/>
                <w:bCs w:val="1"/>
                <w:color w:val="auto"/>
              </w:rPr>
              <w:t>(CHF)</w:t>
            </w: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(numbers)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(CHF)</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1,184,663</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864,197</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4.98</w:t>
            </w: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320,466</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31, 2018</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291,094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291,094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(84,594)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(372,599)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0"/>
              </w:rPr>
              <w:t>(303,947)</w:t>
            </w:r>
          </w:p>
        </w:tc>
        <w:tc>
          <w:tcPr>
            <w:tcW w:w="12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85"/>
              </w:rPr>
              <w:t>3.33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(68,652)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1,005,255</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560,250</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5.87</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445,005</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31, 2019</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301,124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301,124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(84,679)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(84,679)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(278,581)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300" w:type="dxa"/>
            <w:vAlign w:val="bottom"/>
          </w:tcPr>
          <w:p>
            <w:pPr>
              <w:ind w:left="580"/>
              <w:spacing w:after="0"/>
              <w:rPr>
                <w:sz w:val="20"/>
                <w:szCs w:val="20"/>
                <w:color w:val="auto"/>
              </w:rPr>
            </w:pPr>
            <w:r>
              <w:rPr>
                <w:rFonts w:ascii="Arial" w:cs="Arial" w:eastAsia="Arial" w:hAnsi="Arial"/>
                <w:sz w:val="18"/>
                <w:szCs w:val="18"/>
                <w:color w:val="auto"/>
                <w:w w:val="90"/>
              </w:rPr>
              <w:t>(178,191)</w:t>
            </w:r>
          </w:p>
        </w:tc>
        <w:tc>
          <w:tcPr>
            <w:tcW w:w="12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Arial" w:cs="Arial" w:eastAsia="Arial" w:hAnsi="Arial"/>
                <w:sz w:val="18"/>
                <w:szCs w:val="18"/>
                <w:color w:val="auto"/>
                <w:w w:val="85"/>
              </w:rPr>
              <w:t>4.70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(100,390)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outstanding at December</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915,163</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382,059</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center"/>
              <w:ind w:left="773"/>
              <w:spacing w:after="0"/>
              <w:rPr>
                <w:sz w:val="20"/>
                <w:szCs w:val="20"/>
                <w:color w:val="auto"/>
              </w:rPr>
            </w:pPr>
            <w:r>
              <w:rPr>
                <w:rFonts w:ascii="Arial" w:cs="Arial" w:eastAsia="Arial" w:hAnsi="Arial"/>
                <w:sz w:val="18"/>
                <w:szCs w:val="18"/>
                <w:b w:val="1"/>
                <w:bCs w:val="1"/>
                <w:color w:val="auto"/>
                <w:w w:val="85"/>
              </w:rPr>
              <w:t>6.42</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533,104</w:t>
            </w:r>
          </w:p>
        </w:tc>
        <w:tc>
          <w:tcPr>
            <w:tcW w:w="1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31, 2020</w:t>
            </w: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20" w:hanging="312"/>
        <w:spacing w:after="0"/>
        <w:tabs>
          <w:tab w:leader="none" w:pos="32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Performance adjustments indicate forfeitures due to non-market performance conditions not achieved</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Forfeited due to service conditions not fulfilled</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weighted average share prices at the dates of exercising during the year ended 2020 amounted to CHF 19.73 (2019: CHF 15.95)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applies to all share options, PSUs and RSUs outstanding at December 31,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4100" w:type="dxa"/>
            <w:vAlign w:val="bottom"/>
            <w:tcBorders>
              <w:top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Options /</w:t>
            </w:r>
          </w:p>
        </w:tc>
        <w:tc>
          <w:tcPr>
            <w:tcW w:w="1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6"/>
                <w:szCs w:val="16"/>
                <w:b w:val="1"/>
                <w:bCs w:val="1"/>
                <w:color w:val="auto"/>
              </w:rPr>
              <w:t>Remaining life</w:t>
            </w: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20" w:type="dxa"/>
            <w:vAlign w:val="bottom"/>
            <w:vMerge w:val="continue"/>
          </w:tcPr>
          <w:p>
            <w:pPr>
              <w:spacing w:after="0"/>
              <w:rPr>
                <w:sz w:val="14"/>
                <w:szCs w:val="14"/>
                <w:color w:val="auto"/>
              </w:rPr>
            </w:pPr>
          </w:p>
        </w:tc>
        <w:tc>
          <w:tcPr>
            <w:tcW w:w="4100" w:type="dxa"/>
            <w:vAlign w:val="bottom"/>
          </w:tcPr>
          <w:p>
            <w:pPr>
              <w:jc w:val="right"/>
              <w:ind w:right="233"/>
              <w:spacing w:after="0" w:line="162" w:lineRule="exact"/>
              <w:rPr>
                <w:sz w:val="20"/>
                <w:szCs w:val="20"/>
                <w:color w:val="auto"/>
              </w:rPr>
            </w:pPr>
            <w:r>
              <w:rPr>
                <w:rFonts w:ascii="Arial" w:cs="Arial" w:eastAsia="Arial" w:hAnsi="Arial"/>
                <w:sz w:val="16"/>
                <w:szCs w:val="16"/>
                <w:b w:val="1"/>
                <w:bCs w:val="1"/>
                <w:color w:val="auto"/>
              </w:rPr>
              <w:t>PSU/RSU</w:t>
            </w:r>
          </w:p>
        </w:tc>
        <w:tc>
          <w:tcPr>
            <w:tcW w:w="1500" w:type="dxa"/>
            <w:vAlign w:val="bottom"/>
            <w:vMerge w:val="continue"/>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Exercisable options</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CHF</w:t>
            </w:r>
          </w:p>
        </w:tc>
        <w:tc>
          <w:tcPr>
            <w:tcW w:w="410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(number)</w:t>
            </w:r>
          </w:p>
        </w:tc>
        <w:tc>
          <w:tcPr>
            <w:tcW w:w="150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(years)</w:t>
            </w: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4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2.31</w:t>
            </w:r>
          </w:p>
        </w:tc>
        <w:tc>
          <w:tcPr>
            <w:tcW w:w="4100" w:type="dxa"/>
            <w:vAlign w:val="bottom"/>
          </w:tcPr>
          <w:p>
            <w:pPr>
              <w:jc w:val="right"/>
              <w:ind w:right="293"/>
              <w:spacing w:after="0"/>
              <w:rPr>
                <w:sz w:val="20"/>
                <w:szCs w:val="20"/>
                <w:color w:val="auto"/>
              </w:rPr>
            </w:pPr>
            <w:r>
              <w:rPr>
                <w:rFonts w:ascii="Arial" w:cs="Arial" w:eastAsia="Arial" w:hAnsi="Arial"/>
                <w:sz w:val="18"/>
                <w:szCs w:val="18"/>
                <w:color w:val="auto"/>
              </w:rPr>
              <w:t>38,917</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1520" w:type="dxa"/>
            <w:vAlign w:val="bottom"/>
          </w:tcPr>
          <w:p>
            <w:pPr>
              <w:jc w:val="right"/>
              <w:spacing w:after="0"/>
              <w:rPr>
                <w:sz w:val="20"/>
                <w:szCs w:val="20"/>
                <w:color w:val="auto"/>
              </w:rPr>
            </w:pPr>
            <w:r>
              <w:rPr>
                <w:rFonts w:ascii="Arial" w:cs="Arial" w:eastAsia="Arial" w:hAnsi="Arial"/>
                <w:sz w:val="18"/>
                <w:szCs w:val="18"/>
                <w:color w:val="auto"/>
              </w:rPr>
              <w:t>38,917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6.05</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2,815</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6.06</w:t>
            </w:r>
          </w:p>
        </w:tc>
        <w:tc>
          <w:tcPr>
            <w:tcW w:w="4100" w:type="dxa"/>
            <w:vAlign w:val="bottom"/>
          </w:tcPr>
          <w:p>
            <w:pPr>
              <w:jc w:val="right"/>
              <w:ind w:right="293"/>
              <w:spacing w:after="0"/>
              <w:rPr>
                <w:sz w:val="20"/>
                <w:szCs w:val="20"/>
                <w:color w:val="auto"/>
              </w:rPr>
            </w:pPr>
            <w:r>
              <w:rPr>
                <w:rFonts w:ascii="Arial" w:cs="Arial" w:eastAsia="Arial" w:hAnsi="Arial"/>
                <w:sz w:val="18"/>
                <w:szCs w:val="18"/>
                <w:color w:val="auto"/>
              </w:rPr>
              <w:t>17,942</w:t>
            </w: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3.3</w:t>
            </w:r>
          </w:p>
        </w:tc>
        <w:tc>
          <w:tcPr>
            <w:tcW w:w="1520" w:type="dxa"/>
            <w:vAlign w:val="bottom"/>
          </w:tcPr>
          <w:p>
            <w:pPr>
              <w:jc w:val="right"/>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6.94</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322,385</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322,385</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PSU/RSU</w:t>
            </w:r>
          </w:p>
        </w:tc>
        <w:tc>
          <w:tcPr>
            <w:tcW w:w="4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w:t>
            </w:r>
          </w:p>
        </w:tc>
        <w:tc>
          <w:tcPr>
            <w:tcW w:w="410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533,104</w:t>
            </w:r>
          </w:p>
        </w:tc>
        <w:tc>
          <w:tcPr>
            <w:tcW w:w="15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41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915,163</w:t>
            </w:r>
          </w:p>
        </w:tc>
        <w:tc>
          <w:tcPr>
            <w:tcW w:w="1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382,059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applies to all share options, PSUs and RSUs outstanding at December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Exercise price</w:t>
            </w:r>
          </w:p>
        </w:tc>
        <w:tc>
          <w:tcPr>
            <w:tcW w:w="3960" w:type="dxa"/>
            <w:vAlign w:val="bottom"/>
            <w:tcBorders>
              <w:top w:val="single" w:sz="8" w:color="auto"/>
            </w:tcBorders>
            <w:gridSpan w:val="2"/>
          </w:tcPr>
          <w:p>
            <w:pPr>
              <w:ind w:left="3160"/>
              <w:spacing w:after="0"/>
              <w:rPr>
                <w:sz w:val="20"/>
                <w:szCs w:val="20"/>
                <w:color w:val="auto"/>
              </w:rPr>
            </w:pPr>
            <w:r>
              <w:rPr>
                <w:rFonts w:ascii="Arial" w:cs="Arial" w:eastAsia="Arial" w:hAnsi="Arial"/>
                <w:sz w:val="16"/>
                <w:szCs w:val="16"/>
                <w:b w:val="1"/>
                <w:bCs w:val="1"/>
                <w:color w:val="auto"/>
              </w:rPr>
              <w:t>Options /</w:t>
            </w:r>
          </w:p>
        </w:tc>
        <w:tc>
          <w:tcPr>
            <w:tcW w:w="166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Remaining life</w:t>
            </w: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3960" w:type="dxa"/>
            <w:vAlign w:val="bottom"/>
            <w:gridSpan w:val="2"/>
          </w:tcPr>
          <w:p>
            <w:pPr>
              <w:ind w:left="3160"/>
              <w:spacing w:after="0" w:line="162" w:lineRule="exact"/>
              <w:rPr>
                <w:sz w:val="20"/>
                <w:szCs w:val="20"/>
                <w:color w:val="auto"/>
              </w:rPr>
            </w:pPr>
            <w:r>
              <w:rPr>
                <w:rFonts w:ascii="Arial" w:cs="Arial" w:eastAsia="Arial" w:hAnsi="Arial"/>
                <w:sz w:val="16"/>
                <w:szCs w:val="16"/>
                <w:b w:val="1"/>
                <w:bCs w:val="1"/>
                <w:color w:val="auto"/>
              </w:rPr>
              <w:t>PSU/RSU</w:t>
            </w:r>
          </w:p>
        </w:tc>
        <w:tc>
          <w:tcPr>
            <w:tcW w:w="1660" w:type="dxa"/>
            <w:vAlign w:val="bottom"/>
            <w:gridSpan w:val="2"/>
            <w:vMerge w:val="continue"/>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Exercisable options</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CHF</w:t>
            </w:r>
          </w:p>
        </w:tc>
        <w:tc>
          <w:tcPr>
            <w:tcW w:w="3960" w:type="dxa"/>
            <w:vAlign w:val="bottom"/>
            <w:tcBorders>
              <w:bottom w:val="single" w:sz="8" w:color="auto"/>
            </w:tcBorders>
            <w:gridSpan w:val="2"/>
          </w:tcPr>
          <w:p>
            <w:pPr>
              <w:ind w:left="3180"/>
              <w:spacing w:after="0"/>
              <w:rPr>
                <w:sz w:val="20"/>
                <w:szCs w:val="20"/>
                <w:color w:val="auto"/>
              </w:rPr>
            </w:pPr>
            <w:r>
              <w:rPr>
                <w:rFonts w:ascii="Arial" w:cs="Arial" w:eastAsia="Arial" w:hAnsi="Arial"/>
                <w:sz w:val="16"/>
                <w:szCs w:val="16"/>
                <w:b w:val="1"/>
                <w:bCs w:val="1"/>
                <w:color w:val="auto"/>
              </w:rPr>
              <w:t>(number)</w:t>
            </w:r>
          </w:p>
        </w:tc>
        <w:tc>
          <w:tcPr>
            <w:tcW w:w="1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(years)</w:t>
            </w: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2.31</w:t>
            </w:r>
          </w:p>
        </w:tc>
        <w:tc>
          <w:tcPr>
            <w:tcW w:w="3860" w:type="dxa"/>
            <w:vAlign w:val="bottom"/>
          </w:tcPr>
          <w:p>
            <w:pPr>
              <w:jc w:val="right"/>
              <w:spacing w:after="0"/>
              <w:rPr>
                <w:sz w:val="20"/>
                <w:szCs w:val="20"/>
                <w:color w:val="auto"/>
              </w:rPr>
            </w:pPr>
            <w:r>
              <w:rPr>
                <w:rFonts w:ascii="Arial" w:cs="Arial" w:eastAsia="Arial" w:hAnsi="Arial"/>
                <w:sz w:val="18"/>
                <w:szCs w:val="18"/>
                <w:color w:val="auto"/>
              </w:rPr>
              <w:t>123,817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123,817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6.05</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6.06</w:t>
            </w:r>
          </w:p>
        </w:tc>
        <w:tc>
          <w:tcPr>
            <w:tcW w:w="3860" w:type="dxa"/>
            <w:vAlign w:val="bottom"/>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21,302</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6.94</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409,731</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PSU/RSU</w:t>
            </w:r>
          </w:p>
        </w:tc>
        <w:tc>
          <w:tcPr>
            <w:tcW w:w="3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3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1,005,255</w:t>
            </w: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560,250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non-cash costs for share-based payments recognized in the statement of comprehensive loss can be attributed to the Company’s two functions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92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6"/>
                <w:szCs w:val="16"/>
                <w:b w:val="1"/>
                <w:bCs w:val="1"/>
                <w:color w:val="auto"/>
              </w:rPr>
              <w:t>2020</w:t>
            </w:r>
          </w:p>
        </w:tc>
        <w:tc>
          <w:tcPr>
            <w:tcW w:w="13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6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9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1,573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70"/>
        </w:trPr>
        <w:tc>
          <w:tcPr>
            <w:tcW w:w="58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920" w:type="dxa"/>
            <w:vAlign w:val="bottom"/>
          </w:tcPr>
          <w:p>
            <w:pPr>
              <w:jc w:val="right"/>
              <w:ind w:right="332"/>
              <w:spacing w:after="0"/>
              <w:rPr>
                <w:sz w:val="20"/>
                <w:szCs w:val="20"/>
                <w:color w:val="auto"/>
              </w:rPr>
            </w:pPr>
            <w:r>
              <w:rPr>
                <w:rFonts w:ascii="Arial" w:cs="Arial" w:eastAsia="Arial" w:hAnsi="Arial"/>
                <w:sz w:val="18"/>
                <w:szCs w:val="18"/>
                <w:color w:val="auto"/>
              </w:rPr>
              <w:t>1,359</w:t>
            </w:r>
          </w:p>
        </w:tc>
        <w:tc>
          <w:tcPr>
            <w:tcW w:w="1340" w:type="dxa"/>
            <w:vAlign w:val="bottom"/>
          </w:tcPr>
          <w:p>
            <w:pPr>
              <w:jc w:val="right"/>
              <w:spacing w:after="0"/>
              <w:rPr>
                <w:sz w:val="20"/>
                <w:szCs w:val="20"/>
                <w:color w:val="auto"/>
              </w:rPr>
            </w:pPr>
            <w:r>
              <w:rPr>
                <w:rFonts w:ascii="Arial" w:cs="Arial" w:eastAsia="Arial" w:hAnsi="Arial"/>
                <w:sz w:val="18"/>
                <w:szCs w:val="18"/>
                <w:color w:val="auto"/>
              </w:rPr>
              <w:t>1,246</w:t>
            </w:r>
          </w:p>
        </w:tc>
      </w:tr>
      <w:tr>
        <w:trPr>
          <w:trHeight w:val="27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9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b w:val="1"/>
                <w:bCs w:val="1"/>
                <w:color w:val="auto"/>
              </w:rPr>
              <w:t>2,932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2,438</w:t>
            </w:r>
          </w:p>
        </w:tc>
      </w:tr>
    </w:tbl>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b w:val="1"/>
          <w:bCs w:val="1"/>
          <w:color w:val="auto"/>
        </w:rPr>
        <w:t>Financial Income and Financial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on financial assets held at amortized costs</w:t>
            </w:r>
          </w:p>
        </w:tc>
        <w:tc>
          <w:tcPr>
            <w:tcW w:w="3440" w:type="dxa"/>
            <w:vAlign w:val="bottom"/>
            <w:tcBorders>
              <w:bottom w:val="single" w:sz="8" w:color="CCEEFF"/>
            </w:tcBorders>
            <w:shd w:val="clear" w:color="auto" w:fill="CCEEFF"/>
          </w:tcPr>
          <w:p>
            <w:pPr>
              <w:ind w:left="2340"/>
              <w:spacing w:after="0"/>
              <w:rPr>
                <w:sz w:val="20"/>
                <w:szCs w:val="20"/>
                <w:color w:val="auto"/>
              </w:rPr>
            </w:pPr>
            <w:r>
              <w:rPr>
                <w:rFonts w:ascii="Arial" w:cs="Arial" w:eastAsia="Arial" w:hAnsi="Arial"/>
                <w:sz w:val="18"/>
                <w:szCs w:val="18"/>
                <w:color w:val="auto"/>
              </w:rPr>
              <w:t>367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440" w:type="dxa"/>
            <w:vAlign w:val="bottom"/>
          </w:tcPr>
          <w:p>
            <w:pPr>
              <w:ind w:left="2340"/>
              <w:spacing w:after="0"/>
              <w:rPr>
                <w:sz w:val="20"/>
                <w:szCs w:val="20"/>
                <w:color w:val="auto"/>
              </w:rPr>
            </w:pPr>
            <w:r>
              <w:rPr>
                <w:rFonts w:ascii="Arial" w:cs="Arial" w:eastAsia="Arial" w:hAnsi="Arial"/>
                <w:sz w:val="18"/>
                <w:szCs w:val="18"/>
                <w:b w:val="1"/>
                <w:bCs w:val="1"/>
                <w:color w:val="auto"/>
              </w:rPr>
              <w:t>367</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r>
      <w:tr>
        <w:trPr>
          <w:trHeight w:val="27"/>
        </w:trPr>
        <w:tc>
          <w:tcPr>
            <w:tcW w:w="64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682"/>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Financial Expense</w:t>
            </w:r>
          </w:p>
        </w:tc>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64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4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foreign exchange loss</w:t>
            </w:r>
          </w:p>
        </w:tc>
        <w:tc>
          <w:tcPr>
            <w:tcW w:w="34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(4,512)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Negative interest on financial assets held at amortized costs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(271)</w:t>
            </w: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leases</w:t>
            </w:r>
          </w:p>
        </w:tc>
        <w:tc>
          <w:tcPr>
            <w:tcW w:w="344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(24)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Other financial expenses</w:t>
            </w:r>
          </w:p>
        </w:tc>
        <w:tc>
          <w:tcPr>
            <w:tcW w:w="3440" w:type="dxa"/>
            <w:vAlign w:val="bottom"/>
          </w:tcPr>
          <w:p>
            <w:pPr>
              <w:jc w:val="right"/>
              <w:ind w:right="672"/>
              <w:spacing w:after="0"/>
              <w:rPr>
                <w:sz w:val="20"/>
                <w:szCs w:val="20"/>
                <w:color w:val="auto"/>
              </w:rPr>
            </w:pPr>
            <w:r>
              <w:rPr>
                <w:rFonts w:ascii="Arial" w:cs="Arial" w:eastAsia="Arial" w:hAnsi="Arial"/>
                <w:sz w:val="18"/>
                <w:szCs w:val="18"/>
                <w:color w:val="auto"/>
              </w:rPr>
              <w:t>(9)</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34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(4,816)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(1,210)</w:t>
            </w:r>
          </w:p>
        </w:tc>
      </w:tr>
    </w:tbl>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20.</w:t>
      </w:r>
      <w:r>
        <w:rPr>
          <w:sz w:val="20"/>
          <w:szCs w:val="20"/>
          <w:color w:val="auto"/>
        </w:rPr>
        <w:tab/>
      </w:r>
      <w:r>
        <w:rPr>
          <w:rFonts w:ascii="Arial" w:cs="Arial" w:eastAsia="Arial" w:hAnsi="Arial"/>
          <w:sz w:val="18"/>
          <w:szCs w:val="18"/>
          <w:b w:val="1"/>
          <w:bCs w:val="1"/>
          <w:color w:val="auto"/>
        </w:rPr>
        <w:t>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Molecular Partners AG did not have to pay or accrue any income taxes in the reporting periods. In 2020 and 2019, the Company generated a taxable loss in Switzerland which is part of the Company’s cumulative tax loss carry forward. Any future taxable income will be subject to Swiss federal, cantonal and communal income taxes. The Company’s applicable income tax rate for the year 2020 is 21% (2019: 21%).</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Molecular Partners Inc., which is incorporated in the United States in the State of Delaware, is subject to statutory U.S. Federal corporate income taxes and state income taxes for Massachusetts and California.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240"/>
          </w:cols>
          <w:pgMar w:left="320" w:top="1440" w:right="339" w:bottom="1440" w:gutter="0" w:footer="0" w:header="0"/>
          <w:type w:val="continuous"/>
        </w:sectPr>
      </w:pPr>
    </w:p>
    <w:bookmarkStart w:id="285" w:name="page286"/>
    <w:bookmarkEnd w:id="285"/>
    <w:p>
      <w:pPr>
        <w:spacing w:after="0" w:line="13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the twelve months ended December 31, 2020 a current income tax credit of TCHF 11 (TUSD 13) was recognized by the Group's U.S. based subsidiary for estimated U.S. tax obligations of the subsidiary based on intra-Group activity (twelve months ended December 31, 2019: tax expense of TCHF 17 (TUSD 17)). The tax benefit recognized during 2020 relates to the application of research and development tax credits that are applicable on the 2019 final tax positions of Molecular Partners Inc. The applicable income tax rates are 21% federal tax plus 8.00% state tax (Massachusetts) and 8.84% (California).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net operating losses for tax purposes amounted to TCHF 58,631 in 2020 and TCHF 33,446 in 2019. The total tax losses of TCHF 157,900 may be used as tax loss carry forwards to offset future taxable income over a period of seven years, with the loss of TCHF 4,314 to expire in the year 2021. No deferred tax assets have been recognized for these tax loss carry forwards, because it is not probable that such loss carry forwards can be utilized in the foreseeable future. In addition, no deferred tax positions were recognized on other deductible temporary differences (e.g. pension liabilities under IAS 19 for a total of TCHF 13,423, see also note 18.1) due to the significant tax losses carried forwards. Given the facts above, as well as the Company incurred no significant tax expense in the reporting periods presented, a numerical rate reconciliation is not provided. The major reconciling item is the effect of unrecognized deferred tax assets for tax losses and deductible temporary differences.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expiry of tax loss carry forwards for the Company, for which no deferred tax asset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380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(4,314)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2022</w:t>
            </w:r>
          </w:p>
        </w:tc>
        <w:tc>
          <w:tcPr>
            <w:tcW w:w="380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(15,976)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2024</w:t>
            </w:r>
          </w:p>
        </w:tc>
        <w:tc>
          <w:tcPr>
            <w:tcW w:w="3800" w:type="dxa"/>
            <w:vAlign w:val="bottom"/>
          </w:tcPr>
          <w:p>
            <w:pPr>
              <w:jc w:val="right"/>
              <w:ind w:right="391"/>
              <w:spacing w:after="0"/>
              <w:rPr>
                <w:sz w:val="20"/>
                <w:szCs w:val="20"/>
                <w:color w:val="auto"/>
              </w:rPr>
            </w:pPr>
            <w:r>
              <w:rPr>
                <w:rFonts w:ascii="Arial" w:cs="Arial" w:eastAsia="Arial" w:hAnsi="Arial"/>
                <w:sz w:val="18"/>
                <w:szCs w:val="18"/>
                <w:color w:val="auto"/>
              </w:rPr>
              <w:t>(21,766)</w:t>
            </w:r>
          </w:p>
        </w:tc>
        <w:tc>
          <w:tcPr>
            <w:tcW w:w="1120" w:type="dxa"/>
            <w:vAlign w:val="bottom"/>
          </w:tcPr>
          <w:p>
            <w:pPr>
              <w:jc w:val="right"/>
              <w:spacing w:after="0"/>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(23,767)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(23,767)</w:t>
            </w: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2026</w:t>
            </w:r>
          </w:p>
        </w:tc>
        <w:tc>
          <w:tcPr>
            <w:tcW w:w="3800" w:type="dxa"/>
            <w:vAlign w:val="bottom"/>
          </w:tcPr>
          <w:p>
            <w:pPr>
              <w:jc w:val="right"/>
              <w:ind w:right="391"/>
              <w:spacing w:after="0"/>
              <w:rPr>
                <w:sz w:val="20"/>
                <w:szCs w:val="20"/>
                <w:color w:val="auto"/>
              </w:rPr>
            </w:pPr>
            <w:r>
              <w:rPr>
                <w:rFonts w:ascii="Arial" w:cs="Arial" w:eastAsia="Arial" w:hAnsi="Arial"/>
                <w:sz w:val="18"/>
                <w:szCs w:val="18"/>
                <w:color w:val="auto"/>
              </w:rPr>
              <w:t>(33,446)</w:t>
            </w:r>
          </w:p>
        </w:tc>
        <w:tc>
          <w:tcPr>
            <w:tcW w:w="1120" w:type="dxa"/>
            <w:vAlign w:val="bottom"/>
          </w:tcPr>
          <w:p>
            <w:pPr>
              <w:jc w:val="right"/>
              <w:spacing w:after="0"/>
              <w:rPr>
                <w:sz w:val="20"/>
                <w:szCs w:val="20"/>
                <w:color w:val="auto"/>
              </w:rPr>
            </w:pPr>
            <w:r>
              <w:rPr>
                <w:rFonts w:ascii="Arial" w:cs="Arial" w:eastAsia="Arial" w:hAnsi="Arial"/>
                <w:sz w:val="18"/>
                <w:szCs w:val="18"/>
                <w:color w:val="auto"/>
              </w:rPr>
              <w:t>(33,446)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2027</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rPr>
              <w:t>(58,631)</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3800" w:type="dxa"/>
            <w:vAlign w:val="bottom"/>
            <w:vMerge w:val="restart"/>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6320" w:type="dxa"/>
            <w:vAlign w:val="bottom"/>
          </w:tcPr>
          <w:p>
            <w:pPr>
              <w:spacing w:after="0"/>
              <w:rPr>
                <w:sz w:val="14"/>
                <w:szCs w:val="14"/>
                <w:color w:val="auto"/>
              </w:rPr>
            </w:pPr>
          </w:p>
        </w:tc>
        <w:tc>
          <w:tcPr>
            <w:tcW w:w="38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tax loss carry forwards as at December 31</w:t>
            </w:r>
          </w:p>
        </w:tc>
        <w:tc>
          <w:tcPr>
            <w:tcW w:w="38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b w:val="1"/>
                <w:bCs w:val="1"/>
                <w:color w:val="auto"/>
              </w:rPr>
              <w:t>(157,900)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(99,269)</w:t>
            </w:r>
          </w:p>
        </w:tc>
        <w:tc>
          <w:tcPr>
            <w:tcW w:w="0" w:type="dxa"/>
            <w:vAlign w:val="bottom"/>
          </w:tcPr>
          <w:p>
            <w:pPr>
              <w:spacing w:after="0"/>
              <w:rPr>
                <w:sz w:val="1"/>
                <w:szCs w:val="1"/>
                <w:color w:val="auto"/>
              </w:rPr>
            </w:pPr>
          </w:p>
        </w:tc>
      </w:tr>
      <w:tr>
        <w:trPr>
          <w:trHeight w:val="20"/>
        </w:trPr>
        <w:tc>
          <w:tcPr>
            <w:tcW w:w="632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Earnings per Share</w:t>
      </w:r>
    </w:p>
    <w:p>
      <w:pPr>
        <w:spacing w:after="0" w:line="13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Basic net result per share is calculated by dividing the net result attributable to the shareholders of the Company by the weighted average number of shares issued and outstanding during the reporting period, excluding any shares held as treasury shares. Diluted net profit per share additionally takes into account the potential conversion of all dilutive potential common shares. For the periods ended December 31, 2020 and 2019 there are no dilutive effects.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20" w:type="dxa"/>
            <w:vAlign w:val="bottom"/>
            <w:tcBorders>
              <w:top w:val="single" w:sz="8" w:color="auto"/>
              <w:bottom w:val="single" w:sz="8" w:color="CCEEFF"/>
            </w:tcBorders>
          </w:tcPr>
          <w:p>
            <w:pPr>
              <w:spacing w:after="0"/>
              <w:rPr>
                <w:sz w:val="20"/>
                <w:szCs w:val="20"/>
                <w:color w:val="auto"/>
              </w:rPr>
            </w:pPr>
          </w:p>
        </w:tc>
        <w:tc>
          <w:tcPr>
            <w:tcW w:w="1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used in computing basic and diluted profit/ (loss) per share</w:t>
            </w:r>
          </w:p>
        </w:tc>
        <w:tc>
          <w:tcPr>
            <w:tcW w:w="17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rPr>
              <w:t>25,000,652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21,413,375</w:t>
            </w:r>
          </w:p>
        </w:tc>
      </w:tr>
    </w:tbl>
    <w:p>
      <w:pPr>
        <w:spacing w:after="0" w:line="216"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52"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The Group leases office and laboratory facilities in Schlieren, Switzerland. These leases generally have terms between 2 and 10 years and contain extension or terminations options exercisable by the Group up to one year before the end of the non</w:t>
      </w:r>
      <w:r>
        <w:rPr>
          <w:rFonts w:ascii="MS PGothic" w:cs="MS PGothic" w:eastAsia="MS PGothic" w:hAnsi="MS PGothic"/>
          <w:sz w:val="18"/>
          <w:szCs w:val="18"/>
          <w:color w:val="auto"/>
        </w:rPr>
        <w:t>‑</w:t>
      </w:r>
      <w:r>
        <w:rPr>
          <w:rFonts w:ascii="Arial" w:cs="Arial" w:eastAsia="Arial" w:hAnsi="Arial"/>
          <w:sz w:val="18"/>
          <w:szCs w:val="18"/>
          <w:color w:val="auto"/>
        </w:rPr>
        <w:t>cancellable contract period. These terms are used to maximize operational flexibility in terms of managing contracts. The options to extend are held by the Company and the termination options are held both by the Company and the lessor. As of December 31, 2020, the Group exercised the option to extend the lease on its facilities in Schlieren by five years with a new lease term ending on December 31, 2026. The earliest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contractual termination date for both the lessor and the Group on the major real estate lease is December 31, 2025. For information about the right-of use assets please also see note 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Set out below are the carrying amounts of the lease liabilities and the movements during the period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10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at January 1,</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2,545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Additions / new leases</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Remeasurements</w:t>
            </w:r>
            <w:r>
              <w:rPr>
                <w:rFonts w:ascii="Arial" w:cs="Arial" w:eastAsia="Arial" w:hAnsi="Arial"/>
                <w:sz w:val="23"/>
                <w:szCs w:val="23"/>
                <w:color w:val="auto"/>
                <w:vertAlign w:val="superscript"/>
              </w:rPr>
              <w:t>1</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5,924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Recognition of interest on lease liabilities</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24</w:t>
            </w: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10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rPr>
              <w:t>(1,275)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Balances as at December 31,</w:t>
            </w:r>
          </w:p>
        </w:tc>
        <w:tc>
          <w:tcPr>
            <w:tcW w:w="4100" w:type="dxa"/>
            <w:vAlign w:val="bottom"/>
          </w:tcPr>
          <w:p>
            <w:pPr>
              <w:jc w:val="right"/>
              <w:ind w:right="691"/>
              <w:spacing w:after="0"/>
              <w:rPr>
                <w:sz w:val="20"/>
                <w:szCs w:val="20"/>
                <w:color w:val="auto"/>
              </w:rPr>
            </w:pPr>
            <w:r>
              <w:rPr>
                <w:rFonts w:ascii="Arial" w:cs="Arial" w:eastAsia="Arial" w:hAnsi="Arial"/>
                <w:sz w:val="18"/>
                <w:szCs w:val="18"/>
                <w:b w:val="1"/>
                <w:bCs w:val="1"/>
                <w:color w:val="auto"/>
              </w:rPr>
              <w:t>7,218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2,545</w:t>
            </w:r>
          </w:p>
        </w:tc>
      </w:tr>
      <w:tr>
        <w:trPr>
          <w:trHeight w:val="270"/>
        </w:trPr>
        <w:tc>
          <w:tcPr>
            <w:tcW w:w="5840" w:type="dxa"/>
            <w:vAlign w:val="bottom"/>
            <w:shd w:val="clear" w:color="auto" w:fill="CCEEFF"/>
          </w:tcPr>
          <w:p>
            <w:pPr>
              <w:spacing w:after="0"/>
              <w:rPr>
                <w:sz w:val="23"/>
                <w:szCs w:val="23"/>
                <w:color w:val="auto"/>
              </w:rPr>
            </w:pPr>
          </w:p>
        </w:tc>
        <w:tc>
          <w:tcPr>
            <w:tcW w:w="4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70"/>
        </w:trPr>
        <w:tc>
          <w:tcPr>
            <w:tcW w:w="5840" w:type="dxa"/>
            <w:vAlign w:val="bottom"/>
          </w:tcPr>
          <w:p>
            <w:pPr>
              <w:ind w:left="20"/>
              <w:spacing w:after="0"/>
              <w:rPr>
                <w:sz w:val="20"/>
                <w:szCs w:val="20"/>
                <w:color w:val="auto"/>
              </w:rPr>
            </w:pPr>
            <w:r>
              <w:rPr>
                <w:rFonts w:ascii="Arial" w:cs="Arial" w:eastAsia="Arial" w:hAnsi="Arial"/>
                <w:sz w:val="18"/>
                <w:szCs w:val="18"/>
                <w:color w:val="auto"/>
              </w:rPr>
              <w:t>Current</w:t>
            </w:r>
          </w:p>
        </w:tc>
        <w:tc>
          <w:tcPr>
            <w:tcW w:w="4100" w:type="dxa"/>
            <w:vAlign w:val="bottom"/>
          </w:tcPr>
          <w:p>
            <w:pPr>
              <w:jc w:val="right"/>
              <w:ind w:right="691"/>
              <w:spacing w:after="0"/>
              <w:rPr>
                <w:sz w:val="20"/>
                <w:szCs w:val="20"/>
                <w:color w:val="auto"/>
              </w:rPr>
            </w:pPr>
            <w:r>
              <w:rPr>
                <w:rFonts w:ascii="Arial" w:cs="Arial" w:eastAsia="Arial" w:hAnsi="Arial"/>
                <w:sz w:val="18"/>
                <w:szCs w:val="18"/>
                <w:color w:val="auto"/>
              </w:rPr>
              <w:t>1,179</w:t>
            </w:r>
          </w:p>
        </w:tc>
        <w:tc>
          <w:tcPr>
            <w:tcW w:w="130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10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rPr>
              <w:t>6,039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7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December 31,</w:t>
            </w:r>
          </w:p>
        </w:tc>
        <w:tc>
          <w:tcPr>
            <w:tcW w:w="410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7,218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2,545</w:t>
            </w:r>
          </w:p>
        </w:tc>
      </w:tr>
    </w:tbl>
    <w:p>
      <w:pPr>
        <w:spacing w:after="0" w:line="219" w:lineRule="exact"/>
        <w:rPr>
          <w:sz w:val="20"/>
          <w:szCs w:val="20"/>
          <w:color w:val="auto"/>
        </w:rPr>
      </w:pPr>
    </w:p>
    <w:p>
      <w:pPr>
        <w:ind w:left="340" w:right="240" w:hanging="332"/>
        <w:spacing w:after="0" w:line="296" w:lineRule="auto"/>
        <w:tabs>
          <w:tab w:leader="none" w:pos="335"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remeasurement consists of a net reduction of TCHF 60 (related to the return of number of parking spaces) and an increase of TCHF 5,984 related to the extension of the lease for another 5 years until December 31, 2026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expense amounts recognized in the consolidated statement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0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7"/>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on right-of-use assets</w:t>
            </w:r>
          </w:p>
        </w:tc>
        <w:tc>
          <w:tcPr>
            <w:tcW w:w="4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1,256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270"/>
        </w:trPr>
        <w:tc>
          <w:tcPr>
            <w:tcW w:w="6080" w:type="dxa"/>
            <w:vAlign w:val="bottom"/>
          </w:tcPr>
          <w:p>
            <w:pPr>
              <w:ind w:left="20"/>
              <w:spacing w:after="0"/>
              <w:rPr>
                <w:sz w:val="20"/>
                <w:szCs w:val="20"/>
                <w:color w:val="auto"/>
              </w:rPr>
            </w:pPr>
            <w:r>
              <w:rPr>
                <w:rFonts w:ascii="Arial" w:cs="Arial" w:eastAsia="Arial" w:hAnsi="Arial"/>
                <w:sz w:val="18"/>
                <w:szCs w:val="18"/>
                <w:color w:val="auto"/>
              </w:rPr>
              <w:t>Interest expense on lease liabilities</w:t>
            </w:r>
          </w:p>
        </w:tc>
        <w:tc>
          <w:tcPr>
            <w:tcW w:w="4040" w:type="dxa"/>
            <w:vAlign w:val="bottom"/>
          </w:tcPr>
          <w:p>
            <w:pPr>
              <w:jc w:val="right"/>
              <w:ind w:right="592"/>
              <w:spacing w:after="0"/>
              <w:rPr>
                <w:sz w:val="20"/>
                <w:szCs w:val="20"/>
                <w:color w:val="auto"/>
              </w:rPr>
            </w:pPr>
            <w:r>
              <w:rPr>
                <w:rFonts w:ascii="Arial" w:cs="Arial" w:eastAsia="Arial" w:hAnsi="Arial"/>
                <w:sz w:val="18"/>
                <w:szCs w:val="18"/>
                <w:color w:val="auto"/>
              </w:rPr>
              <w:t>24</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leases</w:t>
            </w:r>
          </w:p>
        </w:tc>
        <w:tc>
          <w:tcPr>
            <w:tcW w:w="40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amount recognized in profit or loss</w:t>
            </w:r>
          </w:p>
        </w:tc>
        <w:tc>
          <w:tcPr>
            <w:tcW w:w="40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1,280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1,276</w:t>
            </w:r>
          </w:p>
        </w:tc>
      </w:tr>
    </w:tbl>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cash outflow for leases for the twelve months ending December 31, 2020 amounted to TCHF 1,275 (twelve months ending December 31, 2019 TCHF 1,266).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Contractual maturities of financial liabilities at December 31, 2020</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CHF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Borders>
              <w:top w:val="single" w:sz="8" w:color="auto"/>
            </w:tcBorders>
          </w:tcPr>
          <w:p>
            <w:pPr>
              <w:spacing w:after="0"/>
              <w:rPr>
                <w:sz w:val="14"/>
                <w:szCs w:val="14"/>
                <w:color w:val="auto"/>
              </w:rPr>
            </w:pPr>
          </w:p>
        </w:tc>
        <w:tc>
          <w:tcPr>
            <w:tcW w:w="4960" w:type="dxa"/>
            <w:vAlign w:val="bottom"/>
            <w:tcBorders>
              <w:top w:val="single" w:sz="8" w:color="auto"/>
            </w:tcBorders>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Less than 1 year Between 1 and 2 years Between 2 and 5 years</w:t>
            </w:r>
          </w:p>
        </w:tc>
        <w:tc>
          <w:tcPr>
            <w:tcW w:w="162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6"/>
                <w:szCs w:val="16"/>
                <w:b w:val="1"/>
                <w:bCs w:val="1"/>
                <w:color w:val="auto"/>
              </w:rPr>
              <w:t>More than 5 years</w:t>
            </w:r>
          </w:p>
        </w:tc>
        <w:tc>
          <w:tcPr>
            <w:tcW w:w="1620" w:type="dxa"/>
            <w:vAlign w:val="bottom"/>
            <w:tcBorders>
              <w:top w:val="single" w:sz="8" w:color="auto"/>
            </w:tcBorders>
          </w:tcPr>
          <w:p>
            <w:pPr>
              <w:jc w:val="right"/>
              <w:ind w:right="116"/>
              <w:spacing w:after="0" w:line="161" w:lineRule="exact"/>
              <w:rPr>
                <w:sz w:val="20"/>
                <w:szCs w:val="20"/>
                <w:color w:val="auto"/>
              </w:rPr>
            </w:pPr>
            <w:r>
              <w:rPr>
                <w:rFonts w:ascii="Arial" w:cs="Arial" w:eastAsia="Arial" w:hAnsi="Arial"/>
                <w:sz w:val="16"/>
                <w:szCs w:val="16"/>
                <w:b w:val="1"/>
                <w:bCs w:val="1"/>
                <w:color w:val="auto"/>
              </w:rPr>
              <w:t>Total Contractual</w:t>
            </w:r>
          </w:p>
        </w:tc>
        <w:tc>
          <w:tcPr>
            <w:tcW w:w="14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6"/>
                <w:szCs w:val="16"/>
                <w:b w:val="1"/>
                <w:bCs w:val="1"/>
                <w:color w:val="auto"/>
              </w:rPr>
              <w:t>Carrying amount</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flows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6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1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1,232</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1,232</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3,696</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1,232</w:t>
            </w:r>
          </w:p>
        </w:tc>
        <w:tc>
          <w:tcPr>
            <w:tcW w:w="16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7,392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0" w:type="dxa"/>
            <w:vAlign w:val="bottom"/>
          </w:tcPr>
          <w:p>
            <w:pPr>
              <w:spacing w:after="0"/>
              <w:rPr>
                <w:sz w:val="1"/>
                <w:szCs w:val="1"/>
                <w:color w:val="auto"/>
              </w:rPr>
            </w:pPr>
          </w:p>
        </w:tc>
      </w:tr>
      <w:tr>
        <w:trPr>
          <w:trHeight w:val="257"/>
        </w:trPr>
        <w:tc>
          <w:tcPr>
            <w:tcW w:w="5320" w:type="dxa"/>
            <w:vAlign w:val="bottom"/>
            <w:tcBorders>
              <w:bottom w:val="single" w:sz="8" w:color="auto"/>
            </w:tcBorders>
            <w:gridSpan w:val="3"/>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2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Contractual maturities of financial liabilities at December 31, 2019</w:t>
            </w: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2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4960" w:type="dxa"/>
            <w:vAlign w:val="bottom"/>
            <w:gridSpan w:val="3"/>
            <w:vMerge w:val="restart"/>
          </w:tcPr>
          <w:p>
            <w:pPr>
              <w:jc w:val="right"/>
              <w:ind w:right="70"/>
              <w:spacing w:after="0"/>
              <w:rPr>
                <w:sz w:val="20"/>
                <w:szCs w:val="20"/>
                <w:color w:val="auto"/>
              </w:rPr>
            </w:pPr>
            <w:r>
              <w:rPr>
                <w:rFonts w:ascii="Arial" w:cs="Arial" w:eastAsia="Arial" w:hAnsi="Arial"/>
                <w:sz w:val="16"/>
                <w:szCs w:val="16"/>
                <w:b w:val="1"/>
                <w:bCs w:val="1"/>
                <w:color w:val="auto"/>
              </w:rPr>
              <w:t>Less than 1 year Between 1 and 2 years Between 2 and 5 years</w:t>
            </w:r>
          </w:p>
        </w:tc>
        <w:tc>
          <w:tcPr>
            <w:tcW w:w="1620" w:type="dxa"/>
            <w:vAlign w:val="bottom"/>
            <w:vMerge w:val="restart"/>
          </w:tcPr>
          <w:p>
            <w:pPr>
              <w:jc w:val="right"/>
              <w:ind w:right="95"/>
              <w:spacing w:after="0"/>
              <w:rPr>
                <w:sz w:val="20"/>
                <w:szCs w:val="20"/>
                <w:color w:val="auto"/>
              </w:rPr>
            </w:pPr>
            <w:r>
              <w:rPr>
                <w:rFonts w:ascii="Arial" w:cs="Arial" w:eastAsia="Arial" w:hAnsi="Arial"/>
                <w:sz w:val="16"/>
                <w:szCs w:val="16"/>
                <w:b w:val="1"/>
                <w:bCs w:val="1"/>
                <w:color w:val="auto"/>
              </w:rPr>
              <w:t>More than 5 years</w:t>
            </w:r>
          </w:p>
        </w:tc>
        <w:tc>
          <w:tcPr>
            <w:tcW w:w="162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rPr>
              <w:t>Total Contractual</w:t>
            </w:r>
          </w:p>
        </w:tc>
        <w:tc>
          <w:tcPr>
            <w:tcW w:w="14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Carrying amount</w:t>
            </w: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4960" w:type="dxa"/>
            <w:vAlign w:val="bottom"/>
            <w:tcBorders>
              <w:bottom w:val="single" w:sz="8" w:color="auto"/>
            </w:tcBorders>
            <w:gridSpan w:val="3"/>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flows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 liabilities</w:t>
            </w:r>
          </w:p>
        </w:tc>
        <w:tc>
          <w:tcPr>
            <w:tcW w:w="0" w:type="dxa"/>
            <w:vAlign w:val="bottom"/>
          </w:tcPr>
          <w:p>
            <w:pPr>
              <w:spacing w:after="0"/>
              <w:rPr>
                <w:sz w:val="1"/>
                <w:szCs w:val="1"/>
                <w:color w:val="auto"/>
              </w:rPr>
            </w:pPr>
          </w:p>
        </w:tc>
      </w:tr>
      <w:tr>
        <w:trPr>
          <w:trHeight w:val="266"/>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1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1,284</w:t>
            </w: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1,284</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2,568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color w:val="auto"/>
        </w:rPr>
        <w:t>Related Party Disclosures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of key management, which includes executive management and the board of directors,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4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employee benefits</w:t>
            </w:r>
          </w:p>
        </w:tc>
        <w:tc>
          <w:tcPr>
            <w:tcW w:w="44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2,408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Post-employment benefits</w:t>
            </w:r>
          </w:p>
        </w:tc>
        <w:tc>
          <w:tcPr>
            <w:tcW w:w="4420" w:type="dxa"/>
            <w:vAlign w:val="bottom"/>
          </w:tcPr>
          <w:p>
            <w:pPr>
              <w:jc w:val="right"/>
              <w:ind w:right="572"/>
              <w:spacing w:after="0"/>
              <w:rPr>
                <w:sz w:val="20"/>
                <w:szCs w:val="20"/>
                <w:color w:val="auto"/>
              </w:rPr>
            </w:pPr>
            <w:r>
              <w:rPr>
                <w:rFonts w:ascii="Arial" w:cs="Arial" w:eastAsia="Arial" w:hAnsi="Arial"/>
                <w:sz w:val="18"/>
                <w:szCs w:val="18"/>
                <w:color w:val="auto"/>
              </w:rPr>
              <w:t>205</w:t>
            </w: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5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4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1,601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year ended December 31</w:t>
            </w:r>
          </w:p>
        </w:tc>
        <w:tc>
          <w:tcPr>
            <w:tcW w:w="4420" w:type="dxa"/>
            <w:vAlign w:val="bottom"/>
          </w:tcPr>
          <w:p>
            <w:pPr>
              <w:jc w:val="right"/>
              <w:ind w:right="572"/>
              <w:spacing w:after="0"/>
              <w:rPr>
                <w:sz w:val="20"/>
                <w:szCs w:val="20"/>
                <w:color w:val="auto"/>
              </w:rPr>
            </w:pPr>
            <w:r>
              <w:rPr>
                <w:rFonts w:ascii="Arial" w:cs="Arial" w:eastAsia="Arial" w:hAnsi="Arial"/>
                <w:sz w:val="18"/>
                <w:szCs w:val="18"/>
                <w:b w:val="1"/>
                <w:bCs w:val="1"/>
                <w:color w:val="auto"/>
              </w:rPr>
              <w:t>4,214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3,785</w:t>
            </w:r>
          </w:p>
        </w:tc>
      </w:tr>
      <w:tr>
        <w:trPr>
          <w:trHeight w:val="27"/>
        </w:trPr>
        <w:tc>
          <w:tcPr>
            <w:tcW w:w="57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Pamela Trail departed from her role as Chief Scientific Officer effective July 1, 2019 and was employed by the Group until July 9, 2019. Pamela Trail has continued to support the Group as a consultant after this date. For the twelve month period ending December 31, 2020, Pamela Trail's consulting fees amounted to TCHF 45. For the period from July 10 to December 31, 2019, Pamela Trail's consulting fees amounted to TCHF 70.</w:t>
      </w:r>
    </w:p>
    <w:p>
      <w:pPr>
        <w:spacing w:after="0" w:line="98" w:lineRule="exact"/>
        <w:rPr>
          <w:sz w:val="20"/>
          <w:szCs w:val="20"/>
          <w:color w:val="auto"/>
        </w:rPr>
      </w:pPr>
    </w:p>
    <w:p>
      <w:pPr>
        <w:ind w:left="500" w:hanging="492"/>
        <w:spacing w:after="0"/>
        <w:tabs>
          <w:tab w:leader="none" w:pos="50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Capital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and 2019, the Company did not have any capital commitments.</w:t>
      </w:r>
    </w:p>
    <w:p>
      <w:pPr>
        <w:spacing w:after="0" w:line="144" w:lineRule="exact"/>
        <w:rPr>
          <w:sz w:val="20"/>
          <w:szCs w:val="20"/>
          <w:color w:val="auto"/>
        </w:rPr>
      </w:pPr>
    </w:p>
    <w:p>
      <w:pPr>
        <w:ind w:right="8140" w:firstLine="8"/>
        <w:spacing w:after="0" w:line="444" w:lineRule="auto"/>
        <w:tabs>
          <w:tab w:leader="none" w:pos="486" w:val="left"/>
        </w:tabs>
        <w:numPr>
          <w:ilvl w:val="0"/>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Risk Management Foreign Exchange Risk</w:t>
      </w:r>
    </w:p>
    <w:p>
      <w:pPr>
        <w:spacing w:after="0" w:line="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order to reduce its foreign exchange exposure, Molecular Partners may enter into currency contracts with selected high-quality financial institutions to hedge against foreign currency exchange rate risks. The Group’s primary exposure to financial risk is due to fluctuation of exchange rates between CHF, EUR, GBP and USD.</w:t>
      </w:r>
    </w:p>
    <w:p>
      <w:pPr>
        <w:spacing w:after="0" w:line="10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Group’s hedging policy is (1) to maximize natural hedging by matching expected future cash flows in the different currencies and (2) if market conditions allow to consider hedging certain of the remaining expected net currency exposure as the need arises. However, due to market volatilities, the impact of negative interest rates in Switzerland and uncertainties in the cash flows, a 100% hedging of the currency exposure is impossible or not appropriate. Molecular Partners does not engage in speculative transactions.</w:t>
      </w:r>
    </w:p>
    <w:p>
      <w:pPr>
        <w:spacing w:after="0" w:line="1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2020 and 2019, the Group did not enter into any forward currency transactions. No forward currency transactions were outstanding as of December 31, 2020 and 2019.</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demonstrates the sensitivity to a reasonably possible change in the USD, EUR and GBP exchange rates, with all other variables held constant, of the Group’s result before taxes.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 on result</w:t>
            </w:r>
          </w:p>
        </w:tc>
      </w:tr>
      <w:tr>
        <w:trPr>
          <w:trHeight w:val="162"/>
        </w:trPr>
        <w:tc>
          <w:tcPr>
            <w:tcW w:w="5280" w:type="dxa"/>
            <w:vAlign w:val="bottom"/>
          </w:tcPr>
          <w:p>
            <w:pPr>
              <w:spacing w:after="0"/>
              <w:rPr>
                <w:sz w:val="14"/>
                <w:szCs w:val="14"/>
                <w:color w:val="auto"/>
              </w:rPr>
            </w:pPr>
          </w:p>
        </w:tc>
        <w:tc>
          <w:tcPr>
            <w:tcW w:w="4700" w:type="dxa"/>
            <w:vAlign w:val="bottom"/>
          </w:tcPr>
          <w:p>
            <w:pPr>
              <w:jc w:val="right"/>
              <w:ind w:right="193"/>
              <w:spacing w:after="0"/>
              <w:rPr>
                <w:sz w:val="20"/>
                <w:szCs w:val="20"/>
                <w:color w:val="auto"/>
              </w:rPr>
            </w:pPr>
            <w:r>
              <w:rPr>
                <w:rFonts w:ascii="Arial" w:cs="Arial" w:eastAsia="Arial" w:hAnsi="Arial"/>
                <w:sz w:val="14"/>
                <w:szCs w:val="14"/>
                <w:b w:val="1"/>
                <w:bCs w:val="1"/>
                <w:color w:val="auto"/>
              </w:rPr>
              <w:t>Incr./Decr.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 and CHF thousands</w:t>
            </w:r>
          </w:p>
        </w:tc>
        <w:tc>
          <w:tcPr>
            <w:tcW w:w="4700" w:type="dxa"/>
            <w:vAlign w:val="bottom"/>
          </w:tcPr>
          <w:p>
            <w:pPr>
              <w:jc w:val="right"/>
              <w:ind w:right="193"/>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TCHF)</w:t>
            </w:r>
          </w:p>
        </w:tc>
      </w:tr>
      <w:tr>
        <w:trPr>
          <w:trHeight w:val="26"/>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USD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2,978</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6,659</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EUR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(636)</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GBP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rPr>
              <w:t>-10 %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5280" w:type="dxa"/>
            <w:vAlign w:val="bottom"/>
            <w:shd w:val="clear" w:color="auto" w:fill="000000"/>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15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Molecular Partners earns or pays interest on cash and cash equivalents, and its profit and loss may be influenced by changes in market interest rates. The Group does invest its cash balances into a variety of current and deposit accounts in four different Swiss banks to limit negative interest. In addition, the Group does invest a portion of its cash into risk free money market investments in line with its treasury guidelines.</w:t>
      </w:r>
    </w:p>
    <w:p>
      <w:pPr>
        <w:spacing w:after="0" w:line="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Groups strives to optimize the net balance of interest paid and interest received by monitoring the interest rates applicable over the various currencies the Group holds as well as the offered holding periods.</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demonstrates the sensitivity to reasonably possible changes in interest rates, with all other variables held constant, of the Group’s results before tax. There is no direct impact on the Group’s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Effect on result</w:t>
            </w:r>
          </w:p>
        </w:tc>
      </w:tr>
      <w:tr>
        <w:trPr>
          <w:trHeight w:val="162"/>
        </w:trPr>
        <w:tc>
          <w:tcPr>
            <w:tcW w:w="5280" w:type="dxa"/>
            <w:vAlign w:val="bottom"/>
          </w:tcPr>
          <w:p>
            <w:pPr>
              <w:spacing w:after="0"/>
              <w:rPr>
                <w:sz w:val="14"/>
                <w:szCs w:val="14"/>
                <w:color w:val="auto"/>
              </w:rPr>
            </w:pPr>
          </w:p>
        </w:tc>
        <w:tc>
          <w:tcPr>
            <w:tcW w:w="4700" w:type="dxa"/>
            <w:vAlign w:val="bottom"/>
          </w:tcPr>
          <w:p>
            <w:pPr>
              <w:jc w:val="right"/>
              <w:ind w:right="192"/>
              <w:spacing w:after="0"/>
              <w:rPr>
                <w:sz w:val="20"/>
                <w:szCs w:val="20"/>
                <w:color w:val="auto"/>
              </w:rPr>
            </w:pPr>
            <w:r>
              <w:rPr>
                <w:rFonts w:ascii="Arial" w:cs="Arial" w:eastAsia="Arial" w:hAnsi="Arial"/>
                <w:sz w:val="14"/>
                <w:szCs w:val="14"/>
                <w:b w:val="1"/>
                <w:bCs w:val="1"/>
                <w:color w:val="auto"/>
              </w:rPr>
              <w:t>Incr./Decr.</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before tax</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in % and CHF thousands</w:t>
            </w:r>
          </w:p>
        </w:tc>
        <w:tc>
          <w:tcPr>
            <w:tcW w:w="4700" w:type="dxa"/>
            <w:vAlign w:val="bottom"/>
          </w:tcPr>
          <w:p>
            <w:pPr>
              <w:jc w:val="right"/>
              <w:ind w:right="192"/>
              <w:spacing w:after="0"/>
              <w:rPr>
                <w:sz w:val="20"/>
                <w:szCs w:val="20"/>
                <w:color w:val="auto"/>
              </w:rPr>
            </w:pPr>
            <w:r>
              <w:rPr>
                <w:rFonts w:ascii="Arial" w:cs="Arial" w:eastAsia="Arial" w:hAnsi="Arial"/>
                <w:sz w:val="14"/>
                <w:szCs w:val="14"/>
                <w:b w:val="1"/>
                <w:bCs w:val="1"/>
                <w:color w:val="auto"/>
              </w:rPr>
              <w:t>interest rate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(in TCHF)</w:t>
            </w:r>
          </w:p>
        </w:tc>
      </w:tr>
      <w:tr>
        <w:trPr>
          <w:trHeight w:val="26"/>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CHF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USD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EUR Positions</w:t>
            </w:r>
          </w:p>
        </w:tc>
        <w:tc>
          <w:tcPr>
            <w:tcW w:w="4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GBP Positions</w:t>
            </w:r>
          </w:p>
        </w:tc>
        <w:tc>
          <w:tcPr>
            <w:tcW w:w="47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2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7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280" w:type="dxa"/>
            <w:vAlign w:val="bottom"/>
          </w:tcPr>
          <w:p>
            <w:pPr>
              <w:spacing w:after="0"/>
              <w:rPr>
                <w:sz w:val="21"/>
                <w:szCs w:val="21"/>
                <w:color w:val="auto"/>
              </w:rPr>
            </w:pPr>
          </w:p>
        </w:tc>
        <w:tc>
          <w:tcPr>
            <w:tcW w:w="4700" w:type="dxa"/>
            <w:vAlign w:val="bottom"/>
          </w:tcPr>
          <w:p>
            <w:pPr>
              <w:jc w:val="right"/>
              <w:ind w:right="192"/>
              <w:spacing w:after="0"/>
              <w:rPr>
                <w:sz w:val="20"/>
                <w:szCs w:val="20"/>
                <w:color w:val="auto"/>
              </w:rPr>
            </w:pPr>
            <w:r>
              <w:rPr>
                <w:rFonts w:ascii="Arial" w:cs="Arial" w:eastAsia="Arial" w:hAnsi="Arial"/>
                <w:sz w:val="18"/>
                <w:szCs w:val="18"/>
                <w:color w:val="auto"/>
              </w:rPr>
              <w:t>-0.5 %</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28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w:t>
      </w:r>
    </w:p>
    <w:p>
      <w:pPr>
        <w:spacing w:after="0" w:line="1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maximum credit risk on financial assets corresponds to the carrying amounts of the Group’s cash and cash equivalents, short-term time deposits and receivables. The Group has not entered into any guarantees or similar obligations that would increase the risk over and above the carrying amounts.</w:t>
      </w:r>
    </w:p>
    <w:p>
      <w:pPr>
        <w:spacing w:after="0" w:line="4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cash and cash equivalents and short-term deposits are considered low risk and were held at Swiss banks with Standard &amp; Poor long-term credit ratings of AAA (Zürcher Kantonalbank), AA (Luzerner Kantonalbank) and A+ (Credit Suisse and UBS) and therefore any impact resulting from the expected credit loss model is considered immaterial. Analysis performed included assessing the cumulative default rates by credit rating category and applying these rates to the cash and short-term deposit balances at reporting dates. The calculated loss allowance based on the ECL is considered immaterial.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Group enters into agreements with partners that have appropriate credit history and a commitment to ethical business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maximum credit risk as of the balance sheet date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Credit risk</w:t>
            </w:r>
          </w:p>
        </w:tc>
        <w:tc>
          <w:tcPr>
            <w:tcW w:w="4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1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CHF thousands</w:t>
            </w:r>
          </w:p>
        </w:tc>
        <w:tc>
          <w:tcPr>
            <w:tcW w:w="43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6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3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133,721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75,712</w:t>
            </w:r>
          </w:p>
        </w:tc>
      </w:tr>
      <w:tr>
        <w:trPr>
          <w:trHeight w:val="270"/>
        </w:trPr>
        <w:tc>
          <w:tcPr>
            <w:tcW w:w="586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4300" w:type="dxa"/>
            <w:vAlign w:val="bottom"/>
          </w:tcPr>
          <w:p>
            <w:pPr>
              <w:jc w:val="right"/>
              <w:ind w:right="472"/>
              <w:spacing w:after="0"/>
              <w:rPr>
                <w:sz w:val="20"/>
                <w:szCs w:val="20"/>
                <w:color w:val="auto"/>
              </w:rPr>
            </w:pPr>
            <w:r>
              <w:rPr>
                <w:rFonts w:ascii="Arial" w:cs="Arial" w:eastAsia="Arial" w:hAnsi="Arial"/>
                <w:sz w:val="18"/>
                <w:szCs w:val="18"/>
                <w:color w:val="auto"/>
              </w:rPr>
              <w:t>159</w:t>
            </w: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w:t>
            </w:r>
          </w:p>
        </w:tc>
        <w:tc>
          <w:tcPr>
            <w:tcW w:w="43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5860" w:type="dxa"/>
            <w:vAlign w:val="bottom"/>
          </w:tcPr>
          <w:p>
            <w:pPr>
              <w:ind w:left="20"/>
              <w:spacing w:after="0"/>
              <w:rPr>
                <w:sz w:val="20"/>
                <w:szCs w:val="20"/>
                <w:color w:val="auto"/>
              </w:rPr>
            </w:pPr>
            <w:r>
              <w:rPr>
                <w:rFonts w:ascii="Arial" w:cs="Arial" w:eastAsia="Arial" w:hAnsi="Arial"/>
                <w:sz w:val="18"/>
                <w:szCs w:val="18"/>
                <w:color w:val="auto"/>
              </w:rPr>
              <w:t>Short-term time deposits</w:t>
            </w:r>
          </w:p>
        </w:tc>
        <w:tc>
          <w:tcPr>
            <w:tcW w:w="4300" w:type="dxa"/>
            <w:vAlign w:val="bottom"/>
          </w:tcPr>
          <w:p>
            <w:pPr>
              <w:jc w:val="right"/>
              <w:ind w:right="472"/>
              <w:spacing w:after="0"/>
              <w:rPr>
                <w:sz w:val="20"/>
                <w:szCs w:val="20"/>
                <w:color w:val="auto"/>
              </w:rPr>
            </w:pPr>
            <w:r>
              <w:rPr>
                <w:rFonts w:ascii="Arial" w:cs="Arial" w:eastAsia="Arial" w:hAnsi="Arial"/>
                <w:sz w:val="18"/>
                <w:szCs w:val="18"/>
                <w:color w:val="auto"/>
              </w:rPr>
              <w:t>40,000</w:t>
            </w:r>
          </w:p>
        </w:tc>
        <w:tc>
          <w:tcPr>
            <w:tcW w:w="1080" w:type="dxa"/>
            <w:vAlign w:val="bottom"/>
          </w:tcPr>
          <w:p>
            <w:pPr>
              <w:jc w:val="right"/>
              <w:spacing w:after="0"/>
              <w:rPr>
                <w:sz w:val="20"/>
                <w:szCs w:val="20"/>
                <w:color w:val="auto"/>
              </w:rPr>
            </w:pPr>
            <w:r>
              <w:rPr>
                <w:rFonts w:ascii="Arial" w:cs="Arial" w:eastAsia="Arial" w:hAnsi="Arial"/>
                <w:sz w:val="18"/>
                <w:szCs w:val="18"/>
                <w:color w:val="auto"/>
              </w:rPr>
              <w:t>19,368</w:t>
            </w:r>
          </w:p>
        </w:tc>
      </w:tr>
      <w:tr>
        <w:trPr>
          <w:trHeight w:val="27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credit risk as at December 31</w:t>
            </w:r>
          </w:p>
        </w:tc>
        <w:tc>
          <w:tcPr>
            <w:tcW w:w="430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173,882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95,378</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Risk</w:t>
      </w:r>
    </w:p>
    <w:p>
      <w:pPr>
        <w:spacing w:after="0" w:line="1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Liquidity risk is the risk that the Group will encounter difficulties in meeting the obligations associated with its financial liabilities that are settled by delivering cash or another financial asset. The Group’s liquidity risk is considered low by management due to the financial assets at reporting date, giving the Group a secure source of funding for its research and development activities.</w:t>
      </w:r>
    </w:p>
    <w:p>
      <w:pPr>
        <w:spacing w:after="0" w:line="103" w:lineRule="exact"/>
        <w:rPr>
          <w:sz w:val="20"/>
          <w:szCs w:val="20"/>
          <w:color w:val="auto"/>
        </w:rPr>
      </w:pPr>
    </w:p>
    <w:p>
      <w:pPr>
        <w:ind w:left="500" w:hanging="492"/>
        <w:spacing w:after="0"/>
        <w:tabs>
          <w:tab w:leader="none" w:pos="50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Events After the Balance Sheet Date</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events occurred between the balance sheet date and the date on which these consolidated financial statements were approved by the Board of Directors that would require adjustment to the consolidated financial statements or disclosure under this heading.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26"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Through and including , 2021 (25 days after the date of this prospectus), all dealers that effect transactions in the ADSs, whether or not participating in this offering, may be required to deliver a prospectus. This delivery is in addition to a dealer’s obligation to deliver a prospectus when acting as an underwriter and with respect to their unsold allotments or subscriptions.</w:t>
      </w:r>
    </w:p>
    <w:p>
      <w:pPr>
        <w:spacing w:after="0" w:line="193" w:lineRule="exact"/>
        <w:rPr>
          <w:sz w:val="20"/>
          <w:szCs w:val="20"/>
          <w:color w:val="auto"/>
        </w:rPr>
      </w:pPr>
    </w:p>
    <w:p>
      <w:pPr>
        <w:jc w:val="right"/>
        <w:ind w:right="3320"/>
        <w:spacing w:after="0"/>
        <w:rPr>
          <w:sz w:val="20"/>
          <w:szCs w:val="20"/>
          <w:color w:val="auto"/>
        </w:rPr>
      </w:pPr>
      <w:r>
        <w:rPr>
          <w:rFonts w:ascii="Arial" w:cs="Arial" w:eastAsia="Arial" w:hAnsi="Arial"/>
          <w:sz w:val="32"/>
          <w:szCs w:val="32"/>
          <w:b w:val="1"/>
          <w:bCs w:val="1"/>
          <w:color w:val="auto"/>
        </w:rPr>
        <w:t>MOLECULAR PARTNERS AG</w:t>
      </w:r>
    </w:p>
    <w:p>
      <w:pPr>
        <w:spacing w:after="0" w:line="234" w:lineRule="exact"/>
        <w:rPr>
          <w:sz w:val="20"/>
          <w:szCs w:val="20"/>
          <w:color w:val="auto"/>
        </w:rPr>
      </w:pPr>
    </w:p>
    <w:p>
      <w:pPr>
        <w:jc w:val="right"/>
        <w:ind w:right="3260"/>
        <w:spacing w:after="0"/>
        <w:rPr>
          <w:sz w:val="20"/>
          <w:szCs w:val="20"/>
          <w:color w:val="auto"/>
        </w:rPr>
      </w:pPr>
      <w:r>
        <w:rPr>
          <w:rFonts w:ascii="Arial" w:cs="Arial" w:eastAsia="Arial" w:hAnsi="Arial"/>
          <w:sz w:val="32"/>
          <w:szCs w:val="32"/>
          <w:b w:val="1"/>
          <w:bCs w:val="1"/>
          <w:i w:val="1"/>
          <w:iCs w:val="1"/>
          <w:color w:val="auto"/>
        </w:rPr>
        <w:t>American Depositary Shares</w:t>
      </w:r>
    </w:p>
    <w:p>
      <w:pPr>
        <w:spacing w:after="0" w:line="200" w:lineRule="exact"/>
        <w:rPr>
          <w:sz w:val="20"/>
          <w:szCs w:val="20"/>
          <w:color w:val="auto"/>
        </w:rPr>
      </w:pPr>
    </w:p>
    <w:p>
      <w:pPr>
        <w:spacing w:after="0" w:line="348" w:lineRule="exact"/>
        <w:rPr>
          <w:sz w:val="20"/>
          <w:szCs w:val="20"/>
          <w:color w:val="auto"/>
        </w:rPr>
      </w:pPr>
    </w:p>
    <w:p>
      <w:pPr>
        <w:ind w:left="3880"/>
        <w:spacing w:after="0"/>
        <w:tabs>
          <w:tab w:leader="none" w:pos="5860" w:val="left"/>
        </w:tabs>
        <w:rPr>
          <w:sz w:val="20"/>
          <w:szCs w:val="20"/>
          <w:color w:val="auto"/>
        </w:rPr>
      </w:pPr>
      <w:r>
        <w:rPr>
          <w:rFonts w:ascii="Arial" w:cs="Arial" w:eastAsia="Arial" w:hAnsi="Arial"/>
          <w:sz w:val="22"/>
          <w:szCs w:val="22"/>
          <w:b w:val="1"/>
          <w:bCs w:val="1"/>
          <w:i w:val="1"/>
          <w:iCs w:val="1"/>
          <w:color w:val="auto"/>
        </w:rPr>
        <w:t>Representing</w:t>
      </w:r>
      <w:r>
        <w:rPr>
          <w:sz w:val="20"/>
          <w:szCs w:val="20"/>
          <w:color w:val="auto"/>
        </w:rPr>
        <w:tab/>
      </w:r>
      <w:r>
        <w:rPr>
          <w:rFonts w:ascii="Arial" w:cs="Arial" w:eastAsia="Arial" w:hAnsi="Arial"/>
          <w:sz w:val="22"/>
          <w:szCs w:val="22"/>
          <w:b w:val="1"/>
          <w:bCs w:val="1"/>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341630</wp:posOffset>
            </wp:positionV>
            <wp:extent cx="2091690" cy="4800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9169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SVB Leerink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Cowen</w:t>
      </w:r>
    </w:p>
    <w:p>
      <w:pPr>
        <w:spacing w:after="0" w:line="211" w:lineRule="exact"/>
        <w:rPr>
          <w:sz w:val="20"/>
          <w:szCs w:val="20"/>
          <w:color w:val="auto"/>
        </w:rPr>
      </w:pPr>
    </w:p>
    <w:p>
      <w:pPr>
        <w:sectPr>
          <w:pgSz w:w="11900" w:h="16838" w:orient="portrait"/>
          <w:cols w:equalWidth="0" w:num="3">
            <w:col w:w="4080" w:space="720"/>
            <w:col w:w="4820" w:space="720"/>
            <w:col w:w="860"/>
          </w:cols>
          <w:pgMar w:left="320" w:top="1440" w:right="37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Kempen &amp; Co</w:t>
      </w:r>
    </w:p>
    <w:p>
      <w:pPr>
        <w:spacing w:after="0" w:line="211" w:lineRule="exact"/>
        <w:rPr>
          <w:sz w:val="20"/>
          <w:szCs w:val="20"/>
          <w:color w:val="auto"/>
        </w:rPr>
      </w:pPr>
    </w:p>
    <w:p>
      <w:pPr>
        <w:sectPr>
          <w:pgSz w:w="11900" w:h="16838" w:orient="portrait"/>
          <w:cols w:equalWidth="0" w:num="2">
            <w:col w:w="8920" w:space="720"/>
            <w:col w:w="156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 2021.</w:t>
      </w:r>
    </w:p>
    <w:p>
      <w:pPr>
        <w:sectPr>
          <w:pgSz w:w="11900" w:h="16838" w:orient="portrait"/>
          <w:cols w:equalWidth="0" w:num="1">
            <w:col w:w="11200"/>
          </w:cols>
          <w:pgMar w:left="320" w:top="1440" w:right="379" w:bottom="1440" w:gutter="0" w:footer="0" w:header="0"/>
          <w:type w:val="continuous"/>
        </w:sectPr>
      </w:pPr>
    </w:p>
    <w:bookmarkStart w:id="292" w:name="page293"/>
    <w:bookmarkEnd w:id="292"/>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INFORMATION NOT REQUIRED IN PROSPECTUS</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6.Indemnification of Directors and Officers</w:t>
      </w:r>
    </w:p>
    <w:p>
      <w:pPr>
        <w:spacing w:after="0" w:line="1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Swiss law, subject to certain limitations, a corporation may indemnify and hold harmless directors and other persons entrusted with its management out of the assets of the corporation from and against actions, costs, charges, losses, damages and expenses which they or any of them may incur or sustain by or by reason of any act done, concurred in or omitted, in connection with the execution of their statutory duties, provided that such indemnity (if any) shall not extend to any matter in which any of said persons is found to have committed an intentional or grossly negligent breach of his or her duties. The registrant’s articles of association contain provisions governing the advancing of related defense costs to the extent not included in insurance coverage or paid by third parties.</w:t>
      </w:r>
    </w:p>
    <w:p>
      <w:pPr>
        <w:spacing w:after="0" w:line="1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registrant.</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this offering, the registrant intends to enter into indemnification agreements with each of its directors and executive officers. Insofar as indemnification for liabilities arising under the Securities Act may be permitted to directors, officers and controlling persons of the registrant, the registrant has been advised that, in the opinion of the U.S. Securities and Exchange Commission, such indemnification is against public policy as expressed in the Securities Act and is, therefore, unenforceable.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Recent Sales of Unregistered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in Capital Markets Transactions</w:t>
      </w:r>
    </w:p>
    <w:p>
      <w:pPr>
        <w:spacing w:after="0" w:line="158" w:lineRule="exact"/>
        <w:rPr>
          <w:sz w:val="20"/>
          <w:szCs w:val="20"/>
          <w:color w:val="auto"/>
        </w:rPr>
      </w:pPr>
    </w:p>
    <w:p>
      <w:pPr>
        <w:ind w:left="340" w:right="180" w:hanging="332"/>
        <w:spacing w:after="0" w:line="342" w:lineRule="auto"/>
        <w:tabs>
          <w:tab w:leader="none" w:pos="33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On October 28, 2020, we issued 1,739,130 common shares to Novartis Pharma AG out of conditional share capital in connection with an option and license agreement providing for a collaboration to develop, manufacture and commercialize certain product candidates and/or therapies.</w:t>
      </w:r>
    </w:p>
    <w:p>
      <w:pPr>
        <w:spacing w:after="0" w:line="56" w:lineRule="exact"/>
        <w:rPr>
          <w:rFonts w:ascii="Arial" w:cs="Arial" w:eastAsia="Arial" w:hAnsi="Arial"/>
          <w:sz w:val="16"/>
          <w:szCs w:val="16"/>
          <w:color w:val="auto"/>
        </w:rPr>
      </w:pPr>
    </w:p>
    <w:p>
      <w:pPr>
        <w:ind w:left="340" w:right="20" w:hanging="332"/>
        <w:spacing w:after="0" w:line="277" w:lineRule="auto"/>
        <w:tabs>
          <w:tab w:leader="none" w:pos="33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July 8, 2020, we issued 5,528,089 common shares out of authorized share capital placed with institutional investors in an accelerated bookbuilding transaction.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under our Equity Plans</w:t>
      </w:r>
    </w:p>
    <w:p>
      <w:pPr>
        <w:spacing w:after="0" w:line="15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Since January 1, 2018, we granted to employees and non-employee directors, pursuant to our equity incentive plans and in exchange for services rendered or to be rendered, performance share units, or PSUs, and restricted share units, or RSUs, an aggregate of 929,067 common shares. The PSUs are subject to adjustment based on certain performance metrics.</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Since January 1, 2018, an aggregate of 928,174 common shares were issued upon the exercise of options performance share units, or PSUs, and restricted stock units, or RSUs, issued under our equity incentive plans, at the exercise price of CHF 3.92 per share for the options, for aggregate proceeds of CHF 2,316,935.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2018, no options issued under our equity incentive plans were canceled.</w:t>
      </w:r>
    </w:p>
    <w:p>
      <w:pPr>
        <w:spacing w:after="0" w:line="15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offers, sales and issuances of the securities described in the preceding paragraphs were exempt from registration either (a) under Section 4(a)(2) 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(c) under Rule 701 promulgated under the Securities Act in that the transactions were under compensatory benefit plans and contracts relating to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320" w:top="1440" w:right="399" w:bottom="1440" w:gutter="0" w:footer="0" w:header="0"/>
        </w:sectPr>
      </w:pPr>
    </w:p>
    <w:bookmarkStart w:id="293" w:name="page294"/>
    <w:bookmarkEnd w:id="293"/>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(d) under Regulation S promulgated under the Securities Act in that offers, sales and issuances were not made to persons in the United States and no directed selling efforts were made in the 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Exhibits and financial statement schedules</w:t>
      </w:r>
    </w:p>
    <w:p>
      <w:pPr>
        <w:spacing w:after="0" w:line="152" w:lineRule="exact"/>
        <w:rPr>
          <w:sz w:val="20"/>
          <w:szCs w:val="20"/>
          <w:color w:val="auto"/>
        </w:rPr>
      </w:pPr>
    </w:p>
    <w:p>
      <w:pPr>
        <w:ind w:left="480" w:hanging="472"/>
        <w:spacing w:after="0"/>
        <w:tabs>
          <w:tab w:leader="none" w:pos="48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4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880"/>
          </w:cols>
          <w:pgMar w:left="320" w:top="1440" w:right="699" w:bottom="1440" w:gutter="0" w:footer="0" w:header="0"/>
        </w:sectPr>
      </w:pPr>
    </w:p>
    <w:bookmarkStart w:id="294" w:name="page295"/>
    <w:bookmarkEnd w:id="294"/>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720" w:type="dxa"/>
            <w:vAlign w:val="bottom"/>
            <w:vMerge w:val="restart"/>
          </w:tcPr>
          <w:p>
            <w:pPr>
              <w:ind w:left="236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151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77" w:lineRule="exact"/>
        <w:rPr>
          <w:sz w:val="20"/>
          <w:szCs w:val="20"/>
          <w:color w:val="auto"/>
        </w:rPr>
      </w:pPr>
    </w:p>
    <w:p>
      <w:pPr>
        <w:ind w:left="7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w:anchor="page299">
        <w:r>
          <w:rPr>
            <w:rFonts w:ascii="Arial" w:cs="Arial" w:eastAsia="Arial" w:hAnsi="Arial"/>
            <w:sz w:val="16"/>
            <w:szCs w:val="16"/>
            <w:u w:val="single" w:color="auto"/>
            <w:color w:val="0000FF"/>
          </w:rPr>
          <w:t>Articles of Association, as currently in effect</w:t>
        </w:r>
      </w:hyperlink>
    </w:p>
    <w:p>
      <w:pPr>
        <w:spacing w:after="0" w:line="77" w:lineRule="exact"/>
        <w:rPr>
          <w:sz w:val="20"/>
          <w:szCs w:val="20"/>
          <w:color w:val="auto"/>
        </w:rPr>
      </w:pPr>
    </w:p>
    <w:p>
      <w:pPr>
        <w:ind w:left="7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327">
        <w:r>
          <w:rPr>
            <w:rFonts w:ascii="Arial" w:cs="Arial" w:eastAsia="Arial" w:hAnsi="Arial"/>
            <w:sz w:val="16"/>
            <w:szCs w:val="16"/>
            <w:u w:val="single" w:color="auto"/>
            <w:color w:val="0000FF"/>
          </w:rPr>
          <w:t>Organizational Rules of the registrant (English translation)</w:t>
        </w:r>
      </w:hyperlink>
    </w:p>
    <w:p>
      <w:pPr>
        <w:spacing w:after="0" w:line="7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Deposit Agreement</w:t>
      </w:r>
    </w:p>
    <w:p>
      <w:pPr>
        <w:spacing w:after="0" w:line="7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American Depositary Receipt (included in Exhibit 4.1)</w:t>
      </w:r>
    </w:p>
    <w:p>
      <w:pPr>
        <w:spacing w:after="0" w:line="7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Homburger AG, Swiss counsel of the registrant, as to the validity of the common shares</w:t>
      </w:r>
    </w:p>
    <w:p>
      <w:pPr>
        <w:spacing w:after="0" w:line="7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Homburger AG, Swiss counsel of the registrant, as to Swiss tax matters</w:t>
      </w:r>
    </w:p>
    <w:p>
      <w:pPr>
        <w:spacing w:after="0" w:line="77"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341">
        <w:r>
          <w:rPr>
            <w:rFonts w:ascii="Arial" w:cs="Arial" w:eastAsia="Arial" w:hAnsi="Arial"/>
            <w:sz w:val="16"/>
            <w:szCs w:val="16"/>
            <w:u w:val="single" w:color="auto"/>
            <w:color w:val="0000FF"/>
          </w:rPr>
          <w:t>Form of indemnification agreement between the registrant and each of its executive officers and directors</w:t>
        </w:r>
      </w:hyperlink>
    </w:p>
    <w:p>
      <w:pPr>
        <w:spacing w:after="0" w:line="77" w:lineRule="exact"/>
        <w:rPr>
          <w:sz w:val="20"/>
          <w:szCs w:val="20"/>
          <w:color w:val="auto"/>
        </w:rPr>
      </w:pPr>
    </w:p>
    <w:p>
      <w:pPr>
        <w:ind w:left="56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rFonts w:ascii="Arial" w:cs="Arial" w:eastAsia="Arial" w:hAnsi="Arial"/>
          <w:sz w:val="13"/>
          <w:szCs w:val="13"/>
          <w:color w:val="auto"/>
        </w:rPr>
        <w:t>†</w:t>
      </w:r>
      <w:r>
        <w:rPr>
          <w:sz w:val="20"/>
          <w:szCs w:val="20"/>
          <w:color w:val="auto"/>
        </w:rPr>
        <w:tab/>
      </w:r>
      <w:hyperlink w:anchor="page354">
        <w:r>
          <w:rPr>
            <w:rFonts w:ascii="Arial" w:cs="Arial" w:eastAsia="Arial" w:hAnsi="Arial"/>
            <w:sz w:val="16"/>
            <w:szCs w:val="16"/>
            <w:u w:val="single" w:color="auto"/>
            <w:color w:val="0000FF"/>
          </w:rPr>
          <w:t>License Agreement, dated as of November 17, 2004, as amended, by and between The University of Zurich and Molecular Partners AG</w:t>
        </w:r>
      </w:hyperlink>
    </w:p>
    <w:p>
      <w:pPr>
        <w:spacing w:after="0" w:line="77" w:lineRule="exact"/>
        <w:rPr>
          <w:sz w:val="20"/>
          <w:szCs w:val="20"/>
          <w:color w:val="auto"/>
        </w:rPr>
      </w:pPr>
    </w:p>
    <w:p>
      <w:pPr>
        <w:ind w:left="1080" w:hanging="525"/>
        <w:spacing w:after="0" w:line="235"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rFonts w:ascii="Arial" w:cs="Arial" w:eastAsia="Arial" w:hAnsi="Arial"/>
          <w:sz w:val="13"/>
          <w:szCs w:val="13"/>
          <w:color w:val="auto"/>
        </w:rPr>
        <w:t>†</w:t>
      </w:r>
      <w:r>
        <w:rPr>
          <w:sz w:val="20"/>
          <w:szCs w:val="20"/>
          <w:color w:val="auto"/>
        </w:rPr>
        <w:tab/>
      </w:r>
      <w:hyperlink w:anchor="page389">
        <w:r>
          <w:rPr>
            <w:rFonts w:ascii="Arial" w:cs="Arial" w:eastAsia="Arial" w:hAnsi="Arial"/>
            <w:sz w:val="18"/>
            <w:szCs w:val="18"/>
            <w:u w:val="single" w:color="auto"/>
            <w:color w:val="0000FF"/>
          </w:rPr>
          <w:t>Amended and Restated Collaboration Agreement, dated as of August 17, 2012, by and among the University of Zurich, Molecular Partners</w:t>
        </w:r>
      </w:hyperlink>
      <w:r>
        <w:rPr>
          <w:rFonts w:ascii="Arial" w:cs="Arial" w:eastAsia="Arial" w:hAnsi="Arial"/>
          <w:sz w:val="18"/>
          <w:szCs w:val="18"/>
          <w:u w:val="single" w:color="auto"/>
          <w:color w:val="0000FF"/>
        </w:rPr>
        <w:t xml:space="preserve"> </w:t>
      </w:r>
      <w:hyperlink w:anchor="page389">
        <w:r>
          <w:rPr>
            <w:rFonts w:ascii="Arial" w:cs="Arial" w:eastAsia="Arial" w:hAnsi="Arial"/>
            <w:sz w:val="18"/>
            <w:szCs w:val="18"/>
            <w:u w:val="single" w:color="auto"/>
            <w:color w:val="0000FF"/>
          </w:rPr>
          <w:t>AG, Allergan, Inc., and Allergan Sales, LLC</w:t>
        </w:r>
      </w:hyperlink>
    </w:p>
    <w:p>
      <w:pPr>
        <w:spacing w:after="0" w:line="54" w:lineRule="exact"/>
        <w:rPr>
          <w:sz w:val="20"/>
          <w:szCs w:val="20"/>
          <w:color w:val="auto"/>
        </w:rPr>
      </w:pPr>
    </w:p>
    <w:p>
      <w:pPr>
        <w:ind w:left="1080" w:right="520" w:hanging="525"/>
        <w:spacing w:after="0" w:line="235"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rFonts w:ascii="Arial" w:cs="Arial" w:eastAsia="Arial" w:hAnsi="Arial"/>
          <w:sz w:val="13"/>
          <w:szCs w:val="13"/>
          <w:color w:val="auto"/>
        </w:rPr>
        <w:t>†</w:t>
      </w:r>
      <w:r>
        <w:rPr>
          <w:sz w:val="20"/>
          <w:szCs w:val="20"/>
          <w:color w:val="auto"/>
        </w:rPr>
        <w:tab/>
      </w:r>
      <w:hyperlink w:anchor="page461">
        <w:r>
          <w:rPr>
            <w:rFonts w:ascii="Arial" w:cs="Arial" w:eastAsia="Arial" w:hAnsi="Arial"/>
            <w:sz w:val="18"/>
            <w:szCs w:val="18"/>
            <w:u w:val="single" w:color="auto"/>
            <w:color w:val="0000FF"/>
          </w:rPr>
          <w:t>Discovery Alliance Agreement, dated as of August 12, 2012, as amended, by and among Molecular Partners AG, Allergan, Inc, and</w:t>
        </w:r>
      </w:hyperlink>
      <w:r>
        <w:rPr>
          <w:rFonts w:ascii="Arial" w:cs="Arial" w:eastAsia="Arial" w:hAnsi="Arial"/>
          <w:sz w:val="18"/>
          <w:szCs w:val="18"/>
          <w:u w:val="single" w:color="auto"/>
          <w:color w:val="0000FF"/>
        </w:rPr>
        <w:t xml:space="preserve"> </w:t>
      </w:r>
      <w:hyperlink w:anchor="page461">
        <w:r>
          <w:rPr>
            <w:rFonts w:ascii="Arial" w:cs="Arial" w:eastAsia="Arial" w:hAnsi="Arial"/>
            <w:sz w:val="18"/>
            <w:szCs w:val="18"/>
            <w:u w:val="single" w:color="auto"/>
            <w:color w:val="0000FF"/>
          </w:rPr>
          <w:t>Allergan Sales, LLC</w:t>
        </w:r>
      </w:hyperlink>
    </w:p>
    <w:p>
      <w:pPr>
        <w:spacing w:after="0" w:line="54" w:lineRule="exact"/>
        <w:rPr>
          <w:sz w:val="20"/>
          <w:szCs w:val="20"/>
          <w:color w:val="auto"/>
        </w:rPr>
      </w:pPr>
    </w:p>
    <w:p>
      <w:pPr>
        <w:ind w:left="56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rFonts w:ascii="Arial" w:cs="Arial" w:eastAsia="Arial" w:hAnsi="Arial"/>
          <w:sz w:val="13"/>
          <w:szCs w:val="13"/>
          <w:color w:val="auto"/>
        </w:rPr>
        <w:t>†</w:t>
      </w:r>
      <w:r>
        <w:rPr>
          <w:sz w:val="20"/>
          <w:szCs w:val="20"/>
          <w:color w:val="auto"/>
        </w:rPr>
        <w:tab/>
      </w:r>
      <w:hyperlink w:anchor="page580">
        <w:r>
          <w:rPr>
            <w:rFonts w:ascii="Arial" w:cs="Arial" w:eastAsia="Arial" w:hAnsi="Arial"/>
            <w:sz w:val="16"/>
            <w:szCs w:val="16"/>
            <w:u w:val="single" w:color="auto"/>
            <w:color w:val="0000FF"/>
          </w:rPr>
          <w:t>Collaboration and License Agreement, dated as of December 18, 2018, by and between Molecular Partners AG and Amgen Inc.</w:t>
        </w:r>
      </w:hyperlink>
    </w:p>
    <w:p>
      <w:pPr>
        <w:spacing w:after="0" w:line="77" w:lineRule="exact"/>
        <w:rPr>
          <w:sz w:val="20"/>
          <w:szCs w:val="20"/>
          <w:color w:val="auto"/>
        </w:rPr>
      </w:pPr>
    </w:p>
    <w:p>
      <w:pPr>
        <w:ind w:left="56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rFonts w:ascii="Arial" w:cs="Arial" w:eastAsia="Arial" w:hAnsi="Arial"/>
          <w:sz w:val="13"/>
          <w:szCs w:val="13"/>
          <w:color w:val="auto"/>
        </w:rPr>
        <w:t>†</w:t>
      </w:r>
      <w:r>
        <w:rPr>
          <w:sz w:val="20"/>
          <w:szCs w:val="20"/>
          <w:color w:val="auto"/>
        </w:rPr>
        <w:tab/>
      </w:r>
      <w:hyperlink w:anchor="page667">
        <w:r>
          <w:rPr>
            <w:rFonts w:ascii="Arial" w:cs="Arial" w:eastAsia="Arial" w:hAnsi="Arial"/>
            <w:sz w:val="16"/>
            <w:szCs w:val="16"/>
            <w:u w:val="single" w:color="auto"/>
            <w:color w:val="0000FF"/>
          </w:rPr>
          <w:t>Option and Equity Rights Agreement, dated as of October 27, 2020, by and between Molecular Partners AG and Novartis Pharma AG</w:t>
        </w:r>
      </w:hyperlink>
    </w:p>
    <w:p>
      <w:pPr>
        <w:spacing w:after="0" w:line="77" w:lineRule="exact"/>
        <w:rPr>
          <w:sz w:val="20"/>
          <w:szCs w:val="20"/>
          <w:color w:val="auto"/>
        </w:rPr>
      </w:pPr>
    </w:p>
    <w:p>
      <w:pPr>
        <w:ind w:left="620"/>
        <w:spacing w:after="0"/>
        <w:tabs>
          <w:tab w:leader="none" w:pos="1060" w:val="left"/>
        </w:tabs>
        <w:rPr>
          <w:rFonts w:ascii="Arial" w:cs="Arial" w:eastAsia="Arial" w:hAnsi="Arial"/>
          <w:sz w:val="15"/>
          <w:szCs w:val="15"/>
          <w:u w:val="single" w:color="auto"/>
          <w:color w:val="0000FF"/>
        </w:rPr>
      </w:pPr>
      <w:r>
        <w:rPr>
          <w:rFonts w:ascii="Arial" w:cs="Arial" w:eastAsia="Arial" w:hAnsi="Arial"/>
          <w:sz w:val="18"/>
          <w:szCs w:val="18"/>
          <w:color w:val="auto"/>
        </w:rPr>
        <w:t>10.7</w:t>
      </w:r>
      <w:r>
        <w:rPr>
          <w:sz w:val="20"/>
          <w:szCs w:val="20"/>
          <w:color w:val="auto"/>
        </w:rPr>
        <w:tab/>
      </w:r>
      <w:hyperlink w:anchor="page729">
        <w:r>
          <w:rPr>
            <w:rFonts w:ascii="Arial" w:cs="Arial" w:eastAsia="Arial" w:hAnsi="Arial"/>
            <w:sz w:val="15"/>
            <w:szCs w:val="15"/>
            <w:u w:val="single" w:color="auto"/>
            <w:color w:val="0000FF"/>
          </w:rPr>
          <w:t>2017 Performance Share Plan</w:t>
        </w:r>
      </w:hyperlink>
    </w:p>
    <w:p>
      <w:pPr>
        <w:spacing w:after="0" w:line="77" w:lineRule="exact"/>
        <w:rPr>
          <w:sz w:val="20"/>
          <w:szCs w:val="20"/>
          <w:color w:val="auto"/>
        </w:rPr>
      </w:pPr>
    </w:p>
    <w:p>
      <w:pPr>
        <w:jc w:val="right"/>
        <w:ind w:right="7880"/>
        <w:spacing w:after="0"/>
        <w:tabs>
          <w:tab w:leader="none" w:pos="10000" w:val="left"/>
        </w:tabs>
        <w:rPr>
          <w:rFonts w:ascii="Arial" w:cs="Arial" w:eastAsia="Arial" w:hAnsi="Arial"/>
          <w:sz w:val="15"/>
          <w:szCs w:val="15"/>
          <w:u w:val="single" w:color="auto"/>
          <w:color w:val="0000FF"/>
        </w:rPr>
      </w:pPr>
      <w:r>
        <w:rPr>
          <w:rFonts w:ascii="Arial" w:cs="Arial" w:eastAsia="Arial" w:hAnsi="Arial"/>
          <w:sz w:val="18"/>
          <w:szCs w:val="18"/>
          <w:color w:val="auto"/>
        </w:rPr>
        <w:t>10.8</w:t>
      </w:r>
      <w:r>
        <w:rPr>
          <w:sz w:val="20"/>
          <w:szCs w:val="20"/>
          <w:color w:val="auto"/>
        </w:rPr>
        <w:tab/>
      </w:r>
      <w:hyperlink w:anchor="page742">
        <w:r>
          <w:rPr>
            <w:rFonts w:ascii="Arial" w:cs="Arial" w:eastAsia="Arial" w:hAnsi="Arial"/>
            <w:sz w:val="15"/>
            <w:szCs w:val="15"/>
            <w:u w:val="single" w:color="auto"/>
            <w:color w:val="0000FF"/>
          </w:rPr>
          <w:t>2018 Performance Share Plan</w:t>
        </w:r>
      </w:hyperlink>
    </w:p>
    <w:p>
      <w:pPr>
        <w:spacing w:after="0" w:line="77" w:lineRule="exact"/>
        <w:rPr>
          <w:sz w:val="20"/>
          <w:szCs w:val="20"/>
          <w:color w:val="auto"/>
        </w:rPr>
      </w:pPr>
    </w:p>
    <w:p>
      <w:pPr>
        <w:jc w:val="right"/>
        <w:ind w:right="7880"/>
        <w:spacing w:after="0"/>
        <w:tabs>
          <w:tab w:leader="none" w:pos="10000" w:val="left"/>
        </w:tabs>
        <w:rPr>
          <w:rFonts w:ascii="Arial" w:cs="Arial" w:eastAsia="Arial" w:hAnsi="Arial"/>
          <w:sz w:val="15"/>
          <w:szCs w:val="15"/>
          <w:u w:val="single" w:color="auto"/>
          <w:color w:val="0000FF"/>
        </w:rPr>
      </w:pPr>
      <w:r>
        <w:rPr>
          <w:rFonts w:ascii="Arial" w:cs="Arial" w:eastAsia="Arial" w:hAnsi="Arial"/>
          <w:sz w:val="18"/>
          <w:szCs w:val="18"/>
          <w:color w:val="auto"/>
        </w:rPr>
        <w:t>10.9</w:t>
      </w:r>
      <w:r>
        <w:rPr>
          <w:sz w:val="20"/>
          <w:szCs w:val="20"/>
          <w:color w:val="auto"/>
        </w:rPr>
        <w:tab/>
      </w:r>
      <w:hyperlink w:anchor="page755">
        <w:r>
          <w:rPr>
            <w:rFonts w:ascii="Arial" w:cs="Arial" w:eastAsia="Arial" w:hAnsi="Arial"/>
            <w:sz w:val="15"/>
            <w:szCs w:val="15"/>
            <w:u w:val="single" w:color="auto"/>
            <w:color w:val="0000FF"/>
          </w:rPr>
          <w:t>2019 Performance Share Plan</w:t>
        </w:r>
      </w:hyperlink>
    </w:p>
    <w:p>
      <w:pPr>
        <w:spacing w:after="0" w:line="77" w:lineRule="exact"/>
        <w:rPr>
          <w:sz w:val="20"/>
          <w:szCs w:val="20"/>
          <w:color w:val="auto"/>
        </w:rPr>
      </w:pPr>
    </w:p>
    <w:p>
      <w:pPr>
        <w:jc w:val="right"/>
        <w:ind w:right="7880"/>
        <w:spacing w:after="0"/>
        <w:tabs>
          <w:tab w:leader="none" w:pos="10000" w:val="left"/>
        </w:tabs>
        <w:rPr>
          <w:rFonts w:ascii="Arial" w:cs="Arial" w:eastAsia="Arial" w:hAnsi="Arial"/>
          <w:sz w:val="15"/>
          <w:szCs w:val="15"/>
          <w:u w:val="single" w:color="auto"/>
          <w:color w:val="0000FF"/>
        </w:rPr>
      </w:pPr>
      <w:r>
        <w:rPr>
          <w:rFonts w:ascii="Arial" w:cs="Arial" w:eastAsia="Arial" w:hAnsi="Arial"/>
          <w:sz w:val="18"/>
          <w:szCs w:val="18"/>
          <w:color w:val="auto"/>
        </w:rPr>
        <w:t>10.10</w:t>
      </w:r>
      <w:r>
        <w:rPr>
          <w:sz w:val="20"/>
          <w:szCs w:val="20"/>
          <w:color w:val="auto"/>
        </w:rPr>
        <w:tab/>
      </w:r>
      <w:hyperlink w:anchor="page769">
        <w:r>
          <w:rPr>
            <w:rFonts w:ascii="Arial" w:cs="Arial" w:eastAsia="Arial" w:hAnsi="Arial"/>
            <w:sz w:val="15"/>
            <w:szCs w:val="15"/>
            <w:u w:val="single" w:color="auto"/>
            <w:color w:val="0000FF"/>
          </w:rPr>
          <w:t>2020 Performance Share Plan</w:t>
        </w:r>
      </w:hyperlink>
    </w:p>
    <w:p>
      <w:pPr>
        <w:spacing w:after="0" w:line="7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w:anchor="page783">
        <w:r>
          <w:rPr>
            <w:rFonts w:ascii="Arial" w:cs="Arial" w:eastAsia="Arial" w:hAnsi="Arial"/>
            <w:sz w:val="16"/>
            <w:szCs w:val="16"/>
            <w:u w:val="single" w:color="auto"/>
            <w:color w:val="0000FF"/>
          </w:rPr>
          <w:t>2021 Performance Share Plan for Employees other than Management</w:t>
        </w:r>
      </w:hyperlink>
    </w:p>
    <w:p>
      <w:pPr>
        <w:spacing w:after="0" w:line="7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w:anchor="page795">
        <w:r>
          <w:rPr>
            <w:rFonts w:ascii="Arial" w:cs="Arial" w:eastAsia="Arial" w:hAnsi="Arial"/>
            <w:sz w:val="16"/>
            <w:szCs w:val="16"/>
            <w:u w:val="single" w:color="auto"/>
            <w:color w:val="0000FF"/>
          </w:rPr>
          <w:t>2021 Performance Share Plan for Management</w:t>
        </w:r>
      </w:hyperlink>
    </w:p>
    <w:p>
      <w:pPr>
        <w:spacing w:after="0" w:line="7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w:anchor="page809">
        <w:r>
          <w:rPr>
            <w:rFonts w:ascii="Arial" w:cs="Arial" w:eastAsia="Arial" w:hAnsi="Arial"/>
            <w:sz w:val="16"/>
            <w:szCs w:val="16"/>
            <w:u w:val="single" w:color="auto"/>
            <w:color w:val="0000FF"/>
          </w:rPr>
          <w:t>2017 Restricted Share Plan</w:t>
        </w:r>
      </w:hyperlink>
    </w:p>
    <w:p>
      <w:pPr>
        <w:spacing w:after="0" w:line="7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w:anchor="page821">
        <w:r>
          <w:rPr>
            <w:rFonts w:ascii="Arial" w:cs="Arial" w:eastAsia="Arial" w:hAnsi="Arial"/>
            <w:sz w:val="16"/>
            <w:szCs w:val="16"/>
            <w:u w:val="single" w:color="auto"/>
            <w:color w:val="0000FF"/>
          </w:rPr>
          <w:t>2018 Restricted Share Plan</w:t>
        </w:r>
      </w:hyperlink>
    </w:p>
    <w:p>
      <w:pPr>
        <w:spacing w:after="0" w:line="7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w:anchor="page833">
        <w:r>
          <w:rPr>
            <w:rFonts w:ascii="Arial" w:cs="Arial" w:eastAsia="Arial" w:hAnsi="Arial"/>
            <w:sz w:val="16"/>
            <w:szCs w:val="16"/>
            <w:u w:val="single" w:color="auto"/>
            <w:color w:val="0000FF"/>
          </w:rPr>
          <w:t>2019 Restricted Share Plan</w:t>
        </w:r>
      </w:hyperlink>
    </w:p>
    <w:p>
      <w:pPr>
        <w:spacing w:after="0" w:line="7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w:anchor="page844">
        <w:r>
          <w:rPr>
            <w:rFonts w:ascii="Arial" w:cs="Arial" w:eastAsia="Arial" w:hAnsi="Arial"/>
            <w:sz w:val="16"/>
            <w:szCs w:val="16"/>
            <w:u w:val="single" w:color="auto"/>
            <w:color w:val="0000FF"/>
          </w:rPr>
          <w:t>2020 Restricted Share Plan</w:t>
        </w:r>
      </w:hyperlink>
    </w:p>
    <w:p>
      <w:pPr>
        <w:spacing w:after="0" w:line="77" w:lineRule="exact"/>
        <w:rPr>
          <w:sz w:val="20"/>
          <w:szCs w:val="20"/>
          <w:color w:val="auto"/>
        </w:rPr>
      </w:pPr>
    </w:p>
    <w:p>
      <w:pPr>
        <w:ind w:left="54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w:anchor="page855">
        <w:r>
          <w:rPr>
            <w:rFonts w:ascii="Arial" w:cs="Arial" w:eastAsia="Arial" w:hAnsi="Arial"/>
            <w:sz w:val="16"/>
            <w:szCs w:val="16"/>
            <w:u w:val="single" w:color="auto"/>
            <w:color w:val="0000FF"/>
          </w:rPr>
          <w:t>2021 Restricted Share Plan</w:t>
        </w:r>
      </w:hyperlink>
    </w:p>
    <w:p>
      <w:pPr>
        <w:spacing w:after="0" w:line="77"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866">
        <w:r>
          <w:rPr>
            <w:rFonts w:ascii="Arial" w:cs="Arial" w:eastAsia="Arial" w:hAnsi="Arial"/>
            <w:sz w:val="16"/>
            <w:szCs w:val="16"/>
            <w:u w:val="single" w:color="auto"/>
            <w:color w:val="0000FF"/>
          </w:rPr>
          <w:t>Subsidiaries of the Registrant</w:t>
        </w:r>
      </w:hyperlink>
    </w:p>
    <w:p>
      <w:pPr>
        <w:spacing w:after="0" w:line="77" w:lineRule="exact"/>
        <w:rPr>
          <w:sz w:val="20"/>
          <w:szCs w:val="20"/>
          <w:color w:val="auto"/>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867">
        <w:r>
          <w:rPr>
            <w:rFonts w:ascii="Arial" w:cs="Arial" w:eastAsia="Arial" w:hAnsi="Arial"/>
            <w:sz w:val="16"/>
            <w:szCs w:val="16"/>
            <w:u w:val="single" w:color="auto"/>
            <w:color w:val="0000FF"/>
          </w:rPr>
          <w:t>Consent of KPMG AG</w:t>
        </w:r>
      </w:hyperlink>
    </w:p>
    <w:p>
      <w:pPr>
        <w:spacing w:after="0" w:line="7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Homburger AG (contained in Exhibits 5.1 and 8.1)</w:t>
      </w:r>
    </w:p>
    <w:p>
      <w:pPr>
        <w:spacing w:after="0" w:line="2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Cooley LLP (contained in Exhibit 8.2)</w:t>
      </w:r>
    </w:p>
    <w:p>
      <w:pPr>
        <w:spacing w:after="0" w:line="76" w:lineRule="exact"/>
        <w:rPr>
          <w:sz w:val="20"/>
          <w:szCs w:val="20"/>
          <w:color w:val="auto"/>
        </w:rPr>
      </w:pPr>
    </w:p>
    <w:p>
      <w:pPr>
        <w:ind w:left="1080" w:right="180" w:hanging="458"/>
        <w:spacing w:after="0" w:line="235"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24.1</w:t>
      </w:r>
      <w:r>
        <w:rPr>
          <w:sz w:val="20"/>
          <w:szCs w:val="20"/>
          <w:color w:val="auto"/>
        </w:rPr>
        <w:tab/>
      </w:r>
      <w:hyperlink w:anchor="page296">
        <w:r>
          <w:rPr>
            <w:rFonts w:ascii="Arial" w:cs="Arial" w:eastAsia="Arial" w:hAnsi="Arial"/>
            <w:sz w:val="18"/>
            <w:szCs w:val="18"/>
            <w:u w:val="single" w:color="auto"/>
            <w:color w:val="0000FF"/>
          </w:rPr>
          <w:t>Power of Attorney of each of the directors of the registrant and the principal executive, financial and accounting officers of the registrant</w:t>
        </w:r>
      </w:hyperlink>
      <w:r>
        <w:rPr>
          <w:rFonts w:ascii="Arial" w:cs="Arial" w:eastAsia="Arial" w:hAnsi="Arial"/>
          <w:sz w:val="18"/>
          <w:szCs w:val="18"/>
          <w:u w:val="single" w:color="auto"/>
          <w:color w:val="0000FF"/>
        </w:rPr>
        <w:t xml:space="preserve"> </w:t>
      </w:r>
      <w:hyperlink w:anchor="page296">
        <w:r>
          <w:rPr>
            <w:rFonts w:ascii="Arial" w:cs="Arial" w:eastAsia="Arial" w:hAnsi="Arial"/>
            <w:sz w:val="18"/>
            <w:szCs w:val="18"/>
            <w:u w:val="single" w:color="auto"/>
            <w:color w:val="0000FF"/>
          </w:rPr>
          <w:t>(included on signature page)</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w:t>
      </w:r>
    </w:p>
    <w:p>
      <w:pPr>
        <w:spacing w:after="0" w:line="23"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To be filed by amendment.</w:t>
      </w:r>
    </w:p>
    <w:p>
      <w:pPr>
        <w:spacing w:after="0" w:line="13" w:lineRule="exact"/>
        <w:rPr>
          <w:sz w:val="20"/>
          <w:szCs w:val="20"/>
          <w:color w:val="auto"/>
        </w:rPr>
      </w:pPr>
    </w:p>
    <w:p>
      <w:pPr>
        <w:ind w:left="240" w:hanging="232"/>
        <w:spacing w:after="0"/>
        <w:tabs>
          <w:tab w:leader="none" w:pos="24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Portions of this exhibit (indicated by asterisks) have been omitted pursuant to Item 601(b)(10)(iv)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1440" w:right="479" w:bottom="1440" w:gutter="0" w:footer="0" w:header="0"/>
        </w:sectPr>
      </w:pPr>
    </w:p>
    <w:bookmarkStart w:id="295" w:name="page296"/>
    <w:bookmarkEnd w:id="295"/>
    <w:p>
      <w:pPr>
        <w:spacing w:after="0" w:line="131" w:lineRule="exact"/>
        <w:rPr>
          <w:sz w:val="20"/>
          <w:szCs w:val="20"/>
          <w:color w:val="auto"/>
        </w:rPr>
      </w:pPr>
    </w:p>
    <w:p>
      <w:pPr>
        <w:ind w:left="480" w:hanging="472"/>
        <w:spacing w:after="0"/>
        <w:tabs>
          <w:tab w:leader="none" w:pos="48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statement schedules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information for which provision is made in the applicable accounting regulations of the Securities and Exchange Commission is either included in the financial statements or is not required under the related instructions or inapplicable, and therefore has been omitted.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Undertakings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undertakes:</w:t>
      </w:r>
    </w:p>
    <w:p>
      <w:pPr>
        <w:spacing w:after="0" w:line="144" w:lineRule="exact"/>
        <w:rPr>
          <w:sz w:val="20"/>
          <w:szCs w:val="20"/>
          <w:color w:val="auto"/>
        </w:rPr>
      </w:pPr>
    </w:p>
    <w:p>
      <w:pPr>
        <w:ind w:left="340" w:right="60" w:hanging="332"/>
        <w:spacing w:after="0" w:line="308" w:lineRule="auto"/>
        <w:tabs>
          <w:tab w:leader="none" w:pos="33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78" w:lineRule="exact"/>
        <w:rPr>
          <w:rFonts w:ascii="Arial" w:cs="Arial" w:eastAsia="Arial" w:hAnsi="Arial"/>
          <w:sz w:val="17"/>
          <w:szCs w:val="17"/>
          <w:color w:val="auto"/>
        </w:rPr>
      </w:pPr>
    </w:p>
    <w:p>
      <w:pPr>
        <w:ind w:left="340" w:hanging="332"/>
        <w:spacing w:after="0" w:line="271" w:lineRule="auto"/>
        <w:tabs>
          <w:tab w:leader="none" w:pos="33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10" w:lineRule="exact"/>
        <w:rPr>
          <w:rFonts w:ascii="Arial" w:cs="Arial" w:eastAsia="Arial" w:hAnsi="Arial"/>
          <w:sz w:val="17"/>
          <w:szCs w:val="17"/>
          <w:color w:val="auto"/>
        </w:rPr>
      </w:pPr>
    </w:p>
    <w:p>
      <w:pPr>
        <w:ind w:left="320" w:hanging="312"/>
        <w:spacing w:after="0"/>
        <w:tabs>
          <w:tab w:leader="none" w:pos="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ind w:left="660" w:right="140" w:hanging="328"/>
        <w:spacing w:after="0" w:line="271" w:lineRule="auto"/>
        <w:tabs>
          <w:tab w:leader="none" w:pos="654" w:val="left"/>
        </w:tabs>
        <w:numPr>
          <w:ilvl w:val="1"/>
          <w:numId w:val="17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ind w:left="660" w:right="80" w:hanging="328"/>
        <w:spacing w:after="0" w:line="255" w:lineRule="auto"/>
        <w:tabs>
          <w:tab w:leader="none" w:pos="65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1440" w:right="359" w:bottom="1440" w:gutter="0" w:footer="0" w:header="0"/>
        </w:sectPr>
      </w:pPr>
    </w:p>
    <w:bookmarkStart w:id="296" w:name="page297"/>
    <w:bookmarkEnd w:id="296"/>
    <w:p>
      <w:pPr>
        <w:spacing w:after="0" w:line="1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05"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Pursuant to the requirements of the Securities Act of 1933, as amended, or the Securities Act, the registrant certifies that it has reasonable grounds to believe that it meets all of the requirements for filing on Form F-1 and has duly caused this registration statement to be signed on its behalf by the undersigned, thereunto duly authorized, in the city of Zurich, Switzerland on this 22nd day of April, 2021.</w:t>
      </w:r>
    </w:p>
    <w:p>
      <w:pPr>
        <w:spacing w:after="0" w:line="13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MOLECULAR PARTNERS AG</w:t>
      </w:r>
    </w:p>
    <w:p>
      <w:pPr>
        <w:spacing w:after="0" w:line="243"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Amstutz</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220"/>
              <w:spacing w:after="0"/>
              <w:rPr>
                <w:sz w:val="20"/>
                <w:szCs w:val="20"/>
                <w:color w:val="auto"/>
              </w:rPr>
            </w:pPr>
            <w:r>
              <w:rPr>
                <w:rFonts w:ascii="Arial" w:cs="Arial" w:eastAsia="Arial" w:hAnsi="Arial"/>
                <w:sz w:val="18"/>
                <w:szCs w:val="18"/>
                <w:color w:val="auto"/>
              </w:rPr>
              <w:t>Patrick Amstutz</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POWER OF ATTORNEY</w:t>
      </w:r>
    </w:p>
    <w:p>
      <w:pPr>
        <w:spacing w:after="0" w:line="3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Dr. Patrick Amstutz and Andreas Emmenegger,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their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21" w:lineRule="exact"/>
        <w:rPr>
          <w:sz w:val="20"/>
          <w:szCs w:val="20"/>
          <w:color w:val="auto"/>
        </w:rPr>
      </w:pPr>
    </w:p>
    <w:p>
      <w:pPr>
        <w:ind w:left="1500"/>
        <w:spacing w:after="0"/>
        <w:tabs>
          <w:tab w:leader="none" w:pos="6420" w:val="left"/>
          <w:tab w:leader="none" w:pos="102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Amstutz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Patrick Amstutz</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Andreas Emmenegger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631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Andreas Emmenegger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William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M. Burns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Agnete Fredriksen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Agnete Fredriksen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H. Holtzman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Sandip Kapadia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Sandip Kapadia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Vito Palombella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Vito J. Palombella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Michael Vasconcelles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631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Dr. Michael Vasconcelles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Domink Höchli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631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Domink Höchli</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Molecular Partners Inc.</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and Accounting Officer</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April 22, 2021</w:t>
      </w:r>
    </w:p>
    <w:p>
      <w:pPr>
        <w:spacing w:after="0" w:line="724" w:lineRule="exact"/>
        <w:rPr>
          <w:sz w:val="20"/>
          <w:szCs w:val="20"/>
          <w:color w:val="auto"/>
        </w:rPr>
      </w:pPr>
    </w:p>
    <w:p>
      <w:pPr>
        <w:sectPr>
          <w:pgSz w:w="11900" w:h="16838" w:orient="portrait"/>
          <w:cols w:equalWidth="0" w:num="3">
            <w:col w:w="3000" w:space="720"/>
            <w:col w:w="5720" w:space="720"/>
            <w:col w:w="1060"/>
          </w:cols>
          <w:pgMar w:left="320" w:top="1440" w:right="35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Patrick Amstutz</w:t>
            </w:r>
          </w:p>
        </w:tc>
        <w:tc>
          <w:tcPr>
            <w:tcW w:w="5060" w:type="dxa"/>
            <w:vAlign w:val="bottom"/>
          </w:tcPr>
          <w:p>
            <w:pPr>
              <w:ind w:left="140"/>
              <w:spacing w:after="0"/>
              <w:rPr>
                <w:sz w:val="20"/>
                <w:szCs w:val="20"/>
                <w:color w:val="auto"/>
              </w:rPr>
            </w:pPr>
            <w:r>
              <w:rPr>
                <w:rFonts w:ascii="Arial" w:cs="Arial" w:eastAsia="Arial" w:hAnsi="Arial"/>
                <w:sz w:val="18"/>
                <w:szCs w:val="18"/>
                <w:color w:val="auto"/>
              </w:rPr>
              <w:t>Authorized Representative in the United States</w:t>
            </w:r>
          </w:p>
        </w:tc>
        <w:tc>
          <w:tcPr>
            <w:tcW w:w="2580" w:type="dxa"/>
            <w:vAlign w:val="bottom"/>
          </w:tcPr>
          <w:p>
            <w:pPr>
              <w:ind w:left="1520"/>
              <w:spacing w:after="0"/>
              <w:rPr>
                <w:sz w:val="20"/>
                <w:szCs w:val="20"/>
                <w:color w:val="auto"/>
              </w:rPr>
            </w:pPr>
            <w:r>
              <w:rPr>
                <w:rFonts w:ascii="Arial" w:cs="Arial" w:eastAsia="Arial" w:hAnsi="Arial"/>
                <w:sz w:val="18"/>
                <w:szCs w:val="18"/>
                <w:color w:val="auto"/>
                <w:w w:val="93"/>
              </w:rPr>
              <w:t>April 22, 2021</w:t>
            </w:r>
          </w:p>
        </w:tc>
      </w:tr>
      <w:tr>
        <w:trPr>
          <w:trHeight w:val="222"/>
        </w:trPr>
        <w:tc>
          <w:tcPr>
            <w:tcW w:w="3580" w:type="dxa"/>
            <w:vAlign w:val="bottom"/>
          </w:tcPr>
          <w:p>
            <w:pPr>
              <w:ind w:left="20"/>
              <w:spacing w:after="0"/>
              <w:rPr>
                <w:sz w:val="20"/>
                <w:szCs w:val="20"/>
                <w:color w:val="auto"/>
              </w:rPr>
            </w:pPr>
            <w:r>
              <w:rPr>
                <w:rFonts w:ascii="Arial" w:cs="Arial" w:eastAsia="Arial" w:hAnsi="Arial"/>
                <w:sz w:val="18"/>
                <w:szCs w:val="18"/>
                <w:color w:val="auto"/>
              </w:rPr>
              <w:t>Name: Patrick Amstutz</w:t>
            </w:r>
          </w:p>
        </w:tc>
        <w:tc>
          <w:tcPr>
            <w:tcW w:w="50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c>
          <w:tcPr>
            <w:tcW w:w="506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320" w:top="1440" w:right="359" w:bottom="1440" w:gutter="0" w:footer="0" w:header="0"/>
          <w:type w:val="continuous"/>
        </w:sectPr>
      </w:pPr>
    </w:p>
    <w:bookmarkStart w:id="298" w:name="page299"/>
    <w:bookmarkEnd w:id="298"/>
    <w:p>
      <w:pPr>
        <w:jc w:val="right"/>
        <w:spacing w:after="0"/>
        <w:rPr>
          <w:sz w:val="20"/>
          <w:szCs w:val="20"/>
          <w:color w:val="auto"/>
        </w:rPr>
      </w:pPr>
      <w:r>
        <w:rPr>
          <w:rFonts w:ascii="Arial" w:cs="Arial" w:eastAsia="Arial" w:hAnsi="Arial"/>
          <w:sz w:val="16"/>
          <w:szCs w:val="16"/>
          <w:b w:val="1"/>
          <w:bCs w:val="1"/>
          <w:color w:val="auto"/>
        </w:rPr>
        <w:t>Exhibit 3.1</w:t>
      </w:r>
    </w:p>
    <w:p>
      <w:pPr>
        <w:sectPr>
          <w:pgSz w:w="11900" w:h="16838" w:orient="portrait"/>
          <w:cols w:equalWidth="0" w:num="1">
            <w:col w:w="10120"/>
          </w:cols>
          <w:pgMar w:left="14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Statuten</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von Molecular Partners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Articles of Incorporation of</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Molecular Partners Ltd</w:t>
      </w:r>
    </w:p>
    <w:p>
      <w:pPr>
        <w:spacing w:after="0" w:line="52" w:lineRule="exact"/>
        <w:rPr>
          <w:sz w:val="20"/>
          <w:szCs w:val="20"/>
          <w:color w:val="auto"/>
        </w:rPr>
      </w:pPr>
    </w:p>
    <w:p>
      <w:pPr>
        <w:sectPr>
          <w:pgSz w:w="11900" w:h="16838" w:orient="portrait"/>
          <w:cols w:equalWidth="0" w:num="2">
            <w:col w:w="4940" w:space="720"/>
            <w:col w:w="4460"/>
          </w:cols>
          <w:pgMar w:left="1440" w:top="121" w:right="33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vom 21. April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 of April 21, 2021</w:t>
      </w:r>
      <w:r>
        <w:rPr>
          <w:rFonts w:ascii="Arial" w:cs="Arial" w:eastAsia="Arial" w:hAnsi="Arial"/>
          <w:sz w:val="11"/>
          <w:szCs w:val="11"/>
          <w:color w:val="auto"/>
        </w:rPr>
        <w:t>1</w:t>
      </w:r>
    </w:p>
    <w:p>
      <w:pPr>
        <w:spacing w:after="0" w:line="200" w:lineRule="exact"/>
        <w:rPr>
          <w:sz w:val="20"/>
          <w:szCs w:val="20"/>
          <w:color w:val="auto"/>
        </w:rPr>
      </w:pPr>
    </w:p>
    <w:p>
      <w:pPr>
        <w:sectPr>
          <w:pgSz w:w="11900" w:h="16838" w:orient="portrait"/>
          <w:cols w:equalWidth="0" w:num="2">
            <w:col w:w="4940" w:space="720"/>
            <w:col w:w="4460"/>
          </w:cols>
          <w:pgMar w:left="144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This is a translation of the original German version. In</w:t>
      </w:r>
    </w:p>
    <w:p>
      <w:pPr>
        <w:ind w:left="5660"/>
        <w:spacing w:after="0"/>
        <w:rPr>
          <w:sz w:val="20"/>
          <w:szCs w:val="20"/>
          <w:color w:val="auto"/>
        </w:rPr>
      </w:pPr>
      <w:r>
        <w:rPr>
          <w:rFonts w:ascii="Arial" w:cs="Arial" w:eastAsia="Arial" w:hAnsi="Arial"/>
          <w:sz w:val="16"/>
          <w:szCs w:val="16"/>
          <w:color w:val="auto"/>
        </w:rPr>
        <w:t>case of any discrepancy, the German version shall</w:t>
      </w:r>
    </w:p>
    <w:p>
      <w:pPr>
        <w:spacing w:after="0" w:line="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prevail.</w:t>
      </w:r>
    </w:p>
    <w:p>
      <w:pPr>
        <w:sectPr>
          <w:pgSz w:w="11900" w:h="16838" w:orient="portrait"/>
          <w:cols w:equalWidth="0" w:num="1">
            <w:col w:w="10120"/>
          </w:cols>
          <w:pgMar w:left="1440" w:top="121" w:right="339" w:bottom="1440" w:gutter="0" w:footer="0" w:header="0"/>
          <w:type w:val="continuous"/>
        </w:sectPr>
      </w:pPr>
    </w:p>
    <w:bookmarkStart w:id="299" w:name="page300"/>
    <w:bookmarkEnd w:id="299"/>
    <w:p>
      <w:pPr>
        <w:ind w:left="5600"/>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803275</wp:posOffset>
            </wp:positionV>
            <wp:extent cx="57607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10520"/>
          </w:cols>
          <w:pgMar w:left="22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Arial" w:cs="Arial" w:eastAsia="Arial" w:hAnsi="Arial"/>
                <w:sz w:val="14"/>
                <w:szCs w:val="14"/>
                <w:color w:val="auto"/>
              </w:rPr>
              <w:t>a, Sitz</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Abschnitt 1:</w:t>
            </w:r>
          </w:p>
        </w:tc>
        <w:tc>
          <w:tcPr>
            <w:tcW w:w="1660" w:type="dxa"/>
            <w:vAlign w:val="bottom"/>
          </w:tcPr>
          <w:p>
            <w:pPr>
              <w:spacing w:after="0"/>
              <w:rPr>
                <w:sz w:val="19"/>
                <w:szCs w:val="19"/>
                <w:color w:val="auto"/>
              </w:rPr>
            </w:pPr>
          </w:p>
        </w:tc>
        <w:tc>
          <w:tcPr>
            <w:tcW w:w="5180" w:type="dxa"/>
            <w:vAlign w:val="bottom"/>
            <w:gridSpan w:val="2"/>
          </w:tcPr>
          <w:p>
            <w:pPr>
              <w:ind w:left="920"/>
              <w:spacing w:after="0"/>
              <w:rPr>
                <w:sz w:val="20"/>
                <w:szCs w:val="20"/>
                <w:color w:val="auto"/>
              </w:rPr>
            </w:pPr>
            <w:r>
              <w:rPr>
                <w:rFonts w:ascii="Arial" w:cs="Arial" w:eastAsia="Arial" w:hAnsi="Arial"/>
                <w:sz w:val="18"/>
                <w:szCs w:val="18"/>
                <w:b w:val="1"/>
                <w:bCs w:val="1"/>
                <w:color w:val="auto"/>
              </w:rPr>
              <w:t>Section 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i w:val="1"/>
                <w:iCs w:val="1"/>
                <w:color w:val="auto"/>
              </w:rPr>
              <w:t>Firma, Sitz, Zweck und Dauer der Gesellschaft</w:t>
            </w:r>
          </w:p>
        </w:tc>
        <w:tc>
          <w:tcPr>
            <w:tcW w:w="13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Name, Place of Incorporation, Purpose and</w:t>
            </w: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Duration of the Company</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93"/>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Artikel 1</w:t>
            </w:r>
          </w:p>
        </w:tc>
        <w:tc>
          <w:tcPr>
            <w:tcW w:w="1660" w:type="dxa"/>
            <w:vAlign w:val="bottom"/>
          </w:tcPr>
          <w:p>
            <w:pPr>
              <w:spacing w:after="0"/>
              <w:rPr>
                <w:sz w:val="24"/>
                <w:szCs w:val="24"/>
                <w:color w:val="auto"/>
              </w:rPr>
            </w:pPr>
          </w:p>
        </w:tc>
        <w:tc>
          <w:tcPr>
            <w:tcW w:w="5180" w:type="dxa"/>
            <w:vAlign w:val="bottom"/>
            <w:gridSpan w:val="2"/>
          </w:tcPr>
          <w:p>
            <w:pPr>
              <w:ind w:left="920"/>
              <w:spacing w:after="0"/>
              <w:rPr>
                <w:sz w:val="20"/>
                <w:szCs w:val="20"/>
                <w:color w:val="auto"/>
              </w:rPr>
            </w:pPr>
            <w:r>
              <w:rPr>
                <w:rFonts w:ascii="Arial" w:cs="Arial" w:eastAsia="Arial" w:hAnsi="Arial"/>
                <w:sz w:val="18"/>
                <w:szCs w:val="18"/>
                <w:b w:val="1"/>
                <w:bCs w:val="1"/>
                <w:color w:val="auto"/>
              </w:rPr>
              <w:t>Article 1</w:t>
            </w:r>
          </w:p>
        </w:tc>
        <w:tc>
          <w:tcPr>
            <w:tcW w:w="0" w:type="dxa"/>
            <w:vAlign w:val="bottom"/>
          </w:tcPr>
          <w:p>
            <w:pPr>
              <w:spacing w:after="0"/>
              <w:rPr>
                <w:sz w:val="1"/>
                <w:szCs w:val="1"/>
                <w:color w:val="auto"/>
              </w:rPr>
            </w:pPr>
          </w:p>
        </w:tc>
      </w:tr>
      <w:tr>
        <w:trPr>
          <w:trHeight w:val="189"/>
        </w:trPr>
        <w:tc>
          <w:tcPr>
            <w:tcW w:w="2600" w:type="dxa"/>
            <w:vAlign w:val="bottom"/>
            <w:gridSpan w:val="2"/>
            <w:vMerge w:val="restart"/>
          </w:tcPr>
          <w:p>
            <w:pPr>
              <w:spacing w:after="0"/>
              <w:rPr>
                <w:sz w:val="20"/>
                <w:szCs w:val="20"/>
                <w:color w:val="auto"/>
              </w:rPr>
            </w:pPr>
            <w:r>
              <w:rPr>
                <w:rFonts w:ascii="Arial" w:cs="Arial" w:eastAsia="Arial" w:hAnsi="Arial"/>
                <w:sz w:val="18"/>
                <w:szCs w:val="18"/>
                <w:color w:val="auto"/>
              </w:rPr>
              <w:t>Unter der Firma</w:t>
            </w:r>
          </w:p>
        </w:tc>
        <w:tc>
          <w:tcPr>
            <w:tcW w:w="6840" w:type="dxa"/>
            <w:vAlign w:val="bottom"/>
            <w:gridSpan w:val="3"/>
          </w:tcPr>
          <w:p>
            <w:pPr>
              <w:ind w:left="1360"/>
              <w:spacing w:after="0"/>
              <w:rPr>
                <w:sz w:val="20"/>
                <w:szCs w:val="20"/>
                <w:color w:val="auto"/>
              </w:rPr>
            </w:pPr>
            <w:r>
              <w:rPr>
                <w:rFonts w:ascii="Arial" w:cs="Arial" w:eastAsia="Arial" w:hAnsi="Arial"/>
                <w:sz w:val="14"/>
                <w:szCs w:val="14"/>
                <w:color w:val="auto"/>
              </w:rPr>
              <w:t>Name, Place of1</w:t>
            </w:r>
          </w:p>
        </w:tc>
        <w:tc>
          <w:tcPr>
            <w:tcW w:w="0" w:type="dxa"/>
            <w:vAlign w:val="bottom"/>
          </w:tcPr>
          <w:p>
            <w:pPr>
              <w:spacing w:after="0"/>
              <w:rPr>
                <w:sz w:val="1"/>
                <w:szCs w:val="1"/>
                <w:color w:val="auto"/>
              </w:rPr>
            </w:pPr>
          </w:p>
        </w:tc>
      </w:tr>
      <w:tr>
        <w:trPr>
          <w:trHeight w:val="461"/>
        </w:trPr>
        <w:tc>
          <w:tcPr>
            <w:tcW w:w="260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5180" w:type="dxa"/>
            <w:vAlign w:val="bottom"/>
            <w:gridSpan w:val="2"/>
          </w:tcPr>
          <w:p>
            <w:pPr>
              <w:ind w:left="120"/>
              <w:spacing w:after="0"/>
              <w:rPr>
                <w:sz w:val="20"/>
                <w:szCs w:val="20"/>
                <w:color w:val="auto"/>
              </w:rPr>
            </w:pPr>
            <w:r>
              <w:rPr>
                <w:rFonts w:ascii="Arial" w:cs="Arial" w:eastAsia="Arial" w:hAnsi="Arial"/>
                <w:sz w:val="14"/>
                <w:szCs w:val="14"/>
                <w:color w:val="auto"/>
              </w:rPr>
              <w:t>Incorporation</w:t>
            </w:r>
            <w:r>
              <w:rPr>
                <w:rFonts w:ascii="Arial" w:cs="Arial" w:eastAsia="Arial" w:hAnsi="Arial"/>
                <w:sz w:val="35"/>
                <w:szCs w:val="35"/>
                <w:color w:val="auto"/>
                <w:vertAlign w:val="superscript"/>
              </w:rPr>
              <w:t>Under the name</w:t>
            </w: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2">
            <w:col w:w="820" w:space="260"/>
            <w:col w:w="9440"/>
          </w:cols>
          <w:pgMar w:left="220" w:top="144" w:right="1159" w:bottom="1440" w:gutter="0" w:footer="0" w:header="0"/>
          <w:type w:val="continuous"/>
        </w:sectPr>
      </w:pPr>
    </w:p>
    <w:p>
      <w:pPr>
        <w:jc w:val="center"/>
        <w:ind w:left="840"/>
        <w:spacing w:after="0"/>
        <w:rPr>
          <w:sz w:val="20"/>
          <w:szCs w:val="20"/>
          <w:color w:val="auto"/>
        </w:rPr>
      </w:pPr>
      <w:r>
        <w:rPr>
          <w:rFonts w:ascii="Arial" w:cs="Arial" w:eastAsia="Arial" w:hAnsi="Arial"/>
          <w:sz w:val="18"/>
          <w:szCs w:val="18"/>
          <w:color w:val="auto"/>
        </w:rPr>
        <w:t>Molecular  Partners  AG  (Molecular  Partners  SA)</w:t>
      </w:r>
    </w:p>
    <w:p>
      <w:pPr>
        <w:spacing w:after="0" w:line="9" w:lineRule="exact"/>
        <w:rPr>
          <w:sz w:val="20"/>
          <w:szCs w:val="20"/>
          <w:color w:val="auto"/>
        </w:rPr>
      </w:pPr>
    </w:p>
    <w:p>
      <w:pPr>
        <w:jc w:val="center"/>
        <w:ind w:left="860"/>
        <w:spacing w:after="0"/>
        <w:rPr>
          <w:sz w:val="20"/>
          <w:szCs w:val="20"/>
          <w:color w:val="auto"/>
        </w:rPr>
      </w:pPr>
      <w:r>
        <w:rPr>
          <w:rFonts w:ascii="Arial" w:cs="Arial" w:eastAsia="Arial" w:hAnsi="Arial"/>
          <w:sz w:val="18"/>
          <w:szCs w:val="18"/>
          <w:color w:val="auto"/>
        </w:rPr>
        <w:t xml:space="preserve">(Molecular Partners Ltd) (die </w:t>
      </w:r>
      <w:r>
        <w:rPr>
          <w:rFonts w:ascii="Arial" w:cs="Arial" w:eastAsia="Arial" w:hAnsi="Arial"/>
          <w:sz w:val="18"/>
          <w:szCs w:val="18"/>
          <w:b w:val="1"/>
          <w:bCs w:val="1"/>
          <w:color w:val="auto"/>
        </w:rPr>
        <w:t>Gesellschaft</w:t>
      </w:r>
      <w:r>
        <w:rPr>
          <w:rFonts w:ascii="Arial" w:cs="Arial" w:eastAsia="Arial" w:hAnsi="Arial"/>
          <w:sz w:val="18"/>
          <w:szCs w:val="18"/>
          <w:color w:val="auto"/>
        </w:rPr>
        <w:t>)</w:t>
      </w:r>
    </w:p>
    <w:p>
      <w:pPr>
        <w:spacing w:after="0" w:line="360" w:lineRule="exact"/>
        <w:rPr>
          <w:sz w:val="20"/>
          <w:szCs w:val="20"/>
          <w:color w:val="auto"/>
        </w:rPr>
      </w:pPr>
    </w:p>
    <w:p>
      <w:pPr>
        <w:jc w:val="right"/>
        <w:ind w:left="1080" w:right="240"/>
        <w:spacing w:after="0" w:line="250" w:lineRule="auto"/>
        <w:rPr>
          <w:sz w:val="20"/>
          <w:szCs w:val="20"/>
          <w:color w:val="auto"/>
        </w:rPr>
      </w:pPr>
      <w:r>
        <w:rPr>
          <w:rFonts w:ascii="Arial" w:cs="Arial" w:eastAsia="Arial" w:hAnsi="Arial"/>
          <w:sz w:val="18"/>
          <w:szCs w:val="18"/>
          <w:color w:val="auto"/>
        </w:rPr>
        <w:t>besteht   eine   Aktiengesellschaft,   die   den vorliegenden Statuten und den Vorschriften des</w:t>
      </w:r>
    </w:p>
    <w:p>
      <w:pPr>
        <w:spacing w:after="0" w:line="1" w:lineRule="exact"/>
        <w:rPr>
          <w:sz w:val="20"/>
          <w:szCs w:val="20"/>
          <w:color w:val="auto"/>
        </w:rPr>
      </w:pPr>
    </w:p>
    <w:p>
      <w:pPr>
        <w:ind w:left="1480" w:right="240"/>
        <w:spacing w:after="0" w:line="261" w:lineRule="auto"/>
        <w:rPr>
          <w:sz w:val="20"/>
          <w:szCs w:val="20"/>
          <w:color w:val="auto"/>
        </w:rPr>
      </w:pPr>
      <w:r>
        <w:rPr>
          <w:rFonts w:ascii="Arial" w:cs="Arial" w:eastAsia="Arial" w:hAnsi="Arial"/>
          <w:sz w:val="18"/>
          <w:szCs w:val="18"/>
          <w:color w:val="auto"/>
        </w:rPr>
        <w:t xml:space="preserve">26. Titels des Schweizerischen Obligationenrechts (das </w:t>
      </w:r>
      <w:r>
        <w:rPr>
          <w:rFonts w:ascii="Arial" w:cs="Arial" w:eastAsia="Arial" w:hAnsi="Arial"/>
          <w:sz w:val="18"/>
          <w:szCs w:val="18"/>
          <w:b w:val="1"/>
          <w:bCs w:val="1"/>
          <w:color w:val="auto"/>
        </w:rPr>
        <w:t>OR</w:t>
      </w:r>
      <w:r>
        <w:rPr>
          <w:rFonts w:ascii="Arial" w:cs="Arial" w:eastAsia="Arial" w:hAnsi="Arial"/>
          <w:sz w:val="18"/>
          <w:szCs w:val="18"/>
          <w:color w:val="auto"/>
        </w:rPr>
        <w:t>) untersteht.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Molecular  Partners  AG  (Molecular  Partners  SA)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(Molecular Partners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60" w:lineRule="exact"/>
        <w:rPr>
          <w:sz w:val="20"/>
          <w:szCs w:val="20"/>
          <w:color w:val="auto"/>
        </w:rPr>
      </w:pPr>
    </w:p>
    <w:p>
      <w:pPr>
        <w:jc w:val="both"/>
        <w:ind w:left="420" w:right="20" w:hanging="404"/>
        <w:spacing w:after="0" w:line="256" w:lineRule="auto"/>
        <w:rPr>
          <w:sz w:val="20"/>
          <w:szCs w:val="20"/>
          <w:color w:val="auto"/>
        </w:rPr>
      </w:pPr>
      <w:r>
        <w:rPr>
          <w:rFonts w:ascii="Arial" w:cs="Arial" w:eastAsia="Arial" w:hAnsi="Arial"/>
          <w:sz w:val="18"/>
          <w:szCs w:val="18"/>
          <w:color w:val="auto"/>
        </w:rPr>
        <w:t>there exists a corporation as defined in title 26 of the Swiss Code of Obligations (</w:t>
      </w:r>
      <w:r>
        <w:rPr>
          <w:rFonts w:ascii="Arial" w:cs="Arial" w:eastAsia="Arial" w:hAnsi="Arial"/>
          <w:sz w:val="18"/>
          <w:szCs w:val="18"/>
          <w:b w:val="1"/>
          <w:bCs w:val="1"/>
          <w:color w:val="auto"/>
        </w:rPr>
        <w:t>CO</w:t>
      </w:r>
      <w:r>
        <w:rPr>
          <w:rFonts w:ascii="Arial" w:cs="Arial" w:eastAsia="Arial" w:hAnsi="Arial"/>
          <w:sz w:val="18"/>
          <w:szCs w:val="18"/>
          <w:color w:val="auto"/>
        </w:rPr>
        <w:t>) and in these Articles of Incorporation.</w:t>
      </w:r>
    </w:p>
    <w:p>
      <w:pPr>
        <w:spacing w:after="0" w:line="238" w:lineRule="exact"/>
        <w:rPr>
          <w:sz w:val="20"/>
          <w:szCs w:val="20"/>
          <w:color w:val="auto"/>
        </w:rPr>
      </w:pPr>
    </w:p>
    <w:p>
      <w:pPr>
        <w:sectPr>
          <w:pgSz w:w="11900" w:h="16838" w:orient="portrait"/>
          <w:cols w:equalWidth="0" w:num="2">
            <w:col w:w="5540" w:space="720"/>
            <w:col w:w="4260"/>
          </w:cols>
          <w:pgMar w:left="220" w:top="144" w:right="1159" w:bottom="1440" w:gutter="0" w:footer="0" w:header="0"/>
          <w:type w:val="continuous"/>
        </w:sectPr>
      </w:pPr>
    </w:p>
    <w:p>
      <w:pPr>
        <w:spacing w:after="0" w:line="7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20"/>
                <w:szCs w:val="20"/>
                <w:color w:val="auto"/>
              </w:rPr>
            </w:pPr>
            <w:r>
              <w:rPr>
                <w:rFonts w:ascii="Arial" w:cs="Arial" w:eastAsia="Arial" w:hAnsi="Arial"/>
                <w:sz w:val="18"/>
                <w:szCs w:val="18"/>
                <w:color w:val="auto"/>
              </w:rPr>
              <w:t>Der Sitz der Gesellschaft ist in Schlieren, Kanton</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4360" w:type="dxa"/>
            <w:vAlign w:val="bottom"/>
          </w:tcPr>
          <w:p>
            <w:pPr>
              <w:jc w:val="right"/>
              <w:spacing w:after="0"/>
              <w:rPr>
                <w:sz w:val="20"/>
                <w:szCs w:val="20"/>
                <w:color w:val="auto"/>
              </w:rPr>
            </w:pPr>
            <w:r>
              <w:rPr>
                <w:rFonts w:ascii="Arial" w:cs="Arial" w:eastAsia="Arial" w:hAnsi="Arial"/>
                <w:sz w:val="18"/>
                <w:szCs w:val="18"/>
                <w:color w:val="auto"/>
              </w:rPr>
              <w:t>The registered office of the Company is in Schlieren,</w:t>
            </w:r>
          </w:p>
        </w:tc>
        <w:tc>
          <w:tcPr>
            <w:tcW w:w="0" w:type="dxa"/>
            <w:vAlign w:val="bottom"/>
          </w:tcPr>
          <w:p>
            <w:pPr>
              <w:spacing w:after="0"/>
              <w:rPr>
                <w:sz w:val="1"/>
                <w:szCs w:val="1"/>
                <w:color w:val="auto"/>
              </w:rPr>
            </w:pPr>
          </w:p>
        </w:tc>
      </w:tr>
      <w:tr>
        <w:trPr>
          <w:trHeight w:val="42"/>
        </w:trPr>
        <w:tc>
          <w:tcPr>
            <w:tcW w:w="43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400"/>
              <w:spacing w:after="0"/>
              <w:rPr>
                <w:sz w:val="20"/>
                <w:szCs w:val="20"/>
                <w:color w:val="auto"/>
              </w:rPr>
            </w:pPr>
            <w:r>
              <w:rPr>
                <w:rFonts w:ascii="Arial" w:cs="Arial" w:eastAsia="Arial" w:hAnsi="Arial"/>
                <w:sz w:val="18"/>
                <w:szCs w:val="18"/>
                <w:color w:val="auto"/>
              </w:rPr>
              <w:t>Zürich. Die Dauer der Gesellschaft ist</w:t>
            </w:r>
          </w:p>
        </w:tc>
        <w:tc>
          <w:tcPr>
            <w:tcW w:w="700" w:type="dxa"/>
            <w:vAlign w:val="bottom"/>
          </w:tcPr>
          <w:p>
            <w:pPr>
              <w:spacing w:after="0"/>
              <w:rPr>
                <w:sz w:val="22"/>
                <w:szCs w:val="22"/>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Canton of Zurich. The duration of the Company</w:t>
            </w:r>
          </w:p>
        </w:tc>
        <w:tc>
          <w:tcPr>
            <w:tcW w:w="0" w:type="dxa"/>
            <w:vAlign w:val="bottom"/>
          </w:tcPr>
          <w:p>
            <w:pPr>
              <w:spacing w:after="0"/>
              <w:rPr>
                <w:sz w:val="1"/>
                <w:szCs w:val="1"/>
                <w:color w:val="auto"/>
              </w:rPr>
            </w:pPr>
          </w:p>
        </w:tc>
      </w:tr>
      <w:tr>
        <w:trPr>
          <w:trHeight w:val="270"/>
        </w:trPr>
        <w:tc>
          <w:tcPr>
            <w:tcW w:w="4360" w:type="dxa"/>
            <w:vAlign w:val="bottom"/>
          </w:tcPr>
          <w:p>
            <w:pPr>
              <w:ind w:left="400"/>
              <w:spacing w:after="0"/>
              <w:rPr>
                <w:sz w:val="20"/>
                <w:szCs w:val="20"/>
                <w:color w:val="auto"/>
              </w:rPr>
            </w:pPr>
            <w:r>
              <w:rPr>
                <w:rFonts w:ascii="Arial" w:cs="Arial" w:eastAsia="Arial" w:hAnsi="Arial"/>
                <w:sz w:val="18"/>
                <w:szCs w:val="18"/>
                <w:color w:val="auto"/>
              </w:rPr>
              <w:t>unbeschränkt.</w:t>
            </w:r>
          </w:p>
        </w:tc>
        <w:tc>
          <w:tcPr>
            <w:tcW w:w="700" w:type="dxa"/>
            <w:vAlign w:val="bottom"/>
          </w:tcPr>
          <w:p>
            <w:pPr>
              <w:spacing w:after="0"/>
              <w:rPr>
                <w:sz w:val="23"/>
                <w:szCs w:val="23"/>
                <w:color w:val="auto"/>
              </w:rPr>
            </w:pPr>
          </w:p>
        </w:tc>
        <w:tc>
          <w:tcPr>
            <w:tcW w:w="4360" w:type="dxa"/>
            <w:vAlign w:val="bottom"/>
          </w:tcPr>
          <w:p>
            <w:pPr>
              <w:jc w:val="right"/>
              <w:ind w:right="2790"/>
              <w:spacing w:after="0"/>
              <w:rPr>
                <w:sz w:val="20"/>
                <w:szCs w:val="20"/>
                <w:color w:val="auto"/>
              </w:rPr>
            </w:pPr>
            <w:r>
              <w:rPr>
                <w:rFonts w:ascii="Arial" w:cs="Arial" w:eastAsia="Arial" w:hAnsi="Arial"/>
                <w:sz w:val="18"/>
                <w:szCs w:val="18"/>
                <w:color w:val="auto"/>
              </w:rPr>
              <w:t>is unlimited.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20" w:space="260"/>
            <w:col w:w="9440"/>
          </w:cols>
          <w:pgMar w:left="220" w:top="144" w:right="1159" w:bottom="1440" w:gutter="0" w:footer="0" w:header="0"/>
          <w:type w:val="continuous"/>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r>
              <w:rPr>
                <w:rFonts w:ascii="Arial" w:cs="Arial" w:eastAsia="Arial" w:hAnsi="Arial"/>
                <w:sz w:val="14"/>
                <w:szCs w:val="14"/>
                <w:color w:val="auto"/>
              </w:rPr>
              <w:t>ck</w:t>
            </w:r>
          </w:p>
        </w:tc>
        <w:tc>
          <w:tcPr>
            <w:tcW w:w="500" w:type="dxa"/>
            <w:vAlign w:val="bottom"/>
          </w:tcPr>
          <w:p>
            <w:pPr>
              <w:spacing w:after="0"/>
              <w:rPr>
                <w:sz w:val="20"/>
                <w:szCs w:val="20"/>
                <w:color w:val="auto"/>
              </w:rPr>
            </w:pPr>
          </w:p>
        </w:tc>
        <w:tc>
          <w:tcPr>
            <w:tcW w:w="4080" w:type="dxa"/>
            <w:vAlign w:val="bottom"/>
          </w:tcPr>
          <w:p>
            <w:pPr>
              <w:ind w:left="140"/>
              <w:spacing w:after="0"/>
              <w:rPr>
                <w:sz w:val="20"/>
                <w:szCs w:val="20"/>
                <w:color w:val="auto"/>
              </w:rPr>
            </w:pPr>
            <w:r>
              <w:rPr>
                <w:rFonts w:ascii="Arial" w:cs="Arial" w:eastAsia="Arial" w:hAnsi="Arial"/>
                <w:sz w:val="18"/>
                <w:szCs w:val="18"/>
                <w:b w:val="1"/>
                <w:bCs w:val="1"/>
                <w:color w:val="auto"/>
              </w:rPr>
              <w:t>Artikel 2</w:t>
            </w:r>
          </w:p>
        </w:tc>
        <w:tc>
          <w:tcPr>
            <w:tcW w:w="740" w:type="dxa"/>
            <w:vAlign w:val="bottom"/>
          </w:tcPr>
          <w:p>
            <w:pPr>
              <w:ind w:left="20"/>
              <w:spacing w:after="0"/>
              <w:rPr>
                <w:sz w:val="20"/>
                <w:szCs w:val="20"/>
                <w:color w:val="auto"/>
              </w:rPr>
            </w:pPr>
            <w:r>
              <w:rPr>
                <w:rFonts w:ascii="Arial" w:cs="Arial" w:eastAsia="Arial" w:hAnsi="Arial"/>
                <w:sz w:val="14"/>
                <w:szCs w:val="14"/>
                <w:color w:val="auto"/>
              </w:rPr>
              <w:t>Purpose</w:t>
            </w:r>
          </w:p>
        </w:tc>
        <w:tc>
          <w:tcPr>
            <w:tcW w:w="380" w:type="dxa"/>
            <w:vAlign w:val="bottom"/>
          </w:tcPr>
          <w:p>
            <w:pPr>
              <w:spacing w:after="0"/>
              <w:rPr>
                <w:sz w:val="20"/>
                <w:szCs w:val="20"/>
                <w:color w:val="auto"/>
              </w:rPr>
            </w:pP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Article 2</w:t>
            </w:r>
          </w:p>
        </w:tc>
        <w:tc>
          <w:tcPr>
            <w:tcW w:w="1560" w:type="dxa"/>
            <w:vAlign w:val="bottom"/>
          </w:tcPr>
          <w:p>
            <w:pPr>
              <w:spacing w:after="0"/>
              <w:rPr>
                <w:sz w:val="20"/>
                <w:szCs w:val="20"/>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develop,</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4080" w:type="dxa"/>
            <w:vAlign w:val="bottom"/>
          </w:tcPr>
          <w:p>
            <w:pPr>
              <w:ind w:left="140"/>
              <w:spacing w:after="0" w:line="189" w:lineRule="exact"/>
              <w:rPr>
                <w:sz w:val="20"/>
                <w:szCs w:val="20"/>
                <w:color w:val="auto"/>
              </w:rPr>
            </w:pPr>
            <w:r>
              <w:rPr>
                <w:rFonts w:ascii="Arial" w:cs="Arial" w:eastAsia="Arial" w:hAnsi="Arial"/>
                <w:sz w:val="18"/>
                <w:szCs w:val="18"/>
                <w:color w:val="auto"/>
              </w:rPr>
              <w:t>Zweck der Gesellschaft ist die Forschung,</w:t>
            </w:r>
          </w:p>
        </w:tc>
        <w:tc>
          <w:tcPr>
            <w:tcW w:w="740" w:type="dxa"/>
            <w:vAlign w:val="bottom"/>
          </w:tcPr>
          <w:p>
            <w:pPr>
              <w:spacing w:after="0"/>
              <w:rPr>
                <w:sz w:val="16"/>
                <w:szCs w:val="16"/>
                <w:color w:val="auto"/>
              </w:rPr>
            </w:pP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36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The Company's purpose is to research,</w:t>
            </w: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4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20" w:type="dxa"/>
            <w:vAlign w:val="bottom"/>
            <w:gridSpan w:val="2"/>
          </w:tcPr>
          <w:p>
            <w:pPr>
              <w:ind w:left="540"/>
              <w:spacing w:after="0"/>
              <w:rPr>
                <w:sz w:val="20"/>
                <w:szCs w:val="20"/>
                <w:color w:val="auto"/>
              </w:rPr>
            </w:pPr>
            <w:r>
              <w:rPr>
                <w:rFonts w:ascii="Arial" w:cs="Arial" w:eastAsia="Arial" w:hAnsi="Arial"/>
                <w:sz w:val="18"/>
                <w:szCs w:val="18"/>
                <w:color w:val="auto"/>
              </w:rPr>
              <w:t>Entwicklung, Herstellung und der Verkauf von</w:t>
            </w:r>
          </w:p>
        </w:tc>
        <w:tc>
          <w:tcPr>
            <w:tcW w:w="380" w:type="dxa"/>
            <w:vAlign w:val="bottom"/>
          </w:tcPr>
          <w:p>
            <w:pPr>
              <w:spacing w:after="0"/>
              <w:rPr>
                <w:sz w:val="22"/>
                <w:szCs w:val="22"/>
                <w:color w:val="auto"/>
              </w:rPr>
            </w:pPr>
          </w:p>
        </w:tc>
        <w:tc>
          <w:tcPr>
            <w:tcW w:w="4380" w:type="dxa"/>
            <w:vAlign w:val="bottom"/>
            <w:gridSpan w:val="3"/>
          </w:tcPr>
          <w:p>
            <w:pPr>
              <w:ind w:left="540"/>
              <w:spacing w:after="0"/>
              <w:rPr>
                <w:sz w:val="20"/>
                <w:szCs w:val="20"/>
                <w:color w:val="auto"/>
              </w:rPr>
            </w:pPr>
            <w:r>
              <w:rPr>
                <w:rFonts w:ascii="Arial" w:cs="Arial" w:eastAsia="Arial" w:hAnsi="Arial"/>
                <w:sz w:val="18"/>
                <w:szCs w:val="18"/>
                <w:color w:val="auto"/>
              </w:rPr>
              <w:t>produce  and  sell  products  in  the  fields  of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20" w:type="dxa"/>
            <w:vAlign w:val="bottom"/>
            <w:gridSpan w:val="2"/>
          </w:tcPr>
          <w:p>
            <w:pPr>
              <w:ind w:left="540"/>
              <w:spacing w:after="0"/>
              <w:rPr>
                <w:sz w:val="20"/>
                <w:szCs w:val="20"/>
                <w:color w:val="auto"/>
              </w:rPr>
            </w:pPr>
            <w:r>
              <w:rPr>
                <w:rFonts w:ascii="Arial" w:cs="Arial" w:eastAsia="Arial" w:hAnsi="Arial"/>
                <w:sz w:val="18"/>
                <w:szCs w:val="18"/>
                <w:color w:val="auto"/>
              </w:rPr>
              <w:t>Produkten in den Gebieten der Biotechnologie,</w:t>
            </w:r>
          </w:p>
        </w:tc>
        <w:tc>
          <w:tcPr>
            <w:tcW w:w="380" w:type="dxa"/>
            <w:vAlign w:val="bottom"/>
          </w:tcPr>
          <w:p>
            <w:pPr>
              <w:spacing w:after="0"/>
              <w:rPr>
                <w:sz w:val="18"/>
                <w:szCs w:val="18"/>
                <w:color w:val="auto"/>
              </w:rPr>
            </w:pPr>
          </w:p>
        </w:tc>
        <w:tc>
          <w:tcPr>
            <w:tcW w:w="2080" w:type="dxa"/>
            <w:vAlign w:val="bottom"/>
          </w:tcPr>
          <w:p>
            <w:pPr>
              <w:ind w:left="540"/>
              <w:spacing w:after="0"/>
              <w:rPr>
                <w:sz w:val="20"/>
                <w:szCs w:val="20"/>
                <w:color w:val="auto"/>
              </w:rPr>
            </w:pPr>
            <w:r>
              <w:rPr>
                <w:rFonts w:ascii="Arial" w:cs="Arial" w:eastAsia="Arial" w:hAnsi="Arial"/>
                <w:sz w:val="18"/>
                <w:szCs w:val="18"/>
                <w:color w:val="auto"/>
              </w:rPr>
              <w:t>biotechnology,</w:t>
            </w:r>
          </w:p>
        </w:tc>
        <w:tc>
          <w:tcPr>
            <w:tcW w:w="1560" w:type="dxa"/>
            <w:vAlign w:val="bottom"/>
          </w:tcPr>
          <w:p>
            <w:pPr>
              <w:ind w:left="20"/>
              <w:spacing w:after="0"/>
              <w:rPr>
                <w:sz w:val="20"/>
                <w:szCs w:val="20"/>
                <w:color w:val="auto"/>
              </w:rPr>
            </w:pPr>
            <w:r>
              <w:rPr>
                <w:rFonts w:ascii="Arial" w:cs="Arial" w:eastAsia="Arial" w:hAnsi="Arial"/>
                <w:sz w:val="18"/>
                <w:szCs w:val="18"/>
                <w:color w:val="auto"/>
              </w:rPr>
              <w:t>pharamceutica,</w:t>
            </w: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medical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20" w:type="dxa"/>
            <w:vAlign w:val="bottom"/>
            <w:gridSpan w:val="2"/>
          </w:tcPr>
          <w:p>
            <w:pPr>
              <w:ind w:left="540"/>
              <w:spacing w:after="0"/>
              <w:rPr>
                <w:sz w:val="20"/>
                <w:szCs w:val="20"/>
                <w:color w:val="auto"/>
              </w:rPr>
            </w:pPr>
            <w:r>
              <w:rPr>
                <w:rFonts w:ascii="Arial" w:cs="Arial" w:eastAsia="Arial" w:hAnsi="Arial"/>
                <w:sz w:val="18"/>
                <w:szCs w:val="18"/>
                <w:color w:val="auto"/>
              </w:rPr>
              <w:t>der Pharmazie, Medizintechnologie, Diagnose</w:t>
            </w:r>
          </w:p>
        </w:tc>
        <w:tc>
          <w:tcPr>
            <w:tcW w:w="380" w:type="dxa"/>
            <w:vAlign w:val="bottom"/>
          </w:tcPr>
          <w:p>
            <w:pPr>
              <w:spacing w:after="0"/>
              <w:rPr>
                <w:sz w:val="18"/>
                <w:szCs w:val="18"/>
                <w:color w:val="auto"/>
              </w:rPr>
            </w:pPr>
          </w:p>
        </w:tc>
        <w:tc>
          <w:tcPr>
            <w:tcW w:w="4380" w:type="dxa"/>
            <w:vAlign w:val="bottom"/>
            <w:gridSpan w:val="3"/>
          </w:tcPr>
          <w:p>
            <w:pPr>
              <w:ind w:left="540"/>
              <w:spacing w:after="0"/>
              <w:rPr>
                <w:sz w:val="20"/>
                <w:szCs w:val="20"/>
                <w:color w:val="auto"/>
              </w:rPr>
            </w:pPr>
            <w:r>
              <w:rPr>
                <w:rFonts w:ascii="Arial" w:cs="Arial" w:eastAsia="Arial" w:hAnsi="Arial"/>
                <w:sz w:val="18"/>
                <w:szCs w:val="18"/>
                <w:color w:val="auto"/>
              </w:rPr>
              <w:t>technology, diagnosis and therapy as well as to</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20" w:type="dxa"/>
            <w:vAlign w:val="bottom"/>
            <w:gridSpan w:val="2"/>
          </w:tcPr>
          <w:p>
            <w:pPr>
              <w:ind w:left="540"/>
              <w:spacing w:after="0"/>
              <w:rPr>
                <w:sz w:val="20"/>
                <w:szCs w:val="20"/>
                <w:color w:val="auto"/>
              </w:rPr>
            </w:pPr>
            <w:r>
              <w:rPr>
                <w:rFonts w:ascii="Arial" w:cs="Arial" w:eastAsia="Arial" w:hAnsi="Arial"/>
                <w:sz w:val="18"/>
                <w:szCs w:val="18"/>
                <w:color w:val="auto"/>
              </w:rPr>
              <w:t>und Therapie sowie der Kauf, Verkauf und die</w:t>
            </w:r>
          </w:p>
        </w:tc>
        <w:tc>
          <w:tcPr>
            <w:tcW w:w="380" w:type="dxa"/>
            <w:vAlign w:val="bottom"/>
          </w:tcPr>
          <w:p>
            <w:pPr>
              <w:spacing w:after="0"/>
              <w:rPr>
                <w:sz w:val="18"/>
                <w:szCs w:val="18"/>
                <w:color w:val="auto"/>
              </w:rPr>
            </w:pPr>
          </w:p>
        </w:tc>
        <w:tc>
          <w:tcPr>
            <w:tcW w:w="4380" w:type="dxa"/>
            <w:vAlign w:val="bottom"/>
            <w:gridSpan w:val="3"/>
          </w:tcPr>
          <w:p>
            <w:pPr>
              <w:ind w:left="540"/>
              <w:spacing w:after="0"/>
              <w:rPr>
                <w:sz w:val="20"/>
                <w:szCs w:val="20"/>
                <w:color w:val="auto"/>
              </w:rPr>
            </w:pPr>
            <w:r>
              <w:rPr>
                <w:rFonts w:ascii="Arial" w:cs="Arial" w:eastAsia="Arial" w:hAnsi="Arial"/>
                <w:sz w:val="18"/>
                <w:szCs w:val="18"/>
                <w:color w:val="auto"/>
              </w:rPr>
              <w:t>purchase, sell and use patents and licences in</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w w:val="99"/>
              </w:rPr>
              <w:t>Verwendung von Patenten und Lizenzen auf</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gridSpan w:val="3"/>
          </w:tcPr>
          <w:p>
            <w:pPr>
              <w:ind w:left="540"/>
              <w:spacing w:after="0"/>
              <w:rPr>
                <w:sz w:val="20"/>
                <w:szCs w:val="20"/>
                <w:color w:val="auto"/>
              </w:rPr>
            </w:pPr>
            <w:r>
              <w:rPr>
                <w:rFonts w:ascii="Arial" w:cs="Arial" w:eastAsia="Arial" w:hAnsi="Arial"/>
                <w:sz w:val="18"/>
                <w:szCs w:val="18"/>
                <w:color w:val="auto"/>
                <w:w w:val="99"/>
              </w:rPr>
              <w:t>this field. The Company may engage in all types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diesem Gebiet. Die Gesellschaft kann alle</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gridSpan w:val="3"/>
          </w:tcPr>
          <w:p>
            <w:pPr>
              <w:ind w:left="540"/>
              <w:spacing w:after="0"/>
              <w:rPr>
                <w:sz w:val="20"/>
                <w:szCs w:val="20"/>
                <w:color w:val="auto"/>
              </w:rPr>
            </w:pPr>
            <w:r>
              <w:rPr>
                <w:rFonts w:ascii="Arial" w:cs="Arial" w:eastAsia="Arial" w:hAnsi="Arial"/>
                <w:sz w:val="18"/>
                <w:szCs w:val="18"/>
                <w:color w:val="auto"/>
              </w:rPr>
              <w:t>of  transactions  that  appear  appropriate  to</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20" w:type="dxa"/>
            <w:vAlign w:val="bottom"/>
            <w:gridSpan w:val="2"/>
          </w:tcPr>
          <w:p>
            <w:pPr>
              <w:ind w:left="540"/>
              <w:spacing w:after="0"/>
              <w:rPr>
                <w:sz w:val="20"/>
                <w:szCs w:val="20"/>
                <w:color w:val="auto"/>
              </w:rPr>
            </w:pPr>
            <w:r>
              <w:rPr>
                <w:rFonts w:ascii="Arial" w:cs="Arial" w:eastAsia="Arial" w:hAnsi="Arial"/>
                <w:sz w:val="18"/>
                <w:szCs w:val="18"/>
                <w:color w:val="auto"/>
              </w:rPr>
              <w:t>Geschäfte tätigen, die geeignet erscheinen, den</w:t>
            </w:r>
          </w:p>
        </w:tc>
        <w:tc>
          <w:tcPr>
            <w:tcW w:w="380" w:type="dxa"/>
            <w:vAlign w:val="bottom"/>
          </w:tcPr>
          <w:p>
            <w:pPr>
              <w:spacing w:after="0"/>
              <w:rPr>
                <w:sz w:val="18"/>
                <w:szCs w:val="18"/>
                <w:color w:val="auto"/>
              </w:rPr>
            </w:pPr>
          </w:p>
        </w:tc>
        <w:tc>
          <w:tcPr>
            <w:tcW w:w="4380" w:type="dxa"/>
            <w:vAlign w:val="bottom"/>
            <w:gridSpan w:val="3"/>
          </w:tcPr>
          <w:p>
            <w:pPr>
              <w:ind w:left="540"/>
              <w:spacing w:after="0"/>
              <w:rPr>
                <w:sz w:val="20"/>
                <w:szCs w:val="20"/>
                <w:color w:val="auto"/>
              </w:rPr>
            </w:pPr>
            <w:r>
              <w:rPr>
                <w:rFonts w:ascii="Arial" w:cs="Arial" w:eastAsia="Arial" w:hAnsi="Arial"/>
                <w:sz w:val="18"/>
                <w:szCs w:val="18"/>
                <w:color w:val="auto"/>
              </w:rPr>
              <w:t>promote the purpose of the Company or that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20" w:type="dxa"/>
            <w:vAlign w:val="bottom"/>
            <w:gridSpan w:val="2"/>
          </w:tcPr>
          <w:p>
            <w:pPr>
              <w:ind w:left="540"/>
              <w:spacing w:after="0"/>
              <w:rPr>
                <w:sz w:val="20"/>
                <w:szCs w:val="20"/>
                <w:color w:val="auto"/>
              </w:rPr>
            </w:pPr>
            <w:r>
              <w:rPr>
                <w:rFonts w:ascii="Arial" w:cs="Arial" w:eastAsia="Arial" w:hAnsi="Arial"/>
                <w:sz w:val="18"/>
                <w:szCs w:val="18"/>
                <w:color w:val="auto"/>
              </w:rPr>
              <w:t>Zweck der Gesellschaft zu fördern, oder die mit</w:t>
            </w:r>
          </w:p>
        </w:tc>
        <w:tc>
          <w:tcPr>
            <w:tcW w:w="380" w:type="dxa"/>
            <w:vAlign w:val="bottom"/>
          </w:tcPr>
          <w:p>
            <w:pPr>
              <w:spacing w:after="0"/>
              <w:rPr>
                <w:sz w:val="18"/>
                <w:szCs w:val="18"/>
                <w:color w:val="auto"/>
              </w:rPr>
            </w:pPr>
          </w:p>
        </w:tc>
        <w:tc>
          <w:tcPr>
            <w:tcW w:w="2080" w:type="dxa"/>
            <w:vAlign w:val="bottom"/>
          </w:tcPr>
          <w:p>
            <w:pPr>
              <w:ind w:left="540"/>
              <w:spacing w:after="0"/>
              <w:rPr>
                <w:sz w:val="20"/>
                <w:szCs w:val="20"/>
                <w:color w:val="auto"/>
              </w:rPr>
            </w:pPr>
            <w:r>
              <w:rPr>
                <w:rFonts w:ascii="Arial" w:cs="Arial" w:eastAsia="Arial" w:hAnsi="Arial"/>
                <w:sz w:val="18"/>
                <w:szCs w:val="18"/>
                <w:color w:val="auto"/>
                <w:w w:val="99"/>
              </w:rPr>
              <w:t>are related thereto.</w:t>
            </w: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80" w:type="dxa"/>
            <w:vAlign w:val="bottom"/>
          </w:tcPr>
          <w:p>
            <w:pPr>
              <w:ind w:left="540"/>
              <w:spacing w:after="0"/>
              <w:rPr>
                <w:sz w:val="20"/>
                <w:szCs w:val="20"/>
                <w:color w:val="auto"/>
              </w:rPr>
            </w:pPr>
            <w:r>
              <w:rPr>
                <w:rFonts w:ascii="Arial" w:cs="Arial" w:eastAsia="Arial" w:hAnsi="Arial"/>
                <w:sz w:val="18"/>
                <w:szCs w:val="18"/>
                <w:color w:val="auto"/>
              </w:rPr>
              <w:t>diesem zusammenhängen.</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0520"/>
          </w:cols>
          <w:pgMar w:left="220" w:top="144" w:right="1159" w:bottom="1440" w:gutter="0" w:footer="0" w:header="0"/>
          <w:type w:val="continuous"/>
        </w:sectPr>
      </w:pPr>
    </w:p>
    <w:p>
      <w:pPr>
        <w:ind w:left="1480" w:right="471" w:hanging="747"/>
        <w:spacing w:after="0" w:line="228" w:lineRule="auto"/>
        <w:tabs>
          <w:tab w:leader="none" w:pos="1075" w:val="left"/>
        </w:tabs>
        <w:numPr>
          <w:ilvl w:val="0"/>
          <w:numId w:val="173"/>
        </w:numPr>
        <w:rPr>
          <w:rFonts w:ascii="Arial" w:cs="Arial" w:eastAsia="Arial" w:hAnsi="Arial"/>
          <w:sz w:val="28"/>
          <w:szCs w:val="28"/>
          <w:color w:val="auto"/>
          <w:vertAlign w:val="superscript"/>
        </w:rPr>
      </w:pPr>
      <w:r>
        <w:rPr>
          <w:rFonts w:ascii="Arial" w:cs="Arial" w:eastAsia="Arial" w:hAnsi="Arial"/>
          <w:sz w:val="17"/>
          <w:szCs w:val="17"/>
          <w:color w:val="auto"/>
        </w:rPr>
        <w:t>Die Gesellschaft kann Grundstücke im In- und Ausland erwerben, verwalten, belasten, verwerten und verkaufen sowie andere Gesellschaften finanzieren.</w:t>
      </w:r>
    </w:p>
    <w:p>
      <w:pPr>
        <w:spacing w:after="0" w:line="20" w:lineRule="exact"/>
        <w:rPr>
          <w:sz w:val="20"/>
          <w:szCs w:val="20"/>
          <w:color w:val="auto"/>
        </w:rPr>
      </w:pPr>
      <w:r>
        <w:rPr>
          <w:sz w:val="20"/>
          <w:szCs w:val="20"/>
          <w:color w:val="auto"/>
        </w:rPr>
        <w:br w:type="column"/>
      </w:r>
    </w:p>
    <w:p>
      <w:pPr>
        <w:ind w:left="749" w:right="100" w:hanging="749"/>
        <w:spacing w:after="0" w:line="218" w:lineRule="auto"/>
        <w:tabs>
          <w:tab w:leader="none" w:pos="344" w:val="left"/>
        </w:tabs>
        <w:numPr>
          <w:ilvl w:val="0"/>
          <w:numId w:val="174"/>
        </w:numPr>
        <w:rPr>
          <w:rFonts w:ascii="Arial" w:cs="Arial" w:eastAsia="Arial" w:hAnsi="Arial"/>
          <w:sz w:val="28"/>
          <w:szCs w:val="28"/>
          <w:color w:val="auto"/>
          <w:vertAlign w:val="superscript"/>
        </w:rPr>
      </w:pPr>
      <w:r>
        <w:rPr>
          <w:rFonts w:ascii="Arial" w:cs="Arial" w:eastAsia="Arial" w:hAnsi="Arial"/>
          <w:sz w:val="17"/>
          <w:szCs w:val="17"/>
          <w:color w:val="auto"/>
        </w:rPr>
        <w:t>The Company may acquire, administer, encumber, exploit or sell real estate in Switzerland and aborad and may also finance other companies.</w:t>
      </w:r>
    </w:p>
    <w:p>
      <w:pPr>
        <w:sectPr>
          <w:pgSz w:w="11900" w:h="16838" w:orient="portrait"/>
          <w:cols w:equalWidth="0" w:num="2">
            <w:col w:w="5211" w:space="720"/>
            <w:col w:w="4589"/>
          </w:cols>
          <w:pgMar w:left="220" w:top="144" w:right="1159" w:bottom="1440" w:gutter="0" w:footer="0" w:header="0"/>
          <w:type w:val="continuous"/>
        </w:sectPr>
      </w:pPr>
    </w:p>
    <w:bookmarkStart w:id="300" w:name="page301"/>
    <w:bookmarkEnd w:id="300"/>
    <w:p>
      <w:pPr>
        <w:spacing w:after="0" w:line="194" w:lineRule="auto"/>
        <w:tabs>
          <w:tab w:leader="none" w:pos="344" w:val="left"/>
        </w:tabs>
        <w:framePr w:w="160" w:h="130" w:wrap="auto" w:vAnchor="page" w:hAnchor="page" w:x="6080" w:y="4856"/>
        <w:rPr>
          <w:rFonts w:ascii="Arial" w:cs="Arial" w:eastAsia="Arial" w:hAnsi="Arial"/>
          <w:sz w:val="14"/>
          <w:szCs w:val="14"/>
          <w:color w:val="auto"/>
        </w:rPr>
      </w:pPr>
      <w:r>
        <w:rPr>
          <w:rFonts w:ascii="Arial" w:cs="Arial" w:eastAsia="Arial" w:hAnsi="Arial"/>
          <w:sz w:val="14"/>
          <w:szCs w:val="14"/>
          <w:color w:val="auto"/>
        </w:rPr>
        <w:t>2</w:t>
      </w:r>
    </w:p>
    <w:p>
      <w:pPr>
        <w:spacing w:after="0" w:line="194" w:lineRule="auto"/>
        <w:tabs>
          <w:tab w:leader="none" w:pos="344" w:val="left"/>
        </w:tabs>
        <w:framePr w:w="160" w:h="130" w:wrap="auto" w:vAnchor="page" w:hAnchor="page" w:x="6080" w:y="5126"/>
        <w:rPr>
          <w:rFonts w:ascii="Arial" w:cs="Arial" w:eastAsia="Arial" w:hAnsi="Arial"/>
          <w:sz w:val="14"/>
          <w:szCs w:val="14"/>
          <w:color w:val="auto"/>
        </w:rPr>
      </w:pPr>
      <w:r>
        <w:rPr>
          <w:rFonts w:ascii="Arial" w:cs="Arial" w:eastAsia="Arial" w:hAnsi="Arial"/>
          <w:sz w:val="14"/>
          <w:szCs w:val="14"/>
          <w:color w:val="auto"/>
        </w:rPr>
        <w:t>3</w:t>
      </w:r>
    </w:p>
    <w:p>
      <w:pPr>
        <w:spacing w:after="0" w:line="209" w:lineRule="auto"/>
        <w:tabs>
          <w:tab w:leader="none" w:pos="344" w:val="left"/>
        </w:tabs>
        <w:framePr w:w="980" w:h="130" w:wrap="auto" w:vAnchor="page" w:hAnchor="page" w:x="5260" w:y="3938"/>
        <w:rPr>
          <w:rFonts w:ascii="Arial" w:cs="Arial" w:eastAsia="Arial" w:hAnsi="Arial"/>
          <w:sz w:val="13"/>
          <w:szCs w:val="13"/>
          <w:color w:val="auto"/>
        </w:rPr>
      </w:pPr>
      <w:r>
        <w:rPr>
          <w:rFonts w:ascii="Arial" w:cs="Arial" w:eastAsia="Arial" w:hAnsi="Arial"/>
          <w:sz w:val="13"/>
          <w:szCs w:val="13"/>
          <w:color w:val="auto"/>
        </w:rPr>
        <w:t>Share Capital1</w:t>
      </w:r>
    </w:p>
    <w:p>
      <w:pPr>
        <w:spacing w:after="0" w:line="194" w:lineRule="auto"/>
        <w:tabs>
          <w:tab w:leader="none" w:pos="344" w:val="left"/>
        </w:tabs>
        <w:framePr w:w="160" w:h="130" w:wrap="auto" w:vAnchor="page" w:hAnchor="page" w:x="6080" w:y="1603"/>
        <w:rPr>
          <w:rFonts w:ascii="Arial" w:cs="Arial" w:eastAsia="Arial" w:hAnsi="Arial"/>
          <w:sz w:val="14"/>
          <w:szCs w:val="14"/>
          <w:color w:val="auto"/>
        </w:rPr>
      </w:pPr>
      <w:r>
        <w:rPr>
          <w:rFonts w:ascii="Arial" w:cs="Arial" w:eastAsia="Arial" w:hAnsi="Arial"/>
          <w:sz w:val="14"/>
          <w:szCs w:val="14"/>
          <w:color w:val="auto"/>
        </w:rPr>
        <w:t>3</w:t>
      </w:r>
    </w:p>
    <w:p>
      <w:pPr>
        <w:spacing w:after="0" w:line="194" w:lineRule="auto"/>
        <w:tabs>
          <w:tab w:leader="none" w:pos="344" w:val="left"/>
        </w:tabs>
        <w:framePr w:w="340" w:h="130" w:wrap="auto" w:vAnchor="page" w:hAnchor="page" w:x="5780" w:y="145"/>
        <w:rPr>
          <w:rFonts w:ascii="Arial" w:cs="Arial" w:eastAsia="Arial" w:hAnsi="Arial"/>
          <w:sz w:val="14"/>
          <w:szCs w:val="14"/>
          <w:color w:val="auto"/>
        </w:rPr>
      </w:pPr>
      <w:r>
        <w:rPr>
          <w:rFonts w:ascii="Arial" w:cs="Arial" w:eastAsia="Arial" w:hAnsi="Arial"/>
          <w:sz w:val="14"/>
          <w:szCs w:val="14"/>
          <w:color w:val="auto"/>
        </w:rPr>
        <w:t>- 3 -</w:t>
      </w:r>
    </w:p>
    <w:p>
      <w:pPr>
        <w:spacing w:after="0" w:line="163" w:lineRule="exact"/>
        <w:rPr>
          <w:rFonts w:ascii="Arial" w:cs="Arial" w:eastAsia="Arial" w:hAnsi="Arial"/>
          <w:sz w:val="14"/>
          <w:szCs w:val="14"/>
          <w:color w:val="auto"/>
        </w:rPr>
      </w:pPr>
    </w:p>
    <w:p>
      <w:pPr>
        <w:jc w:val="right"/>
        <w:spacing w:after="0"/>
        <w:rPr>
          <w:sz w:val="20"/>
          <w:szCs w:val="20"/>
          <w:color w:val="auto"/>
        </w:rPr>
      </w:pPr>
      <w:r>
        <w:rPr>
          <w:rFonts w:ascii="Arial" w:cs="Arial" w:eastAsia="Arial" w:hAnsi="Arial"/>
          <w:sz w:val="14"/>
          <w:szCs w:val="14"/>
          <w:color w:val="auto"/>
        </w:rPr>
        <w:t>3</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5" w:lineRule="exact"/>
        <w:rPr>
          <w:rFonts w:ascii="Arial" w:cs="Arial" w:eastAsia="Arial" w:hAnsi="Arial"/>
          <w:sz w:val="14"/>
          <w:szCs w:val="14"/>
          <w:color w:val="auto"/>
        </w:rPr>
      </w:pPr>
    </w:p>
    <w:p>
      <w:pPr>
        <w:spacing w:after="0"/>
        <w:tabs>
          <w:tab w:leader="none" w:pos="720" w:val="left"/>
        </w:tabs>
        <w:rPr>
          <w:sz w:val="20"/>
          <w:szCs w:val="20"/>
          <w:color w:val="auto"/>
        </w:rPr>
      </w:pPr>
      <w:r>
        <w:rPr>
          <w:rFonts w:ascii="Arial" w:cs="Arial" w:eastAsia="Arial" w:hAnsi="Arial"/>
          <w:sz w:val="14"/>
          <w:szCs w:val="14"/>
          <w:color w:val="auto"/>
        </w:rPr>
        <w:t>enkapital</w:t>
        <w:tab/>
        <w:t>1</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jc w:val="right"/>
        <w:spacing w:after="0"/>
        <w:rPr>
          <w:sz w:val="20"/>
          <w:szCs w:val="20"/>
          <w:color w:val="auto"/>
        </w:rPr>
      </w:pPr>
      <w:r>
        <w:rPr>
          <w:rFonts w:ascii="Arial" w:cs="Arial" w:eastAsia="Arial" w:hAnsi="Arial"/>
          <w:sz w:val="14"/>
          <w:szCs w:val="14"/>
          <w:color w:val="auto"/>
        </w:rPr>
        <w:t>2</w:t>
      </w:r>
    </w:p>
    <w:p>
      <w:pPr>
        <w:spacing w:after="0" w:line="109" w:lineRule="exact"/>
        <w:rPr>
          <w:rFonts w:ascii="Arial" w:cs="Arial" w:eastAsia="Arial" w:hAnsi="Arial"/>
          <w:sz w:val="14"/>
          <w:szCs w:val="14"/>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137" w:lineRule="exact"/>
        <w:rPr>
          <w:rFonts w:ascii="Arial" w:cs="Arial" w:eastAsia="Arial" w:hAnsi="Arial"/>
          <w:sz w:val="14"/>
          <w:szCs w:val="14"/>
          <w:color w:val="auto"/>
        </w:rPr>
      </w:pPr>
    </w:p>
    <w:p>
      <w:pPr>
        <w:ind w:left="400" w:right="480" w:hanging="404"/>
        <w:spacing w:after="0" w:line="254" w:lineRule="auto"/>
        <w:rPr>
          <w:sz w:val="20"/>
          <w:szCs w:val="20"/>
          <w:color w:val="auto"/>
        </w:rPr>
      </w:pPr>
      <w:r>
        <w:rPr>
          <w:rFonts w:ascii="Arial" w:cs="Arial" w:eastAsia="Arial" w:hAnsi="Arial"/>
          <w:sz w:val="18"/>
          <w:szCs w:val="18"/>
          <w:color w:val="auto"/>
        </w:rPr>
        <w:t>Die Gesellschaft kann Zweigniederlassungen und Tochtergesellschaften im In- und Ausland errichten und sich an anderen Unternehmen beteiligen oder mit diesen fusionieren.</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248285</wp:posOffset>
            </wp:positionH>
            <wp:positionV relativeFrom="paragraph">
              <wp:posOffset>181610</wp:posOffset>
            </wp:positionV>
            <wp:extent cx="24688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37"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Abschnitt 2:</w:t>
      </w:r>
    </w:p>
    <w:p>
      <w:pPr>
        <w:spacing w:after="0" w:line="31" w:lineRule="exact"/>
        <w:rPr>
          <w:rFonts w:ascii="Arial" w:cs="Arial" w:eastAsia="Arial" w:hAnsi="Arial"/>
          <w:sz w:val="14"/>
          <w:szCs w:val="14"/>
          <w:color w:val="auto"/>
        </w:rPr>
      </w:pPr>
    </w:p>
    <w:p>
      <w:pPr>
        <w:ind w:left="400"/>
        <w:spacing w:after="0"/>
        <w:rPr>
          <w:sz w:val="20"/>
          <w:szCs w:val="20"/>
          <w:color w:val="auto"/>
        </w:rPr>
      </w:pPr>
      <w:r>
        <w:rPr>
          <w:rFonts w:ascii="Arial" w:cs="Arial" w:eastAsia="Arial" w:hAnsi="Arial"/>
          <w:sz w:val="18"/>
          <w:szCs w:val="18"/>
          <w:i w:val="1"/>
          <w:iCs w:val="1"/>
          <w:color w:val="auto"/>
        </w:rPr>
        <w:t>Aktienkapital</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248285</wp:posOffset>
            </wp:positionH>
            <wp:positionV relativeFrom="paragraph">
              <wp:posOffset>57785</wp:posOffset>
            </wp:positionV>
            <wp:extent cx="24688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45"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Artikel 3</w:t>
      </w:r>
    </w:p>
    <w:p>
      <w:pPr>
        <w:spacing w:after="0" w:line="85" w:lineRule="exact"/>
        <w:rPr>
          <w:rFonts w:ascii="Arial" w:cs="Arial" w:eastAsia="Arial" w:hAnsi="Arial"/>
          <w:sz w:val="14"/>
          <w:szCs w:val="14"/>
          <w:color w:val="auto"/>
        </w:rPr>
      </w:pPr>
    </w:p>
    <w:p>
      <w:pPr>
        <w:jc w:val="right"/>
        <w:ind w:right="1040"/>
        <w:spacing w:after="0" w:line="250" w:lineRule="auto"/>
        <w:rPr>
          <w:sz w:val="20"/>
          <w:szCs w:val="20"/>
          <w:color w:val="auto"/>
        </w:rPr>
      </w:pPr>
      <w:r>
        <w:rPr>
          <w:rFonts w:ascii="Arial" w:cs="Arial" w:eastAsia="Arial" w:hAnsi="Arial"/>
          <w:sz w:val="18"/>
          <w:szCs w:val="18"/>
          <w:color w:val="auto"/>
        </w:rPr>
        <w:t>Das Aktienkapital der Gesellschaft beträgt CHF 2‘914‘699.20 und ist eingeteilt in</w:t>
      </w:r>
    </w:p>
    <w:p>
      <w:pPr>
        <w:spacing w:after="0" w:line="1" w:lineRule="exact"/>
        <w:rPr>
          <w:rFonts w:ascii="Arial" w:cs="Arial" w:eastAsia="Arial" w:hAnsi="Arial"/>
          <w:sz w:val="14"/>
          <w:szCs w:val="14"/>
          <w:color w:val="auto"/>
        </w:rPr>
      </w:pPr>
    </w:p>
    <w:p>
      <w:pPr>
        <w:ind w:left="400" w:right="380"/>
        <w:spacing w:after="0" w:line="261" w:lineRule="auto"/>
        <w:rPr>
          <w:sz w:val="20"/>
          <w:szCs w:val="20"/>
          <w:color w:val="auto"/>
        </w:rPr>
      </w:pPr>
      <w:r>
        <w:rPr>
          <w:rFonts w:ascii="Arial" w:cs="Arial" w:eastAsia="Arial" w:hAnsi="Arial"/>
          <w:sz w:val="18"/>
          <w:szCs w:val="18"/>
          <w:color w:val="auto"/>
        </w:rPr>
        <w:t>29‘146‘992 Namenaktien mit einem Nennwert von je CHF 0.10.</w:t>
      </w:r>
    </w:p>
    <w:p>
      <w:pPr>
        <w:spacing w:after="0" w:line="36"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color w:val="auto"/>
        </w:rPr>
        <w:t>Die Aktien sind voll liberiert.</w:t>
      </w:r>
    </w:p>
    <w:p>
      <w:pPr>
        <w:spacing w:after="0" w:line="63"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color w:val="auto"/>
        </w:rPr>
        <w:t>Durch Statutenänderung kann die</w:t>
      </w:r>
    </w:p>
    <w:p>
      <w:pPr>
        <w:spacing w:after="0" w:line="9" w:lineRule="exact"/>
        <w:rPr>
          <w:rFonts w:ascii="Arial" w:cs="Arial" w:eastAsia="Arial" w:hAnsi="Arial"/>
          <w:sz w:val="14"/>
          <w:szCs w:val="14"/>
          <w:color w:val="auto"/>
        </w:rPr>
      </w:pPr>
    </w:p>
    <w:p>
      <w:pPr>
        <w:ind w:left="400" w:right="280"/>
        <w:spacing w:after="0" w:line="256" w:lineRule="auto"/>
        <w:rPr>
          <w:sz w:val="20"/>
          <w:szCs w:val="20"/>
          <w:color w:val="auto"/>
        </w:rPr>
      </w:pPr>
      <w:r>
        <w:rPr>
          <w:rFonts w:ascii="Arial" w:cs="Arial" w:eastAsia="Arial" w:hAnsi="Arial"/>
          <w:sz w:val="18"/>
          <w:szCs w:val="18"/>
          <w:color w:val="auto"/>
        </w:rPr>
        <w:t>Generalversammlung jederzeit Namenaktien in Inhaberaktien und Inhaberaktien in Namenaktien umwandeln.</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137" w:lineRule="exact"/>
        <w:rPr>
          <w:rFonts w:ascii="Arial" w:cs="Arial" w:eastAsia="Arial" w:hAnsi="Arial"/>
          <w:sz w:val="14"/>
          <w:szCs w:val="14"/>
          <w:color w:val="auto"/>
        </w:rPr>
      </w:pPr>
    </w:p>
    <w:p>
      <w:pPr>
        <w:ind w:left="400" w:right="120" w:hanging="404"/>
        <w:spacing w:after="0" w:line="256" w:lineRule="auto"/>
        <w:rPr>
          <w:sz w:val="20"/>
          <w:szCs w:val="20"/>
          <w:color w:val="auto"/>
        </w:rPr>
      </w:pPr>
      <w:r>
        <w:rPr>
          <w:rFonts w:ascii="Arial" w:cs="Arial" w:eastAsia="Arial" w:hAnsi="Arial"/>
          <w:sz w:val="18"/>
          <w:szCs w:val="18"/>
          <w:color w:val="auto"/>
        </w:rPr>
        <w:t>The Company may establish branches and subsidiaries within Switzerland or abroad and may acquire participations in other companies.</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246380</wp:posOffset>
            </wp:positionH>
            <wp:positionV relativeFrom="paragraph">
              <wp:posOffset>317500</wp:posOffset>
            </wp:positionV>
            <wp:extent cx="24771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rFonts w:ascii="Arial" w:cs="Arial" w:eastAsia="Arial" w:hAnsi="Arial"/>
          <w:sz w:val="14"/>
          <w:szCs w:val="14"/>
          <w:color w:val="auto"/>
        </w:rPr>
      </w:pPr>
    </w:p>
    <w:p>
      <w:pPr>
        <w:spacing w:after="0" w:line="351"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Section 2:</w:t>
      </w:r>
    </w:p>
    <w:p>
      <w:pPr>
        <w:spacing w:after="0" w:line="31" w:lineRule="exact"/>
        <w:rPr>
          <w:rFonts w:ascii="Arial" w:cs="Arial" w:eastAsia="Arial" w:hAnsi="Arial"/>
          <w:sz w:val="14"/>
          <w:szCs w:val="14"/>
          <w:color w:val="auto"/>
        </w:rPr>
      </w:pPr>
    </w:p>
    <w:p>
      <w:pPr>
        <w:ind w:left="400"/>
        <w:spacing w:after="0"/>
        <w:rPr>
          <w:sz w:val="20"/>
          <w:szCs w:val="20"/>
          <w:color w:val="auto"/>
        </w:rPr>
      </w:pPr>
      <w:r>
        <w:rPr>
          <w:rFonts w:ascii="Arial" w:cs="Arial" w:eastAsia="Arial" w:hAnsi="Arial"/>
          <w:sz w:val="18"/>
          <w:szCs w:val="18"/>
          <w:i w:val="1"/>
          <w:iCs w:val="1"/>
          <w:color w:val="auto"/>
        </w:rPr>
        <w:t>Share Capital</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246380</wp:posOffset>
            </wp:positionH>
            <wp:positionV relativeFrom="paragraph">
              <wp:posOffset>57785</wp:posOffset>
            </wp:positionV>
            <wp:extent cx="24771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45"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Article 3</w:t>
      </w:r>
    </w:p>
    <w:p>
      <w:pPr>
        <w:spacing w:after="0" w:line="85" w:lineRule="exact"/>
        <w:rPr>
          <w:rFonts w:ascii="Arial" w:cs="Arial" w:eastAsia="Arial" w:hAnsi="Arial"/>
          <w:sz w:val="14"/>
          <w:szCs w:val="14"/>
          <w:color w:val="auto"/>
        </w:rPr>
      </w:pPr>
    </w:p>
    <w:p>
      <w:pPr>
        <w:ind w:left="400" w:right="140" w:hanging="404"/>
        <w:spacing w:after="0" w:line="254" w:lineRule="auto"/>
        <w:rPr>
          <w:sz w:val="20"/>
          <w:szCs w:val="20"/>
          <w:color w:val="auto"/>
        </w:rPr>
      </w:pPr>
      <w:r>
        <w:rPr>
          <w:rFonts w:ascii="Arial" w:cs="Arial" w:eastAsia="Arial" w:hAnsi="Arial"/>
          <w:sz w:val="18"/>
          <w:szCs w:val="18"/>
          <w:color w:val="auto"/>
        </w:rPr>
        <w:t>The share capital of the Company is CHF 2,914,699.20 and is divided into 29,146,992 registered shares. Each registered share has a par value of CHF 0.10.</w:t>
      </w:r>
    </w:p>
    <w:p>
      <w:pPr>
        <w:spacing w:after="0" w:line="42"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color w:val="auto"/>
        </w:rPr>
        <w:t>The shares are fully paid up.</w:t>
      </w:r>
    </w:p>
    <w:p>
      <w:pPr>
        <w:spacing w:after="0" w:line="63" w:lineRule="exact"/>
        <w:rPr>
          <w:rFonts w:ascii="Arial" w:cs="Arial" w:eastAsia="Arial" w:hAnsi="Arial"/>
          <w:sz w:val="14"/>
          <w:szCs w:val="14"/>
          <w:color w:val="auto"/>
        </w:rPr>
      </w:pPr>
    </w:p>
    <w:p>
      <w:pPr>
        <w:ind w:left="400" w:right="40" w:hanging="404"/>
        <w:spacing w:after="0" w:line="273" w:lineRule="auto"/>
        <w:rPr>
          <w:sz w:val="20"/>
          <w:szCs w:val="20"/>
          <w:color w:val="auto"/>
        </w:rPr>
      </w:pPr>
      <w:r>
        <w:rPr>
          <w:rFonts w:ascii="Arial" w:cs="Arial" w:eastAsia="Arial" w:hAnsi="Arial"/>
          <w:sz w:val="17"/>
          <w:szCs w:val="17"/>
          <w:color w:val="auto"/>
        </w:rPr>
        <w:t>Upon resolution of the general meeting of shareholders, registered shares may be converted into bearer shares and bearer shares may be converted into registered shares.</w:t>
      </w:r>
    </w:p>
    <w:p>
      <w:pPr>
        <w:spacing w:after="0" w:line="200" w:lineRule="exact"/>
        <w:rPr>
          <w:rFonts w:ascii="Arial" w:cs="Arial" w:eastAsia="Arial" w:hAnsi="Arial"/>
          <w:sz w:val="14"/>
          <w:szCs w:val="14"/>
          <w:color w:val="auto"/>
        </w:rPr>
      </w:pPr>
    </w:p>
    <w:p>
      <w:pPr>
        <w:sectPr>
          <w:pgSz w:w="11900" w:h="16838" w:orient="portrait"/>
          <w:cols w:equalWidth="0" w:num="3">
            <w:col w:w="820" w:space="260"/>
            <w:col w:w="4440" w:space="720"/>
            <w:col w:w="4240"/>
          </w:cols>
          <w:pgMar w:left="220" w:top="1440" w:right="1199" w:bottom="1440" w:gutter="0" w:footer="0" w:header="0"/>
        </w:sectPr>
      </w:pPr>
    </w:p>
    <w:p>
      <w:pPr>
        <w:spacing w:after="0" w:line="374" w:lineRule="exact"/>
        <w:rPr>
          <w:rFonts w:ascii="Arial" w:cs="Arial" w:eastAsia="Arial" w:hAnsi="Arial"/>
          <w:sz w:val="14"/>
          <w:szCs w:val="14"/>
          <w:color w:val="auto"/>
        </w:rPr>
      </w:pPr>
    </w:p>
    <w:p>
      <w:pPr>
        <w:ind w:left="120" w:hanging="125"/>
        <w:spacing w:after="0" w:line="258" w:lineRule="auto"/>
        <w:rPr>
          <w:sz w:val="20"/>
          <w:szCs w:val="20"/>
          <w:color w:val="auto"/>
        </w:rPr>
      </w:pPr>
      <w:r>
        <w:rPr>
          <w:rFonts w:ascii="Arial" w:cs="Arial" w:eastAsia="Arial" w:hAnsi="Arial"/>
          <w:sz w:val="14"/>
          <w:szCs w:val="14"/>
          <w:color w:val="auto"/>
        </w:rPr>
        <w:t>ehmigtes</w:t>
      </w:r>
      <w:r>
        <w:rPr>
          <w:sz w:val="20"/>
          <w:szCs w:val="20"/>
          <w:color w:val="auto"/>
        </w:rPr>
        <w:t xml:space="preserve"> </w:t>
      </w:r>
      <w:r>
        <w:rPr>
          <w:rFonts w:ascii="Arial" w:cs="Arial" w:eastAsia="Arial" w:hAnsi="Arial"/>
          <w:sz w:val="14"/>
          <w:szCs w:val="14"/>
          <w:color w:val="auto"/>
        </w:rPr>
        <w:t>1 Aktienkapital</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0" w:lineRule="exact"/>
        <w:rPr>
          <w:rFonts w:ascii="Arial" w:cs="Arial" w:eastAsia="Arial" w:hAnsi="Arial"/>
          <w:sz w:val="14"/>
          <w:szCs w:val="14"/>
          <w:color w:val="auto"/>
        </w:rPr>
      </w:pPr>
    </w:p>
    <w:p>
      <w:pPr>
        <w:ind w:left="740"/>
        <w:spacing w:after="0"/>
        <w:rPr>
          <w:sz w:val="20"/>
          <w:szCs w:val="20"/>
          <w:color w:val="auto"/>
        </w:rPr>
      </w:pPr>
      <w:r>
        <w:rPr>
          <w:rFonts w:ascii="Arial" w:cs="Arial" w:eastAsia="Arial" w:hAnsi="Arial"/>
          <w:sz w:val="14"/>
          <w:szCs w:val="14"/>
          <w:color w:val="auto"/>
        </w:rPr>
        <w:t>2</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7" w:lineRule="exact"/>
        <w:rPr>
          <w:rFonts w:ascii="Arial" w:cs="Arial" w:eastAsia="Arial" w:hAnsi="Arial"/>
          <w:sz w:val="14"/>
          <w:szCs w:val="14"/>
          <w:color w:val="auto"/>
        </w:rPr>
      </w:pPr>
    </w:p>
    <w:p>
      <w:pPr>
        <w:ind w:left="740"/>
        <w:spacing w:after="0"/>
        <w:rPr>
          <w:sz w:val="20"/>
          <w:szCs w:val="20"/>
          <w:color w:val="auto"/>
        </w:rPr>
      </w:pPr>
      <w:r>
        <w:rPr>
          <w:rFonts w:ascii="Arial" w:cs="Arial" w:eastAsia="Arial" w:hAnsi="Arial"/>
          <w:sz w:val="14"/>
          <w:szCs w:val="14"/>
          <w:color w:val="auto"/>
        </w:rPr>
        <w:t>3</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57" w:lineRule="exact"/>
        <w:rPr>
          <w:rFonts w:ascii="Arial" w:cs="Arial" w:eastAsia="Arial" w:hAnsi="Arial"/>
          <w:sz w:val="14"/>
          <w:szCs w:val="14"/>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39"/>
        </w:trPr>
        <w:tc>
          <w:tcPr>
            <w:tcW w:w="4260" w:type="dxa"/>
            <w:vAlign w:val="bottom"/>
          </w:tcPr>
          <w:p>
            <w:pPr>
              <w:spacing w:after="0"/>
              <w:rPr>
                <w:sz w:val="20"/>
                <w:szCs w:val="20"/>
                <w:color w:val="auto"/>
              </w:rPr>
            </w:pPr>
            <w:r>
              <w:rPr>
                <w:rFonts w:ascii="Arial" w:cs="Arial" w:eastAsia="Arial" w:hAnsi="Arial"/>
                <w:sz w:val="18"/>
                <w:szCs w:val="18"/>
                <w:b w:val="1"/>
                <w:bCs w:val="1"/>
                <w:color w:val="auto"/>
              </w:rPr>
              <w:t>Artikel 3a</w:t>
            </w:r>
          </w:p>
        </w:tc>
        <w:tc>
          <w:tcPr>
            <w:tcW w:w="88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Article 3a</w:t>
            </w:r>
          </w:p>
        </w:tc>
        <w:tc>
          <w:tcPr>
            <w:tcW w:w="0" w:type="dxa"/>
            <w:vAlign w:val="bottom"/>
          </w:tcPr>
          <w:p>
            <w:pPr>
              <w:spacing w:after="0"/>
              <w:rPr>
                <w:sz w:val="1"/>
                <w:szCs w:val="1"/>
                <w:color w:val="auto"/>
              </w:rPr>
            </w:pPr>
          </w:p>
        </w:tc>
      </w:tr>
      <w:tr>
        <w:trPr>
          <w:trHeight w:val="59"/>
        </w:trPr>
        <w:tc>
          <w:tcPr>
            <w:tcW w:w="4260" w:type="dxa"/>
            <w:vAlign w:val="bottom"/>
          </w:tcPr>
          <w:p>
            <w:pPr>
              <w:spacing w:after="0" w:line="59" w:lineRule="exact"/>
              <w:rPr>
                <w:sz w:val="20"/>
                <w:szCs w:val="20"/>
                <w:color w:val="auto"/>
              </w:rPr>
            </w:pPr>
            <w:r>
              <w:rPr>
                <w:rFonts w:ascii="Arial" w:cs="Arial" w:eastAsia="Arial" w:hAnsi="Arial"/>
                <w:sz w:val="6"/>
                <w:szCs w:val="6"/>
                <w:color w:val="auto"/>
              </w:rPr>
              <w:t>Der Verwaltungsrat ist ermächtigt, jederzeit bis zum</w:t>
            </w:r>
          </w:p>
        </w:tc>
        <w:tc>
          <w:tcPr>
            <w:tcW w:w="880" w:type="dxa"/>
            <w:vAlign w:val="bottom"/>
          </w:tcPr>
          <w:p>
            <w:pPr>
              <w:spacing w:after="0"/>
              <w:rPr>
                <w:sz w:val="5"/>
                <w:szCs w:val="5"/>
                <w:color w:val="auto"/>
              </w:rPr>
            </w:pPr>
          </w:p>
        </w:tc>
        <w:tc>
          <w:tcPr>
            <w:tcW w:w="4260" w:type="dxa"/>
            <w:vAlign w:val="bottom"/>
          </w:tcPr>
          <w:p>
            <w:pPr>
              <w:ind w:left="20"/>
              <w:spacing w:after="0" w:line="59" w:lineRule="exact"/>
              <w:rPr>
                <w:sz w:val="20"/>
                <w:szCs w:val="20"/>
                <w:color w:val="auto"/>
              </w:rPr>
            </w:pPr>
            <w:r>
              <w:rPr>
                <w:rFonts w:ascii="Arial" w:cs="Arial" w:eastAsia="Arial" w:hAnsi="Arial"/>
                <w:sz w:val="6"/>
                <w:szCs w:val="6"/>
                <w:color w:val="auto"/>
              </w:rPr>
              <w:t>The board of directors is authorized to increase the</w:t>
            </w:r>
          </w:p>
        </w:tc>
        <w:tc>
          <w:tcPr>
            <w:tcW w:w="0" w:type="dxa"/>
            <w:vAlign w:val="bottom"/>
          </w:tcPr>
          <w:p>
            <w:pPr>
              <w:spacing w:after="0"/>
              <w:rPr>
                <w:sz w:val="1"/>
                <w:szCs w:val="1"/>
                <w:color w:val="auto"/>
              </w:rPr>
            </w:pPr>
          </w:p>
        </w:tc>
      </w:tr>
      <w:tr>
        <w:trPr>
          <w:trHeight w:val="162"/>
        </w:trPr>
        <w:tc>
          <w:tcPr>
            <w:tcW w:w="5140" w:type="dxa"/>
            <w:vAlign w:val="bottom"/>
            <w:gridSpan w:val="2"/>
          </w:tcPr>
          <w:p>
            <w:pPr>
              <w:ind w:left="4000"/>
              <w:spacing w:after="0"/>
              <w:rPr>
                <w:sz w:val="20"/>
                <w:szCs w:val="20"/>
                <w:color w:val="auto"/>
              </w:rPr>
            </w:pPr>
            <w:r>
              <w:rPr>
                <w:rFonts w:ascii="Arial" w:cs="Arial" w:eastAsia="Arial" w:hAnsi="Arial"/>
                <w:sz w:val="14"/>
                <w:szCs w:val="14"/>
                <w:color w:val="auto"/>
                <w:w w:val="96"/>
              </w:rPr>
              <w:t>Authorized Share1</w:t>
            </w: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60" w:type="dxa"/>
            <w:vAlign w:val="bottom"/>
            <w:vMerge w:val="restart"/>
          </w:tcPr>
          <w:p>
            <w:pPr>
              <w:ind w:left="400"/>
              <w:spacing w:after="0"/>
              <w:rPr>
                <w:sz w:val="20"/>
                <w:szCs w:val="20"/>
                <w:color w:val="auto"/>
              </w:rPr>
            </w:pPr>
            <w:r>
              <w:rPr>
                <w:rFonts w:ascii="Arial" w:cs="Arial" w:eastAsia="Arial" w:hAnsi="Arial"/>
                <w:sz w:val="18"/>
                <w:szCs w:val="18"/>
                <w:color w:val="auto"/>
              </w:rPr>
              <w:t>21. April 2023 das Aktienkapital im</w:t>
            </w: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Capital</w:t>
            </w:r>
          </w:p>
        </w:tc>
        <w:tc>
          <w:tcPr>
            <w:tcW w:w="4260" w:type="dxa"/>
            <w:vAlign w:val="bottom"/>
            <w:vMerge w:val="restart"/>
          </w:tcPr>
          <w:p>
            <w:pPr>
              <w:ind w:left="420"/>
              <w:spacing w:after="0"/>
              <w:rPr>
                <w:sz w:val="20"/>
                <w:szCs w:val="20"/>
                <w:color w:val="auto"/>
              </w:rPr>
            </w:pPr>
            <w:r>
              <w:rPr>
                <w:rFonts w:ascii="Arial" w:cs="Arial" w:eastAsia="Arial" w:hAnsi="Arial"/>
                <w:sz w:val="18"/>
                <w:szCs w:val="18"/>
                <w:color w:val="auto"/>
                <w:w w:val="99"/>
              </w:rPr>
              <w:t>share capital, at any time until April 21, 2023, by</w:t>
            </w:r>
          </w:p>
        </w:tc>
        <w:tc>
          <w:tcPr>
            <w:tcW w:w="0" w:type="dxa"/>
            <w:vAlign w:val="bottom"/>
          </w:tcPr>
          <w:p>
            <w:pPr>
              <w:spacing w:after="0"/>
              <w:rPr>
                <w:sz w:val="1"/>
                <w:szCs w:val="1"/>
                <w:color w:val="auto"/>
              </w:rPr>
            </w:pPr>
          </w:p>
        </w:tc>
      </w:tr>
      <w:tr>
        <w:trPr>
          <w:trHeight w:val="92"/>
        </w:trPr>
        <w:tc>
          <w:tcPr>
            <w:tcW w:w="42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Maximalbetrag von CHF 728’675 durch</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a maximum amount of CHF 728,675 by issuing</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Ausgabe von höchstens 7'286’750 vollständig</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w w:val="99"/>
              </w:rPr>
              <w:t>a maximum of 7,286,750 fully paid up registered</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zu liberierenden Namenaktien mit einem</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shares with a par value of CHF 0.10 each. An</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Nennwert von je CHF 0.10 zu erhöhen.</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increase of the share capital in partial amounts</w:t>
            </w:r>
          </w:p>
        </w:tc>
        <w:tc>
          <w:tcPr>
            <w:tcW w:w="0" w:type="dxa"/>
            <w:vAlign w:val="bottom"/>
          </w:tcPr>
          <w:p>
            <w:pPr>
              <w:spacing w:after="0"/>
              <w:rPr>
                <w:sz w:val="1"/>
                <w:szCs w:val="1"/>
                <w:color w:val="auto"/>
              </w:rPr>
            </w:pPr>
          </w:p>
        </w:tc>
      </w:tr>
      <w:tr>
        <w:trPr>
          <w:trHeight w:val="217"/>
        </w:trPr>
        <w:tc>
          <w:tcPr>
            <w:tcW w:w="4260" w:type="dxa"/>
            <w:vAlign w:val="bottom"/>
          </w:tcPr>
          <w:p>
            <w:pPr>
              <w:ind w:left="400"/>
              <w:spacing w:after="0"/>
              <w:rPr>
                <w:sz w:val="20"/>
                <w:szCs w:val="20"/>
                <w:color w:val="auto"/>
              </w:rPr>
            </w:pPr>
            <w:r>
              <w:rPr>
                <w:rFonts w:ascii="Arial" w:cs="Arial" w:eastAsia="Arial" w:hAnsi="Arial"/>
                <w:sz w:val="18"/>
                <w:szCs w:val="18"/>
                <w:color w:val="auto"/>
              </w:rPr>
              <w:t>Erhöhungen in Teilbeträgen sind gestattet.</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shall be permissible.</w:t>
            </w:r>
          </w:p>
        </w:tc>
        <w:tc>
          <w:tcPr>
            <w:tcW w:w="0" w:type="dxa"/>
            <w:vAlign w:val="bottom"/>
          </w:tcPr>
          <w:p>
            <w:pPr>
              <w:spacing w:after="0"/>
              <w:rPr>
                <w:sz w:val="1"/>
                <w:szCs w:val="1"/>
                <w:color w:val="auto"/>
              </w:rPr>
            </w:pPr>
          </w:p>
        </w:tc>
      </w:tr>
      <w:tr>
        <w:trPr>
          <w:trHeight w:val="269"/>
        </w:trPr>
        <w:tc>
          <w:tcPr>
            <w:tcW w:w="4260" w:type="dxa"/>
            <w:vAlign w:val="bottom"/>
          </w:tcPr>
          <w:p>
            <w:pPr>
              <w:spacing w:after="0"/>
              <w:rPr>
                <w:sz w:val="20"/>
                <w:szCs w:val="20"/>
                <w:color w:val="auto"/>
              </w:rPr>
            </w:pPr>
            <w:r>
              <w:rPr>
                <w:rFonts w:ascii="Arial" w:cs="Arial" w:eastAsia="Arial" w:hAnsi="Arial"/>
                <w:sz w:val="18"/>
                <w:szCs w:val="18"/>
                <w:color w:val="auto"/>
              </w:rPr>
              <w:t>Zeichnung und Erwerb der neuen Aktien sowie jede</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4260" w:type="dxa"/>
            <w:vAlign w:val="bottom"/>
          </w:tcPr>
          <w:p>
            <w:pPr>
              <w:ind w:left="20"/>
              <w:spacing w:after="0"/>
              <w:rPr>
                <w:sz w:val="20"/>
                <w:szCs w:val="20"/>
                <w:color w:val="auto"/>
              </w:rPr>
            </w:pPr>
            <w:r>
              <w:rPr>
                <w:rFonts w:ascii="Arial" w:cs="Arial" w:eastAsia="Arial" w:hAnsi="Arial"/>
                <w:sz w:val="18"/>
                <w:szCs w:val="18"/>
                <w:color w:val="auto"/>
              </w:rPr>
              <w:t>The acquisition of shares and each subsequent</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nachfolgende Übertragung der Aktien</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transfer of the shares shall be subject to the</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unterliegen den Beschränkungen von Artikel 5</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restrictions of Article 5 of these Articles of</w:t>
            </w:r>
          </w:p>
        </w:tc>
        <w:tc>
          <w:tcPr>
            <w:tcW w:w="0" w:type="dxa"/>
            <w:vAlign w:val="bottom"/>
          </w:tcPr>
          <w:p>
            <w:pPr>
              <w:spacing w:after="0"/>
              <w:rPr>
                <w:sz w:val="1"/>
                <w:szCs w:val="1"/>
                <w:color w:val="auto"/>
              </w:rPr>
            </w:pPr>
          </w:p>
        </w:tc>
      </w:tr>
      <w:tr>
        <w:trPr>
          <w:trHeight w:val="217"/>
        </w:trPr>
        <w:tc>
          <w:tcPr>
            <w:tcW w:w="4260" w:type="dxa"/>
            <w:vAlign w:val="bottom"/>
          </w:tcPr>
          <w:p>
            <w:pPr>
              <w:ind w:left="400"/>
              <w:spacing w:after="0"/>
              <w:rPr>
                <w:sz w:val="20"/>
                <w:szCs w:val="20"/>
                <w:color w:val="auto"/>
              </w:rPr>
            </w:pPr>
            <w:r>
              <w:rPr>
                <w:rFonts w:ascii="Arial" w:cs="Arial" w:eastAsia="Arial" w:hAnsi="Arial"/>
                <w:sz w:val="18"/>
                <w:szCs w:val="18"/>
                <w:color w:val="auto"/>
              </w:rPr>
              <w:t>dieser Statuten.</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269"/>
        </w:trPr>
        <w:tc>
          <w:tcPr>
            <w:tcW w:w="4260" w:type="dxa"/>
            <w:vAlign w:val="bottom"/>
          </w:tcPr>
          <w:p>
            <w:pPr>
              <w:spacing w:after="0"/>
              <w:rPr>
                <w:sz w:val="20"/>
                <w:szCs w:val="20"/>
                <w:color w:val="auto"/>
              </w:rPr>
            </w:pPr>
            <w:r>
              <w:rPr>
                <w:rFonts w:ascii="Arial" w:cs="Arial" w:eastAsia="Arial" w:hAnsi="Arial"/>
                <w:sz w:val="18"/>
                <w:szCs w:val="18"/>
                <w:color w:val="auto"/>
              </w:rPr>
              <w:t>Der Verwaltungsrat legt den Ausgabebetrag, die Art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4260" w:type="dxa"/>
            <w:vAlign w:val="bottom"/>
          </w:tcPr>
          <w:p>
            <w:pPr>
              <w:ind w:left="20"/>
              <w:spacing w:after="0"/>
              <w:rPr>
                <w:sz w:val="20"/>
                <w:szCs w:val="20"/>
                <w:color w:val="auto"/>
              </w:rPr>
            </w:pPr>
            <w:r>
              <w:rPr>
                <w:rFonts w:ascii="Arial" w:cs="Arial" w:eastAsia="Arial" w:hAnsi="Arial"/>
                <w:sz w:val="18"/>
                <w:szCs w:val="18"/>
                <w:color w:val="auto"/>
              </w:rPr>
              <w:t>The board of directors shall determine the issue</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der Einlagen, den Zeitpunkt der Ausgabe, die</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price, the type of payment, the time of the</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Bedingungen der Bezugsrechtsausübung und</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issuance, the conditions for the exercise of the</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den Beginn der Dividendenberechtigung fest.</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preemptive rights and the date from which the</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Dabei kann der Verwaltungsrat neue Aktien</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w w:val="99"/>
              </w:rPr>
              <w:t>shares carry the right to dividends. The board of</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mittels Festübernahme durch eine Bank oder</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directors can issue new shares by means of an</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einen anderen Dritten und</w:t>
            </w: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underwriting by a bank or another third party</w:t>
            </w:r>
          </w:p>
        </w:tc>
        <w:tc>
          <w:tcPr>
            <w:tcW w:w="0" w:type="dxa"/>
            <w:vAlign w:val="bottom"/>
          </w:tcPr>
          <w:p>
            <w:pPr>
              <w:spacing w:after="0"/>
              <w:rPr>
                <w:sz w:val="1"/>
                <w:szCs w:val="1"/>
                <w:color w:val="auto"/>
              </w:rPr>
            </w:pPr>
          </w:p>
        </w:tc>
      </w:tr>
      <w:tr>
        <w:trPr>
          <w:trHeight w:val="217"/>
        </w:trPr>
        <w:tc>
          <w:tcPr>
            <w:tcW w:w="4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with a</w:t>
            </w:r>
          </w:p>
        </w:tc>
        <w:tc>
          <w:tcPr>
            <w:tcW w:w="0" w:type="dxa"/>
            <w:vAlign w:val="bottom"/>
          </w:tcPr>
          <w:p>
            <w:pPr>
              <w:spacing w:after="0"/>
              <w:rPr>
                <w:sz w:val="1"/>
                <w:szCs w:val="1"/>
                <w:color w:val="auto"/>
              </w:rPr>
            </w:pPr>
          </w:p>
        </w:tc>
      </w:tr>
    </w:tbl>
    <w:p>
      <w:pPr>
        <w:sectPr>
          <w:pgSz w:w="11900" w:h="16838" w:orient="portrait"/>
          <w:cols w:equalWidth="0" w:num="2">
            <w:col w:w="940" w:space="140"/>
            <w:col w:w="9400"/>
          </w:cols>
          <w:pgMar w:left="220" w:top="1440" w:right="1199" w:bottom="1440" w:gutter="0" w:footer="0" w:header="0"/>
          <w:type w:val="continuous"/>
        </w:sectPr>
      </w:pPr>
    </w:p>
    <w:bookmarkStart w:id="301" w:name="page302"/>
    <w:bookmarkEnd w:id="301"/>
    <w:p>
      <w:pPr>
        <w:jc w:val="center"/>
        <w:ind w:right="-199"/>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9780"/>
          </w:cols>
          <w:pgMar w:left="96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40" w:right="620" w:hanging="404"/>
        <w:spacing w:after="0" w:line="251" w:lineRule="auto"/>
        <w:rPr>
          <w:sz w:val="20"/>
          <w:szCs w:val="20"/>
          <w:color w:val="auto"/>
        </w:rPr>
      </w:pPr>
      <w:r>
        <w:rPr>
          <w:rFonts w:ascii="Arial" w:cs="Arial" w:eastAsia="Arial" w:hAnsi="Arial"/>
          <w:sz w:val="18"/>
          <w:szCs w:val="18"/>
          <w:color w:val="auto"/>
        </w:rPr>
        <w:t>anschliessendem Angebot an die bisherigen Aktionäre oder an Dritte (sofern die Bezugsrechte der bisherigen Aktionäre aufgehoben sind oder nicht gültig ausgeübt werden) ausgeben. Der Verwaltungsrat ist ermächtigt, den Handel mit Bezugsrechten zu ermöglichen, zu beschränken oder auszuschliessen. Nicht ausgeübte Bezugsrechte kann der Verwaltungsrat verfallen lassen, oder er kann diese bzw. Aktien, für welche Bezugsrechte eingeräumt, aber nicht ausgeübt werden, zu Marktkonditionen platzieren oder anderweitig im Interesse der Gesellschaft verwenden.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hanging="404"/>
        <w:spacing w:after="0" w:line="251" w:lineRule="auto"/>
        <w:rPr>
          <w:sz w:val="20"/>
          <w:szCs w:val="20"/>
          <w:color w:val="auto"/>
        </w:rPr>
      </w:pPr>
      <w:r>
        <w:rPr>
          <w:rFonts w:ascii="Arial" w:cs="Arial" w:eastAsia="Arial" w:hAnsi="Arial"/>
          <w:sz w:val="18"/>
          <w:szCs w:val="18"/>
          <w:color w:val="auto"/>
        </w:rPr>
        <w:t>subsequent offer of these shares to the existing shareholders or third parties (if the preemptive rights of the existing shareholders have been denied or not been duly exercised). The board of directors is authorized to permit, to restrict or to deny the trade of preemptive rights. The board of directors may permit preemptive rights that have been granted but not exercised to expire or it may place these rights respectively the shares as to which preemptive rights have been granted but not exercised, at market conditions or use them for other purposes in the interest of the Company.</w:t>
      </w:r>
    </w:p>
    <w:p>
      <w:pPr>
        <w:spacing w:after="0" w:line="269" w:lineRule="exact"/>
        <w:rPr>
          <w:sz w:val="20"/>
          <w:szCs w:val="20"/>
          <w:color w:val="auto"/>
        </w:rPr>
      </w:pPr>
    </w:p>
    <w:p>
      <w:pPr>
        <w:sectPr>
          <w:pgSz w:w="11900" w:h="16838" w:orient="portrait"/>
          <w:cols w:equalWidth="0" w:num="2">
            <w:col w:w="5180" w:space="720"/>
            <w:col w:w="3880"/>
          </w:cols>
          <w:pgMar w:left="960" w:top="144" w:right="11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4</w:t>
            </w:r>
          </w:p>
        </w:tc>
        <w:tc>
          <w:tcPr>
            <w:tcW w:w="4680" w:type="dxa"/>
            <w:vAlign w:val="bottom"/>
            <w:gridSpan w:val="8"/>
            <w:vMerge w:val="restart"/>
          </w:tcPr>
          <w:p>
            <w:pPr>
              <w:jc w:val="right"/>
              <w:ind w:right="190"/>
              <w:spacing w:after="0"/>
              <w:rPr>
                <w:sz w:val="20"/>
                <w:szCs w:val="20"/>
                <w:color w:val="auto"/>
              </w:rPr>
            </w:pPr>
            <w:r>
              <w:rPr>
                <w:rFonts w:ascii="Arial" w:cs="Arial" w:eastAsia="Arial" w:hAnsi="Arial"/>
                <w:sz w:val="18"/>
                <w:szCs w:val="18"/>
                <w:color w:val="auto"/>
              </w:rPr>
              <w:t>Der  Verwaltungsrat  ist  ferner  ermächtigt,  das</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4400" w:type="dxa"/>
            <w:vAlign w:val="bottom"/>
            <w:vMerge w:val="restart"/>
          </w:tcPr>
          <w:p>
            <w:pPr>
              <w:ind w:left="120"/>
              <w:spacing w:after="0"/>
              <w:rPr>
                <w:sz w:val="20"/>
                <w:szCs w:val="20"/>
                <w:color w:val="auto"/>
              </w:rPr>
            </w:pPr>
            <w:r>
              <w:rPr>
                <w:rFonts w:ascii="Arial" w:cs="Arial" w:eastAsia="Arial" w:hAnsi="Arial"/>
                <w:sz w:val="18"/>
                <w:szCs w:val="18"/>
                <w:color w:val="auto"/>
              </w:rPr>
              <w:t>The board of directors is further authorized to restrict</w:t>
            </w:r>
          </w:p>
        </w:tc>
        <w:tc>
          <w:tcPr>
            <w:tcW w:w="0" w:type="dxa"/>
            <w:vAlign w:val="bottom"/>
          </w:tcPr>
          <w:p>
            <w:pPr>
              <w:spacing w:after="0"/>
              <w:rPr>
                <w:sz w:val="1"/>
                <w:szCs w:val="1"/>
                <w:color w:val="auto"/>
              </w:rPr>
            </w:pPr>
          </w:p>
        </w:tc>
      </w:tr>
      <w:tr>
        <w:trPr>
          <w:trHeight w:val="92"/>
        </w:trPr>
        <w:tc>
          <w:tcPr>
            <w:tcW w:w="200" w:type="dxa"/>
            <w:vAlign w:val="bottom"/>
          </w:tcPr>
          <w:p>
            <w:pPr>
              <w:spacing w:after="0"/>
              <w:rPr>
                <w:sz w:val="8"/>
                <w:szCs w:val="8"/>
                <w:color w:val="auto"/>
              </w:rPr>
            </w:pPr>
          </w:p>
        </w:tc>
        <w:tc>
          <w:tcPr>
            <w:tcW w:w="4680" w:type="dxa"/>
            <w:vAlign w:val="bottom"/>
            <w:gridSpan w:val="8"/>
            <w:vMerge w:val="continue"/>
          </w:tcPr>
          <w:p>
            <w:pPr>
              <w:spacing w:after="0"/>
              <w:rPr>
                <w:sz w:val="8"/>
                <w:szCs w:val="8"/>
                <w:color w:val="auto"/>
              </w:rPr>
            </w:pPr>
          </w:p>
        </w:tc>
        <w:tc>
          <w:tcPr>
            <w:tcW w:w="500" w:type="dxa"/>
            <w:vAlign w:val="bottom"/>
          </w:tcPr>
          <w:p>
            <w:pPr>
              <w:spacing w:after="0"/>
              <w:rPr>
                <w:sz w:val="8"/>
                <w:szCs w:val="8"/>
                <w:color w:val="auto"/>
              </w:rPr>
            </w:pPr>
          </w:p>
        </w:tc>
        <w:tc>
          <w:tcPr>
            <w:tcW w:w="4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680" w:type="dxa"/>
            <w:vAlign w:val="bottom"/>
            <w:gridSpan w:val="8"/>
          </w:tcPr>
          <w:p>
            <w:pPr>
              <w:jc w:val="right"/>
              <w:ind w:right="190"/>
              <w:spacing w:after="0"/>
              <w:rPr>
                <w:sz w:val="20"/>
                <w:szCs w:val="20"/>
                <w:color w:val="auto"/>
              </w:rPr>
            </w:pPr>
            <w:r>
              <w:rPr>
                <w:rFonts w:ascii="Arial" w:cs="Arial" w:eastAsia="Arial" w:hAnsi="Arial"/>
                <w:sz w:val="18"/>
                <w:szCs w:val="18"/>
                <w:color w:val="auto"/>
              </w:rPr>
              <w:t>Bezugsrecht der Aktionäre zu beschränken oder</w:t>
            </w:r>
          </w:p>
        </w:tc>
        <w:tc>
          <w:tcPr>
            <w:tcW w:w="500" w:type="dxa"/>
            <w:vAlign w:val="bottom"/>
          </w:tcPr>
          <w:p>
            <w:pPr>
              <w:spacing w:after="0"/>
              <w:rPr>
                <w:sz w:val="18"/>
                <w:szCs w:val="18"/>
                <w:color w:val="auto"/>
              </w:rPr>
            </w:pPr>
          </w:p>
        </w:tc>
        <w:tc>
          <w:tcPr>
            <w:tcW w:w="4400" w:type="dxa"/>
            <w:vAlign w:val="bottom"/>
            <w:vMerge w:val="restart"/>
          </w:tcPr>
          <w:p>
            <w:pPr>
              <w:ind w:left="520"/>
              <w:spacing w:after="0"/>
              <w:rPr>
                <w:sz w:val="20"/>
                <w:szCs w:val="20"/>
                <w:color w:val="auto"/>
              </w:rPr>
            </w:pPr>
            <w:r>
              <w:rPr>
                <w:rFonts w:ascii="Arial" w:cs="Arial" w:eastAsia="Arial" w:hAnsi="Arial"/>
                <w:sz w:val="18"/>
                <w:szCs w:val="18"/>
                <w:color w:val="auto"/>
              </w:rPr>
              <w:t>or deny the preemptive rights of shareholders</w:t>
            </w: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3440" w:type="dxa"/>
            <w:vAlign w:val="bottom"/>
            <w:gridSpan w:val="6"/>
            <w:vMerge w:val="restart"/>
          </w:tcPr>
          <w:p>
            <w:pPr>
              <w:ind w:left="540"/>
              <w:spacing w:after="0"/>
              <w:rPr>
                <w:sz w:val="20"/>
                <w:szCs w:val="20"/>
                <w:color w:val="auto"/>
              </w:rPr>
            </w:pPr>
            <w:r>
              <w:rPr>
                <w:rFonts w:ascii="Arial" w:cs="Arial" w:eastAsia="Arial" w:hAnsi="Arial"/>
                <w:sz w:val="18"/>
                <w:szCs w:val="18"/>
                <w:color w:val="auto"/>
                <w:w w:val="98"/>
              </w:rPr>
              <w:t>aufzuheben und Dritten zuzuweisen:</w:t>
            </w: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440" w:type="dxa"/>
            <w:vAlign w:val="bottom"/>
            <w:gridSpan w:val="6"/>
            <w:vMerge w:val="continue"/>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0" w:type="dxa"/>
            <w:vAlign w:val="bottom"/>
            <w:vMerge w:val="restart"/>
          </w:tcPr>
          <w:p>
            <w:pPr>
              <w:ind w:left="520"/>
              <w:spacing w:after="0"/>
              <w:rPr>
                <w:sz w:val="20"/>
                <w:szCs w:val="20"/>
                <w:color w:val="auto"/>
              </w:rPr>
            </w:pPr>
            <w:r>
              <w:rPr>
                <w:rFonts w:ascii="Arial" w:cs="Arial" w:eastAsia="Arial" w:hAnsi="Arial"/>
                <w:sz w:val="18"/>
                <w:szCs w:val="18"/>
                <w:color w:val="auto"/>
              </w:rPr>
              <w:t>and to allocate them to third parties:</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860" w:type="dxa"/>
            <w:vAlign w:val="bottom"/>
            <w:vMerge w:val="restart"/>
          </w:tcPr>
          <w:p>
            <w:pPr>
              <w:ind w:left="540"/>
              <w:spacing w:after="0"/>
              <w:rPr>
                <w:sz w:val="20"/>
                <w:szCs w:val="20"/>
                <w:color w:val="auto"/>
              </w:rPr>
            </w:pPr>
            <w:r>
              <w:rPr>
                <w:rFonts w:ascii="Arial" w:cs="Arial" w:eastAsia="Arial" w:hAnsi="Arial"/>
                <w:sz w:val="18"/>
                <w:szCs w:val="18"/>
                <w:color w:val="auto"/>
              </w:rPr>
              <w:t>(a)</w:t>
            </w:r>
          </w:p>
        </w:tc>
        <w:tc>
          <w:tcPr>
            <w:tcW w:w="720" w:type="dxa"/>
            <w:vAlign w:val="bottom"/>
            <w:vMerge w:val="restart"/>
          </w:tcPr>
          <w:p>
            <w:pPr>
              <w:ind w:left="120"/>
              <w:spacing w:after="0"/>
              <w:rPr>
                <w:sz w:val="20"/>
                <w:szCs w:val="20"/>
                <w:color w:val="auto"/>
              </w:rPr>
            </w:pPr>
            <w:r>
              <w:rPr>
                <w:rFonts w:ascii="Arial" w:cs="Arial" w:eastAsia="Arial" w:hAnsi="Arial"/>
                <w:sz w:val="18"/>
                <w:szCs w:val="18"/>
                <w:color w:val="auto"/>
              </w:rPr>
              <w:t>für  die</w:t>
            </w:r>
          </w:p>
        </w:tc>
        <w:tc>
          <w:tcPr>
            <w:tcW w:w="1120" w:type="dxa"/>
            <w:vAlign w:val="bottom"/>
            <w:gridSpan w:val="2"/>
            <w:vMerge w:val="restart"/>
          </w:tcPr>
          <w:p>
            <w:pPr>
              <w:ind w:left="140"/>
              <w:spacing w:after="0"/>
              <w:rPr>
                <w:sz w:val="20"/>
                <w:szCs w:val="20"/>
                <w:color w:val="auto"/>
              </w:rPr>
            </w:pPr>
            <w:r>
              <w:rPr>
                <w:rFonts w:ascii="Arial" w:cs="Arial" w:eastAsia="Arial" w:hAnsi="Arial"/>
                <w:sz w:val="18"/>
                <w:szCs w:val="18"/>
                <w:color w:val="auto"/>
              </w:rPr>
              <w:t>Übernahme</w:t>
            </w:r>
          </w:p>
        </w:tc>
        <w:tc>
          <w:tcPr>
            <w:tcW w:w="480" w:type="dxa"/>
            <w:vAlign w:val="bottom"/>
            <w:vMerge w:val="restart"/>
          </w:tcPr>
          <w:p>
            <w:pPr>
              <w:ind w:left="120"/>
              <w:spacing w:after="0"/>
              <w:rPr>
                <w:sz w:val="20"/>
                <w:szCs w:val="20"/>
                <w:color w:val="auto"/>
              </w:rPr>
            </w:pPr>
            <w:r>
              <w:rPr>
                <w:rFonts w:ascii="Arial" w:cs="Arial" w:eastAsia="Arial" w:hAnsi="Arial"/>
                <w:sz w:val="18"/>
                <w:szCs w:val="18"/>
                <w:color w:val="auto"/>
              </w:rPr>
              <w:t>von</w:t>
            </w:r>
          </w:p>
        </w:tc>
        <w:tc>
          <w:tcPr>
            <w:tcW w:w="1500" w:type="dxa"/>
            <w:vAlign w:val="bottom"/>
            <w:gridSpan w:val="3"/>
            <w:vMerge w:val="restart"/>
          </w:tcPr>
          <w:p>
            <w:pPr>
              <w:jc w:val="right"/>
              <w:ind w:right="190"/>
              <w:spacing w:after="0"/>
              <w:rPr>
                <w:sz w:val="20"/>
                <w:szCs w:val="20"/>
                <w:color w:val="auto"/>
              </w:rPr>
            </w:pPr>
            <w:r>
              <w:rPr>
                <w:rFonts w:ascii="Arial" w:cs="Arial" w:eastAsia="Arial" w:hAnsi="Arial"/>
                <w:sz w:val="18"/>
                <w:szCs w:val="18"/>
                <w:color w:val="auto"/>
              </w:rPr>
              <w:t>Unternehmen,</w:t>
            </w:r>
          </w:p>
        </w:tc>
        <w:tc>
          <w:tcPr>
            <w:tcW w:w="500" w:type="dxa"/>
            <w:vAlign w:val="bottom"/>
          </w:tcPr>
          <w:p>
            <w:pPr>
              <w:spacing w:after="0"/>
              <w:rPr>
                <w:sz w:val="11"/>
                <w:szCs w:val="11"/>
                <w:color w:val="auto"/>
              </w:rPr>
            </w:pPr>
          </w:p>
        </w:tc>
        <w:tc>
          <w:tcPr>
            <w:tcW w:w="4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4400" w:type="dxa"/>
            <w:vAlign w:val="bottom"/>
            <w:vMerge w:val="restart"/>
          </w:tcPr>
          <w:p>
            <w:pPr>
              <w:ind w:left="520"/>
              <w:spacing w:after="0"/>
              <w:rPr>
                <w:sz w:val="20"/>
                <w:szCs w:val="20"/>
                <w:color w:val="auto"/>
              </w:rPr>
            </w:pPr>
            <w:r>
              <w:rPr>
                <w:rFonts w:ascii="Arial" w:cs="Arial" w:eastAsia="Arial" w:hAnsi="Arial"/>
                <w:sz w:val="18"/>
                <w:szCs w:val="18"/>
                <w:color w:val="auto"/>
              </w:rPr>
              <w:t>(a)  for the acquisition of companies, parts of</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Unternehmensteilen</w:t>
            </w:r>
          </w:p>
        </w:tc>
        <w:tc>
          <w:tcPr>
            <w:tcW w:w="480" w:type="dxa"/>
            <w:vAlign w:val="bottom"/>
          </w:tcPr>
          <w:p>
            <w:pPr>
              <w:jc w:val="center"/>
              <w:spacing w:after="0" w:line="163" w:lineRule="exact"/>
              <w:rPr>
                <w:sz w:val="20"/>
                <w:szCs w:val="20"/>
                <w:color w:val="auto"/>
              </w:rPr>
            </w:pPr>
            <w:r>
              <w:rPr>
                <w:rFonts w:ascii="Arial" w:cs="Arial" w:eastAsia="Arial" w:hAnsi="Arial"/>
                <w:sz w:val="18"/>
                <w:szCs w:val="18"/>
                <w:color w:val="auto"/>
                <w:w w:val="99"/>
              </w:rPr>
              <w:t>oder</w:t>
            </w:r>
          </w:p>
        </w:tc>
        <w:tc>
          <w:tcPr>
            <w:tcW w:w="1500" w:type="dxa"/>
            <w:vAlign w:val="bottom"/>
            <w:gridSpan w:val="3"/>
          </w:tcPr>
          <w:p>
            <w:pPr>
              <w:jc w:val="right"/>
              <w:ind w:right="190"/>
              <w:spacing w:after="0" w:line="163" w:lineRule="exact"/>
              <w:rPr>
                <w:sz w:val="20"/>
                <w:szCs w:val="20"/>
                <w:color w:val="auto"/>
              </w:rPr>
            </w:pPr>
            <w:r>
              <w:rPr>
                <w:rFonts w:ascii="Arial" w:cs="Arial" w:eastAsia="Arial" w:hAnsi="Arial"/>
                <w:sz w:val="18"/>
                <w:szCs w:val="18"/>
                <w:color w:val="auto"/>
              </w:rPr>
              <w:t>Beteiligungen,</w:t>
            </w:r>
          </w:p>
        </w:tc>
        <w:tc>
          <w:tcPr>
            <w:tcW w:w="500" w:type="dxa"/>
            <w:vAlign w:val="bottom"/>
          </w:tcPr>
          <w:p>
            <w:pPr>
              <w:spacing w:after="0"/>
              <w:rPr>
                <w:sz w:val="14"/>
                <w:szCs w:val="14"/>
                <w:color w:val="auto"/>
              </w:rPr>
            </w:pPr>
          </w:p>
        </w:tc>
        <w:tc>
          <w:tcPr>
            <w:tcW w:w="4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den</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Erwerb</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von</w:t>
            </w:r>
          </w:p>
        </w:tc>
        <w:tc>
          <w:tcPr>
            <w:tcW w:w="26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Produkten,</w:t>
            </w:r>
          </w:p>
        </w:tc>
        <w:tc>
          <w:tcPr>
            <w:tcW w:w="500" w:type="dxa"/>
            <w:vAlign w:val="bottom"/>
          </w:tcPr>
          <w:p>
            <w:pPr>
              <w:spacing w:after="0"/>
              <w:rPr>
                <w:sz w:val="18"/>
                <w:szCs w:val="18"/>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companies  or  participations,  for  the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20" w:type="dxa"/>
            <w:vAlign w:val="bottom"/>
            <w:gridSpan w:val="7"/>
          </w:tcPr>
          <w:p>
            <w:pPr>
              <w:jc w:val="right"/>
              <w:ind w:right="190"/>
              <w:spacing w:after="0"/>
              <w:rPr>
                <w:sz w:val="20"/>
                <w:szCs w:val="20"/>
                <w:color w:val="auto"/>
              </w:rPr>
            </w:pPr>
            <w:r>
              <w:rPr>
                <w:rFonts w:ascii="Arial" w:cs="Arial" w:eastAsia="Arial" w:hAnsi="Arial"/>
                <w:sz w:val="18"/>
                <w:szCs w:val="18"/>
                <w:color w:val="auto"/>
              </w:rPr>
              <w:t>Immaterialgütern oder Lizenzen oder für</w:t>
            </w:r>
          </w:p>
        </w:tc>
        <w:tc>
          <w:tcPr>
            <w:tcW w:w="500" w:type="dxa"/>
            <w:vAlign w:val="bottom"/>
          </w:tcPr>
          <w:p>
            <w:pPr>
              <w:spacing w:after="0"/>
              <w:rPr>
                <w:sz w:val="18"/>
                <w:szCs w:val="18"/>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acquisition   of   products,   intellectual</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Investitionsvorhaben</w:t>
            </w:r>
          </w:p>
        </w:tc>
        <w:tc>
          <w:tcPr>
            <w:tcW w:w="740" w:type="dxa"/>
            <w:vAlign w:val="bottom"/>
            <w:gridSpan w:val="2"/>
          </w:tcPr>
          <w:p>
            <w:pPr>
              <w:jc w:val="right"/>
              <w:ind w:right="50"/>
              <w:spacing w:after="0"/>
              <w:rPr>
                <w:sz w:val="20"/>
                <w:szCs w:val="20"/>
                <w:color w:val="auto"/>
              </w:rPr>
            </w:pPr>
            <w:r>
              <w:rPr>
                <w:rFonts w:ascii="Arial" w:cs="Arial" w:eastAsia="Arial" w:hAnsi="Arial"/>
                <w:sz w:val="18"/>
                <w:szCs w:val="18"/>
                <w:color w:val="auto"/>
              </w:rPr>
              <w:t>oder</w:t>
            </w:r>
          </w:p>
        </w:tc>
        <w:tc>
          <w:tcPr>
            <w:tcW w:w="420" w:type="dxa"/>
            <w:vAlign w:val="bottom"/>
          </w:tcPr>
          <w:p>
            <w:pPr>
              <w:ind w:left="180"/>
              <w:spacing w:after="0"/>
              <w:rPr>
                <w:sz w:val="20"/>
                <w:szCs w:val="20"/>
                <w:color w:val="auto"/>
              </w:rPr>
            </w:pPr>
            <w:r>
              <w:rPr>
                <w:rFonts w:ascii="Arial" w:cs="Arial" w:eastAsia="Arial" w:hAnsi="Arial"/>
                <w:sz w:val="18"/>
                <w:szCs w:val="18"/>
                <w:color w:val="auto"/>
              </w:rPr>
              <w:t>für</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die</w:t>
            </w:r>
          </w:p>
        </w:tc>
        <w:tc>
          <w:tcPr>
            <w:tcW w:w="500" w:type="dxa"/>
            <w:vAlign w:val="bottom"/>
          </w:tcPr>
          <w:p>
            <w:pPr>
              <w:spacing w:after="0"/>
              <w:rPr>
                <w:sz w:val="18"/>
                <w:szCs w:val="18"/>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property  or  licenses,  or  for  investment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20" w:type="dxa"/>
            <w:vAlign w:val="bottom"/>
            <w:gridSpan w:val="7"/>
          </w:tcPr>
          <w:p>
            <w:pPr>
              <w:jc w:val="right"/>
              <w:ind w:right="190"/>
              <w:spacing w:after="0"/>
              <w:rPr>
                <w:sz w:val="20"/>
                <w:szCs w:val="20"/>
                <w:color w:val="auto"/>
              </w:rPr>
            </w:pPr>
            <w:r>
              <w:rPr>
                <w:rFonts w:ascii="Arial" w:cs="Arial" w:eastAsia="Arial" w:hAnsi="Arial"/>
                <w:sz w:val="18"/>
                <w:szCs w:val="18"/>
                <w:color w:val="auto"/>
              </w:rPr>
              <w:t>Finanzierung oder Refinanzierung solcher</w:t>
            </w:r>
          </w:p>
        </w:tc>
        <w:tc>
          <w:tcPr>
            <w:tcW w:w="500" w:type="dxa"/>
            <w:vAlign w:val="bottom"/>
          </w:tcPr>
          <w:p>
            <w:pPr>
              <w:spacing w:after="0"/>
              <w:rPr>
                <w:sz w:val="18"/>
                <w:szCs w:val="18"/>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projects or for the financing or refinancing</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Transaktionen</w:t>
            </w:r>
          </w:p>
        </w:tc>
        <w:tc>
          <w:tcPr>
            <w:tcW w:w="50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durch</w:t>
            </w:r>
          </w:p>
        </w:tc>
        <w:tc>
          <w:tcPr>
            <w:tcW w:w="420" w:type="dxa"/>
            <w:vAlign w:val="bottom"/>
          </w:tcPr>
          <w:p>
            <w:pPr>
              <w:spacing w:after="0"/>
              <w:rPr>
                <w:sz w:val="18"/>
                <w:szCs w:val="18"/>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eine</w:t>
            </w:r>
          </w:p>
        </w:tc>
        <w:tc>
          <w:tcPr>
            <w:tcW w:w="500" w:type="dxa"/>
            <w:vAlign w:val="bottom"/>
          </w:tcPr>
          <w:p>
            <w:pPr>
              <w:spacing w:after="0"/>
              <w:rPr>
                <w:sz w:val="18"/>
                <w:szCs w:val="18"/>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of such transactions through a placement</w:t>
            </w:r>
          </w:p>
        </w:tc>
        <w:tc>
          <w:tcPr>
            <w:tcW w:w="0" w:type="dxa"/>
            <w:vAlign w:val="bottom"/>
          </w:tcPr>
          <w:p>
            <w:pPr>
              <w:spacing w:after="0"/>
              <w:rPr>
                <w:sz w:val="1"/>
                <w:szCs w:val="1"/>
                <w:color w:val="auto"/>
              </w:rPr>
            </w:pPr>
          </w:p>
        </w:tc>
      </w:tr>
      <w:tr>
        <w:trPr>
          <w:trHeight w:val="269"/>
        </w:trPr>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320" w:type="dxa"/>
            <w:vAlign w:val="bottom"/>
            <w:gridSpan w:val="4"/>
          </w:tcPr>
          <w:p>
            <w:pPr>
              <w:ind w:left="120"/>
              <w:spacing w:after="0"/>
              <w:rPr>
                <w:sz w:val="20"/>
                <w:szCs w:val="20"/>
                <w:color w:val="auto"/>
              </w:rPr>
            </w:pPr>
            <w:r>
              <w:rPr>
                <w:rFonts w:ascii="Arial" w:cs="Arial" w:eastAsia="Arial" w:hAnsi="Arial"/>
                <w:sz w:val="18"/>
                <w:szCs w:val="18"/>
                <w:color w:val="auto"/>
              </w:rPr>
              <w:t>Aktienplatzierung; oder</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of shares; or</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680" w:type="dxa"/>
            <w:vAlign w:val="bottom"/>
            <w:gridSpan w:val="8"/>
          </w:tcPr>
          <w:p>
            <w:pPr>
              <w:jc w:val="right"/>
              <w:ind w:right="190"/>
              <w:spacing w:after="0"/>
              <w:rPr>
                <w:sz w:val="20"/>
                <w:szCs w:val="20"/>
                <w:color w:val="auto"/>
              </w:rPr>
            </w:pPr>
            <w:r>
              <w:rPr>
                <w:rFonts w:ascii="Arial" w:cs="Arial" w:eastAsia="Arial" w:hAnsi="Arial"/>
                <w:sz w:val="18"/>
                <w:szCs w:val="18"/>
                <w:color w:val="auto"/>
              </w:rPr>
              <w:t>(b)  zum   Zwecke   der   Erweiterung   des</w:t>
            </w:r>
          </w:p>
        </w:tc>
        <w:tc>
          <w:tcPr>
            <w:tcW w:w="500" w:type="dxa"/>
            <w:vAlign w:val="bottom"/>
          </w:tcPr>
          <w:p>
            <w:pPr>
              <w:spacing w:after="0"/>
              <w:rPr>
                <w:sz w:val="18"/>
                <w:szCs w:val="18"/>
                <w:color w:val="auto"/>
              </w:rPr>
            </w:pPr>
          </w:p>
        </w:tc>
        <w:tc>
          <w:tcPr>
            <w:tcW w:w="4400" w:type="dxa"/>
            <w:vAlign w:val="bottom"/>
          </w:tcPr>
          <w:p>
            <w:pPr>
              <w:ind w:left="520"/>
              <w:spacing w:after="0"/>
              <w:rPr>
                <w:sz w:val="20"/>
                <w:szCs w:val="20"/>
                <w:color w:val="auto"/>
              </w:rPr>
            </w:pPr>
            <w:r>
              <w:rPr>
                <w:rFonts w:ascii="Arial" w:cs="Arial" w:eastAsia="Arial" w:hAnsi="Arial"/>
                <w:sz w:val="18"/>
                <w:szCs w:val="18"/>
                <w:color w:val="auto"/>
              </w:rPr>
              <w:t>(b)  for  the  purpose  of  broadening  the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20" w:type="dxa"/>
            <w:vAlign w:val="bottom"/>
            <w:gridSpan w:val="7"/>
          </w:tcPr>
          <w:p>
            <w:pPr>
              <w:jc w:val="right"/>
              <w:ind w:right="190"/>
              <w:spacing w:after="0"/>
              <w:rPr>
                <w:sz w:val="20"/>
                <w:szCs w:val="20"/>
                <w:color w:val="auto"/>
              </w:rPr>
            </w:pPr>
            <w:r>
              <w:rPr>
                <w:rFonts w:ascii="Arial" w:cs="Arial" w:eastAsia="Arial" w:hAnsi="Arial"/>
                <w:sz w:val="18"/>
                <w:szCs w:val="18"/>
                <w:color w:val="auto"/>
              </w:rPr>
              <w:t>Aktionärskreises oder im Zusammenhang</w:t>
            </w:r>
          </w:p>
        </w:tc>
        <w:tc>
          <w:tcPr>
            <w:tcW w:w="500" w:type="dxa"/>
            <w:vAlign w:val="bottom"/>
          </w:tcPr>
          <w:p>
            <w:pPr>
              <w:spacing w:after="0"/>
              <w:rPr>
                <w:sz w:val="18"/>
                <w:szCs w:val="18"/>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shareholder constituency or in connection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20" w:type="dxa"/>
            <w:vAlign w:val="bottom"/>
            <w:gridSpan w:val="7"/>
          </w:tcPr>
          <w:p>
            <w:pPr>
              <w:jc w:val="right"/>
              <w:ind w:right="190"/>
              <w:spacing w:after="0"/>
              <w:rPr>
                <w:sz w:val="20"/>
                <w:szCs w:val="20"/>
                <w:color w:val="auto"/>
              </w:rPr>
            </w:pPr>
            <w:r>
              <w:rPr>
                <w:rFonts w:ascii="Arial" w:cs="Arial" w:eastAsia="Arial" w:hAnsi="Arial"/>
                <w:sz w:val="18"/>
                <w:szCs w:val="18"/>
                <w:color w:val="auto"/>
              </w:rPr>
              <w:t>mit   der   Kotierung   der   Aktien   an</w:t>
            </w:r>
          </w:p>
        </w:tc>
        <w:tc>
          <w:tcPr>
            <w:tcW w:w="500" w:type="dxa"/>
            <w:vAlign w:val="bottom"/>
          </w:tcPr>
          <w:p>
            <w:pPr>
              <w:spacing w:after="0"/>
              <w:rPr>
                <w:sz w:val="18"/>
                <w:szCs w:val="18"/>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with a listing of shares on domestic or</w:t>
            </w:r>
          </w:p>
        </w:tc>
        <w:tc>
          <w:tcPr>
            <w:tcW w:w="0" w:type="dxa"/>
            <w:vAlign w:val="bottom"/>
          </w:tcPr>
          <w:p>
            <w:pPr>
              <w:spacing w:after="0"/>
              <w:rPr>
                <w:sz w:val="1"/>
                <w:szCs w:val="1"/>
                <w:color w:val="auto"/>
              </w:rPr>
            </w:pPr>
          </w:p>
        </w:tc>
      </w:tr>
      <w:tr>
        <w:trPr>
          <w:trHeight w:val="269"/>
        </w:trPr>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inländischen</w:t>
            </w:r>
          </w:p>
        </w:tc>
        <w:tc>
          <w:tcPr>
            <w:tcW w:w="500" w:type="dxa"/>
            <w:vAlign w:val="bottom"/>
          </w:tcPr>
          <w:p>
            <w:pPr>
              <w:ind w:left="20"/>
              <w:spacing w:after="0"/>
              <w:rPr>
                <w:sz w:val="20"/>
                <w:szCs w:val="20"/>
                <w:color w:val="auto"/>
              </w:rPr>
            </w:pPr>
            <w:r>
              <w:rPr>
                <w:rFonts w:ascii="Arial" w:cs="Arial" w:eastAsia="Arial" w:hAnsi="Arial"/>
                <w:sz w:val="18"/>
                <w:szCs w:val="18"/>
                <w:color w:val="auto"/>
              </w:rPr>
              <w:t>oder</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an</w:t>
            </w:r>
          </w:p>
        </w:tc>
        <w:tc>
          <w:tcPr>
            <w:tcW w:w="1500" w:type="dxa"/>
            <w:vAlign w:val="bottom"/>
            <w:gridSpan w:val="3"/>
          </w:tcPr>
          <w:p>
            <w:pPr>
              <w:jc w:val="right"/>
              <w:ind w:right="190"/>
              <w:spacing w:after="0"/>
              <w:rPr>
                <w:sz w:val="20"/>
                <w:szCs w:val="20"/>
                <w:color w:val="auto"/>
              </w:rPr>
            </w:pPr>
            <w:r>
              <w:rPr>
                <w:rFonts w:ascii="Arial" w:cs="Arial" w:eastAsia="Arial" w:hAnsi="Arial"/>
                <w:sz w:val="18"/>
                <w:szCs w:val="18"/>
                <w:color w:val="auto"/>
              </w:rPr>
              <w:t>ausländischen</w:t>
            </w:r>
          </w:p>
        </w:tc>
        <w:tc>
          <w:tcPr>
            <w:tcW w:w="500" w:type="dxa"/>
            <w:vAlign w:val="bottom"/>
          </w:tcPr>
          <w:p>
            <w:pPr>
              <w:spacing w:after="0"/>
              <w:rPr>
                <w:sz w:val="23"/>
                <w:szCs w:val="23"/>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foreign stock exchanges; or</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Börsen; oder</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0" w:type="dxa"/>
            <w:vAlign w:val="bottom"/>
          </w:tcPr>
          <w:p>
            <w:pPr>
              <w:ind w:left="520"/>
              <w:spacing w:after="0"/>
              <w:rPr>
                <w:sz w:val="20"/>
                <w:szCs w:val="20"/>
                <w:color w:val="auto"/>
              </w:rPr>
            </w:pPr>
            <w:r>
              <w:rPr>
                <w:rFonts w:ascii="Arial" w:cs="Arial" w:eastAsia="Arial" w:hAnsi="Arial"/>
                <w:sz w:val="18"/>
                <w:szCs w:val="18"/>
                <w:color w:val="auto"/>
              </w:rPr>
              <w:t>(c)   if the issue price of the new Shares is</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860" w:type="dxa"/>
            <w:vAlign w:val="bottom"/>
          </w:tcPr>
          <w:p>
            <w:pPr>
              <w:ind w:left="540"/>
              <w:spacing w:after="0"/>
              <w:rPr>
                <w:sz w:val="20"/>
                <w:szCs w:val="20"/>
                <w:color w:val="auto"/>
              </w:rPr>
            </w:pPr>
            <w:r>
              <w:rPr>
                <w:rFonts w:ascii="Arial" w:cs="Arial" w:eastAsia="Arial" w:hAnsi="Arial"/>
                <w:sz w:val="18"/>
                <w:szCs w:val="18"/>
                <w:color w:val="auto"/>
              </w:rPr>
              <w:t>(c)</w:t>
            </w:r>
          </w:p>
        </w:tc>
        <w:tc>
          <w:tcPr>
            <w:tcW w:w="720" w:type="dxa"/>
            <w:vAlign w:val="bottom"/>
          </w:tcPr>
          <w:p>
            <w:pPr>
              <w:ind w:left="120"/>
              <w:spacing w:after="0"/>
              <w:rPr>
                <w:sz w:val="20"/>
                <w:szCs w:val="20"/>
                <w:color w:val="auto"/>
              </w:rPr>
            </w:pPr>
            <w:r>
              <w:rPr>
                <w:rFonts w:ascii="Arial" w:cs="Arial" w:eastAsia="Arial" w:hAnsi="Arial"/>
                <w:sz w:val="18"/>
                <w:szCs w:val="18"/>
                <w:color w:val="auto"/>
              </w:rPr>
              <w:t>wenn</w:t>
            </w:r>
          </w:p>
        </w:tc>
        <w:tc>
          <w:tcPr>
            <w:tcW w:w="1860" w:type="dxa"/>
            <w:vAlign w:val="bottom"/>
            <w:gridSpan w:val="4"/>
          </w:tcPr>
          <w:p>
            <w:pPr>
              <w:jc w:val="right"/>
              <w:ind w:right="90"/>
              <w:spacing w:after="0"/>
              <w:rPr>
                <w:sz w:val="20"/>
                <w:szCs w:val="20"/>
                <w:color w:val="auto"/>
              </w:rPr>
            </w:pPr>
            <w:r>
              <w:rPr>
                <w:rFonts w:ascii="Arial" w:cs="Arial" w:eastAsia="Arial" w:hAnsi="Arial"/>
                <w:sz w:val="18"/>
                <w:szCs w:val="18"/>
                <w:color w:val="auto"/>
              </w:rPr>
              <w:t>der  Ausgabebetrag</w:t>
            </w:r>
          </w:p>
        </w:tc>
        <w:tc>
          <w:tcPr>
            <w:tcW w:w="420" w:type="dxa"/>
            <w:vAlign w:val="bottom"/>
          </w:tcPr>
          <w:p>
            <w:pPr>
              <w:ind w:left="20"/>
              <w:spacing w:after="0"/>
              <w:rPr>
                <w:sz w:val="20"/>
                <w:szCs w:val="20"/>
                <w:color w:val="auto"/>
              </w:rPr>
            </w:pPr>
            <w:r>
              <w:rPr>
                <w:rFonts w:ascii="Arial" w:cs="Arial" w:eastAsia="Arial" w:hAnsi="Arial"/>
                <w:sz w:val="18"/>
                <w:szCs w:val="18"/>
                <w:color w:val="auto"/>
              </w:rPr>
              <w:t>der</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neuen</w:t>
            </w:r>
          </w:p>
        </w:tc>
        <w:tc>
          <w:tcPr>
            <w:tcW w:w="500" w:type="dxa"/>
            <w:vAlign w:val="bottom"/>
          </w:tcPr>
          <w:p>
            <w:pPr>
              <w:spacing w:after="0"/>
              <w:rPr>
                <w:sz w:val="18"/>
                <w:szCs w:val="18"/>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determined by reference to the market</w:t>
            </w:r>
          </w:p>
        </w:tc>
        <w:tc>
          <w:tcPr>
            <w:tcW w:w="0" w:type="dxa"/>
            <w:vAlign w:val="bottom"/>
          </w:tcPr>
          <w:p>
            <w:pPr>
              <w:spacing w:after="0"/>
              <w:rPr>
                <w:sz w:val="1"/>
                <w:szCs w:val="1"/>
                <w:color w:val="auto"/>
              </w:rPr>
            </w:pPr>
          </w:p>
        </w:tc>
      </w:tr>
      <w:tr>
        <w:trPr>
          <w:trHeight w:val="269"/>
        </w:trPr>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Aktien</w:t>
            </w:r>
          </w:p>
        </w:tc>
        <w:tc>
          <w:tcPr>
            <w:tcW w:w="620" w:type="dxa"/>
            <w:vAlign w:val="bottom"/>
          </w:tcPr>
          <w:p>
            <w:pPr>
              <w:ind w:left="180"/>
              <w:spacing w:after="0"/>
              <w:rPr>
                <w:sz w:val="20"/>
                <w:szCs w:val="20"/>
                <w:color w:val="auto"/>
              </w:rPr>
            </w:pPr>
            <w:r>
              <w:rPr>
                <w:rFonts w:ascii="Arial" w:cs="Arial" w:eastAsia="Arial" w:hAnsi="Arial"/>
                <w:sz w:val="18"/>
                <w:szCs w:val="18"/>
                <w:color w:val="auto"/>
              </w:rPr>
              <w:t>unter</w:t>
            </w:r>
          </w:p>
        </w:tc>
        <w:tc>
          <w:tcPr>
            <w:tcW w:w="1660" w:type="dxa"/>
            <w:vAlign w:val="bottom"/>
            <w:gridSpan w:val="4"/>
          </w:tcPr>
          <w:p>
            <w:pPr>
              <w:ind w:left="260"/>
              <w:spacing w:after="0"/>
              <w:rPr>
                <w:sz w:val="20"/>
                <w:szCs w:val="20"/>
                <w:color w:val="auto"/>
              </w:rPr>
            </w:pPr>
            <w:r>
              <w:rPr>
                <w:rFonts w:ascii="Arial" w:cs="Arial" w:eastAsia="Arial" w:hAnsi="Arial"/>
                <w:sz w:val="18"/>
                <w:szCs w:val="18"/>
                <w:color w:val="auto"/>
              </w:rPr>
              <w:t>Berücksichtigung</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des</w:t>
            </w:r>
          </w:p>
        </w:tc>
        <w:tc>
          <w:tcPr>
            <w:tcW w:w="500" w:type="dxa"/>
            <w:vAlign w:val="bottom"/>
          </w:tcPr>
          <w:p>
            <w:pPr>
              <w:spacing w:after="0"/>
              <w:rPr>
                <w:sz w:val="23"/>
                <w:szCs w:val="23"/>
                <w:color w:val="auto"/>
              </w:rPr>
            </w:pPr>
          </w:p>
        </w:tc>
        <w:tc>
          <w:tcPr>
            <w:tcW w:w="4400" w:type="dxa"/>
            <w:vAlign w:val="bottom"/>
          </w:tcPr>
          <w:p>
            <w:pPr>
              <w:ind w:left="980"/>
              <w:spacing w:after="0"/>
              <w:rPr>
                <w:sz w:val="20"/>
                <w:szCs w:val="20"/>
                <w:color w:val="auto"/>
              </w:rPr>
            </w:pPr>
            <w:r>
              <w:rPr>
                <w:rFonts w:ascii="Arial" w:cs="Arial" w:eastAsia="Arial" w:hAnsi="Arial"/>
                <w:sz w:val="18"/>
                <w:szCs w:val="18"/>
                <w:color w:val="auto"/>
              </w:rPr>
              <w:t>price; or</w:t>
            </w:r>
          </w:p>
        </w:tc>
        <w:tc>
          <w:tcPr>
            <w:tcW w:w="0" w:type="dxa"/>
            <w:vAlign w:val="bottom"/>
          </w:tcPr>
          <w:p>
            <w:pPr>
              <w:spacing w:after="0"/>
              <w:rPr>
                <w:sz w:val="1"/>
                <w:szCs w:val="1"/>
                <w:color w:val="auto"/>
              </w:rPr>
            </w:pPr>
          </w:p>
        </w:tc>
      </w:tr>
    </w:tbl>
    <w:p>
      <w:pPr>
        <w:ind w:left="1180"/>
        <w:spacing w:after="0"/>
        <w:rPr>
          <w:sz w:val="20"/>
          <w:szCs w:val="20"/>
          <w:color w:val="auto"/>
        </w:rPr>
      </w:pPr>
      <w:r>
        <w:rPr>
          <w:rFonts w:ascii="Arial" w:cs="Arial" w:eastAsia="Arial" w:hAnsi="Arial"/>
          <w:sz w:val="18"/>
          <w:szCs w:val="18"/>
          <w:color w:val="auto"/>
        </w:rPr>
        <w:t>Marktpreises festgesetzt wird; oder</w:t>
      </w:r>
    </w:p>
    <w:p>
      <w:pPr>
        <w:sectPr>
          <w:pgSz w:w="11900" w:h="16838" w:orient="portrait"/>
          <w:cols w:equalWidth="0" w:num="1">
            <w:col w:w="9780"/>
          </w:cols>
          <w:pgMar w:left="960" w:top="144" w:right="1159" w:bottom="1440" w:gutter="0" w:footer="0" w:header="0"/>
          <w:type w:val="continuous"/>
        </w:sectPr>
      </w:pPr>
    </w:p>
    <w:bookmarkStart w:id="302" w:name="page303"/>
    <w:bookmarkEnd w:id="302"/>
    <w:p>
      <w:pPr>
        <w:ind w:left="5600"/>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0520"/>
          </w:cols>
          <w:pgMar w:left="22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2280" w:right="569" w:hanging="445"/>
        <w:spacing w:after="0" w:line="252" w:lineRule="auto"/>
        <w:tabs>
          <w:tab w:leader="none" w:pos="2260" w:val="left"/>
        </w:tabs>
        <w:rPr>
          <w:sz w:val="20"/>
          <w:szCs w:val="20"/>
          <w:color w:val="auto"/>
        </w:rPr>
      </w:pPr>
      <w:r>
        <w:rPr>
          <w:rFonts w:ascii="Arial" w:cs="Arial" w:eastAsia="Arial" w:hAnsi="Arial"/>
          <w:sz w:val="18"/>
          <w:szCs w:val="18"/>
          <w:color w:val="auto"/>
        </w:rPr>
        <w:t>(d)</w:t>
        <w:tab/>
        <w:t>für die Einräumung einer Mehrzuteilungsoption (Greenshoe) von bis zu 20% der zu platzierenden oder zu verkaufenden Aktien an die betreffenden Erstkäufer oder Festübernehmer im Rahmen einer Aktienplatzierung oder eines Aktienverkaufs; oder</w:t>
      </w:r>
    </w:p>
    <w:p>
      <w:pPr>
        <w:spacing w:after="0" w:line="200" w:lineRule="exact"/>
        <w:rPr>
          <w:sz w:val="20"/>
          <w:szCs w:val="20"/>
          <w:color w:val="auto"/>
        </w:rPr>
      </w:pPr>
    </w:p>
    <w:p>
      <w:pPr>
        <w:spacing w:after="0" w:line="277" w:lineRule="exact"/>
        <w:rPr>
          <w:sz w:val="20"/>
          <w:szCs w:val="20"/>
          <w:color w:val="auto"/>
        </w:rPr>
      </w:pPr>
    </w:p>
    <w:p>
      <w:pPr>
        <w:jc w:val="both"/>
        <w:ind w:left="2240" w:right="569" w:hanging="400"/>
        <w:spacing w:after="0" w:line="250" w:lineRule="auto"/>
        <w:tabs>
          <w:tab w:leader="none" w:pos="22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wenn ein Aktionär oder eine Gruppe von in gemeinsamer Absprache handelnden Aktionären mehr als 15% des im</w:t>
      </w:r>
    </w:p>
    <w:p>
      <w:pPr>
        <w:spacing w:after="0" w:line="1" w:lineRule="exact"/>
        <w:rPr>
          <w:rFonts w:ascii="Arial" w:cs="Arial" w:eastAsia="Arial" w:hAnsi="Arial"/>
          <w:sz w:val="18"/>
          <w:szCs w:val="18"/>
          <w:color w:val="auto"/>
        </w:rPr>
      </w:pPr>
    </w:p>
    <w:p>
      <w:pPr>
        <w:jc w:val="both"/>
        <w:ind w:left="2240" w:right="549"/>
        <w:spacing w:after="0" w:line="252" w:lineRule="auto"/>
        <w:rPr>
          <w:rFonts w:ascii="Arial" w:cs="Arial" w:eastAsia="Arial" w:hAnsi="Arial"/>
          <w:sz w:val="18"/>
          <w:szCs w:val="18"/>
          <w:color w:val="auto"/>
        </w:rPr>
      </w:pPr>
      <w:r>
        <w:rPr>
          <w:rFonts w:ascii="Arial" w:cs="Arial" w:eastAsia="Arial" w:hAnsi="Arial"/>
          <w:sz w:val="18"/>
          <w:szCs w:val="18"/>
          <w:color w:val="auto"/>
        </w:rPr>
        <w:t>Handelsregister eingetragenen Aktienkapitals der Gesellschaft auf sich vereinigt hat, ohne den übrigen Aktionären ein vom Verwaltungsrat empfohlenes Übernahmeangebot zu unterbreiten; oder</w:t>
      </w:r>
    </w:p>
    <w:p>
      <w:pPr>
        <w:spacing w:after="0" w:line="45" w:lineRule="exact"/>
        <w:rPr>
          <w:rFonts w:ascii="Arial" w:cs="Arial" w:eastAsia="Arial" w:hAnsi="Arial"/>
          <w:sz w:val="18"/>
          <w:szCs w:val="18"/>
          <w:color w:val="auto"/>
        </w:rPr>
      </w:pPr>
    </w:p>
    <w:p>
      <w:pPr>
        <w:ind w:left="2240" w:hanging="400"/>
        <w:spacing w:after="0"/>
        <w:tabs>
          <w:tab w:leader="none" w:pos="2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zur   Abwehr   eines   unterbreiteten,</w:t>
      </w:r>
    </w:p>
    <w:p>
      <w:pPr>
        <w:spacing w:after="0" w:line="9" w:lineRule="exact"/>
        <w:rPr>
          <w:rFonts w:ascii="Arial" w:cs="Arial" w:eastAsia="Arial" w:hAnsi="Arial"/>
          <w:sz w:val="18"/>
          <w:szCs w:val="18"/>
          <w:color w:val="auto"/>
        </w:rPr>
      </w:pPr>
    </w:p>
    <w:p>
      <w:pPr>
        <w:jc w:val="both"/>
        <w:ind w:left="2240" w:right="549"/>
        <w:spacing w:after="0" w:line="251" w:lineRule="auto"/>
        <w:rPr>
          <w:rFonts w:ascii="Arial" w:cs="Arial" w:eastAsia="Arial" w:hAnsi="Arial"/>
          <w:sz w:val="18"/>
          <w:szCs w:val="18"/>
          <w:color w:val="auto"/>
        </w:rPr>
      </w:pPr>
      <w:r>
        <w:rPr>
          <w:rFonts w:ascii="Arial" w:cs="Arial" w:eastAsia="Arial" w:hAnsi="Arial"/>
          <w:sz w:val="18"/>
          <w:szCs w:val="18"/>
          <w:color w:val="auto"/>
        </w:rPr>
        <w:t>angedrohten oder potentiellen Übernahmeangebotes, welches der Verwaltungsrat, nach Konsultation mit einem von ihm beigezogenen unabhängigen Finanzberater, den Aktionären nicht zur Annahme empfohlen hat, weil der Verwaltungsrat das Übernahmeangebot in finanzieller Hinsicht gegenüber den Aktionären nicht als fair beurteilt 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451" w:right="20" w:hanging="451"/>
        <w:spacing w:after="0" w:line="375" w:lineRule="auto"/>
        <w:tabs>
          <w:tab w:leader="none" w:pos="44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Shares in a placement or sale of Shares to the respective initial purchasers or underwriters; or</w:t>
      </w:r>
    </w:p>
    <w:p>
      <w:pPr>
        <w:spacing w:after="0" w:line="3" w:lineRule="exact"/>
        <w:rPr>
          <w:rFonts w:ascii="Arial" w:cs="Arial" w:eastAsia="Arial" w:hAnsi="Arial"/>
          <w:sz w:val="18"/>
          <w:szCs w:val="18"/>
          <w:color w:val="auto"/>
        </w:rPr>
      </w:pPr>
    </w:p>
    <w:p>
      <w:pPr>
        <w:jc w:val="both"/>
        <w:ind w:left="411" w:hanging="411"/>
        <w:spacing w:after="0" w:line="252" w:lineRule="auto"/>
        <w:tabs>
          <w:tab w:leader="none" w:pos="40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w:t>
      </w:r>
    </w:p>
    <w:p>
      <w:pPr>
        <w:spacing w:after="0" w:line="313" w:lineRule="exact"/>
        <w:rPr>
          <w:rFonts w:ascii="Arial" w:cs="Arial" w:eastAsia="Arial" w:hAnsi="Arial"/>
          <w:sz w:val="18"/>
          <w:szCs w:val="18"/>
          <w:color w:val="auto"/>
        </w:rPr>
      </w:pPr>
    </w:p>
    <w:p>
      <w:pPr>
        <w:jc w:val="both"/>
        <w:ind w:left="411" w:hanging="411"/>
        <w:spacing w:after="0" w:line="236" w:lineRule="auto"/>
        <w:tabs>
          <w:tab w:leader="none" w:pos="40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w:t>
      </w:r>
    </w:p>
    <w:p>
      <w:pPr>
        <w:spacing w:after="0" w:line="898" w:lineRule="exact"/>
        <w:rPr>
          <w:sz w:val="20"/>
          <w:szCs w:val="20"/>
          <w:color w:val="auto"/>
        </w:rPr>
      </w:pPr>
    </w:p>
    <w:p>
      <w:pPr>
        <w:sectPr>
          <w:pgSz w:w="11900" w:h="16838" w:orient="portrait"/>
          <w:cols w:equalWidth="0" w:num="2">
            <w:col w:w="6129" w:space="720"/>
            <w:col w:w="3671"/>
          </w:cols>
          <w:pgMar w:left="220" w:top="144" w:right="115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Artikel 3b</w:t>
            </w:r>
          </w:p>
        </w:tc>
        <w:tc>
          <w:tcPr>
            <w:tcW w:w="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20" w:type="dxa"/>
            <w:vAlign w:val="bottom"/>
            <w:gridSpan w:val="2"/>
          </w:tcPr>
          <w:p>
            <w:pPr>
              <w:jc w:val="right"/>
              <w:ind w:right="3170"/>
              <w:spacing w:after="0"/>
              <w:rPr>
                <w:sz w:val="20"/>
                <w:szCs w:val="20"/>
                <w:color w:val="auto"/>
              </w:rPr>
            </w:pPr>
            <w:r>
              <w:rPr>
                <w:rFonts w:ascii="Arial" w:cs="Arial" w:eastAsia="Arial" w:hAnsi="Arial"/>
                <w:sz w:val="18"/>
                <w:szCs w:val="18"/>
                <w:b w:val="1"/>
                <w:bCs w:val="1"/>
                <w:color w:val="auto"/>
              </w:rPr>
              <w:t>Article 3b</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20"/>
                <w:szCs w:val="20"/>
                <w:color w:val="auto"/>
              </w:rPr>
            </w:pPr>
            <w:r>
              <w:rPr>
                <w:rFonts w:ascii="Arial" w:cs="Arial" w:eastAsia="Arial" w:hAnsi="Arial"/>
                <w:sz w:val="14"/>
                <w:szCs w:val="14"/>
                <w:color w:val="auto"/>
                <w:w w:val="96"/>
              </w:rPr>
              <w:t>ngtes Aktienkapital1 für</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40" w:type="dxa"/>
            <w:vAlign w:val="bottom"/>
            <w:gridSpan w:val="3"/>
          </w:tcPr>
          <w:p>
            <w:pPr>
              <w:ind w:left="1560"/>
              <w:spacing w:after="0"/>
              <w:rPr>
                <w:sz w:val="20"/>
                <w:szCs w:val="20"/>
                <w:color w:val="auto"/>
              </w:rPr>
            </w:pPr>
            <w:r>
              <w:rPr>
                <w:rFonts w:ascii="Arial" w:cs="Arial" w:eastAsia="Arial" w:hAnsi="Arial"/>
                <w:sz w:val="14"/>
                <w:szCs w:val="14"/>
                <w:color w:val="auto"/>
              </w:rPr>
              <w:t>Conditional Share1</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420" w:type="dxa"/>
            <w:vAlign w:val="bottom"/>
          </w:tcPr>
          <w:p>
            <w:pPr>
              <w:spacing w:after="0"/>
              <w:rPr>
                <w:sz w:val="7"/>
                <w:szCs w:val="7"/>
                <w:color w:val="auto"/>
              </w:rPr>
            </w:pPr>
          </w:p>
        </w:tc>
        <w:tc>
          <w:tcPr>
            <w:tcW w:w="4220" w:type="dxa"/>
            <w:vAlign w:val="bottom"/>
            <w:gridSpan w:val="4"/>
          </w:tcPr>
          <w:p>
            <w:pPr>
              <w:jc w:val="right"/>
              <w:spacing w:after="0" w:line="81" w:lineRule="exact"/>
              <w:rPr>
                <w:sz w:val="20"/>
                <w:szCs w:val="20"/>
                <w:color w:val="auto"/>
              </w:rPr>
            </w:pPr>
            <w:r>
              <w:rPr>
                <w:rFonts w:ascii="Arial" w:cs="Arial" w:eastAsia="Arial" w:hAnsi="Arial"/>
                <w:sz w:val="9"/>
                <w:szCs w:val="9"/>
                <w:color w:val="auto"/>
              </w:rPr>
              <w:t>Das Aktienkapital kann sich durch Ausgabe von</w:t>
            </w:r>
          </w:p>
        </w:tc>
        <w:tc>
          <w:tcPr>
            <w:tcW w:w="760" w:type="dxa"/>
            <w:vAlign w:val="bottom"/>
            <w:vMerge w:val="restart"/>
          </w:tcPr>
          <w:p>
            <w:pPr>
              <w:ind w:left="60"/>
              <w:spacing w:after="0"/>
              <w:rPr>
                <w:sz w:val="20"/>
                <w:szCs w:val="20"/>
                <w:color w:val="auto"/>
              </w:rPr>
            </w:pPr>
            <w:r>
              <w:rPr>
                <w:rFonts w:ascii="Arial" w:cs="Arial" w:eastAsia="Arial" w:hAnsi="Arial"/>
                <w:sz w:val="14"/>
                <w:szCs w:val="14"/>
                <w:color w:val="auto"/>
              </w:rPr>
              <w:t>Capital for</w:t>
            </w:r>
          </w:p>
        </w:tc>
        <w:tc>
          <w:tcPr>
            <w:tcW w:w="4120" w:type="dxa"/>
            <w:vAlign w:val="bottom"/>
            <w:gridSpan w:val="2"/>
          </w:tcPr>
          <w:p>
            <w:pPr>
              <w:jc w:val="right"/>
              <w:spacing w:after="0" w:line="81" w:lineRule="exact"/>
              <w:rPr>
                <w:sz w:val="20"/>
                <w:szCs w:val="20"/>
                <w:color w:val="auto"/>
              </w:rPr>
            </w:pPr>
            <w:r>
              <w:rPr>
                <w:rFonts w:ascii="Arial" w:cs="Arial" w:eastAsia="Arial" w:hAnsi="Arial"/>
                <w:sz w:val="9"/>
                <w:szCs w:val="9"/>
                <w:color w:val="auto"/>
              </w:rPr>
              <w:t>The share capital may be increased in an amount</w:t>
            </w:r>
          </w:p>
        </w:tc>
        <w:tc>
          <w:tcPr>
            <w:tcW w:w="0" w:type="dxa"/>
            <w:vAlign w:val="bottom"/>
          </w:tcPr>
          <w:p>
            <w:pPr>
              <w:spacing w:after="0"/>
              <w:rPr>
                <w:sz w:val="1"/>
                <w:szCs w:val="1"/>
                <w:color w:val="auto"/>
              </w:rPr>
            </w:pPr>
          </w:p>
        </w:tc>
      </w:tr>
      <w:tr>
        <w:trPr>
          <w:trHeight w:val="113"/>
        </w:trPr>
        <w:tc>
          <w:tcPr>
            <w:tcW w:w="168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Mitarbeiterbeteiligung</w:t>
            </w:r>
          </w:p>
        </w:tc>
        <w:tc>
          <w:tcPr>
            <w:tcW w:w="3960" w:type="dxa"/>
            <w:vAlign w:val="bottom"/>
            <w:gridSpan w:val="3"/>
            <w:vMerge w:val="restart"/>
          </w:tcPr>
          <w:p>
            <w:pPr>
              <w:ind w:left="160"/>
              <w:spacing w:after="0"/>
              <w:rPr>
                <w:sz w:val="20"/>
                <w:szCs w:val="20"/>
                <w:color w:val="auto"/>
              </w:rPr>
            </w:pPr>
            <w:r>
              <w:rPr>
                <w:rFonts w:ascii="Arial" w:cs="Arial" w:eastAsia="Arial" w:hAnsi="Arial"/>
                <w:sz w:val="18"/>
                <w:szCs w:val="18"/>
                <w:color w:val="auto"/>
              </w:rPr>
              <w:t>höchstens  1'760’677  voll  zu  liberierenden</w:t>
            </w:r>
          </w:p>
        </w:tc>
        <w:tc>
          <w:tcPr>
            <w:tcW w:w="7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3840" w:type="dxa"/>
            <w:vAlign w:val="bottom"/>
            <w:vMerge w:val="restart"/>
          </w:tcPr>
          <w:p>
            <w:pPr>
              <w:jc w:val="right"/>
              <w:spacing w:after="0"/>
              <w:rPr>
                <w:sz w:val="20"/>
                <w:szCs w:val="20"/>
                <w:color w:val="auto"/>
              </w:rPr>
            </w:pPr>
            <w:r>
              <w:rPr>
                <w:rFonts w:ascii="Arial" w:cs="Arial" w:eastAsia="Arial" w:hAnsi="Arial"/>
                <w:sz w:val="18"/>
                <w:szCs w:val="18"/>
                <w:color w:val="auto"/>
              </w:rPr>
              <w:t>not to exceed CHF 176,067.70 through the</w:t>
            </w: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60" w:type="dxa"/>
            <w:vAlign w:val="bottom"/>
            <w:gridSpan w:val="3"/>
            <w:vMerge w:val="continue"/>
          </w:tcPr>
          <w:p>
            <w:pPr>
              <w:spacing w:after="0"/>
              <w:rPr>
                <w:sz w:val="13"/>
                <w:szCs w:val="13"/>
                <w:color w:val="auto"/>
              </w:rPr>
            </w:pPr>
          </w:p>
        </w:tc>
        <w:tc>
          <w:tcPr>
            <w:tcW w:w="760" w:type="dxa"/>
            <w:vAlign w:val="bottom"/>
          </w:tcPr>
          <w:p>
            <w:pPr>
              <w:ind w:left="60"/>
              <w:spacing w:after="0" w:line="157" w:lineRule="exact"/>
              <w:rPr>
                <w:sz w:val="20"/>
                <w:szCs w:val="20"/>
                <w:color w:val="auto"/>
              </w:rPr>
            </w:pPr>
            <w:r>
              <w:rPr>
                <w:rFonts w:ascii="Arial" w:cs="Arial" w:eastAsia="Arial" w:hAnsi="Arial"/>
                <w:sz w:val="14"/>
                <w:szCs w:val="14"/>
                <w:color w:val="auto"/>
              </w:rPr>
              <w:t>Employee</w:t>
            </w:r>
          </w:p>
        </w:tc>
        <w:tc>
          <w:tcPr>
            <w:tcW w:w="280" w:type="dxa"/>
            <w:vAlign w:val="bottom"/>
          </w:tcPr>
          <w:p>
            <w:pPr>
              <w:spacing w:after="0"/>
              <w:rPr>
                <w:sz w:val="13"/>
                <w:szCs w:val="13"/>
                <w:color w:val="auto"/>
              </w:rPr>
            </w:pPr>
          </w:p>
        </w:tc>
        <w:tc>
          <w:tcPr>
            <w:tcW w:w="3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Namenaktien im Nennwert von je CHF 0.10</w:t>
            </w: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Participation</w:t>
            </w:r>
          </w:p>
        </w:tc>
        <w:tc>
          <w:tcPr>
            <w:tcW w:w="3840" w:type="dxa"/>
            <w:vAlign w:val="bottom"/>
          </w:tcPr>
          <w:p>
            <w:pPr>
              <w:jc w:val="right"/>
              <w:spacing w:after="0"/>
              <w:rPr>
                <w:sz w:val="20"/>
                <w:szCs w:val="20"/>
                <w:color w:val="auto"/>
              </w:rPr>
            </w:pPr>
            <w:r>
              <w:rPr>
                <w:rFonts w:ascii="Arial" w:cs="Arial" w:eastAsia="Arial" w:hAnsi="Arial"/>
                <w:sz w:val="18"/>
                <w:szCs w:val="18"/>
                <w:color w:val="auto"/>
              </w:rPr>
              <w:t>issuance of up to 1,760,677 fully paid up</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um höchstens CHF 176’067.70 erhöhen durch</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registered  shares  with  a  par  value  of</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direkte oder indirekte Ausgabe von Aktien,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CHF 0.10 per share through the direct or</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Optionen</w:t>
            </w:r>
          </w:p>
        </w:tc>
        <w:tc>
          <w:tcPr>
            <w:tcW w:w="660" w:type="dxa"/>
            <w:vAlign w:val="bottom"/>
          </w:tcPr>
          <w:p>
            <w:pPr>
              <w:ind w:left="160"/>
              <w:spacing w:after="0"/>
              <w:rPr>
                <w:sz w:val="20"/>
                <w:szCs w:val="20"/>
                <w:color w:val="auto"/>
              </w:rPr>
            </w:pPr>
            <w:r>
              <w:rPr>
                <w:rFonts w:ascii="Arial" w:cs="Arial" w:eastAsia="Arial" w:hAnsi="Arial"/>
                <w:sz w:val="18"/>
                <w:szCs w:val="18"/>
                <w:color w:val="auto"/>
              </w:rPr>
              <w:t>oder</w:t>
            </w:r>
          </w:p>
        </w:tc>
        <w:tc>
          <w:tcPr>
            <w:tcW w:w="1900" w:type="dxa"/>
            <w:vAlign w:val="bottom"/>
          </w:tcPr>
          <w:p>
            <w:pPr>
              <w:jc w:val="right"/>
              <w:spacing w:after="0"/>
              <w:rPr>
                <w:sz w:val="20"/>
                <w:szCs w:val="20"/>
                <w:color w:val="auto"/>
              </w:rPr>
            </w:pPr>
            <w:r>
              <w:rPr>
                <w:rFonts w:ascii="Arial" w:cs="Arial" w:eastAsia="Arial" w:hAnsi="Arial"/>
                <w:sz w:val="18"/>
                <w:szCs w:val="18"/>
                <w:color w:val="auto"/>
              </w:rPr>
              <w:t>diesbezüglichen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indirect  issuance  of  shares,  options  or</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Bezugsrechten an Mitarbeiter und Mitglieder</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preemptive   rights   thereof   granted   to</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des Verwaltungsrats der Gesellschaft und ihrer</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employees and members of the board of</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Konzerngesellschaften</w:t>
            </w:r>
          </w:p>
        </w:tc>
        <w:tc>
          <w:tcPr>
            <w:tcW w:w="1900" w:type="dxa"/>
            <w:vAlign w:val="bottom"/>
          </w:tcPr>
          <w:p>
            <w:pPr>
              <w:jc w:val="right"/>
              <w:spacing w:after="0"/>
              <w:rPr>
                <w:sz w:val="20"/>
                <w:szCs w:val="20"/>
                <w:color w:val="auto"/>
              </w:rPr>
            </w:pPr>
            <w:r>
              <w:rPr>
                <w:rFonts w:ascii="Arial" w:cs="Arial" w:eastAsia="Arial" w:hAnsi="Arial"/>
                <w:sz w:val="18"/>
                <w:szCs w:val="18"/>
                <w:color w:val="auto"/>
              </w:rPr>
              <w:t>sowie  an  Mitglieder</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directors of the Company or its subsidiaries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color w:val="auto"/>
              </w:rPr>
              <w:t>von Beiräten.</w:t>
            </w: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Arial" w:cs="Arial" w:eastAsia="Arial" w:hAnsi="Arial"/>
                <w:sz w:val="18"/>
                <w:szCs w:val="18"/>
                <w:color w:val="auto"/>
              </w:rPr>
              <w:t>as  well  as  to  members  of  any  advisory</w:t>
            </w: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40" w:type="dxa"/>
            <w:vAlign w:val="bottom"/>
          </w:tcPr>
          <w:p>
            <w:pPr>
              <w:jc w:val="right"/>
              <w:ind w:right="2990"/>
              <w:spacing w:after="0"/>
              <w:rPr>
                <w:sz w:val="20"/>
                <w:szCs w:val="20"/>
                <w:color w:val="auto"/>
              </w:rPr>
            </w:pPr>
            <w:r>
              <w:rPr>
                <w:rFonts w:ascii="Arial" w:cs="Arial" w:eastAsia="Arial" w:hAnsi="Arial"/>
                <w:sz w:val="18"/>
                <w:szCs w:val="18"/>
                <w:color w:val="auto"/>
              </w:rPr>
              <w:t>boards.</w:t>
            </w:r>
          </w:p>
        </w:tc>
        <w:tc>
          <w:tcPr>
            <w:tcW w:w="0" w:type="dxa"/>
            <w:vAlign w:val="bottom"/>
          </w:tcPr>
          <w:p>
            <w:pPr>
              <w:spacing w:after="0"/>
              <w:rPr>
                <w:sz w:val="1"/>
                <w:szCs w:val="1"/>
                <w:color w:val="auto"/>
              </w:rPr>
            </w:pPr>
          </w:p>
        </w:tc>
      </w:tr>
    </w:tbl>
    <w:p>
      <w:pPr>
        <w:sectPr>
          <w:pgSz w:w="11900" w:h="16838" w:orient="portrait"/>
          <w:cols w:equalWidth="0" w:num="1">
            <w:col w:w="10520"/>
          </w:cols>
          <w:pgMar w:left="220" w:top="144" w:right="1159" w:bottom="1440" w:gutter="0" w:footer="0" w:header="0"/>
          <w:type w:val="continuous"/>
        </w:sectPr>
      </w:pPr>
    </w:p>
    <w:bookmarkStart w:id="303" w:name="page304"/>
    <w:bookmarkEnd w:id="303"/>
    <w:p>
      <w:pPr>
        <w:ind w:left="5600"/>
        <w:spacing w:after="0"/>
        <w:rPr>
          <w:sz w:val="20"/>
          <w:szCs w:val="20"/>
          <w:color w:val="auto"/>
        </w:rPr>
      </w:pPr>
      <w:r>
        <w:rPr>
          <w:rFonts w:ascii="Arial" w:cs="Arial" w:eastAsia="Arial" w:hAnsi="Arial"/>
          <w:sz w:val="14"/>
          <w:szCs w:val="14"/>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4400" w:type="dxa"/>
            <w:vAlign w:val="bottom"/>
            <w:gridSpan w:val="6"/>
          </w:tcPr>
          <w:p>
            <w:pPr>
              <w:ind w:left="80"/>
              <w:spacing w:after="0"/>
              <w:rPr>
                <w:sz w:val="20"/>
                <w:szCs w:val="20"/>
                <w:color w:val="auto"/>
              </w:rPr>
            </w:pPr>
            <w:r>
              <w:rPr>
                <w:rFonts w:ascii="Arial" w:cs="Arial" w:eastAsia="Arial" w:hAnsi="Arial"/>
                <w:sz w:val="18"/>
                <w:szCs w:val="18"/>
                <w:color w:val="auto"/>
              </w:rPr>
              <w:t>Bei der Ausgabe von Aktien, Optionen oder</w:t>
            </w:r>
          </w:p>
        </w:tc>
        <w:tc>
          <w:tcPr>
            <w:tcW w:w="820" w:type="dxa"/>
            <w:vAlign w:val="bottom"/>
          </w:tcPr>
          <w:p>
            <w:pPr>
              <w:ind w:left="500"/>
              <w:spacing w:after="0"/>
              <w:rPr>
                <w:sz w:val="20"/>
                <w:szCs w:val="20"/>
                <w:color w:val="auto"/>
              </w:rPr>
            </w:pPr>
            <w:r>
              <w:rPr>
                <w:rFonts w:ascii="Arial" w:cs="Arial" w:eastAsia="Arial" w:hAnsi="Arial"/>
                <w:sz w:val="14"/>
                <w:szCs w:val="14"/>
                <w:color w:val="auto"/>
              </w:rPr>
              <w:t>2</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The preemptive rights and advance subscription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diesbezüglichen Bezugsrechten sind das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rights of the shareholders of the Company shall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gridSpan w:val="3"/>
          </w:tcPr>
          <w:p>
            <w:pPr>
              <w:ind w:left="180"/>
              <w:spacing w:after="0"/>
              <w:rPr>
                <w:sz w:val="20"/>
                <w:szCs w:val="20"/>
                <w:color w:val="auto"/>
              </w:rPr>
            </w:pPr>
            <w:r>
              <w:rPr>
                <w:rFonts w:ascii="Arial" w:cs="Arial" w:eastAsia="Arial" w:hAnsi="Arial"/>
                <w:sz w:val="18"/>
                <w:szCs w:val="18"/>
                <w:color w:val="auto"/>
              </w:rPr>
              <w:t>Bezugsrecht wie auch das</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be excluded in connection with the issuance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Vorwegzeichnungsrecht der Aktionäre der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any shares, options or preemptive rights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Gesellschaft ausgeschlossen. Die Ausgabe von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thereof. Shares, options or preemptive rights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Aktien, Optionen oder diesbezüglichen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thereof shall be issued in accordance with one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Bezugsrechten erfolgt gemäss einem oder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or more participation plans and/or policies to be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mehreren vom Verwaltungsrat zu erlassenden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issued by the board of directors and in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Beteiligungsplänen und/oder Reglementen und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accordance with Section 4 of thiese Articles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unter Beachtung von Abschnitt 4 dieser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Arial" w:cs="Arial" w:eastAsia="Arial" w:hAnsi="Arial"/>
                <w:sz w:val="18"/>
                <w:szCs w:val="18"/>
                <w:color w:val="auto"/>
              </w:rPr>
              <w:t>Statuten.</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20" w:type="dxa"/>
            <w:vAlign w:val="bottom"/>
          </w:tcPr>
          <w:p>
            <w:pPr>
              <w:spacing w:after="0"/>
              <w:rPr>
                <w:sz w:val="23"/>
                <w:szCs w:val="23"/>
                <w:color w:val="auto"/>
              </w:rPr>
            </w:pP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4400" w:type="dxa"/>
            <w:vAlign w:val="bottom"/>
            <w:gridSpan w:val="6"/>
          </w:tcPr>
          <w:p>
            <w:pPr>
              <w:ind w:left="80"/>
              <w:spacing w:after="0"/>
              <w:rPr>
                <w:sz w:val="20"/>
                <w:szCs w:val="20"/>
                <w:color w:val="auto"/>
              </w:rPr>
            </w:pPr>
            <w:r>
              <w:rPr>
                <w:rFonts w:ascii="Arial" w:cs="Arial" w:eastAsia="Arial" w:hAnsi="Arial"/>
                <w:sz w:val="18"/>
                <w:szCs w:val="18"/>
                <w:color w:val="auto"/>
              </w:rPr>
              <w:t>Die neuen Aktien, welche durch Mitarbeiter,</w:t>
            </w:r>
          </w:p>
        </w:tc>
        <w:tc>
          <w:tcPr>
            <w:tcW w:w="820" w:type="dxa"/>
            <w:vAlign w:val="bottom"/>
          </w:tcPr>
          <w:p>
            <w:pPr>
              <w:ind w:left="500"/>
              <w:spacing w:after="0"/>
              <w:rPr>
                <w:sz w:val="20"/>
                <w:szCs w:val="20"/>
                <w:color w:val="auto"/>
              </w:rPr>
            </w:pPr>
            <w:r>
              <w:rPr>
                <w:rFonts w:ascii="Arial" w:cs="Arial" w:eastAsia="Arial" w:hAnsi="Arial"/>
                <w:sz w:val="14"/>
                <w:szCs w:val="14"/>
                <w:color w:val="auto"/>
              </w:rPr>
              <w:t>3</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The new shares directly or indirectly acquired by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Mitglieder des Verwaltungsrats der Gesellschaft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employees, members of the board of directors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und ihrer Konzerngesellschaften oder Mitglieder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of the Company or its subsidiaries or members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4"/>
          </w:tcPr>
          <w:p>
            <w:pPr>
              <w:ind w:left="180"/>
              <w:spacing w:after="0"/>
              <w:rPr>
                <w:sz w:val="20"/>
                <w:szCs w:val="20"/>
                <w:color w:val="auto"/>
              </w:rPr>
            </w:pPr>
            <w:r>
              <w:rPr>
                <w:rFonts w:ascii="Arial" w:cs="Arial" w:eastAsia="Arial" w:hAnsi="Arial"/>
                <w:sz w:val="18"/>
                <w:szCs w:val="18"/>
                <w:color w:val="auto"/>
              </w:rPr>
              <w:t>von Beiräten im Rahmen eines</w:t>
            </w: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of any advisory boards in connection with an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Mitarbeiterbeteiligungsprogramms direkt oder</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employee participation program and any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indirekt erworben werden, sowie jede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subsequent transfer of such shares shall be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nachfolgende Übertragung der Aktien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restricted by Article 5 of these Articles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unterliegen den Beschränkungen von Artikel 5</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dieser Statuten.</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Artikel 3c</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b w:val="1"/>
                <w:bCs w:val="1"/>
                <w:color w:val="auto"/>
              </w:rPr>
              <w:t>Article 3c</w:t>
            </w:r>
          </w:p>
        </w:tc>
        <w:tc>
          <w:tcPr>
            <w:tcW w:w="0" w:type="dxa"/>
            <w:vAlign w:val="bottom"/>
          </w:tcPr>
          <w:p>
            <w:pPr>
              <w:spacing w:after="0"/>
              <w:rPr>
                <w:sz w:val="1"/>
                <w:szCs w:val="1"/>
                <w:color w:val="auto"/>
              </w:rPr>
            </w:pPr>
          </w:p>
        </w:tc>
      </w:tr>
      <w:tr>
        <w:trPr>
          <w:trHeight w:val="189"/>
        </w:trPr>
        <w:tc>
          <w:tcPr>
            <w:tcW w:w="720" w:type="dxa"/>
            <w:vAlign w:val="bottom"/>
          </w:tcPr>
          <w:p>
            <w:pPr>
              <w:spacing w:after="0"/>
              <w:rPr>
                <w:sz w:val="20"/>
                <w:szCs w:val="20"/>
                <w:color w:val="auto"/>
              </w:rPr>
            </w:pPr>
            <w:r>
              <w:rPr>
                <w:rFonts w:ascii="Arial" w:cs="Arial" w:eastAsia="Arial" w:hAnsi="Arial"/>
                <w:sz w:val="14"/>
                <w:szCs w:val="14"/>
                <w:color w:val="auto"/>
              </w:rPr>
              <w:t>ngtes</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60" w:type="dxa"/>
            <w:vAlign w:val="bottom"/>
            <w:gridSpan w:val="2"/>
          </w:tcPr>
          <w:p>
            <w:pPr>
              <w:ind w:left="800"/>
              <w:spacing w:after="0"/>
              <w:rPr>
                <w:sz w:val="20"/>
                <w:szCs w:val="20"/>
                <w:color w:val="auto"/>
              </w:rPr>
            </w:pPr>
            <w:r>
              <w:rPr>
                <w:rFonts w:ascii="Arial" w:cs="Arial" w:eastAsia="Arial" w:hAnsi="Arial"/>
                <w:sz w:val="14"/>
                <w:szCs w:val="14"/>
                <w:color w:val="auto"/>
                <w:w w:val="95"/>
              </w:rPr>
              <w:t>Conditional Share1</w:t>
            </w:r>
          </w:p>
        </w:tc>
        <w:tc>
          <w:tcPr>
            <w:tcW w:w="4240" w:type="dxa"/>
            <w:vAlign w:val="bottom"/>
            <w:gridSpan w:val="2"/>
            <w:vMerge w:val="restart"/>
          </w:tcPr>
          <w:p>
            <w:pPr>
              <w:ind w:left="20"/>
              <w:spacing w:after="0"/>
              <w:rPr>
                <w:sz w:val="20"/>
                <w:szCs w:val="20"/>
                <w:color w:val="auto"/>
              </w:rPr>
            </w:pPr>
            <w:r>
              <w:rPr>
                <w:rFonts w:ascii="Arial" w:cs="Arial" w:eastAsia="Arial" w:hAnsi="Arial"/>
                <w:sz w:val="18"/>
                <w:szCs w:val="18"/>
                <w:color w:val="auto"/>
              </w:rPr>
              <w:t>The share capital may be increased in an amount</w:t>
            </w:r>
          </w:p>
        </w:tc>
        <w:tc>
          <w:tcPr>
            <w:tcW w:w="0" w:type="dxa"/>
            <w:vAlign w:val="bottom"/>
          </w:tcPr>
          <w:p>
            <w:pPr>
              <w:spacing w:after="0"/>
              <w:rPr>
                <w:sz w:val="1"/>
                <w:szCs w:val="1"/>
                <w:color w:val="auto"/>
              </w:rPr>
            </w:pPr>
          </w:p>
        </w:tc>
      </w:tr>
      <w:tr>
        <w:trPr>
          <w:trHeight w:val="162"/>
        </w:trPr>
        <w:tc>
          <w:tcPr>
            <w:tcW w:w="5460" w:type="dxa"/>
            <w:vAlign w:val="bottom"/>
            <w:gridSpan w:val="8"/>
          </w:tcPr>
          <w:p>
            <w:pPr>
              <w:ind w:left="120"/>
              <w:spacing w:after="0" w:line="162" w:lineRule="exact"/>
              <w:rPr>
                <w:sz w:val="20"/>
                <w:szCs w:val="20"/>
                <w:color w:val="auto"/>
              </w:rPr>
            </w:pPr>
            <w:r>
              <w:rPr>
                <w:rFonts w:ascii="Arial" w:cs="Arial" w:eastAsia="Arial" w:hAnsi="Arial"/>
                <w:sz w:val="18"/>
                <w:szCs w:val="18"/>
                <w:color w:val="auto"/>
                <w:vertAlign w:val="subscript"/>
              </w:rPr>
              <w:t>Aktienkapital für</w:t>
            </w:r>
            <w:r>
              <w:rPr>
                <w:rFonts w:ascii="Arial" w:cs="Arial" w:eastAsia="Arial" w:hAnsi="Arial"/>
                <w:sz w:val="13"/>
                <w:szCs w:val="13"/>
                <w:color w:val="auto"/>
              </w:rPr>
              <w:t>Das  Aktienkapital  kann  sich  durch  Ausgabe  von</w:t>
            </w:r>
          </w:p>
        </w:tc>
        <w:tc>
          <w:tcPr>
            <w:tcW w:w="820" w:type="dxa"/>
            <w:vAlign w:val="bottom"/>
          </w:tcPr>
          <w:p>
            <w:pPr>
              <w:ind w:left="80"/>
              <w:spacing w:after="0"/>
              <w:rPr>
                <w:sz w:val="20"/>
                <w:szCs w:val="20"/>
                <w:color w:val="auto"/>
              </w:rPr>
            </w:pPr>
            <w:r>
              <w:rPr>
                <w:rFonts w:ascii="Arial" w:cs="Arial" w:eastAsia="Arial" w:hAnsi="Arial"/>
                <w:sz w:val="14"/>
                <w:szCs w:val="14"/>
                <w:color w:val="auto"/>
              </w:rPr>
              <w:t>Capital for</w:t>
            </w:r>
          </w:p>
        </w:tc>
        <w:tc>
          <w:tcPr>
            <w:tcW w:w="4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60" w:type="dxa"/>
            <w:vAlign w:val="bottom"/>
            <w:gridSpan w:val="3"/>
          </w:tcPr>
          <w:p>
            <w:pPr>
              <w:ind w:left="120"/>
              <w:spacing w:after="0"/>
              <w:rPr>
                <w:sz w:val="20"/>
                <w:szCs w:val="20"/>
                <w:color w:val="auto"/>
              </w:rPr>
            </w:pPr>
            <w:r>
              <w:rPr>
                <w:rFonts w:ascii="Arial" w:cs="Arial" w:eastAsia="Arial" w:hAnsi="Arial"/>
                <w:sz w:val="14"/>
                <w:szCs w:val="14"/>
                <w:color w:val="auto"/>
              </w:rPr>
              <w:t>Finanzierungen,</w:t>
            </w:r>
          </w:p>
        </w:tc>
        <w:tc>
          <w:tcPr>
            <w:tcW w:w="1120" w:type="dxa"/>
            <w:vAlign w:val="bottom"/>
          </w:tcPr>
          <w:p>
            <w:pPr>
              <w:ind w:left="180"/>
              <w:spacing w:after="0" w:line="189" w:lineRule="exact"/>
              <w:rPr>
                <w:sz w:val="20"/>
                <w:szCs w:val="20"/>
                <w:color w:val="auto"/>
              </w:rPr>
            </w:pPr>
            <w:r>
              <w:rPr>
                <w:rFonts w:ascii="Arial" w:cs="Arial" w:eastAsia="Arial" w:hAnsi="Arial"/>
                <w:sz w:val="18"/>
                <w:szCs w:val="18"/>
                <w:color w:val="auto"/>
              </w:rPr>
              <w:t>höchstens</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2'260'870</w:t>
            </w:r>
          </w:p>
        </w:tc>
        <w:tc>
          <w:tcPr>
            <w:tcW w:w="9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voll  zu</w:t>
            </w: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w w:val="99"/>
              </w:rPr>
              <w:t>liberierenden</w:t>
            </w:r>
          </w:p>
        </w:tc>
        <w:tc>
          <w:tcPr>
            <w:tcW w:w="820" w:type="dxa"/>
            <w:vAlign w:val="bottom"/>
          </w:tcPr>
          <w:p>
            <w:pPr>
              <w:ind w:left="80"/>
              <w:spacing w:after="0"/>
              <w:rPr>
                <w:sz w:val="20"/>
                <w:szCs w:val="20"/>
                <w:color w:val="auto"/>
              </w:rPr>
            </w:pPr>
            <w:r>
              <w:rPr>
                <w:rFonts w:ascii="Arial" w:cs="Arial" w:eastAsia="Arial" w:hAnsi="Arial"/>
                <w:sz w:val="14"/>
                <w:szCs w:val="14"/>
                <w:color w:val="auto"/>
              </w:rPr>
              <w:t>Financing,</w:t>
            </w:r>
          </w:p>
        </w:tc>
        <w:tc>
          <w:tcPr>
            <w:tcW w:w="220" w:type="dxa"/>
            <w:vAlign w:val="bottom"/>
          </w:tcPr>
          <w:p>
            <w:pPr>
              <w:spacing w:after="0"/>
              <w:rPr>
                <w:sz w:val="16"/>
                <w:szCs w:val="16"/>
                <w:color w:val="auto"/>
              </w:rPr>
            </w:pPr>
          </w:p>
        </w:tc>
        <w:tc>
          <w:tcPr>
            <w:tcW w:w="4020" w:type="dxa"/>
            <w:vAlign w:val="bottom"/>
          </w:tcPr>
          <w:p>
            <w:pPr>
              <w:ind w:left="200"/>
              <w:spacing w:after="0" w:line="189" w:lineRule="exact"/>
              <w:rPr>
                <w:sz w:val="20"/>
                <w:szCs w:val="20"/>
                <w:color w:val="auto"/>
              </w:rPr>
            </w:pPr>
            <w:r>
              <w:rPr>
                <w:rFonts w:ascii="Arial" w:cs="Arial" w:eastAsia="Arial" w:hAnsi="Arial"/>
                <w:sz w:val="18"/>
                <w:szCs w:val="18"/>
                <w:color w:val="auto"/>
              </w:rPr>
              <w:t>not  to  exceed  CHF  226'087  through  the</w:t>
            </w:r>
          </w:p>
        </w:tc>
        <w:tc>
          <w:tcPr>
            <w:tcW w:w="0" w:type="dxa"/>
            <w:vAlign w:val="bottom"/>
          </w:tcPr>
          <w:p>
            <w:pPr>
              <w:spacing w:after="0"/>
              <w:rPr>
                <w:sz w:val="1"/>
                <w:szCs w:val="1"/>
                <w:color w:val="auto"/>
              </w:rPr>
            </w:pPr>
          </w:p>
        </w:tc>
      </w:tr>
      <w:tr>
        <w:trPr>
          <w:trHeight w:val="168"/>
        </w:trPr>
        <w:tc>
          <w:tcPr>
            <w:tcW w:w="1060" w:type="dxa"/>
            <w:vAlign w:val="bottom"/>
            <w:gridSpan w:val="2"/>
          </w:tcPr>
          <w:p>
            <w:pPr>
              <w:ind w:left="120"/>
              <w:spacing w:after="0"/>
              <w:rPr>
                <w:sz w:val="20"/>
                <w:szCs w:val="20"/>
                <w:color w:val="auto"/>
              </w:rPr>
            </w:pPr>
            <w:r>
              <w:rPr>
                <w:rFonts w:ascii="Arial" w:cs="Arial" w:eastAsia="Arial" w:hAnsi="Arial"/>
                <w:sz w:val="14"/>
                <w:szCs w:val="14"/>
                <w:color w:val="auto"/>
              </w:rPr>
              <w:t>Akquisitionen</w:t>
            </w:r>
          </w:p>
        </w:tc>
        <w:tc>
          <w:tcPr>
            <w:tcW w:w="300" w:type="dxa"/>
            <w:vAlign w:val="bottom"/>
          </w:tcPr>
          <w:p>
            <w:pPr>
              <w:spacing w:after="0"/>
              <w:rPr>
                <w:sz w:val="14"/>
                <w:szCs w:val="14"/>
                <w:color w:val="auto"/>
              </w:rPr>
            </w:pPr>
          </w:p>
        </w:tc>
        <w:tc>
          <w:tcPr>
            <w:tcW w:w="4100" w:type="dxa"/>
            <w:vAlign w:val="bottom"/>
            <w:gridSpan w:val="5"/>
          </w:tcPr>
          <w:p>
            <w:pPr>
              <w:ind w:left="180"/>
              <w:spacing w:after="0" w:line="168" w:lineRule="exact"/>
              <w:rPr>
                <w:sz w:val="20"/>
                <w:szCs w:val="20"/>
                <w:color w:val="auto"/>
              </w:rPr>
            </w:pPr>
            <w:r>
              <w:rPr>
                <w:rFonts w:ascii="Arial" w:cs="Arial" w:eastAsia="Arial" w:hAnsi="Arial"/>
                <w:sz w:val="18"/>
                <w:szCs w:val="18"/>
                <w:color w:val="auto"/>
              </w:rPr>
              <w:t>Namenaktien im Nennwert von je CHF 0.10 um</w:t>
            </w: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Acquisitions</w:t>
            </w:r>
          </w:p>
        </w:tc>
        <w:tc>
          <w:tcPr>
            <w:tcW w:w="4020" w:type="dxa"/>
            <w:vAlign w:val="bottom"/>
          </w:tcPr>
          <w:p>
            <w:pPr>
              <w:ind w:left="200"/>
              <w:spacing w:after="0" w:line="168" w:lineRule="exact"/>
              <w:rPr>
                <w:sz w:val="20"/>
                <w:szCs w:val="20"/>
                <w:color w:val="auto"/>
              </w:rPr>
            </w:pPr>
            <w:r>
              <w:rPr>
                <w:rFonts w:ascii="Arial" w:cs="Arial" w:eastAsia="Arial" w:hAnsi="Arial"/>
                <w:sz w:val="18"/>
                <w:szCs w:val="18"/>
                <w:color w:val="auto"/>
              </w:rPr>
              <w:t>issuance  of  up  to  2'260'870  fully  paid  up</w:t>
            </w:r>
          </w:p>
        </w:tc>
        <w:tc>
          <w:tcPr>
            <w:tcW w:w="0" w:type="dxa"/>
            <w:vAlign w:val="bottom"/>
          </w:tcPr>
          <w:p>
            <w:pPr>
              <w:spacing w:after="0"/>
              <w:rPr>
                <w:sz w:val="1"/>
                <w:szCs w:val="1"/>
                <w:color w:val="auto"/>
              </w:rPr>
            </w:pPr>
          </w:p>
        </w:tc>
      </w:tr>
      <w:tr>
        <w:trPr>
          <w:trHeight w:val="211"/>
        </w:trPr>
        <w:tc>
          <w:tcPr>
            <w:tcW w:w="1060" w:type="dxa"/>
            <w:vAlign w:val="bottom"/>
            <w:gridSpan w:val="2"/>
          </w:tcPr>
          <w:p>
            <w:pPr>
              <w:ind w:left="120"/>
              <w:spacing w:after="0"/>
              <w:rPr>
                <w:sz w:val="20"/>
                <w:szCs w:val="20"/>
                <w:color w:val="auto"/>
              </w:rPr>
            </w:pPr>
            <w:r>
              <w:rPr>
                <w:rFonts w:ascii="Arial" w:cs="Arial" w:eastAsia="Arial" w:hAnsi="Arial"/>
                <w:sz w:val="14"/>
                <w:szCs w:val="14"/>
                <w:color w:val="auto"/>
              </w:rPr>
              <w:t>und andere</w:t>
            </w:r>
          </w:p>
        </w:tc>
        <w:tc>
          <w:tcPr>
            <w:tcW w:w="30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Arial" w:cs="Arial" w:eastAsia="Arial" w:hAnsi="Arial"/>
                <w:sz w:val="18"/>
                <w:szCs w:val="18"/>
                <w:color w:val="auto"/>
              </w:rPr>
              <w:t>höchstens</w:t>
            </w: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CHF  226'087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erhöhen  durch  die</w:t>
            </w:r>
          </w:p>
        </w:tc>
        <w:tc>
          <w:tcPr>
            <w:tcW w:w="820" w:type="dxa"/>
            <w:vAlign w:val="bottom"/>
          </w:tcPr>
          <w:p>
            <w:pPr>
              <w:ind w:left="80"/>
              <w:spacing w:after="0"/>
              <w:rPr>
                <w:sz w:val="20"/>
                <w:szCs w:val="20"/>
                <w:color w:val="auto"/>
              </w:rPr>
            </w:pPr>
            <w:r>
              <w:rPr>
                <w:rFonts w:ascii="Arial" w:cs="Arial" w:eastAsia="Arial" w:hAnsi="Arial"/>
                <w:sz w:val="14"/>
                <w:szCs w:val="14"/>
                <w:color w:val="auto"/>
              </w:rPr>
              <w:t>and other</w:t>
            </w: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registered shares with a par value of CHF 0.10</w:t>
            </w:r>
          </w:p>
        </w:tc>
        <w:tc>
          <w:tcPr>
            <w:tcW w:w="0" w:type="dxa"/>
            <w:vAlign w:val="bottom"/>
          </w:tcPr>
          <w:p>
            <w:pPr>
              <w:spacing w:after="0"/>
              <w:rPr>
                <w:sz w:val="1"/>
                <w:szCs w:val="1"/>
                <w:color w:val="auto"/>
              </w:rPr>
            </w:pPr>
          </w:p>
        </w:tc>
      </w:tr>
      <w:tr>
        <w:trPr>
          <w:trHeight w:val="172"/>
        </w:trPr>
        <w:tc>
          <w:tcPr>
            <w:tcW w:w="720" w:type="dxa"/>
            <w:vAlign w:val="bottom"/>
          </w:tcPr>
          <w:p>
            <w:pPr>
              <w:ind w:left="120"/>
              <w:spacing w:after="0"/>
              <w:rPr>
                <w:sz w:val="20"/>
                <w:szCs w:val="20"/>
                <w:color w:val="auto"/>
              </w:rPr>
            </w:pPr>
            <w:r>
              <w:rPr>
                <w:rFonts w:ascii="Arial" w:cs="Arial" w:eastAsia="Arial" w:hAnsi="Arial"/>
                <w:sz w:val="14"/>
                <w:szCs w:val="14"/>
                <w:color w:val="auto"/>
              </w:rPr>
              <w:t>Zwecke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00" w:type="dxa"/>
            <w:vAlign w:val="bottom"/>
            <w:gridSpan w:val="5"/>
            <w:vMerge w:val="restart"/>
          </w:tcPr>
          <w:p>
            <w:pPr>
              <w:ind w:left="180"/>
              <w:spacing w:after="0"/>
              <w:rPr>
                <w:sz w:val="20"/>
                <w:szCs w:val="20"/>
                <w:color w:val="auto"/>
              </w:rPr>
            </w:pPr>
            <w:r>
              <w:rPr>
                <w:rFonts w:ascii="Arial" w:cs="Arial" w:eastAsia="Arial" w:hAnsi="Arial"/>
                <w:sz w:val="18"/>
                <w:szCs w:val="18"/>
                <w:color w:val="auto"/>
              </w:rPr>
              <w:t>Ausübung oder Zwangsausübung von Wandel-,</w:t>
            </w:r>
          </w:p>
        </w:tc>
        <w:tc>
          <w:tcPr>
            <w:tcW w:w="820" w:type="dxa"/>
            <w:vAlign w:val="bottom"/>
          </w:tcPr>
          <w:p>
            <w:pPr>
              <w:ind w:left="80"/>
              <w:spacing w:after="0"/>
              <w:rPr>
                <w:sz w:val="20"/>
                <w:szCs w:val="20"/>
                <w:color w:val="auto"/>
              </w:rPr>
            </w:pPr>
            <w:r>
              <w:rPr>
                <w:rFonts w:ascii="Arial" w:cs="Arial" w:eastAsia="Arial" w:hAnsi="Arial"/>
                <w:sz w:val="14"/>
                <w:szCs w:val="14"/>
                <w:color w:val="auto"/>
              </w:rPr>
              <w:t>Purposes</w:t>
            </w:r>
          </w:p>
        </w:tc>
        <w:tc>
          <w:tcPr>
            <w:tcW w:w="220" w:type="dxa"/>
            <w:vAlign w:val="bottom"/>
          </w:tcPr>
          <w:p>
            <w:pPr>
              <w:spacing w:after="0"/>
              <w:rPr>
                <w:sz w:val="14"/>
                <w:szCs w:val="14"/>
                <w:color w:val="auto"/>
              </w:rPr>
            </w:pPr>
          </w:p>
        </w:tc>
        <w:tc>
          <w:tcPr>
            <w:tcW w:w="4020" w:type="dxa"/>
            <w:vAlign w:val="bottom"/>
            <w:vMerge w:val="restart"/>
          </w:tcPr>
          <w:p>
            <w:pPr>
              <w:ind w:left="200"/>
              <w:spacing w:after="0"/>
              <w:rPr>
                <w:sz w:val="20"/>
                <w:szCs w:val="20"/>
                <w:color w:val="auto"/>
              </w:rPr>
            </w:pPr>
            <w:r>
              <w:rPr>
                <w:rFonts w:ascii="Arial" w:cs="Arial" w:eastAsia="Arial" w:hAnsi="Arial"/>
                <w:sz w:val="18"/>
                <w:szCs w:val="18"/>
                <w:color w:val="auto"/>
              </w:rPr>
              <w:t>per share through the exercise or mandatory</w:t>
            </w:r>
          </w:p>
        </w:tc>
        <w:tc>
          <w:tcPr>
            <w:tcW w:w="0" w:type="dxa"/>
            <w:vAlign w:val="bottom"/>
          </w:tcPr>
          <w:p>
            <w:pPr>
              <w:spacing w:after="0"/>
              <w:rPr>
                <w:sz w:val="1"/>
                <w:szCs w:val="1"/>
                <w:color w:val="auto"/>
              </w:rPr>
            </w:pPr>
          </w:p>
        </w:tc>
      </w:tr>
      <w:tr>
        <w:trPr>
          <w:trHeight w:val="97"/>
        </w:trPr>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100" w:type="dxa"/>
            <w:vAlign w:val="bottom"/>
            <w:gridSpan w:val="5"/>
            <w:vMerge w:val="continue"/>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Tausch-,  Options-,  Bezugs-  oder  ähnlichen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exercise  of  conversion,  exchange,  option,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Rechten auf den Bezug von Aktien, welche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warrant or similar rights for the subscription of</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Aktionären   oder   Dritten   allein   oder   in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shares granted to shareholders or third parties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Arial" w:cs="Arial" w:eastAsia="Arial" w:hAnsi="Arial"/>
                <w:sz w:val="18"/>
                <w:szCs w:val="18"/>
                <w:color w:val="auto"/>
                <w:w w:val="99"/>
              </w:rPr>
              <w:t>Verbindung</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mit</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Anleihensobligationen,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alone  or  in  connection  with  bonds,  notes,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Darlehen,  Optionen,  Warrants  oder  anderen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options,  warrants  or  other  securities  or</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gridSpan w:val="3"/>
          </w:tcPr>
          <w:p>
            <w:pPr>
              <w:ind w:left="180"/>
              <w:spacing w:after="0"/>
              <w:rPr>
                <w:sz w:val="20"/>
                <w:szCs w:val="20"/>
                <w:color w:val="auto"/>
              </w:rPr>
            </w:pPr>
            <w:r>
              <w:rPr>
                <w:rFonts w:ascii="Arial" w:cs="Arial" w:eastAsia="Arial" w:hAnsi="Arial"/>
                <w:sz w:val="18"/>
                <w:szCs w:val="18"/>
                <w:color w:val="auto"/>
              </w:rPr>
              <w:t>Finanzmarktinstrumenten</w:t>
            </w:r>
          </w:p>
        </w:tc>
        <w:tc>
          <w:tcPr>
            <w:tcW w:w="620" w:type="dxa"/>
            <w:vAlign w:val="bottom"/>
          </w:tcPr>
          <w:p>
            <w:pPr>
              <w:ind w:left="80"/>
              <w:spacing w:after="0"/>
              <w:rPr>
                <w:sz w:val="20"/>
                <w:szCs w:val="20"/>
                <w:color w:val="auto"/>
              </w:rPr>
            </w:pPr>
            <w:r>
              <w:rPr>
                <w:rFonts w:ascii="Arial" w:cs="Arial" w:eastAsia="Arial" w:hAnsi="Arial"/>
                <w:sz w:val="18"/>
                <w:szCs w:val="18"/>
                <w:color w:val="auto"/>
              </w:rPr>
              <w:t>oder</w:t>
            </w:r>
          </w:p>
        </w:tc>
        <w:tc>
          <w:tcPr>
            <w:tcW w:w="1140" w:type="dxa"/>
            <w:vAlign w:val="bottom"/>
          </w:tcPr>
          <w:p>
            <w:pPr>
              <w:jc w:val="right"/>
              <w:spacing w:after="0"/>
              <w:rPr>
                <w:sz w:val="20"/>
                <w:szCs w:val="20"/>
                <w:color w:val="auto"/>
              </w:rPr>
            </w:pPr>
            <w:r>
              <w:rPr>
                <w:rFonts w:ascii="Arial" w:cs="Arial" w:eastAsia="Arial" w:hAnsi="Arial"/>
                <w:sz w:val="18"/>
                <w:szCs w:val="18"/>
                <w:color w:val="auto"/>
              </w:rPr>
              <w:t>vertraglichen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contractual obligations by or of the Company or</w:t>
            </w: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00" w:type="dxa"/>
            <w:vAlign w:val="bottom"/>
            <w:gridSpan w:val="5"/>
          </w:tcPr>
          <w:p>
            <w:pPr>
              <w:ind w:left="180"/>
              <w:spacing w:after="0" w:line="194" w:lineRule="exact"/>
              <w:rPr>
                <w:sz w:val="20"/>
                <w:szCs w:val="20"/>
                <w:color w:val="auto"/>
              </w:rPr>
            </w:pPr>
            <w:r>
              <w:rPr>
                <w:rFonts w:ascii="Arial" w:cs="Arial" w:eastAsia="Arial" w:hAnsi="Arial"/>
                <w:sz w:val="18"/>
                <w:szCs w:val="18"/>
                <w:color w:val="auto"/>
              </w:rPr>
              <w:t>Verpflichtungen  der  Gesellschaft  oder  einer</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20" w:type="dxa"/>
            <w:vAlign w:val="bottom"/>
          </w:tcPr>
          <w:p>
            <w:pPr>
              <w:ind w:left="200"/>
              <w:spacing w:after="0" w:line="194" w:lineRule="exact"/>
              <w:rPr>
                <w:sz w:val="20"/>
                <w:szCs w:val="20"/>
                <w:color w:val="auto"/>
              </w:rPr>
            </w:pPr>
            <w:r>
              <w:rPr>
                <w:rFonts w:ascii="Arial" w:cs="Arial" w:eastAsia="Arial" w:hAnsi="Arial"/>
                <w:sz w:val="18"/>
                <w:szCs w:val="18"/>
                <w:color w:val="auto"/>
              </w:rPr>
              <w:t>any  of  its  group  companies  (hereinafter</w:t>
            </w: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00" w:type="dxa"/>
            <w:vAlign w:val="bottom"/>
            <w:gridSpan w:val="5"/>
          </w:tcPr>
          <w:p>
            <w:pPr>
              <w:ind w:left="180"/>
              <w:spacing w:after="0"/>
              <w:rPr>
                <w:sz w:val="20"/>
                <w:szCs w:val="20"/>
                <w:color w:val="auto"/>
              </w:rPr>
            </w:pPr>
            <w:r>
              <w:rPr>
                <w:rFonts w:ascii="Arial" w:cs="Arial" w:eastAsia="Arial" w:hAnsi="Arial"/>
                <w:sz w:val="18"/>
                <w:szCs w:val="18"/>
                <w:color w:val="auto"/>
              </w:rPr>
              <w:t>ihrer Gruppengesellschaften eingeräumt werden</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 xml:space="preserve">collectively, the </w:t>
            </w:r>
            <w:r>
              <w:rPr>
                <w:rFonts w:ascii="Arial" w:cs="Arial" w:eastAsia="Arial" w:hAnsi="Arial"/>
                <w:sz w:val="18"/>
                <w:szCs w:val="18"/>
                <w:b w:val="1"/>
                <w:bCs w:val="1"/>
                <w:color w:val="auto"/>
              </w:rPr>
              <w:t>Financial Instruments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tcPr>
          <w:p>
            <w:pPr>
              <w:ind w:left="180"/>
              <w:spacing w:after="0" w:line="194" w:lineRule="exact"/>
              <w:rPr>
                <w:sz w:val="20"/>
                <w:szCs w:val="20"/>
                <w:color w:val="auto"/>
              </w:rPr>
            </w:pPr>
            <w:r>
              <w:rPr>
                <w:rFonts w:ascii="Arial" w:cs="Arial" w:eastAsia="Arial" w:hAnsi="Arial"/>
                <w:sz w:val="18"/>
                <w:szCs w:val="18"/>
                <w:color w:val="auto"/>
              </w:rPr>
              <w:t>(nachfolgend</w:t>
            </w:r>
          </w:p>
        </w:tc>
        <w:tc>
          <w:tcPr>
            <w:tcW w:w="940" w:type="dxa"/>
            <w:vAlign w:val="bottom"/>
            <w:gridSpan w:val="2"/>
          </w:tcPr>
          <w:p>
            <w:pPr>
              <w:ind w:left="40"/>
              <w:spacing w:after="0" w:line="194" w:lineRule="exact"/>
              <w:rPr>
                <w:sz w:val="20"/>
                <w:szCs w:val="20"/>
                <w:color w:val="auto"/>
              </w:rPr>
            </w:pPr>
            <w:r>
              <w:rPr>
                <w:rFonts w:ascii="Arial" w:cs="Arial" w:eastAsia="Arial" w:hAnsi="Arial"/>
                <w:sz w:val="18"/>
                <w:szCs w:val="18"/>
                <w:color w:val="auto"/>
                <w:w w:val="99"/>
              </w:rPr>
              <w:t>zusammen</w:t>
            </w: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die</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Finanzinstrumente</w:t>
            </w: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220" w:top="144" w:right="1159" w:bottom="1440" w:gutter="0" w:footer="0" w:header="0"/>
        </w:sectPr>
      </w:pPr>
    </w:p>
    <w:bookmarkStart w:id="304" w:name="page305"/>
    <w:bookmarkEnd w:id="304"/>
    <w:p>
      <w:pPr>
        <w:jc w:val="center"/>
        <w:ind w:right="-206"/>
        <w:spacing w:after="0"/>
        <w:rPr>
          <w:sz w:val="20"/>
          <w:szCs w:val="20"/>
          <w:color w:val="auto"/>
        </w:rPr>
      </w:pPr>
      <w:r>
        <w:rPr>
          <w:rFonts w:ascii="Arial" w:cs="Arial" w:eastAsia="Arial" w:hAnsi="Arial"/>
          <w:sz w:val="14"/>
          <w:szCs w:val="14"/>
          <w:color w:val="auto"/>
        </w:rPr>
        <w:t>- 7 -</w:t>
      </w:r>
    </w:p>
    <w:p>
      <w:pPr>
        <w:sectPr>
          <w:pgSz w:w="11900" w:h="16838" w:orient="portrait"/>
          <w:cols w:equalWidth="0" w:num="1">
            <w:col w:w="9787"/>
          </w:cols>
          <w:pgMar w:left="953"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747" w:right="180" w:hanging="747"/>
        <w:spacing w:after="0" w:line="234" w:lineRule="auto"/>
        <w:tabs>
          <w:tab w:leader="none" w:pos="342" w:val="left"/>
        </w:tabs>
        <w:numPr>
          <w:ilvl w:val="0"/>
          <w:numId w:val="177"/>
        </w:numPr>
        <w:rPr>
          <w:rFonts w:ascii="Arial" w:cs="Arial" w:eastAsia="Arial" w:hAnsi="Arial"/>
          <w:sz w:val="29"/>
          <w:szCs w:val="29"/>
          <w:color w:val="auto"/>
          <w:vertAlign w:val="superscript"/>
        </w:rPr>
      </w:pPr>
      <w:r>
        <w:rPr>
          <w:rFonts w:ascii="Arial" w:cs="Arial" w:eastAsia="Arial" w:hAnsi="Arial"/>
          <w:sz w:val="18"/>
          <w:szCs w:val="18"/>
          <w:color w:val="auto"/>
        </w:rPr>
        <w:t>Bei der Ausgabe von Aktien bei Ausübung der Finanzinstrumente ist das Bezugsrecht der Aktionäre ausgeschlossen. Zum Bezug der neuen Aktien, die bei Ausübung von Finanzinstrumenten ausgegeben werden, sind die jeweiligen Inhaber der Finanzinstrumente berechtigt. Die Bedingungen der Finanzinstrumente sind durch den Verwaltungsrat festzulegen.</w:t>
      </w:r>
    </w:p>
    <w:p>
      <w:pPr>
        <w:spacing w:after="0" w:line="280" w:lineRule="exact"/>
        <w:rPr>
          <w:sz w:val="20"/>
          <w:szCs w:val="20"/>
          <w:color w:val="auto"/>
        </w:rPr>
      </w:pPr>
    </w:p>
    <w:p>
      <w:pPr>
        <w:jc w:val="both"/>
        <w:ind w:left="347" w:hanging="742"/>
        <w:spacing w:after="0" w:line="252" w:lineRule="auto"/>
        <w:tabs>
          <w:tab w:leader="none" w:pos="326" w:val="left"/>
        </w:tabs>
        <w:rPr>
          <w:sz w:val="20"/>
          <w:szCs w:val="20"/>
          <w:color w:val="auto"/>
        </w:rPr>
      </w:pPr>
      <w:r>
        <w:rPr>
          <w:rFonts w:ascii="Arial" w:cs="Arial" w:eastAsia="Arial" w:hAnsi="Arial"/>
          <w:sz w:val="28"/>
          <w:szCs w:val="28"/>
          <w:color w:val="auto"/>
          <w:vertAlign w:val="superscript"/>
        </w:rPr>
        <w:t>3</w:t>
      </w:r>
      <w:r>
        <w:rPr>
          <w:rFonts w:ascii="Arial" w:cs="Arial" w:eastAsia="Arial" w:hAnsi="Arial"/>
          <w:sz w:val="18"/>
          <w:szCs w:val="18"/>
          <w:color w:val="auto"/>
        </w:rPr>
        <w:tab/>
        <w:t>Der Verwaltungsrat ist ermächtigt, die Vorwegzeichnungsrechte der Aktionäre im Zusammenhang mit der Ausgabe von Finanzinstrumenten durch die Gesellschaft oder eine ihrer Gruppengesellschaften zu beschränken oder aufzuheben, falls (1) die Ausgabe zum Zwecke der Finanzierung oder</w:t>
      </w:r>
    </w:p>
    <w:p>
      <w:pPr>
        <w:spacing w:after="0" w:line="39" w:lineRule="exact"/>
        <w:rPr>
          <w:sz w:val="20"/>
          <w:szCs w:val="20"/>
          <w:color w:val="auto"/>
        </w:rPr>
      </w:pPr>
    </w:p>
    <w:p>
      <w:pPr>
        <w:ind w:left="747"/>
        <w:spacing w:after="0"/>
        <w:tabs>
          <w:tab w:leader="none" w:pos="2326" w:val="left"/>
          <w:tab w:leader="none" w:pos="2966" w:val="left"/>
          <w:tab w:leader="none" w:pos="4286" w:val="left"/>
        </w:tabs>
        <w:rPr>
          <w:sz w:val="20"/>
          <w:szCs w:val="20"/>
          <w:color w:val="auto"/>
        </w:rPr>
      </w:pPr>
      <w:r>
        <w:rPr>
          <w:rFonts w:ascii="Arial" w:cs="Arial" w:eastAsia="Arial" w:hAnsi="Arial"/>
          <w:sz w:val="18"/>
          <w:szCs w:val="18"/>
          <w:color w:val="auto"/>
        </w:rPr>
        <w:t>Refinanzierung</w:t>
      </w:r>
      <w:r>
        <w:rPr>
          <w:sz w:val="20"/>
          <w:szCs w:val="20"/>
          <w:color w:val="auto"/>
        </w:rPr>
        <w:tab/>
      </w:r>
      <w:r>
        <w:rPr>
          <w:rFonts w:ascii="Arial" w:cs="Arial" w:eastAsia="Arial" w:hAnsi="Arial"/>
          <w:sz w:val="18"/>
          <w:szCs w:val="18"/>
          <w:color w:val="auto"/>
        </w:rPr>
        <w:t>der</w:t>
      </w:r>
      <w:r>
        <w:rPr>
          <w:sz w:val="20"/>
          <w:szCs w:val="20"/>
          <w:color w:val="auto"/>
        </w:rPr>
        <w:tab/>
      </w:r>
      <w:r>
        <w:rPr>
          <w:rFonts w:ascii="Arial" w:cs="Arial" w:eastAsia="Arial" w:hAnsi="Arial"/>
          <w:sz w:val="18"/>
          <w:szCs w:val="18"/>
          <w:color w:val="auto"/>
        </w:rPr>
        <w:t>Übernahme</w:t>
      </w:r>
      <w:r>
        <w:rPr>
          <w:sz w:val="20"/>
          <w:szCs w:val="20"/>
          <w:color w:val="auto"/>
        </w:rPr>
        <w:tab/>
      </w:r>
      <w:r>
        <w:rPr>
          <w:rFonts w:ascii="Arial" w:cs="Arial" w:eastAsia="Arial" w:hAnsi="Arial"/>
          <w:sz w:val="18"/>
          <w:szCs w:val="18"/>
          <w:color w:val="auto"/>
        </w:rPr>
        <w:t>von</w:t>
      </w:r>
    </w:p>
    <w:p>
      <w:pPr>
        <w:spacing w:after="0" w:line="9" w:lineRule="exact"/>
        <w:rPr>
          <w:sz w:val="20"/>
          <w:szCs w:val="20"/>
          <w:color w:val="auto"/>
        </w:rPr>
      </w:pPr>
    </w:p>
    <w:p>
      <w:pPr>
        <w:jc w:val="both"/>
        <w:ind w:left="747"/>
        <w:spacing w:after="0" w:line="253" w:lineRule="auto"/>
        <w:rPr>
          <w:sz w:val="20"/>
          <w:szCs w:val="20"/>
          <w:color w:val="auto"/>
        </w:rPr>
      </w:pPr>
      <w:r>
        <w:rPr>
          <w:rFonts w:ascii="Arial" w:cs="Arial" w:eastAsia="Arial" w:hAnsi="Arial"/>
          <w:sz w:val="18"/>
          <w:szCs w:val="18"/>
          <w:color w:val="auto"/>
        </w:rPr>
        <w:t>Unternehmen, Unternehmensteilen, Beteiligungen oder Investitionen, oder (2) die Ausgabe auf nationalen oder internationalen Finanzmärkten oder im Rahmen einer Privatplatzierung erfolgt.</w:t>
      </w:r>
    </w:p>
    <w:p>
      <w:pPr>
        <w:spacing w:after="0" w:line="43" w:lineRule="exact"/>
        <w:rPr>
          <w:sz w:val="20"/>
          <w:szCs w:val="20"/>
          <w:color w:val="auto"/>
        </w:rPr>
      </w:pPr>
    </w:p>
    <w:p>
      <w:pPr>
        <w:jc w:val="both"/>
        <w:ind w:left="747" w:hanging="404"/>
        <w:spacing w:after="0" w:line="256" w:lineRule="auto"/>
        <w:rPr>
          <w:sz w:val="20"/>
          <w:szCs w:val="20"/>
          <w:color w:val="auto"/>
        </w:rPr>
      </w:pPr>
      <w:r>
        <w:rPr>
          <w:rFonts w:ascii="Arial" w:cs="Arial" w:eastAsia="Arial" w:hAnsi="Arial"/>
          <w:sz w:val="18"/>
          <w:szCs w:val="18"/>
          <w:color w:val="auto"/>
        </w:rPr>
        <w:t>Wird das Vorwegzeichnungsrecht weder direkt noch indirekt durch den Verwaltungsrat gewährt, gilt Folgendes:</w:t>
      </w:r>
    </w:p>
    <w:p>
      <w:pPr>
        <w:spacing w:after="0" w:line="40" w:lineRule="exact"/>
        <w:rPr>
          <w:sz w:val="20"/>
          <w:szCs w:val="20"/>
          <w:color w:val="auto"/>
        </w:rPr>
      </w:pPr>
    </w:p>
    <w:p>
      <w:pPr>
        <w:jc w:val="both"/>
        <w:ind w:left="1187" w:hanging="445"/>
        <w:spacing w:after="0" w:line="256" w:lineRule="auto"/>
        <w:tabs>
          <w:tab w:leader="none" w:pos="1166" w:val="left"/>
        </w:tabs>
        <w:rPr>
          <w:sz w:val="20"/>
          <w:szCs w:val="20"/>
          <w:color w:val="auto"/>
        </w:rPr>
      </w:pPr>
      <w:r>
        <w:rPr>
          <w:rFonts w:ascii="Arial" w:cs="Arial" w:eastAsia="Arial" w:hAnsi="Arial"/>
          <w:sz w:val="18"/>
          <w:szCs w:val="18"/>
          <w:color w:val="auto"/>
        </w:rPr>
        <w:t>(a)</w:t>
        <w:tab/>
        <w:t>Die Finanzinstrumente sind zu marktüblichen Bedingungen auszugeben oder einzugehen; und</w:t>
      </w:r>
    </w:p>
    <w:p>
      <w:pPr>
        <w:spacing w:after="0" w:line="40" w:lineRule="exact"/>
        <w:rPr>
          <w:sz w:val="20"/>
          <w:szCs w:val="20"/>
          <w:color w:val="auto"/>
        </w:rPr>
      </w:pPr>
    </w:p>
    <w:p>
      <w:pPr>
        <w:jc w:val="both"/>
        <w:ind w:left="1187" w:hanging="444"/>
        <w:spacing w:after="0" w:line="253" w:lineRule="auto"/>
        <w:tabs>
          <w:tab w:leader="none" w:pos="117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der Umwandlungs-, Tausch- oder sonstige Ausübungspreis der Finanzinstrumente ist unter Berücksichtigung des Marktpreises im Zeitpunkt der Ausgabe der Finanzinstrumente festzusetzen; und</w:t>
      </w:r>
    </w:p>
    <w:p>
      <w:pPr>
        <w:spacing w:after="0" w:line="43" w:lineRule="exact"/>
        <w:rPr>
          <w:rFonts w:ascii="Arial" w:cs="Arial" w:eastAsia="Arial" w:hAnsi="Arial"/>
          <w:sz w:val="18"/>
          <w:szCs w:val="18"/>
          <w:color w:val="auto"/>
        </w:rPr>
      </w:pPr>
    </w:p>
    <w:p>
      <w:pPr>
        <w:jc w:val="both"/>
        <w:ind w:left="1187" w:hanging="444"/>
        <w:spacing w:after="0" w:line="253" w:lineRule="auto"/>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die Finanzinstrumente sind höchstens während 10 Jahren ab dem jeweiligen Zeitpunkt der betreffenden Ausgabe oder des betreffenden Abschlusses wandel-, tausch- oder ausübbar.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36" w:right="20" w:hanging="736"/>
        <w:spacing w:after="0" w:line="236" w:lineRule="auto"/>
        <w:tabs>
          <w:tab w:leader="none" w:pos="331" w:val="left"/>
        </w:tabs>
        <w:numPr>
          <w:ilvl w:val="0"/>
          <w:numId w:val="179"/>
        </w:numPr>
        <w:rPr>
          <w:rFonts w:ascii="Arial" w:cs="Arial" w:eastAsia="Arial" w:hAnsi="Arial"/>
          <w:sz w:val="29"/>
          <w:szCs w:val="29"/>
          <w:color w:val="auto"/>
          <w:vertAlign w:val="superscript"/>
        </w:rPr>
      </w:pPr>
      <w:r>
        <w:rPr>
          <w:rFonts w:ascii="Arial" w:cs="Arial" w:eastAsia="Arial" w:hAnsi="Arial"/>
          <w:sz w:val="18"/>
          <w:szCs w:val="18"/>
          <w:color w:val="auto"/>
        </w:rPr>
        <w:t>The preemptive rights of the shareholders shall be excluded in connection with the issuance of shares upon the exercise of any Financial Instruments. The then-current owners of such Financial Instruments shall be entitled to acquire the new shares issued upon conversion, exchange or exercise of any Financial Instruments. The conditions of the Financial Instruments shall be determined by the board of directors.</w:t>
      </w:r>
    </w:p>
    <w:p>
      <w:pPr>
        <w:spacing w:after="0" w:line="108" w:lineRule="exact"/>
        <w:rPr>
          <w:sz w:val="20"/>
          <w:szCs w:val="20"/>
          <w:color w:val="auto"/>
        </w:rPr>
      </w:pPr>
    </w:p>
    <w:p>
      <w:pPr>
        <w:ind w:left="736" w:hanging="736"/>
        <w:spacing w:after="0"/>
        <w:tabs>
          <w:tab w:leader="none" w:pos="331" w:val="left"/>
        </w:tabs>
        <w:numPr>
          <w:ilvl w:val="0"/>
          <w:numId w:val="180"/>
        </w:numPr>
        <w:rPr>
          <w:rFonts w:ascii="Arial" w:cs="Arial" w:eastAsia="Arial" w:hAnsi="Arial"/>
          <w:sz w:val="29"/>
          <w:szCs w:val="29"/>
          <w:color w:val="auto"/>
          <w:vertAlign w:val="superscript"/>
        </w:rPr>
      </w:pPr>
      <w:r>
        <w:rPr>
          <w:rFonts w:ascii="Arial" w:cs="Arial" w:eastAsia="Arial" w:hAnsi="Arial"/>
          <w:sz w:val="18"/>
          <w:szCs w:val="18"/>
          <w:color w:val="auto"/>
        </w:rPr>
        <w:t>The board of directors shall be authorized to withdraw or limit the advance subscription rights of the shareholders in connection with the issuance by the Company or one of its group companies of Financial Instruments if (1) the issuance is for purposes of financing or refinancing the acquisition of an enterprise, parts of an enterprise, participations or investments or (2) the issuance occurs in national or international capital markets or through a private placement.</w:t>
      </w:r>
    </w:p>
    <w:p>
      <w:pPr>
        <w:spacing w:after="0" w:line="234" w:lineRule="exact"/>
        <w:rPr>
          <w:sz w:val="20"/>
          <w:szCs w:val="20"/>
          <w:color w:val="auto"/>
        </w:rPr>
      </w:pPr>
    </w:p>
    <w:p>
      <w:pPr>
        <w:jc w:val="both"/>
        <w:ind w:left="736" w:right="20" w:hanging="404"/>
        <w:spacing w:after="0" w:line="256" w:lineRule="auto"/>
        <w:rPr>
          <w:sz w:val="20"/>
          <w:szCs w:val="20"/>
          <w:color w:val="auto"/>
        </w:rPr>
      </w:pPr>
      <w:r>
        <w:rPr>
          <w:rFonts w:ascii="Arial" w:cs="Arial" w:eastAsia="Arial" w:hAnsi="Arial"/>
          <w:sz w:val="18"/>
          <w:szCs w:val="18"/>
          <w:color w:val="auto"/>
        </w:rPr>
        <w:t>If the advance subscription rights are neither granted directly nor indirectly by the board of directors, the following shall apply:</w:t>
      </w:r>
    </w:p>
    <w:p>
      <w:pPr>
        <w:spacing w:after="0" w:line="337" w:lineRule="exact"/>
        <w:rPr>
          <w:sz w:val="20"/>
          <w:szCs w:val="20"/>
          <w:color w:val="auto"/>
        </w:rPr>
      </w:pPr>
    </w:p>
    <w:p>
      <w:pPr>
        <w:ind w:left="1196" w:right="20" w:hanging="454"/>
        <w:spacing w:after="0" w:line="261" w:lineRule="auto"/>
        <w:tabs>
          <w:tab w:leader="none" w:pos="11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Financial Instruments shall be issued or entered into at market conditions; and</w:t>
      </w:r>
    </w:p>
    <w:p>
      <w:pPr>
        <w:spacing w:after="0" w:line="35" w:lineRule="exact"/>
        <w:rPr>
          <w:rFonts w:ascii="Arial" w:cs="Arial" w:eastAsia="Arial" w:hAnsi="Arial"/>
          <w:sz w:val="18"/>
          <w:szCs w:val="18"/>
          <w:color w:val="auto"/>
        </w:rPr>
      </w:pPr>
    </w:p>
    <w:p>
      <w:pPr>
        <w:jc w:val="both"/>
        <w:ind w:left="1196" w:hanging="454"/>
        <w:spacing w:after="0" w:line="253" w:lineRule="auto"/>
        <w:tabs>
          <w:tab w:leader="none" w:pos="11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conversion, exchange or exercise price of the Financial Instruments shall be set with reference to the market conditions prevailing at the date on which the Financial Instruments are issued; and</w:t>
      </w:r>
    </w:p>
    <w:p>
      <w:pPr>
        <w:spacing w:after="0" w:line="43" w:lineRule="exact"/>
        <w:rPr>
          <w:rFonts w:ascii="Arial" w:cs="Arial" w:eastAsia="Arial" w:hAnsi="Arial"/>
          <w:sz w:val="18"/>
          <w:szCs w:val="18"/>
          <w:color w:val="auto"/>
        </w:rPr>
      </w:pPr>
    </w:p>
    <w:p>
      <w:pPr>
        <w:jc w:val="both"/>
        <w:ind w:left="1196" w:hanging="454"/>
        <w:spacing w:after="0" w:line="254" w:lineRule="auto"/>
        <w:tabs>
          <w:tab w:leader="none" w:pos="118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Financial Instruments may be converted, exchanged or exercised during a maximum period of 10 years from the date of the relevant issuance or entry.</w:t>
      </w:r>
    </w:p>
    <w:p>
      <w:pPr>
        <w:sectPr>
          <w:pgSz w:w="11900" w:h="16838" w:orient="portrait"/>
          <w:cols w:equalWidth="0" w:num="2">
            <w:col w:w="4607" w:space="564"/>
            <w:col w:w="4616"/>
          </w:cols>
          <w:pgMar w:left="953" w:top="144" w:right="1159" w:bottom="1440" w:gutter="0" w:footer="0" w:header="0"/>
          <w:type w:val="continuous"/>
        </w:sectPr>
      </w:pPr>
    </w:p>
    <w:bookmarkStart w:id="305" w:name="page306"/>
    <w:bookmarkEnd w:id="305"/>
    <w:p>
      <w:pPr>
        <w:ind w:left="5600"/>
        <w:spacing w:after="0"/>
        <w:rPr>
          <w:sz w:val="20"/>
          <w:szCs w:val="20"/>
          <w:color w:val="auto"/>
        </w:rPr>
      </w:pPr>
      <w:r>
        <w:rPr>
          <w:rFonts w:ascii="Arial" w:cs="Arial" w:eastAsia="Arial" w:hAnsi="Arial"/>
          <w:sz w:val="14"/>
          <w:szCs w:val="14"/>
          <w:color w:val="auto"/>
        </w:rPr>
        <w:t>- 8 -</w:t>
      </w:r>
    </w:p>
    <w:p>
      <w:pPr>
        <w:sectPr>
          <w:pgSz w:w="11900" w:h="16838" w:orient="portrait"/>
          <w:cols w:equalWidth="0" w:num="1">
            <w:col w:w="10500"/>
          </w:cols>
          <w:pgMar w:left="220" w:top="144"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00" w:right="171" w:hanging="681"/>
        <w:spacing w:after="0" w:line="239" w:lineRule="auto"/>
        <w:tabs>
          <w:tab w:leader="none" w:pos="1995" w:val="left"/>
        </w:tabs>
        <w:numPr>
          <w:ilvl w:val="0"/>
          <w:numId w:val="182"/>
        </w:numPr>
        <w:rPr>
          <w:rFonts w:ascii="Arial" w:cs="Arial" w:eastAsia="Arial" w:hAnsi="Arial"/>
          <w:sz w:val="28"/>
          <w:szCs w:val="28"/>
          <w:color w:val="auto"/>
          <w:vertAlign w:val="superscript"/>
        </w:rPr>
      </w:pPr>
      <w:r>
        <w:rPr>
          <w:rFonts w:ascii="Arial" w:cs="Arial" w:eastAsia="Arial" w:hAnsi="Arial"/>
          <w:sz w:val="17"/>
          <w:szCs w:val="17"/>
          <w:color w:val="auto"/>
        </w:rPr>
        <w:t>Die neuen Aktien, welche über die Ausübung von Finanzinstrumenten direkt oder indirekt erworben werden, sowie jede nachfolgende Übertragung der Aktien unterliegen den Beschränkungen von Artikel 5 dieser Statuten.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9" w:right="20" w:hanging="689"/>
        <w:spacing w:after="0" w:line="234" w:lineRule="auto"/>
        <w:tabs>
          <w:tab w:leader="none" w:pos="284" w:val="left"/>
        </w:tabs>
        <w:numPr>
          <w:ilvl w:val="0"/>
          <w:numId w:val="183"/>
        </w:numPr>
        <w:rPr>
          <w:rFonts w:ascii="Arial" w:cs="Arial" w:eastAsia="Arial" w:hAnsi="Arial"/>
          <w:sz w:val="28"/>
          <w:szCs w:val="28"/>
          <w:color w:val="auto"/>
          <w:vertAlign w:val="superscript"/>
        </w:rPr>
      </w:pPr>
      <w:r>
        <w:rPr>
          <w:rFonts w:ascii="Arial" w:cs="Arial" w:eastAsia="Arial" w:hAnsi="Arial"/>
          <w:sz w:val="17"/>
          <w:szCs w:val="17"/>
          <w:color w:val="auto"/>
        </w:rPr>
        <w:t>The new shares directly or indirectly acquired through the exercise of Financial Instruments and any subsequent transfer of such shares shall be restricted by Article 5 of these Articles of Incorporation.</w:t>
      </w:r>
    </w:p>
    <w:p>
      <w:pPr>
        <w:spacing w:after="0" w:line="417" w:lineRule="exact"/>
        <w:rPr>
          <w:sz w:val="20"/>
          <w:szCs w:val="20"/>
          <w:color w:val="auto"/>
        </w:rPr>
      </w:pPr>
    </w:p>
    <w:p>
      <w:pPr>
        <w:sectPr>
          <w:pgSz w:w="11900" w:h="16838" w:orient="portrait"/>
          <w:cols w:equalWidth="0" w:num="2">
            <w:col w:w="5751" w:space="720"/>
            <w:col w:w="4029"/>
          </w:cols>
          <w:pgMar w:left="220" w:top="144" w:right="117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90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b w:val="1"/>
                <w:bCs w:val="1"/>
                <w:color w:val="auto"/>
              </w:rPr>
              <w:t>Artikel 4</w:t>
            </w:r>
          </w:p>
        </w:tc>
        <w:tc>
          <w:tcPr>
            <w:tcW w:w="860" w:type="dxa"/>
            <w:vAlign w:val="bottom"/>
          </w:tcPr>
          <w:p>
            <w:pPr>
              <w:spacing w:after="0"/>
              <w:rPr>
                <w:sz w:val="20"/>
                <w:szCs w:val="20"/>
                <w:color w:val="auto"/>
              </w:rPr>
            </w:pPr>
          </w:p>
        </w:tc>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Article 4</w:t>
            </w:r>
          </w:p>
        </w:tc>
        <w:tc>
          <w:tcPr>
            <w:tcW w:w="0" w:type="dxa"/>
            <w:vAlign w:val="bottom"/>
          </w:tcPr>
          <w:p>
            <w:pPr>
              <w:spacing w:after="0"/>
              <w:rPr>
                <w:sz w:val="1"/>
                <w:szCs w:val="1"/>
                <w:color w:val="auto"/>
              </w:rPr>
            </w:pPr>
          </w:p>
        </w:tc>
      </w:tr>
      <w:tr>
        <w:trPr>
          <w:trHeight w:val="59"/>
        </w:trPr>
        <w:tc>
          <w:tcPr>
            <w:tcW w:w="1900" w:type="dxa"/>
            <w:vAlign w:val="bottom"/>
            <w:vMerge w:val="restart"/>
          </w:tcPr>
          <w:p>
            <w:pPr>
              <w:spacing w:after="0"/>
              <w:rPr>
                <w:sz w:val="20"/>
                <w:szCs w:val="20"/>
                <w:color w:val="auto"/>
              </w:rPr>
            </w:pPr>
            <w:r>
              <w:rPr>
                <w:rFonts w:ascii="Arial" w:cs="Arial" w:eastAsia="Arial" w:hAnsi="Arial"/>
                <w:sz w:val="14"/>
                <w:szCs w:val="14"/>
                <w:color w:val="auto"/>
                <w:w w:val="95"/>
              </w:rPr>
              <w:t>enzertifikate und Bucheffekten1</w:t>
            </w:r>
          </w:p>
        </w:tc>
        <w:tc>
          <w:tcPr>
            <w:tcW w:w="3960" w:type="dxa"/>
            <w:vAlign w:val="bottom"/>
          </w:tcPr>
          <w:p>
            <w:pPr>
              <w:ind w:left="80"/>
              <w:spacing w:after="0" w:line="59" w:lineRule="exact"/>
              <w:rPr>
                <w:sz w:val="20"/>
                <w:szCs w:val="20"/>
                <w:color w:val="auto"/>
              </w:rPr>
            </w:pPr>
            <w:r>
              <w:rPr>
                <w:rFonts w:ascii="Arial" w:cs="Arial" w:eastAsia="Arial" w:hAnsi="Arial"/>
                <w:sz w:val="6"/>
                <w:szCs w:val="6"/>
                <w:color w:val="auto"/>
              </w:rPr>
              <w:t>Die Gesellschaft gibt ihre Namenaktien in Form</w:t>
            </w:r>
          </w:p>
        </w:tc>
        <w:tc>
          <w:tcPr>
            <w:tcW w:w="860" w:type="dxa"/>
            <w:vAlign w:val="bottom"/>
          </w:tcPr>
          <w:p>
            <w:pPr>
              <w:spacing w:after="0"/>
              <w:rPr>
                <w:sz w:val="5"/>
                <w:szCs w:val="5"/>
                <w:color w:val="auto"/>
              </w:rPr>
            </w:pPr>
          </w:p>
        </w:tc>
        <w:tc>
          <w:tcPr>
            <w:tcW w:w="3780" w:type="dxa"/>
            <w:vAlign w:val="bottom"/>
            <w:gridSpan w:val="2"/>
          </w:tcPr>
          <w:p>
            <w:pPr>
              <w:ind w:left="40"/>
              <w:spacing w:after="0" w:line="59" w:lineRule="exact"/>
              <w:rPr>
                <w:sz w:val="20"/>
                <w:szCs w:val="20"/>
                <w:color w:val="auto"/>
              </w:rPr>
            </w:pPr>
            <w:r>
              <w:rPr>
                <w:rFonts w:ascii="Arial" w:cs="Arial" w:eastAsia="Arial" w:hAnsi="Arial"/>
                <w:sz w:val="6"/>
                <w:szCs w:val="6"/>
                <w:color w:val="auto"/>
              </w:rPr>
              <w:t>The Company may issue its registered shares</w:t>
            </w:r>
          </w:p>
        </w:tc>
        <w:tc>
          <w:tcPr>
            <w:tcW w:w="0" w:type="dxa"/>
            <w:vAlign w:val="bottom"/>
          </w:tcPr>
          <w:p>
            <w:pPr>
              <w:spacing w:after="0"/>
              <w:rPr>
                <w:sz w:val="1"/>
                <w:szCs w:val="1"/>
                <w:color w:val="auto"/>
              </w:rPr>
            </w:pPr>
          </w:p>
        </w:tc>
      </w:tr>
      <w:tr>
        <w:trPr>
          <w:trHeight w:val="162"/>
        </w:trPr>
        <w:tc>
          <w:tcPr>
            <w:tcW w:w="1900" w:type="dxa"/>
            <w:vAlign w:val="bottom"/>
            <w:vMerge w:val="continue"/>
          </w:tcPr>
          <w:p>
            <w:pPr>
              <w:spacing w:after="0"/>
              <w:rPr>
                <w:sz w:val="14"/>
                <w:szCs w:val="14"/>
                <w:color w:val="auto"/>
              </w:rPr>
            </w:pPr>
          </w:p>
        </w:tc>
        <w:tc>
          <w:tcPr>
            <w:tcW w:w="4820" w:type="dxa"/>
            <w:vAlign w:val="bottom"/>
            <w:gridSpan w:val="2"/>
          </w:tcPr>
          <w:p>
            <w:pPr>
              <w:ind w:left="3640"/>
              <w:spacing w:after="0"/>
              <w:rPr>
                <w:sz w:val="20"/>
                <w:szCs w:val="20"/>
                <w:color w:val="auto"/>
              </w:rPr>
            </w:pPr>
            <w:r>
              <w:rPr>
                <w:rFonts w:ascii="Arial" w:cs="Arial" w:eastAsia="Arial" w:hAnsi="Arial"/>
                <w:sz w:val="14"/>
                <w:szCs w:val="14"/>
                <w:color w:val="auto"/>
                <w:w w:val="97"/>
              </w:rPr>
              <w:t>Share Certificates1</w:t>
            </w:r>
          </w:p>
        </w:tc>
        <w:tc>
          <w:tcPr>
            <w:tcW w:w="2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900" w:type="dxa"/>
            <w:vAlign w:val="bottom"/>
          </w:tcPr>
          <w:p>
            <w:pPr>
              <w:spacing w:after="0"/>
              <w:rPr>
                <w:sz w:val="18"/>
                <w:szCs w:val="18"/>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von Einzelurkunden, Globalurkunden oder</w:t>
            </w:r>
          </w:p>
        </w:tc>
        <w:tc>
          <w:tcPr>
            <w:tcW w:w="860" w:type="dxa"/>
            <w:vAlign w:val="bottom"/>
          </w:tcPr>
          <w:p>
            <w:pPr>
              <w:ind w:left="100"/>
              <w:spacing w:after="0"/>
              <w:rPr>
                <w:sz w:val="20"/>
                <w:szCs w:val="20"/>
                <w:color w:val="auto"/>
              </w:rPr>
            </w:pPr>
            <w:r>
              <w:rPr>
                <w:rFonts w:ascii="Arial" w:cs="Arial" w:eastAsia="Arial" w:hAnsi="Arial"/>
                <w:sz w:val="14"/>
                <w:szCs w:val="14"/>
                <w:color w:val="auto"/>
              </w:rPr>
              <w:t>and</w:t>
            </w:r>
          </w:p>
        </w:tc>
        <w:tc>
          <w:tcPr>
            <w:tcW w:w="28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in the form of single certificates, global</w:t>
            </w:r>
          </w:p>
        </w:tc>
        <w:tc>
          <w:tcPr>
            <w:tcW w:w="0" w:type="dxa"/>
            <w:vAlign w:val="bottom"/>
          </w:tcPr>
          <w:p>
            <w:pPr>
              <w:spacing w:after="0"/>
              <w:rPr>
                <w:sz w:val="1"/>
                <w:szCs w:val="1"/>
                <w:color w:val="auto"/>
              </w:rPr>
            </w:pPr>
          </w:p>
        </w:tc>
      </w:tr>
      <w:tr>
        <w:trPr>
          <w:trHeight w:val="113"/>
        </w:trPr>
        <w:tc>
          <w:tcPr>
            <w:tcW w:w="1900" w:type="dxa"/>
            <w:vAlign w:val="bottom"/>
          </w:tcPr>
          <w:p>
            <w:pPr>
              <w:spacing w:after="0"/>
              <w:rPr>
                <w:sz w:val="9"/>
                <w:szCs w:val="9"/>
                <w:color w:val="auto"/>
              </w:rPr>
            </w:pPr>
          </w:p>
        </w:tc>
        <w:tc>
          <w:tcPr>
            <w:tcW w:w="3960" w:type="dxa"/>
            <w:vAlign w:val="bottom"/>
            <w:vMerge w:val="restart"/>
          </w:tcPr>
          <w:p>
            <w:pPr>
              <w:ind w:left="500"/>
              <w:spacing w:after="0"/>
              <w:rPr>
                <w:sz w:val="20"/>
                <w:szCs w:val="20"/>
                <w:color w:val="auto"/>
              </w:rPr>
            </w:pPr>
            <w:r>
              <w:rPr>
                <w:rFonts w:ascii="Arial" w:cs="Arial" w:eastAsia="Arial" w:hAnsi="Arial"/>
                <w:sz w:val="18"/>
                <w:szCs w:val="18"/>
                <w:color w:val="auto"/>
              </w:rPr>
              <w:t>Wertrechten aus. Der Gesellschaft steht</w:t>
            </w:r>
          </w:p>
        </w:tc>
        <w:tc>
          <w:tcPr>
            <w:tcW w:w="114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Intermediated</w:t>
            </w:r>
          </w:p>
        </w:tc>
        <w:tc>
          <w:tcPr>
            <w:tcW w:w="3500" w:type="dxa"/>
            <w:vAlign w:val="bottom"/>
            <w:vMerge w:val="restart"/>
          </w:tcPr>
          <w:p>
            <w:pPr>
              <w:ind w:left="160"/>
              <w:spacing w:after="0"/>
              <w:rPr>
                <w:sz w:val="20"/>
                <w:szCs w:val="20"/>
                <w:color w:val="auto"/>
              </w:rPr>
            </w:pPr>
            <w:r>
              <w:rPr>
                <w:rFonts w:ascii="Arial" w:cs="Arial" w:eastAsia="Arial" w:hAnsi="Arial"/>
                <w:sz w:val="18"/>
                <w:szCs w:val="18"/>
                <w:color w:val="auto"/>
              </w:rPr>
              <w:t>certificates and uncertificated securities.</w:t>
            </w: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3960" w:type="dxa"/>
            <w:vAlign w:val="bottom"/>
            <w:vMerge w:val="continue"/>
          </w:tcPr>
          <w:p>
            <w:pPr>
              <w:spacing w:after="0"/>
              <w:rPr>
                <w:sz w:val="13"/>
                <w:szCs w:val="13"/>
                <w:color w:val="auto"/>
              </w:rPr>
            </w:pPr>
          </w:p>
        </w:tc>
        <w:tc>
          <w:tcPr>
            <w:tcW w:w="860" w:type="dxa"/>
            <w:vAlign w:val="bottom"/>
          </w:tcPr>
          <w:p>
            <w:pPr>
              <w:ind w:left="100"/>
              <w:spacing w:after="0" w:line="157" w:lineRule="exact"/>
              <w:rPr>
                <w:sz w:val="20"/>
                <w:szCs w:val="20"/>
                <w:color w:val="auto"/>
              </w:rPr>
            </w:pPr>
            <w:r>
              <w:rPr>
                <w:rFonts w:ascii="Arial" w:cs="Arial" w:eastAsia="Arial" w:hAnsi="Arial"/>
                <w:sz w:val="14"/>
                <w:szCs w:val="14"/>
                <w:color w:val="auto"/>
              </w:rPr>
              <w:t>Securities</w:t>
            </w:r>
          </w:p>
        </w:tc>
        <w:tc>
          <w:tcPr>
            <w:tcW w:w="2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es im Rahmen der gesetzlichen Vorgaben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w w:val="99"/>
              </w:rPr>
              <w:t>Under the conditions set forth by statutory</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frei, ihre in einer dieser Formen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law, the Company may convert its</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ausgegebenen Namenaktien jederzeit und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registered shares from one form into</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ohne Zustimmung der Aktionäre in eine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another form at any time and without the</w:t>
            </w:r>
          </w:p>
        </w:tc>
        <w:tc>
          <w:tcPr>
            <w:tcW w:w="0" w:type="dxa"/>
            <w:vAlign w:val="bottom"/>
          </w:tcPr>
          <w:p>
            <w:pPr>
              <w:spacing w:after="0"/>
              <w:rPr>
                <w:sz w:val="1"/>
                <w:szCs w:val="1"/>
                <w:color w:val="auto"/>
              </w:rPr>
            </w:pPr>
          </w:p>
        </w:tc>
      </w:tr>
      <w:tr>
        <w:trPr>
          <w:trHeight w:val="217"/>
        </w:trPr>
        <w:tc>
          <w:tcPr>
            <w:tcW w:w="1900" w:type="dxa"/>
            <w:vAlign w:val="bottom"/>
          </w:tcPr>
          <w:p>
            <w:pPr>
              <w:spacing w:after="0"/>
              <w:rPr>
                <w:sz w:val="18"/>
                <w:szCs w:val="18"/>
                <w:color w:val="auto"/>
              </w:rPr>
            </w:pPr>
          </w:p>
        </w:tc>
        <w:tc>
          <w:tcPr>
            <w:tcW w:w="3960" w:type="dxa"/>
            <w:vAlign w:val="bottom"/>
          </w:tcPr>
          <w:p>
            <w:pPr>
              <w:ind w:left="500"/>
              <w:spacing w:after="0"/>
              <w:rPr>
                <w:sz w:val="20"/>
                <w:szCs w:val="20"/>
                <w:color w:val="auto"/>
              </w:rPr>
            </w:pPr>
            <w:r>
              <w:rPr>
                <w:rFonts w:ascii="Arial" w:cs="Arial" w:eastAsia="Arial" w:hAnsi="Arial"/>
                <w:sz w:val="18"/>
                <w:szCs w:val="18"/>
                <w:color w:val="auto"/>
              </w:rPr>
              <w:t>andere Form umzuwandeln.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approval of the shareholders.</w:t>
            </w: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0500"/>
          </w:cols>
          <w:pgMar w:left="220" w:top="144" w:right="1179" w:bottom="1440" w:gutter="0" w:footer="0" w:header="0"/>
          <w:type w:val="continuous"/>
        </w:sectPr>
      </w:pPr>
    </w:p>
    <w:p>
      <w:pPr>
        <w:ind w:left="2400" w:right="51" w:hanging="681"/>
        <w:spacing w:after="0" w:line="232" w:lineRule="auto"/>
        <w:tabs>
          <w:tab w:leader="none" w:pos="1995" w:val="left"/>
        </w:tabs>
        <w:numPr>
          <w:ilvl w:val="0"/>
          <w:numId w:val="184"/>
        </w:numPr>
        <w:rPr>
          <w:rFonts w:ascii="Arial" w:cs="Arial" w:eastAsia="Arial" w:hAnsi="Arial"/>
          <w:sz w:val="29"/>
          <w:szCs w:val="29"/>
          <w:color w:val="auto"/>
          <w:vertAlign w:val="superscript"/>
        </w:rPr>
      </w:pPr>
      <w:r>
        <w:rPr>
          <w:rFonts w:ascii="Arial" w:cs="Arial" w:eastAsia="Arial" w:hAnsi="Arial"/>
          <w:sz w:val="18"/>
          <w:szCs w:val="18"/>
          <w:color w:val="auto"/>
        </w:rPr>
        <w:t>Der Aktionär hat keinen Anspruch auf Umwandlung von in bestimmter Form ausgegebenen Namenaktien in eine andere Form. Jeder Aktionär kann jedoch von der Gesellschaft jederzeit die Ausstellung einer Bescheinigung über die von ihm gemäss Aktienbuch gehaltenen Namenaktien verlangen.</w:t>
      </w:r>
    </w:p>
    <w:p>
      <w:pPr>
        <w:spacing w:after="0" w:line="59" w:lineRule="exact"/>
        <w:rPr>
          <w:sz w:val="20"/>
          <w:szCs w:val="20"/>
          <w:color w:val="auto"/>
        </w:rPr>
      </w:pPr>
    </w:p>
    <w:p>
      <w:pPr>
        <w:ind w:left="2400" w:right="71" w:hanging="681"/>
        <w:spacing w:after="0" w:line="227" w:lineRule="auto"/>
        <w:tabs>
          <w:tab w:leader="none" w:pos="1995" w:val="left"/>
        </w:tabs>
        <w:numPr>
          <w:ilvl w:val="0"/>
          <w:numId w:val="185"/>
        </w:numPr>
        <w:rPr>
          <w:rFonts w:ascii="Arial" w:cs="Arial" w:eastAsia="Arial" w:hAnsi="Arial"/>
          <w:sz w:val="29"/>
          <w:szCs w:val="29"/>
          <w:color w:val="auto"/>
          <w:vertAlign w:val="superscript"/>
        </w:rPr>
      </w:pPr>
      <w:r>
        <w:rPr>
          <w:rFonts w:ascii="Arial" w:cs="Arial" w:eastAsia="Arial" w:hAnsi="Arial"/>
          <w:sz w:val="18"/>
          <w:szCs w:val="18"/>
          <w:color w:val="auto"/>
        </w:rPr>
        <w:t>Bucheffekten, denen Namenaktien der Gesellschaft zugrunde liegen, können nicht durch Zession übertragen werden. An diesen Bucheffekten können auch keine Sicherheiten durch Zession bestellt werden.</w:t>
      </w:r>
    </w:p>
    <w:p>
      <w:pPr>
        <w:spacing w:after="0" w:line="30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Artikel 5</w:t>
      </w:r>
    </w:p>
    <w:p>
      <w:pPr>
        <w:spacing w:after="0" w:line="20" w:lineRule="exact"/>
        <w:rPr>
          <w:sz w:val="20"/>
          <w:szCs w:val="20"/>
          <w:color w:val="auto"/>
        </w:rPr>
      </w:pPr>
      <w:r>
        <w:rPr>
          <w:sz w:val="20"/>
          <w:szCs w:val="20"/>
          <w:color w:val="auto"/>
        </w:rPr>
        <w:br w:type="column"/>
      </w:r>
    </w:p>
    <w:p>
      <w:pPr>
        <w:ind w:left="689" w:right="60" w:hanging="689"/>
        <w:spacing w:after="0" w:line="243" w:lineRule="auto"/>
        <w:tabs>
          <w:tab w:leader="none" w:pos="284" w:val="left"/>
        </w:tabs>
        <w:numPr>
          <w:ilvl w:val="0"/>
          <w:numId w:val="186"/>
        </w:numPr>
        <w:rPr>
          <w:rFonts w:ascii="Arial" w:cs="Arial" w:eastAsia="Arial" w:hAnsi="Arial"/>
          <w:sz w:val="28"/>
          <w:szCs w:val="28"/>
          <w:color w:val="auto"/>
          <w:vertAlign w:val="superscript"/>
        </w:rPr>
      </w:pPr>
      <w:r>
        <w:rPr>
          <w:rFonts w:ascii="Arial" w:cs="Arial" w:eastAsia="Arial" w:hAnsi="Arial"/>
          <w:sz w:val="17"/>
          <w:szCs w:val="17"/>
          <w:color w:val="auto"/>
        </w:rPr>
        <w:t>The shareholder has no right to demand a conversion of the form of the registered shares. Each shareholder may, however, at any time request a written confirmation from the Company of the registered shares held by such shareholder, as reflected in the share register.</w:t>
      </w:r>
    </w:p>
    <w:p>
      <w:pPr>
        <w:spacing w:after="0" w:line="268" w:lineRule="exact"/>
        <w:rPr>
          <w:sz w:val="20"/>
          <w:szCs w:val="20"/>
          <w:color w:val="auto"/>
        </w:rPr>
      </w:pPr>
    </w:p>
    <w:p>
      <w:pPr>
        <w:ind w:left="689" w:right="200" w:hanging="689"/>
        <w:spacing w:after="0" w:line="239" w:lineRule="auto"/>
        <w:tabs>
          <w:tab w:leader="none" w:pos="284" w:val="left"/>
        </w:tabs>
        <w:numPr>
          <w:ilvl w:val="0"/>
          <w:numId w:val="187"/>
        </w:numPr>
        <w:rPr>
          <w:rFonts w:ascii="Arial" w:cs="Arial" w:eastAsia="Arial" w:hAnsi="Arial"/>
          <w:sz w:val="28"/>
          <w:szCs w:val="28"/>
          <w:color w:val="auto"/>
          <w:vertAlign w:val="superscript"/>
        </w:rPr>
      </w:pPr>
      <w:r>
        <w:rPr>
          <w:rFonts w:ascii="Arial" w:cs="Arial" w:eastAsia="Arial" w:hAnsi="Arial"/>
          <w:sz w:val="17"/>
          <w:szCs w:val="17"/>
          <w:color w:val="auto"/>
        </w:rPr>
        <w:t>Intermediated securities based on registered shares of the Company cannot be transferred by way of assignment. Further, a security interest in any such intermediated securities cannot be granted by way of assignment.</w:t>
      </w:r>
    </w:p>
    <w:p>
      <w:pPr>
        <w:spacing w:after="0" w:line="304" w:lineRule="exact"/>
        <w:rPr>
          <w:sz w:val="20"/>
          <w:szCs w:val="20"/>
          <w:color w:val="auto"/>
        </w:rPr>
      </w:pPr>
    </w:p>
    <w:p>
      <w:pPr>
        <w:ind w:left="289"/>
        <w:spacing w:after="0"/>
        <w:rPr>
          <w:sz w:val="20"/>
          <w:szCs w:val="20"/>
          <w:color w:val="auto"/>
        </w:rPr>
      </w:pPr>
      <w:r>
        <w:rPr>
          <w:rFonts w:ascii="Arial" w:cs="Arial" w:eastAsia="Arial" w:hAnsi="Arial"/>
          <w:sz w:val="18"/>
          <w:szCs w:val="18"/>
          <w:b w:val="1"/>
          <w:bCs w:val="1"/>
          <w:color w:val="auto"/>
        </w:rPr>
        <w:t>Article 5</w:t>
      </w:r>
    </w:p>
    <w:p>
      <w:pPr>
        <w:spacing w:after="0" w:line="1" w:lineRule="exact"/>
        <w:rPr>
          <w:sz w:val="20"/>
          <w:szCs w:val="20"/>
          <w:color w:val="auto"/>
        </w:rPr>
      </w:pPr>
    </w:p>
    <w:p>
      <w:pPr>
        <w:sectPr>
          <w:pgSz w:w="11900" w:h="16838" w:orient="portrait"/>
          <w:cols w:equalWidth="0" w:num="2">
            <w:col w:w="5751" w:space="720"/>
            <w:col w:w="4029"/>
          </w:cols>
          <w:pgMar w:left="220" w:top="144" w:right="1179" w:bottom="1440" w:gutter="0" w:footer="0" w:header="0"/>
          <w:type w:val="continuous"/>
        </w:sectPr>
      </w:pPr>
    </w:p>
    <w:tbl>
      <w:tblPr>
        <w:tblLayout w:type="fixed"/>
        <w:tblInd w:w="0" w:type="dxa"/>
        <w:tblCellMar>
          <w:top w:w="0" w:type="dxa"/>
          <w:left w:w="0" w:type="dxa"/>
          <w:bottom w:w="0" w:type="dxa"/>
          <w:right w:w="0" w:type="dxa"/>
        </w:tblCellMar>
      </w:tblPr>
      <w:tr>
        <w:trPr>
          <w:trHeight w:val="91"/>
        </w:trPr>
        <w:tc>
          <w:tcPr>
            <w:tcW w:w="1240" w:type="dxa"/>
            <w:vAlign w:val="bottom"/>
            <w:vMerge w:val="restart"/>
          </w:tcPr>
          <w:p>
            <w:pPr>
              <w:spacing w:after="0"/>
              <w:rPr>
                <w:sz w:val="20"/>
                <w:szCs w:val="20"/>
                <w:color w:val="auto"/>
              </w:rPr>
            </w:pPr>
            <w:r>
              <w:rPr>
                <w:rFonts w:ascii="Arial" w:cs="Arial" w:eastAsia="Arial" w:hAnsi="Arial"/>
                <w:sz w:val="14"/>
                <w:szCs w:val="14"/>
                <w:color w:val="auto"/>
              </w:rPr>
              <w:t>enbuch,</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3960" w:type="dxa"/>
            <w:vAlign w:val="bottom"/>
            <w:gridSpan w:val="2"/>
          </w:tcPr>
          <w:p>
            <w:pPr>
              <w:ind w:left="80"/>
              <w:spacing w:after="0" w:line="91" w:lineRule="exact"/>
              <w:rPr>
                <w:sz w:val="20"/>
                <w:szCs w:val="20"/>
                <w:color w:val="auto"/>
              </w:rPr>
            </w:pPr>
            <w:r>
              <w:rPr>
                <w:rFonts w:ascii="Arial" w:cs="Arial" w:eastAsia="Arial" w:hAnsi="Arial"/>
                <w:sz w:val="10"/>
                <w:szCs w:val="10"/>
                <w:color w:val="auto"/>
              </w:rPr>
              <w:t>Die Gesellschaft führt für die Namenaktien ein</w:t>
            </w:r>
          </w:p>
        </w:tc>
        <w:tc>
          <w:tcPr>
            <w:tcW w:w="880" w:type="dxa"/>
            <w:vAlign w:val="bottom"/>
          </w:tcPr>
          <w:p>
            <w:pPr>
              <w:spacing w:after="0"/>
              <w:rPr>
                <w:sz w:val="7"/>
                <w:szCs w:val="7"/>
                <w:color w:val="auto"/>
              </w:rPr>
            </w:pPr>
          </w:p>
        </w:tc>
        <w:tc>
          <w:tcPr>
            <w:tcW w:w="3760" w:type="dxa"/>
            <w:vAlign w:val="bottom"/>
          </w:tcPr>
          <w:p>
            <w:pPr>
              <w:ind w:left="20"/>
              <w:spacing w:after="0" w:line="91" w:lineRule="exact"/>
              <w:rPr>
                <w:sz w:val="20"/>
                <w:szCs w:val="20"/>
                <w:color w:val="auto"/>
              </w:rPr>
            </w:pPr>
            <w:r>
              <w:rPr>
                <w:rFonts w:ascii="Arial" w:cs="Arial" w:eastAsia="Arial" w:hAnsi="Arial"/>
                <w:sz w:val="10"/>
                <w:szCs w:val="10"/>
                <w:color w:val="auto"/>
              </w:rPr>
              <w:t>The Company shall maintain a share register</w:t>
            </w:r>
          </w:p>
        </w:tc>
        <w:tc>
          <w:tcPr>
            <w:tcW w:w="0" w:type="dxa"/>
            <w:vAlign w:val="bottom"/>
          </w:tcPr>
          <w:p>
            <w:pPr>
              <w:spacing w:after="0"/>
              <w:rPr>
                <w:sz w:val="1"/>
                <w:szCs w:val="1"/>
                <w:color w:val="auto"/>
              </w:rPr>
            </w:pPr>
          </w:p>
        </w:tc>
      </w:tr>
      <w:tr>
        <w:trPr>
          <w:trHeight w:val="162"/>
        </w:trPr>
        <w:tc>
          <w:tcPr>
            <w:tcW w:w="1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500" w:type="dxa"/>
            <w:vAlign w:val="bottom"/>
            <w:gridSpan w:val="2"/>
          </w:tcPr>
          <w:p>
            <w:pPr>
              <w:ind w:left="3300"/>
              <w:spacing w:after="0"/>
              <w:rPr>
                <w:sz w:val="20"/>
                <w:szCs w:val="20"/>
                <w:color w:val="auto"/>
              </w:rPr>
            </w:pPr>
            <w:r>
              <w:rPr>
                <w:rFonts w:ascii="Arial" w:cs="Arial" w:eastAsia="Arial" w:hAnsi="Arial"/>
                <w:sz w:val="14"/>
                <w:szCs w:val="14"/>
                <w:color w:val="auto"/>
              </w:rPr>
              <w:t>Share Register,1</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gridSpan w:val="3"/>
          </w:tcPr>
          <w:p>
            <w:pPr>
              <w:ind w:left="120"/>
              <w:spacing w:after="0"/>
              <w:rPr>
                <w:sz w:val="20"/>
                <w:szCs w:val="20"/>
                <w:color w:val="auto"/>
              </w:rPr>
            </w:pPr>
            <w:r>
              <w:rPr>
                <w:rFonts w:ascii="Arial" w:cs="Arial" w:eastAsia="Arial" w:hAnsi="Arial"/>
                <w:sz w:val="14"/>
                <w:szCs w:val="14"/>
                <w:color w:val="auto"/>
              </w:rPr>
              <w:t>Übertragungsbeschränkungen,</w:t>
            </w:r>
          </w:p>
        </w:tc>
        <w:tc>
          <w:tcPr>
            <w:tcW w:w="3620" w:type="dxa"/>
            <w:vAlign w:val="bottom"/>
            <w:vMerge w:val="restart"/>
          </w:tcPr>
          <w:p>
            <w:pPr>
              <w:ind w:left="160"/>
              <w:spacing w:after="0"/>
              <w:rPr>
                <w:sz w:val="20"/>
                <w:szCs w:val="20"/>
                <w:color w:val="auto"/>
              </w:rPr>
            </w:pPr>
            <w:r>
              <w:rPr>
                <w:rFonts w:ascii="Arial" w:cs="Arial" w:eastAsia="Arial" w:hAnsi="Arial"/>
                <w:sz w:val="18"/>
                <w:szCs w:val="18"/>
                <w:color w:val="auto"/>
              </w:rPr>
              <w:t>Aktienbuch, in welches die Eigentümer</w:t>
            </w:r>
          </w:p>
        </w:tc>
        <w:tc>
          <w:tcPr>
            <w:tcW w:w="880" w:type="dxa"/>
            <w:vAlign w:val="bottom"/>
          </w:tcPr>
          <w:p>
            <w:pPr>
              <w:ind w:left="100"/>
              <w:spacing w:after="0"/>
              <w:rPr>
                <w:sz w:val="20"/>
                <w:szCs w:val="20"/>
                <w:color w:val="auto"/>
              </w:rPr>
            </w:pPr>
            <w:r>
              <w:rPr>
                <w:rFonts w:ascii="Arial" w:cs="Arial" w:eastAsia="Arial" w:hAnsi="Arial"/>
                <w:sz w:val="14"/>
                <w:szCs w:val="14"/>
                <w:color w:val="auto"/>
              </w:rPr>
              <w:t>Transfer</w:t>
            </w:r>
          </w:p>
        </w:tc>
        <w:tc>
          <w:tcPr>
            <w:tcW w:w="3760" w:type="dxa"/>
            <w:vAlign w:val="bottom"/>
            <w:vMerge w:val="restart"/>
          </w:tcPr>
          <w:p>
            <w:pPr>
              <w:ind w:left="420"/>
              <w:spacing w:after="0"/>
              <w:rPr>
                <w:sz w:val="20"/>
                <w:szCs w:val="20"/>
                <w:color w:val="auto"/>
              </w:rPr>
            </w:pPr>
            <w:r>
              <w:rPr>
                <w:rFonts w:ascii="Arial" w:cs="Arial" w:eastAsia="Arial" w:hAnsi="Arial"/>
                <w:sz w:val="18"/>
                <w:szCs w:val="18"/>
                <w:color w:val="auto"/>
                <w:w w:val="99"/>
              </w:rPr>
              <w:t>that lists the surname, first name, address</w:t>
            </w:r>
          </w:p>
        </w:tc>
        <w:tc>
          <w:tcPr>
            <w:tcW w:w="0" w:type="dxa"/>
            <w:vAlign w:val="bottom"/>
          </w:tcPr>
          <w:p>
            <w:pPr>
              <w:spacing w:after="0"/>
              <w:rPr>
                <w:sz w:val="1"/>
                <w:szCs w:val="1"/>
                <w:color w:val="auto"/>
              </w:rPr>
            </w:pPr>
          </w:p>
        </w:tc>
      </w:tr>
      <w:tr>
        <w:trPr>
          <w:trHeight w:val="102"/>
        </w:trPr>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Nominees</w:t>
            </w: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color w:val="auto"/>
                <w:w w:val="98"/>
              </w:rPr>
              <w:t>Restrictions,</w:t>
            </w: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2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20" w:type="dxa"/>
            <w:vAlign w:val="bottom"/>
            <w:vMerge w:val="restart"/>
          </w:tcPr>
          <w:p>
            <w:pPr>
              <w:ind w:left="160"/>
              <w:spacing w:after="0"/>
              <w:rPr>
                <w:sz w:val="20"/>
                <w:szCs w:val="20"/>
                <w:color w:val="auto"/>
              </w:rPr>
            </w:pPr>
            <w:r>
              <w:rPr>
                <w:rFonts w:ascii="Arial" w:cs="Arial" w:eastAsia="Arial" w:hAnsi="Arial"/>
                <w:sz w:val="18"/>
                <w:szCs w:val="18"/>
                <w:color w:val="auto"/>
              </w:rPr>
              <w:t>und Nutzniesser mit Namen und</w:t>
            </w:r>
          </w:p>
        </w:tc>
        <w:tc>
          <w:tcPr>
            <w:tcW w:w="880" w:type="dxa"/>
            <w:vAlign w:val="bottom"/>
            <w:vMerge w:val="continue"/>
          </w:tcPr>
          <w:p>
            <w:pPr>
              <w:spacing w:after="0"/>
              <w:rPr>
                <w:sz w:val="5"/>
                <w:szCs w:val="5"/>
                <w:color w:val="auto"/>
              </w:rPr>
            </w:pPr>
          </w:p>
        </w:tc>
        <w:tc>
          <w:tcPr>
            <w:tcW w:w="3760" w:type="dxa"/>
            <w:vAlign w:val="bottom"/>
            <w:vMerge w:val="restart"/>
          </w:tcPr>
          <w:p>
            <w:pPr>
              <w:ind w:left="420"/>
              <w:spacing w:after="0"/>
              <w:rPr>
                <w:sz w:val="20"/>
                <w:szCs w:val="20"/>
                <w:color w:val="auto"/>
              </w:rPr>
            </w:pPr>
            <w:r>
              <w:rPr>
                <w:rFonts w:ascii="Arial" w:cs="Arial" w:eastAsia="Arial" w:hAnsi="Arial"/>
                <w:sz w:val="18"/>
                <w:szCs w:val="18"/>
                <w:color w:val="auto"/>
              </w:rPr>
              <w:t>and citizenship (in the case of legal</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880" w:type="dxa"/>
            <w:vAlign w:val="bottom"/>
          </w:tcPr>
          <w:p>
            <w:pPr>
              <w:ind w:left="100"/>
              <w:spacing w:after="0" w:line="157" w:lineRule="exact"/>
              <w:rPr>
                <w:sz w:val="20"/>
                <w:szCs w:val="20"/>
                <w:color w:val="auto"/>
              </w:rPr>
            </w:pPr>
            <w:r>
              <w:rPr>
                <w:rFonts w:ascii="Arial" w:cs="Arial" w:eastAsia="Arial" w:hAnsi="Arial"/>
                <w:sz w:val="14"/>
                <w:szCs w:val="14"/>
                <w:color w:val="auto"/>
              </w:rPr>
              <w:t>Nominees</w:t>
            </w:r>
          </w:p>
        </w:tc>
        <w:tc>
          <w:tcPr>
            <w:tcW w:w="3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Vornamen (bei juristischen Personen die</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w w:val="99"/>
              </w:rPr>
              <w:t>entities, the company name and company</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Firma), Adresse und Staatsangehörigkeit</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seat) of the holders and usufructuaries of</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(bei juristischen Personen der Sitz)</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the registered shares. A person recorded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eingetragen werden. Wechselt eine im</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in the share register shall notify the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Aktienbuch eingetragene Person ihre</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Company of any change in address. Until</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Adresse, so hat sie dies der Gesellschaft</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such notification shall have occurred, all</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mitzuteilen. Solange dies nicht geschehen</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w w:val="99"/>
              </w:rPr>
              <w:t>written communication from the Company</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ist, erfolgen alle brieflichen Mitteilungen</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to persons of record shall be deemed to</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rechtsgültig an die bisher im Aktienbuch</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have validly been made if sent to the</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eingetragene Adresse.</w:t>
            </w:r>
          </w:p>
        </w:tc>
        <w:tc>
          <w:tcPr>
            <w:tcW w:w="88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address recorded in the share register.</w:t>
            </w:r>
          </w:p>
        </w:tc>
        <w:tc>
          <w:tcPr>
            <w:tcW w:w="0" w:type="dxa"/>
            <w:vAlign w:val="bottom"/>
          </w:tcPr>
          <w:p>
            <w:pPr>
              <w:spacing w:after="0"/>
              <w:rPr>
                <w:sz w:val="1"/>
                <w:szCs w:val="1"/>
                <w:color w:val="auto"/>
              </w:rPr>
            </w:pPr>
          </w:p>
        </w:tc>
      </w:tr>
    </w:tbl>
    <w:p>
      <w:pPr>
        <w:sectPr>
          <w:pgSz w:w="11900" w:h="16838" w:orient="portrait"/>
          <w:cols w:equalWidth="0" w:num="1">
            <w:col w:w="10500"/>
          </w:cols>
          <w:pgMar w:left="220" w:top="144" w:right="1179" w:bottom="1440" w:gutter="0" w:footer="0" w:header="0"/>
          <w:type w:val="continuous"/>
        </w:sectPr>
      </w:pPr>
    </w:p>
    <w:bookmarkStart w:id="306" w:name="page307"/>
    <w:bookmarkEnd w:id="306"/>
    <w:p>
      <w:pPr>
        <w:ind w:left="5600"/>
        <w:spacing w:after="0"/>
        <w:rPr>
          <w:sz w:val="20"/>
          <w:szCs w:val="20"/>
          <w:color w:val="auto"/>
        </w:rPr>
      </w:pPr>
      <w:r>
        <w:rPr>
          <w:rFonts w:ascii="Arial" w:cs="Arial" w:eastAsia="Arial" w:hAnsi="Arial"/>
          <w:sz w:val="14"/>
          <w:szCs w:val="14"/>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Erwerber von Namenaktien werden auf Gesuch als</w:t>
            </w: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Aktionäre mit Stimmrecht im Aktienbuch</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eingetragen, falls sie ausdrücklich erklären,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diese Namenaktien im eigenen Namen und für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eigene Rechnung erworben zu haben.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9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4400" w:type="dxa"/>
            <w:vAlign w:val="bottom"/>
            <w:gridSpan w:val="2"/>
            <w:vMerge w:val="restart"/>
          </w:tcPr>
          <w:p>
            <w:pPr>
              <w:ind w:left="120"/>
              <w:spacing w:after="0"/>
              <w:rPr>
                <w:sz w:val="20"/>
                <w:szCs w:val="20"/>
                <w:color w:val="auto"/>
              </w:rPr>
            </w:pPr>
            <w:r>
              <w:rPr>
                <w:rFonts w:ascii="Arial" w:cs="Arial" w:eastAsia="Arial" w:hAnsi="Arial"/>
                <w:sz w:val="18"/>
                <w:szCs w:val="18"/>
                <w:color w:val="auto"/>
              </w:rPr>
              <w:t>Der Verwaltungsrat trägt einzelne Personen, die im</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92"/>
        </w:trPr>
        <w:tc>
          <w:tcPr>
            <w:tcW w:w="960" w:type="dxa"/>
            <w:vAlign w:val="bottom"/>
          </w:tcPr>
          <w:p>
            <w:pPr>
              <w:spacing w:after="0"/>
              <w:rPr>
                <w:sz w:val="8"/>
                <w:szCs w:val="8"/>
                <w:color w:val="auto"/>
              </w:rPr>
            </w:pPr>
          </w:p>
        </w:tc>
        <w:tc>
          <w:tcPr>
            <w:tcW w:w="440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Eintragungsgesuch nicht ausdrücklich erklären,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80" w:type="dxa"/>
            <w:vAlign w:val="bottom"/>
          </w:tcPr>
          <w:p>
            <w:pPr>
              <w:spacing w:after="0" w:line="194" w:lineRule="exact"/>
              <w:rPr>
                <w:sz w:val="20"/>
                <w:szCs w:val="20"/>
                <w:color w:val="auto"/>
              </w:rPr>
            </w:pPr>
            <w:r>
              <w:rPr>
                <w:rFonts w:ascii="Arial" w:cs="Arial" w:eastAsia="Arial" w:hAnsi="Arial"/>
                <w:sz w:val="18"/>
                <w:szCs w:val="18"/>
                <w:color w:val="auto"/>
              </w:rPr>
              <w:t>die  Namenaktien  auf  eigene  Rechnung  zu</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halten   (</w:t>
            </w:r>
            <w:r>
              <w:rPr>
                <w:rFonts w:ascii="Arial" w:cs="Arial" w:eastAsia="Arial" w:hAnsi="Arial"/>
                <w:sz w:val="18"/>
                <w:szCs w:val="18"/>
                <w:b w:val="1"/>
                <w:bCs w:val="1"/>
                <w:color w:val="auto"/>
              </w:rPr>
              <w:t>Nominees</w:t>
            </w:r>
            <w:r>
              <w:rPr>
                <w:rFonts w:ascii="Arial" w:cs="Arial" w:eastAsia="Arial" w:hAnsi="Arial"/>
                <w:sz w:val="18"/>
                <w:szCs w:val="18"/>
                <w:color w:val="auto"/>
              </w:rPr>
              <w:t>),   mit   Stimmrecht   im</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Aktienbuch ein, wenn der Nominee mit dem</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Verwaltungsrat eine Vereinbarung über seine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Stellung   abgeschlossen   hat   und   einer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anerkannten   Bank-   oder   Finanzaufsicht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untersteht.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Der Verwaltungsrat kann nach Anhörung des</w:t>
            </w: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eingetragenen Aktionärs oder Nominees</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Eintragungen im Aktienbuch mit Rückwirkung</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auf das Datum der Eintragung streichen, wenn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diese durch falsche Angaben zustande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gekommen sind. Der Betroffene muss über die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Streichung informiert werden.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1"/>
        </w:trPr>
        <w:tc>
          <w:tcPr>
            <w:tcW w:w="9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Der Verwaltungsrat regelt die Einzelheiten und trifft</w:t>
            </w: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die zur Einhaltung der vorstehenden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Bestimmungen notwendigen Anordnungen. Er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kann in besonderen Fällen Ausnahmen von der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Nomineeregelung bewilligen. Er kann seine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Aufgaben delegieren.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960" w:type="dxa"/>
            <w:vAlign w:val="bottom"/>
          </w:tcPr>
          <w:p>
            <w:pPr>
              <w:spacing w:after="0"/>
              <w:rPr>
                <w:sz w:val="24"/>
                <w:szCs w:val="24"/>
                <w:color w:val="auto"/>
              </w:rPr>
            </w:pPr>
          </w:p>
        </w:tc>
        <w:tc>
          <w:tcPr>
            <w:tcW w:w="4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Artikel 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60" w:type="dxa"/>
            <w:vAlign w:val="bottom"/>
          </w:tcPr>
          <w:p>
            <w:pPr>
              <w:jc w:val="right"/>
              <w:ind w:right="68"/>
              <w:spacing w:after="0"/>
              <w:rPr>
                <w:sz w:val="20"/>
                <w:szCs w:val="20"/>
                <w:color w:val="auto"/>
              </w:rPr>
            </w:pPr>
            <w:r>
              <w:rPr>
                <w:rFonts w:ascii="Arial" w:cs="Arial" w:eastAsia="Arial" w:hAnsi="Arial"/>
                <w:sz w:val="14"/>
                <w:szCs w:val="14"/>
                <w:color w:val="auto"/>
                <w:w w:val="90"/>
              </w:rPr>
              <w:t>htsausübung1</w:t>
            </w:r>
          </w:p>
        </w:tc>
        <w:tc>
          <w:tcPr>
            <w:tcW w:w="5020" w:type="dxa"/>
            <w:vAlign w:val="bottom"/>
            <w:gridSpan w:val="3"/>
          </w:tcPr>
          <w:p>
            <w:pPr>
              <w:ind w:left="120"/>
              <w:spacing w:after="0" w:line="269" w:lineRule="exact"/>
              <w:rPr>
                <w:sz w:val="20"/>
                <w:szCs w:val="20"/>
                <w:color w:val="auto"/>
              </w:rPr>
            </w:pPr>
            <w:r>
              <w:rPr>
                <w:rFonts w:ascii="Arial" w:cs="Arial" w:eastAsia="Arial" w:hAnsi="Arial"/>
                <w:sz w:val="18"/>
                <w:szCs w:val="18"/>
                <w:color w:val="auto"/>
                <w:w w:val="86"/>
              </w:rPr>
              <w:t>Die Gesellschaft anerkennt nur einen Vertreter pro</w:t>
            </w:r>
            <w:r>
              <w:rPr>
                <w:rFonts w:ascii="Arial" w:cs="Arial" w:eastAsia="Arial" w:hAnsi="Arial"/>
                <w:sz w:val="28"/>
                <w:szCs w:val="28"/>
                <w:color w:val="auto"/>
                <w:w w:val="86"/>
                <w:vertAlign w:val="superscript"/>
              </w:rPr>
              <w:t>Exercise of Rights1</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Aktie.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4400" w:type="dxa"/>
            <w:vAlign w:val="bottom"/>
            <w:gridSpan w:val="2"/>
          </w:tcPr>
          <w:p>
            <w:pPr>
              <w:ind w:left="120"/>
              <w:spacing w:after="0"/>
              <w:rPr>
                <w:sz w:val="20"/>
                <w:szCs w:val="20"/>
                <w:color w:val="auto"/>
              </w:rPr>
            </w:pPr>
            <w:r>
              <w:rPr>
                <w:rFonts w:ascii="Arial" w:cs="Arial" w:eastAsia="Arial" w:hAnsi="Arial"/>
                <w:sz w:val="18"/>
                <w:szCs w:val="18"/>
                <w:color w:val="auto"/>
              </w:rPr>
              <w:t>Das Stimmrecht und die damit zusammenhängenden</w:t>
            </w: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Rechte aus einer Namenaktie können der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Gesellschaft gegenüber nur von einem Aktionär,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Nutzniesser oder Nominee, der mit Stimmrecht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im Aktienbuch eingetragen ist, ausgeübt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werden.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 w:right="220" w:hanging="404"/>
        <w:spacing w:after="0" w:line="252" w:lineRule="auto"/>
        <w:rPr>
          <w:sz w:val="20"/>
          <w:szCs w:val="20"/>
          <w:color w:val="auto"/>
        </w:rPr>
      </w:pPr>
      <w:r>
        <w:rPr>
          <w:rFonts w:ascii="Arial" w:cs="Arial" w:eastAsia="Arial" w:hAnsi="Arial"/>
          <w:sz w:val="18"/>
          <w:szCs w:val="18"/>
          <w:color w:val="auto"/>
        </w:rPr>
        <w:t>An acquirer of registered shares shall be recorded upon request in the share register as a shareholder with voting rights, if such acquirer expressly declares to have acquired the registered shares in his own name and for his own account.</w:t>
      </w:r>
    </w:p>
    <w:p>
      <w:pPr>
        <w:spacing w:after="0" w:line="100" w:lineRule="exact"/>
        <w:rPr>
          <w:sz w:val="20"/>
          <w:szCs w:val="20"/>
          <w:color w:val="auto"/>
        </w:rPr>
      </w:pPr>
    </w:p>
    <w:p>
      <w:pPr>
        <w:jc w:val="both"/>
        <w:ind w:left="400" w:hanging="404"/>
        <w:spacing w:after="0" w:line="252" w:lineRule="auto"/>
        <w:rPr>
          <w:sz w:val="20"/>
          <w:szCs w:val="20"/>
          <w:color w:val="auto"/>
        </w:rPr>
      </w:pPr>
      <w:r>
        <w:rPr>
          <w:rFonts w:ascii="Arial" w:cs="Arial" w:eastAsia="Arial" w:hAnsi="Arial"/>
          <w:sz w:val="18"/>
          <w:szCs w:val="18"/>
          <w:color w:val="auto"/>
        </w:rPr>
        <w:t>The board of directors records persons who do not declare to hold the registered shares for their own account (</w:t>
      </w:r>
      <w:r>
        <w:rPr>
          <w:rFonts w:ascii="Arial" w:cs="Arial" w:eastAsia="Arial" w:hAnsi="Arial"/>
          <w:sz w:val="18"/>
          <w:szCs w:val="18"/>
          <w:b w:val="1"/>
          <w:bCs w:val="1"/>
          <w:color w:val="auto"/>
        </w:rPr>
        <w:t>Nominees</w:t>
      </w:r>
      <w:r>
        <w:rPr>
          <w:rFonts w:ascii="Arial" w:cs="Arial" w:eastAsia="Arial" w:hAnsi="Arial"/>
          <w:sz w:val="18"/>
          <w:szCs w:val="18"/>
          <w:color w:val="auto"/>
        </w:rPr>
        <w:t>) as shareholders with voting rights in the share register, if such Nominee has entered into an agreement regarding its position with the board of directors and is subject to a recognized banking or finance supervision.</w:t>
      </w:r>
    </w:p>
    <w:p>
      <w:pPr>
        <w:spacing w:after="0" w:line="313" w:lineRule="exact"/>
        <w:rPr>
          <w:sz w:val="20"/>
          <w:szCs w:val="20"/>
          <w:color w:val="auto"/>
        </w:rPr>
      </w:pPr>
    </w:p>
    <w:p>
      <w:pPr>
        <w:ind w:left="400" w:right="20" w:hanging="404"/>
        <w:spacing w:after="0" w:line="251" w:lineRule="auto"/>
        <w:rPr>
          <w:sz w:val="20"/>
          <w:szCs w:val="20"/>
          <w:color w:val="auto"/>
        </w:rPr>
      </w:pPr>
      <w:r>
        <w:rPr>
          <w:rFonts w:ascii="Arial" w:cs="Arial" w:eastAsia="Arial" w:hAnsi="Arial"/>
          <w:sz w:val="18"/>
          <w:szCs w:val="18"/>
          <w:color w:val="auto"/>
        </w:rPr>
        <w:t>After hearing the registered shareholder concerned, the board of directors may cancel the registration of such shareholder as a shareholder with voting rights in the share register with retroactive effect as of the date of registration, if such registration was made based on false or misleading information. The relevant shareholder shall be informed of the cancellation.</w:t>
      </w:r>
    </w:p>
    <w:p>
      <w:pPr>
        <w:spacing w:after="0" w:line="50" w:lineRule="exact"/>
        <w:rPr>
          <w:sz w:val="20"/>
          <w:szCs w:val="20"/>
          <w:color w:val="auto"/>
        </w:rPr>
      </w:pPr>
    </w:p>
    <w:p>
      <w:pPr>
        <w:ind w:left="400" w:right="100" w:hanging="404"/>
        <w:spacing w:after="0" w:line="252" w:lineRule="auto"/>
        <w:rPr>
          <w:sz w:val="20"/>
          <w:szCs w:val="20"/>
          <w:color w:val="auto"/>
        </w:rPr>
      </w:pPr>
      <w:r>
        <w:rPr>
          <w:rFonts w:ascii="Arial" w:cs="Arial" w:eastAsia="Arial" w:hAnsi="Arial"/>
          <w:sz w:val="18"/>
          <w:szCs w:val="18"/>
          <w:color w:val="auto"/>
        </w:rPr>
        <w:t>The board of directors shall regulate the details and issue the instructions necessary for compliance with the preceding provisions. In special cases, it may grant exemptions from the rule concerning Nominees. The board of directors may delegate its duties.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w:t>
      </w:r>
    </w:p>
    <w:p>
      <w:pPr>
        <w:spacing w:after="0" w:line="85" w:lineRule="exact"/>
        <w:rPr>
          <w:sz w:val="20"/>
          <w:szCs w:val="20"/>
          <w:color w:val="auto"/>
        </w:rPr>
      </w:pPr>
    </w:p>
    <w:p>
      <w:pPr>
        <w:ind w:left="400" w:right="220" w:hanging="404"/>
        <w:spacing w:after="0" w:line="261" w:lineRule="auto"/>
        <w:rPr>
          <w:sz w:val="20"/>
          <w:szCs w:val="20"/>
          <w:color w:val="auto"/>
        </w:rPr>
      </w:pPr>
      <w:r>
        <w:rPr>
          <w:rFonts w:ascii="Arial" w:cs="Arial" w:eastAsia="Arial" w:hAnsi="Arial"/>
          <w:sz w:val="18"/>
          <w:szCs w:val="18"/>
          <w:color w:val="auto"/>
        </w:rPr>
        <w:t>The Company shall only accept one representative per share.</w:t>
      </w:r>
    </w:p>
    <w:p>
      <w:pPr>
        <w:spacing w:after="0" w:line="36" w:lineRule="exact"/>
        <w:rPr>
          <w:sz w:val="20"/>
          <w:szCs w:val="20"/>
          <w:color w:val="auto"/>
        </w:rPr>
      </w:pPr>
    </w:p>
    <w:p>
      <w:pPr>
        <w:ind w:left="400" w:right="180" w:hanging="404"/>
        <w:spacing w:after="0" w:line="252" w:lineRule="auto"/>
        <w:rPr>
          <w:sz w:val="20"/>
          <w:szCs w:val="20"/>
          <w:color w:val="auto"/>
        </w:rPr>
      </w:pPr>
      <w:r>
        <w:rPr>
          <w:rFonts w:ascii="Arial" w:cs="Arial" w:eastAsia="Arial" w:hAnsi="Arial"/>
          <w:sz w:val="18"/>
          <w:szCs w:val="18"/>
          <w:color w:val="auto"/>
        </w:rPr>
        <w:t>Voting rights and appurtenant rights associated therewith may be exercised in relation to the Company by a shareholder, usufructuary of shares or nominee only to the extent that such person is recorded in the share register as a shareholder with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184150</wp:posOffset>
            </wp:positionV>
            <wp:extent cx="24771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ectPr>
          <w:pgSz w:w="11900" w:h="16838" w:orient="portrait"/>
          <w:cols w:equalWidth="0" w:num="2">
            <w:col w:w="5980" w:space="260"/>
            <w:col w:w="4280"/>
          </w:cols>
          <w:pgMar w:left="220" w:top="144" w:right="1159" w:bottom="1440" w:gutter="0" w:footer="0" w:header="0"/>
        </w:sectPr>
      </w:pPr>
    </w:p>
    <w:bookmarkStart w:id="307" w:name="page308"/>
    <w:bookmarkEnd w:id="307"/>
    <w:p>
      <w:pPr>
        <w:ind w:left="5560"/>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803275</wp:posOffset>
            </wp:positionV>
            <wp:extent cx="57607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0520"/>
          </w:cols>
          <w:pgMar w:left="22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color w:val="auto"/>
        </w:rPr>
        <w:t>ane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Abschnitt 3:</w:t>
            </w:r>
          </w:p>
        </w:tc>
        <w:tc>
          <w:tcPr>
            <w:tcW w:w="940" w:type="dxa"/>
            <w:vAlign w:val="bottom"/>
          </w:tcPr>
          <w:p>
            <w:pPr>
              <w:spacing w:after="0"/>
              <w:rPr>
                <w:sz w:val="19"/>
                <w:szCs w:val="19"/>
                <w:color w:val="auto"/>
              </w:rPr>
            </w:pPr>
          </w:p>
        </w:tc>
        <w:tc>
          <w:tcPr>
            <w:tcW w:w="5160" w:type="dxa"/>
            <w:vAlign w:val="bottom"/>
            <w:gridSpan w:val="2"/>
          </w:tcPr>
          <w:p>
            <w:pPr>
              <w:ind w:left="880"/>
              <w:spacing w:after="0"/>
              <w:rPr>
                <w:sz w:val="20"/>
                <w:szCs w:val="20"/>
                <w:color w:val="auto"/>
              </w:rPr>
            </w:pPr>
            <w:r>
              <w:rPr>
                <w:rFonts w:ascii="Arial" w:cs="Arial" w:eastAsia="Arial" w:hAnsi="Arial"/>
                <w:sz w:val="18"/>
                <w:szCs w:val="18"/>
                <w:b w:val="1"/>
                <w:bCs w:val="1"/>
                <w:color w:val="auto"/>
              </w:rPr>
              <w:t>Section 3:</w:t>
            </w:r>
          </w:p>
        </w:tc>
      </w:tr>
      <w:tr>
        <w:trPr>
          <w:trHeight w:val="235"/>
        </w:trPr>
        <w:tc>
          <w:tcPr>
            <w:tcW w:w="38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Organe</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Arial" w:cs="Arial" w:eastAsia="Arial" w:hAnsi="Arial"/>
                <w:sz w:val="18"/>
                <w:szCs w:val="18"/>
                <w:i w:val="1"/>
                <w:iCs w:val="1"/>
                <w:color w:val="auto"/>
              </w:rPr>
              <w:t>Corporate Bodies</w:t>
            </w:r>
          </w:p>
        </w:tc>
      </w:tr>
      <w:tr>
        <w:trPr>
          <w:trHeight w:val="81"/>
        </w:trPr>
        <w:tc>
          <w:tcPr>
            <w:tcW w:w="380" w:type="dxa"/>
            <w:vAlign w:val="bottom"/>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r>
      <w:tr>
        <w:trPr>
          <w:trHeight w:val="49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Artikel 7</w:t>
            </w:r>
          </w:p>
        </w:tc>
        <w:tc>
          <w:tcPr>
            <w:tcW w:w="940" w:type="dxa"/>
            <w:vAlign w:val="bottom"/>
          </w:tcPr>
          <w:p>
            <w:pPr>
              <w:spacing w:after="0"/>
              <w:rPr>
                <w:sz w:val="24"/>
                <w:szCs w:val="24"/>
                <w:color w:val="auto"/>
              </w:rPr>
            </w:pPr>
          </w:p>
        </w:tc>
        <w:tc>
          <w:tcPr>
            <w:tcW w:w="5160" w:type="dxa"/>
            <w:vAlign w:val="bottom"/>
            <w:gridSpan w:val="2"/>
          </w:tcPr>
          <w:p>
            <w:pPr>
              <w:ind w:left="880"/>
              <w:spacing w:after="0"/>
              <w:rPr>
                <w:sz w:val="20"/>
                <w:szCs w:val="20"/>
                <w:color w:val="auto"/>
              </w:rPr>
            </w:pPr>
            <w:r>
              <w:rPr>
                <w:rFonts w:ascii="Arial" w:cs="Arial" w:eastAsia="Arial" w:hAnsi="Arial"/>
                <w:sz w:val="18"/>
                <w:szCs w:val="18"/>
                <w:b w:val="1"/>
                <w:bCs w:val="1"/>
                <w:color w:val="auto"/>
              </w:rPr>
              <w:t>Article 7</w:t>
            </w:r>
          </w:p>
        </w:tc>
      </w:tr>
      <w:tr>
        <w:trPr>
          <w:trHeight w:val="377"/>
        </w:trPr>
        <w:tc>
          <w:tcPr>
            <w:tcW w:w="3340" w:type="dxa"/>
            <w:vAlign w:val="bottom"/>
            <w:gridSpan w:val="2"/>
          </w:tcPr>
          <w:p>
            <w:pPr>
              <w:spacing w:after="0"/>
              <w:rPr>
                <w:sz w:val="20"/>
                <w:szCs w:val="20"/>
                <w:color w:val="auto"/>
              </w:rPr>
            </w:pPr>
            <w:r>
              <w:rPr>
                <w:rFonts w:ascii="Arial" w:cs="Arial" w:eastAsia="Arial" w:hAnsi="Arial"/>
                <w:sz w:val="18"/>
                <w:szCs w:val="18"/>
                <w:color w:val="auto"/>
              </w:rPr>
              <w:t>Die Organe der Gesellschaft sind:</w:t>
            </w:r>
          </w:p>
        </w:tc>
        <w:tc>
          <w:tcPr>
            <w:tcW w:w="6100" w:type="dxa"/>
            <w:vAlign w:val="bottom"/>
            <w:gridSpan w:val="3"/>
          </w:tcPr>
          <w:p>
            <w:pPr>
              <w:ind w:left="660"/>
              <w:spacing w:after="0"/>
              <w:rPr>
                <w:sz w:val="20"/>
                <w:szCs w:val="20"/>
                <w:color w:val="auto"/>
              </w:rPr>
            </w:pPr>
            <w:r>
              <w:rPr>
                <w:rFonts w:ascii="Arial" w:cs="Arial" w:eastAsia="Arial" w:hAnsi="Arial"/>
                <w:sz w:val="28"/>
                <w:szCs w:val="28"/>
                <w:color w:val="auto"/>
                <w:vertAlign w:val="superscript"/>
              </w:rPr>
              <w:t>Corporate Bodies</w:t>
            </w:r>
            <w:r>
              <w:rPr>
                <w:rFonts w:ascii="Arial" w:cs="Arial" w:eastAsia="Arial" w:hAnsi="Arial"/>
                <w:sz w:val="18"/>
                <w:szCs w:val="18"/>
                <w:color w:val="auto"/>
              </w:rPr>
              <w:t xml:space="preserve"> The Company's bodies are:</w:t>
            </w:r>
          </w:p>
        </w:tc>
      </w:tr>
      <w:tr>
        <w:trPr>
          <w:trHeight w:val="217"/>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2960" w:type="dxa"/>
            <w:vAlign w:val="bottom"/>
          </w:tcPr>
          <w:p>
            <w:pPr>
              <w:ind w:left="40"/>
              <w:spacing w:after="0"/>
              <w:rPr>
                <w:sz w:val="20"/>
                <w:szCs w:val="20"/>
                <w:color w:val="auto"/>
              </w:rPr>
            </w:pPr>
            <w:r>
              <w:rPr>
                <w:rFonts w:ascii="Arial" w:cs="Arial" w:eastAsia="Arial" w:hAnsi="Arial"/>
                <w:sz w:val="18"/>
                <w:szCs w:val="18"/>
                <w:color w:val="auto"/>
              </w:rPr>
              <w:t>die Generalversammlung;</w:t>
            </w:r>
          </w:p>
        </w:tc>
        <w:tc>
          <w:tcPr>
            <w:tcW w:w="940" w:type="dxa"/>
            <w:vAlign w:val="bottom"/>
          </w:tcPr>
          <w:p>
            <w:pPr>
              <w:spacing w:after="0"/>
              <w:rPr>
                <w:sz w:val="18"/>
                <w:szCs w:val="18"/>
                <w:color w:val="auto"/>
              </w:rPr>
            </w:pPr>
          </w:p>
        </w:tc>
        <w:tc>
          <w:tcPr>
            <w:tcW w:w="5160" w:type="dxa"/>
            <w:vAlign w:val="bottom"/>
            <w:gridSpan w:val="2"/>
          </w:tcPr>
          <w:p>
            <w:pPr>
              <w:ind w:left="880"/>
              <w:spacing w:after="0"/>
              <w:rPr>
                <w:sz w:val="20"/>
                <w:szCs w:val="20"/>
                <w:color w:val="auto"/>
              </w:rPr>
            </w:pPr>
            <w:r>
              <w:rPr>
                <w:rFonts w:ascii="Arial" w:cs="Arial" w:eastAsia="Arial" w:hAnsi="Arial"/>
                <w:sz w:val="18"/>
                <w:szCs w:val="18"/>
                <w:color w:val="auto"/>
              </w:rPr>
              <w:t>(a)  the general meeting of shareholders;</w:t>
            </w:r>
          </w:p>
        </w:tc>
      </w:tr>
      <w:tr>
        <w:trPr>
          <w:trHeight w:val="270"/>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2960" w:type="dxa"/>
            <w:vAlign w:val="bottom"/>
          </w:tcPr>
          <w:p>
            <w:pPr>
              <w:ind w:left="40"/>
              <w:spacing w:after="0"/>
              <w:rPr>
                <w:sz w:val="20"/>
                <w:szCs w:val="20"/>
                <w:color w:val="auto"/>
              </w:rPr>
            </w:pPr>
            <w:r>
              <w:rPr>
                <w:rFonts w:ascii="Arial" w:cs="Arial" w:eastAsia="Arial" w:hAnsi="Arial"/>
                <w:sz w:val="18"/>
                <w:szCs w:val="18"/>
                <w:color w:val="auto"/>
              </w:rPr>
              <w:t>der Verwaltungsrat;</w:t>
            </w:r>
          </w:p>
        </w:tc>
        <w:tc>
          <w:tcPr>
            <w:tcW w:w="940" w:type="dxa"/>
            <w:vAlign w:val="bottom"/>
          </w:tcPr>
          <w:p>
            <w:pPr>
              <w:spacing w:after="0"/>
              <w:rPr>
                <w:sz w:val="23"/>
                <w:szCs w:val="23"/>
                <w:color w:val="auto"/>
              </w:rPr>
            </w:pPr>
          </w:p>
        </w:tc>
        <w:tc>
          <w:tcPr>
            <w:tcW w:w="5160" w:type="dxa"/>
            <w:vAlign w:val="bottom"/>
            <w:gridSpan w:val="2"/>
          </w:tcPr>
          <w:p>
            <w:pPr>
              <w:ind w:left="880"/>
              <w:spacing w:after="0"/>
              <w:rPr>
                <w:sz w:val="20"/>
                <w:szCs w:val="20"/>
                <w:color w:val="auto"/>
              </w:rPr>
            </w:pPr>
            <w:r>
              <w:rPr>
                <w:rFonts w:ascii="Arial" w:cs="Arial" w:eastAsia="Arial" w:hAnsi="Arial"/>
                <w:sz w:val="18"/>
                <w:szCs w:val="18"/>
                <w:color w:val="auto"/>
              </w:rPr>
              <w:t>(b)  the board of directors;</w:t>
            </w:r>
          </w:p>
        </w:tc>
      </w:tr>
      <w:tr>
        <w:trPr>
          <w:trHeight w:val="270"/>
        </w:trPr>
        <w:tc>
          <w:tcPr>
            <w:tcW w:w="380" w:type="dxa"/>
            <w:vAlign w:val="bottom"/>
          </w:tcPr>
          <w:p>
            <w:pPr>
              <w:spacing w:after="0"/>
              <w:rPr>
                <w:sz w:val="20"/>
                <w:szCs w:val="20"/>
                <w:color w:val="auto"/>
              </w:rPr>
            </w:pPr>
            <w:r>
              <w:rPr>
                <w:rFonts w:ascii="Arial" w:cs="Arial" w:eastAsia="Arial" w:hAnsi="Arial"/>
                <w:sz w:val="18"/>
                <w:szCs w:val="18"/>
                <w:color w:val="auto"/>
              </w:rPr>
              <w:t>(c)</w:t>
            </w:r>
          </w:p>
        </w:tc>
        <w:tc>
          <w:tcPr>
            <w:tcW w:w="2960" w:type="dxa"/>
            <w:vAlign w:val="bottom"/>
          </w:tcPr>
          <w:p>
            <w:pPr>
              <w:ind w:left="20"/>
              <w:spacing w:after="0"/>
              <w:rPr>
                <w:sz w:val="20"/>
                <w:szCs w:val="20"/>
                <w:color w:val="auto"/>
              </w:rPr>
            </w:pPr>
            <w:r>
              <w:rPr>
                <w:rFonts w:ascii="Arial" w:cs="Arial" w:eastAsia="Arial" w:hAnsi="Arial"/>
                <w:sz w:val="18"/>
                <w:szCs w:val="18"/>
                <w:color w:val="auto"/>
              </w:rPr>
              <w:t>die Revisionsstelle.</w:t>
            </w:r>
          </w:p>
        </w:tc>
        <w:tc>
          <w:tcPr>
            <w:tcW w:w="940" w:type="dxa"/>
            <w:vAlign w:val="bottom"/>
          </w:tcPr>
          <w:p>
            <w:pPr>
              <w:spacing w:after="0"/>
              <w:rPr>
                <w:sz w:val="23"/>
                <w:szCs w:val="23"/>
                <w:color w:val="auto"/>
              </w:rPr>
            </w:pPr>
          </w:p>
        </w:tc>
        <w:tc>
          <w:tcPr>
            <w:tcW w:w="5160" w:type="dxa"/>
            <w:vAlign w:val="bottom"/>
            <w:gridSpan w:val="2"/>
          </w:tcPr>
          <w:p>
            <w:pPr>
              <w:ind w:left="880"/>
              <w:spacing w:after="0"/>
              <w:rPr>
                <w:sz w:val="20"/>
                <w:szCs w:val="20"/>
                <w:color w:val="auto"/>
              </w:rPr>
            </w:pPr>
            <w:r>
              <w:rPr>
                <w:rFonts w:ascii="Arial" w:cs="Arial" w:eastAsia="Arial" w:hAnsi="Arial"/>
                <w:sz w:val="18"/>
                <w:szCs w:val="18"/>
                <w:color w:val="auto"/>
              </w:rPr>
              <w:t>(c)  the auditors.</w:t>
            </w:r>
          </w:p>
        </w:tc>
      </w:tr>
    </w:tbl>
    <w:p>
      <w:pPr>
        <w:spacing w:after="0" w:line="200" w:lineRule="exact"/>
        <w:rPr>
          <w:sz w:val="20"/>
          <w:szCs w:val="20"/>
          <w:color w:val="auto"/>
        </w:rPr>
      </w:pPr>
    </w:p>
    <w:p>
      <w:pPr>
        <w:sectPr>
          <w:pgSz w:w="11900" w:h="16838" w:orient="portrait"/>
          <w:cols w:equalWidth="0" w:num="2">
            <w:col w:w="360" w:space="720"/>
            <w:col w:w="9440"/>
          </w:cols>
          <w:pgMar w:left="220" w:top="144"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gnisse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Generalversammlung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8</w:t>
      </w:r>
    </w:p>
    <w:p>
      <w:pPr>
        <w:ind w:left="4000"/>
        <w:spacing w:after="0" w:line="207" w:lineRule="auto"/>
        <w:rPr>
          <w:sz w:val="20"/>
          <w:szCs w:val="20"/>
          <w:color w:val="auto"/>
        </w:rPr>
      </w:pPr>
      <w:r>
        <w:rPr>
          <w:rFonts w:ascii="Arial" w:cs="Arial" w:eastAsia="Arial" w:hAnsi="Arial"/>
          <w:sz w:val="14"/>
          <w:szCs w:val="14"/>
          <w:color w:val="auto"/>
        </w:rPr>
        <w:t>Powers</w:t>
      </w:r>
    </w:p>
    <w:p>
      <w:pPr>
        <w:jc w:val="both"/>
        <w:ind w:left="400" w:right="220" w:hanging="404"/>
        <w:spacing w:after="0" w:line="256" w:lineRule="auto"/>
        <w:rPr>
          <w:sz w:val="20"/>
          <w:szCs w:val="20"/>
          <w:color w:val="auto"/>
        </w:rPr>
      </w:pPr>
      <w:r>
        <w:rPr>
          <w:rFonts w:ascii="Arial" w:cs="Arial" w:eastAsia="Arial" w:hAnsi="Arial"/>
          <w:sz w:val="18"/>
          <w:szCs w:val="18"/>
          <w:color w:val="auto"/>
        </w:rPr>
        <w:t>Oberstes</w:t>
      </w:r>
      <w:r>
        <w:rPr>
          <w:sz w:val="20"/>
          <w:szCs w:val="20"/>
          <w:color w:val="auto"/>
        </w:rPr>
        <w:t xml:space="preserve"> </w:t>
      </w:r>
      <w:r>
        <w:rPr>
          <w:rFonts w:ascii="Arial" w:cs="Arial" w:eastAsia="Arial" w:hAnsi="Arial"/>
          <w:sz w:val="18"/>
          <w:szCs w:val="18"/>
          <w:color w:val="auto"/>
        </w:rPr>
        <w:t>Organ der Gesellschaft ist die Generalversammlung der Aktionäre. Ihr stehen folgende unübertragbare Befugnisse zu:</w:t>
      </w:r>
    </w:p>
    <w:p>
      <w:pPr>
        <w:spacing w:after="0" w:line="40" w:lineRule="exact"/>
        <w:rPr>
          <w:sz w:val="20"/>
          <w:szCs w:val="20"/>
          <w:color w:val="auto"/>
        </w:rPr>
      </w:pPr>
    </w:p>
    <w:p>
      <w:pPr>
        <w:ind w:left="840" w:right="220" w:hanging="444"/>
        <w:spacing w:after="0" w:line="261" w:lineRule="auto"/>
        <w:tabs>
          <w:tab w:leader="none" w:pos="83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die Festsetzung und Änderung der Statuten;</w:t>
      </w:r>
    </w:p>
    <w:p>
      <w:pPr>
        <w:spacing w:after="0" w:line="332" w:lineRule="exact"/>
        <w:rPr>
          <w:rFonts w:ascii="Arial" w:cs="Arial" w:eastAsia="Arial" w:hAnsi="Arial"/>
          <w:sz w:val="18"/>
          <w:szCs w:val="18"/>
          <w:color w:val="auto"/>
        </w:rPr>
      </w:pPr>
    </w:p>
    <w:p>
      <w:pPr>
        <w:jc w:val="both"/>
        <w:ind w:left="840" w:right="220" w:hanging="444"/>
        <w:spacing w:after="0" w:line="250" w:lineRule="auto"/>
        <w:tabs>
          <w:tab w:leader="none" w:pos="83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dieWahl der Mitglieder des Verwaltungsrats, des Präsidenten des Verwaltungsrats, der Mitglieder des</w:t>
      </w:r>
    </w:p>
    <w:p>
      <w:pPr>
        <w:spacing w:after="0" w:line="1" w:lineRule="exact"/>
        <w:rPr>
          <w:rFonts w:ascii="Arial" w:cs="Arial" w:eastAsia="Arial" w:hAnsi="Arial"/>
          <w:sz w:val="18"/>
          <w:szCs w:val="18"/>
          <w:color w:val="auto"/>
        </w:rPr>
      </w:pPr>
    </w:p>
    <w:p>
      <w:pPr>
        <w:jc w:val="both"/>
        <w:ind w:left="840" w:right="220"/>
        <w:spacing w:after="0" w:line="256" w:lineRule="auto"/>
        <w:rPr>
          <w:rFonts w:ascii="Arial" w:cs="Arial" w:eastAsia="Arial" w:hAnsi="Arial"/>
          <w:sz w:val="18"/>
          <w:szCs w:val="18"/>
          <w:color w:val="auto"/>
        </w:rPr>
      </w:pPr>
      <w:r>
        <w:rPr>
          <w:rFonts w:ascii="Arial" w:cs="Arial" w:eastAsia="Arial" w:hAnsi="Arial"/>
          <w:sz w:val="18"/>
          <w:szCs w:val="18"/>
          <w:color w:val="auto"/>
        </w:rPr>
        <w:t>Vergütungsausschusses, des unabhängigen Stimmrechtsvertreters und der Revisionsstelle;</w:t>
      </w:r>
    </w:p>
    <w:p>
      <w:pPr>
        <w:spacing w:after="0" w:line="39" w:lineRule="exact"/>
        <w:rPr>
          <w:rFonts w:ascii="Arial" w:cs="Arial" w:eastAsia="Arial" w:hAnsi="Arial"/>
          <w:sz w:val="18"/>
          <w:szCs w:val="18"/>
          <w:color w:val="auto"/>
        </w:rPr>
      </w:pPr>
    </w:p>
    <w:p>
      <w:pPr>
        <w:ind w:left="840" w:right="220" w:hanging="444"/>
        <w:spacing w:after="0" w:line="261" w:lineRule="auto"/>
        <w:tabs>
          <w:tab w:leader="none" w:pos="83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die Genehmigung des Lageberichts und der Konzernrechnung;</w:t>
      </w:r>
    </w:p>
    <w:p>
      <w:pPr>
        <w:spacing w:after="0" w:line="35" w:lineRule="exact"/>
        <w:rPr>
          <w:rFonts w:ascii="Arial" w:cs="Arial" w:eastAsia="Arial" w:hAnsi="Arial"/>
          <w:sz w:val="18"/>
          <w:szCs w:val="18"/>
          <w:color w:val="auto"/>
        </w:rPr>
      </w:pPr>
    </w:p>
    <w:p>
      <w:pPr>
        <w:jc w:val="both"/>
        <w:ind w:left="840" w:right="220" w:hanging="444"/>
        <w:spacing w:after="0" w:line="250" w:lineRule="auto"/>
        <w:tabs>
          <w:tab w:leader="none" w:pos="83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die Genehmigung der Jahresrechnung sowie die Beschlussfassung über die</w:t>
      </w:r>
    </w:p>
    <w:p>
      <w:pPr>
        <w:jc w:val="both"/>
        <w:ind w:left="840" w:right="220"/>
        <w:spacing w:after="0" w:line="256" w:lineRule="auto"/>
        <w:rPr>
          <w:rFonts w:ascii="Arial" w:cs="Arial" w:eastAsia="Arial" w:hAnsi="Arial"/>
          <w:sz w:val="18"/>
          <w:szCs w:val="18"/>
          <w:color w:val="auto"/>
        </w:rPr>
      </w:pPr>
      <w:r>
        <w:rPr>
          <w:rFonts w:ascii="Arial" w:cs="Arial" w:eastAsia="Arial" w:hAnsi="Arial"/>
          <w:sz w:val="18"/>
          <w:szCs w:val="18"/>
          <w:color w:val="auto"/>
        </w:rPr>
        <w:t>Verwendung des Bilanzgewinnes, insbesondere die Festsetzung der Dividende;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General Meeting of Shareholders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w:t>
      </w:r>
    </w:p>
    <w:p>
      <w:pPr>
        <w:spacing w:after="0" w:line="166" w:lineRule="exact"/>
        <w:rPr>
          <w:sz w:val="20"/>
          <w:szCs w:val="20"/>
          <w:color w:val="auto"/>
        </w:rPr>
      </w:pPr>
    </w:p>
    <w:p>
      <w:pPr>
        <w:jc w:val="both"/>
        <w:ind w:left="400" w:right="20" w:hanging="404"/>
        <w:spacing w:after="0" w:line="318" w:lineRule="auto"/>
        <w:rPr>
          <w:sz w:val="20"/>
          <w:szCs w:val="20"/>
          <w:color w:val="auto"/>
        </w:rPr>
      </w:pPr>
      <w:r>
        <w:rPr>
          <w:rFonts w:ascii="Arial" w:cs="Arial" w:eastAsia="Arial" w:hAnsi="Arial"/>
          <w:sz w:val="18"/>
          <w:szCs w:val="18"/>
          <w:color w:val="auto"/>
        </w:rPr>
        <w:t>The general meeting of shareholders is the supreme corporate body of the Company. It has the following non-delegable powers:</w:t>
      </w:r>
    </w:p>
    <w:p>
      <w:pPr>
        <w:spacing w:after="0" w:line="14" w:lineRule="exact"/>
        <w:rPr>
          <w:sz w:val="20"/>
          <w:szCs w:val="20"/>
          <w:color w:val="auto"/>
        </w:rPr>
      </w:pPr>
    </w:p>
    <w:p>
      <w:pPr>
        <w:ind w:left="860" w:right="20" w:hanging="454"/>
        <w:spacing w:after="0" w:line="261" w:lineRule="auto"/>
        <w:tabs>
          <w:tab w:leader="none" w:pos="84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adoption and amendment of the Articles of Incorporation;</w:t>
      </w:r>
    </w:p>
    <w:p>
      <w:pPr>
        <w:spacing w:after="0" w:line="35" w:lineRule="exact"/>
        <w:rPr>
          <w:rFonts w:ascii="Arial" w:cs="Arial" w:eastAsia="Arial" w:hAnsi="Arial"/>
          <w:sz w:val="18"/>
          <w:szCs w:val="18"/>
          <w:color w:val="auto"/>
        </w:rPr>
      </w:pPr>
    </w:p>
    <w:p>
      <w:pPr>
        <w:jc w:val="both"/>
        <w:ind w:left="860" w:hanging="454"/>
        <w:spacing w:after="0" w:line="252" w:lineRule="auto"/>
        <w:tabs>
          <w:tab w:leader="none" w:pos="84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election of the members of the board of directors, the chairman of the board of directors, the members of the compensation committee, the independent voting rights representative and the auditors;</w:t>
      </w:r>
    </w:p>
    <w:p>
      <w:pPr>
        <w:spacing w:after="0" w:line="45" w:lineRule="exact"/>
        <w:rPr>
          <w:rFonts w:ascii="Arial" w:cs="Arial" w:eastAsia="Arial" w:hAnsi="Arial"/>
          <w:sz w:val="18"/>
          <w:szCs w:val="18"/>
          <w:color w:val="auto"/>
        </w:rPr>
      </w:pPr>
    </w:p>
    <w:p>
      <w:pPr>
        <w:jc w:val="both"/>
        <w:ind w:left="860" w:right="20" w:hanging="454"/>
        <w:spacing w:after="0" w:line="261" w:lineRule="auto"/>
        <w:tabs>
          <w:tab w:leader="none" w:pos="8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approval of the annual management report and the consolidated financial statements;</w:t>
      </w:r>
    </w:p>
    <w:p>
      <w:pPr>
        <w:spacing w:after="0" w:line="35" w:lineRule="exact"/>
        <w:rPr>
          <w:rFonts w:ascii="Arial" w:cs="Arial" w:eastAsia="Arial" w:hAnsi="Arial"/>
          <w:sz w:val="18"/>
          <w:szCs w:val="18"/>
          <w:color w:val="auto"/>
        </w:rPr>
      </w:pPr>
    </w:p>
    <w:p>
      <w:pPr>
        <w:jc w:val="both"/>
        <w:ind w:left="860" w:right="20" w:hanging="454"/>
        <w:spacing w:after="0" w:line="254" w:lineRule="auto"/>
        <w:tabs>
          <w:tab w:leader="none" w:pos="84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approval of the annual financial statements and decision on the allocation of profits shown on the balance sheet, in particular with regard to dividends;</w:t>
      </w:r>
    </w:p>
    <w:p>
      <w:pPr>
        <w:sectPr>
          <w:pgSz w:w="11900" w:h="16838" w:orient="portrait"/>
          <w:cols w:equalWidth="0" w:num="3">
            <w:col w:w="440" w:space="640"/>
            <w:col w:w="4480" w:space="680"/>
            <w:col w:w="4280"/>
          </w:cols>
          <w:pgMar w:left="220" w:top="144" w:right="1159" w:bottom="1440" w:gutter="0" w:footer="0" w:header="0"/>
          <w:type w:val="continuous"/>
        </w:sectPr>
      </w:pPr>
    </w:p>
    <w:bookmarkStart w:id="308" w:name="page309"/>
    <w:bookmarkEnd w:id="308"/>
    <w:p>
      <w:pPr>
        <w:spacing w:after="0" w:line="229" w:lineRule="auto"/>
        <w:tabs>
          <w:tab w:leader="none" w:pos="849" w:val="left"/>
        </w:tabs>
        <w:framePr w:w="940" w:h="616" w:wrap="auto" w:vAnchor="page" w:hAnchor="page" w:x="5940" w:y="5383"/>
        <w:rPr>
          <w:rFonts w:ascii="Arial" w:cs="Arial" w:eastAsia="Arial" w:hAnsi="Arial"/>
          <w:sz w:val="14"/>
          <w:szCs w:val="14"/>
          <w:color w:val="auto"/>
        </w:rPr>
      </w:pPr>
      <w:r>
        <w:rPr>
          <w:rFonts w:ascii="Arial" w:cs="Arial" w:eastAsia="Arial" w:hAnsi="Arial"/>
          <w:sz w:val="14"/>
          <w:szCs w:val="14"/>
          <w:color w:val="auto"/>
        </w:rPr>
        <w:t>Extraordinary General Meeting of Shareholders</w:t>
      </w:r>
    </w:p>
    <w:p>
      <w:pPr>
        <w:ind w:left="5560"/>
        <w:spacing w:after="0"/>
        <w:rPr>
          <w:sz w:val="20"/>
          <w:szCs w:val="20"/>
          <w:color w:val="auto"/>
        </w:rPr>
      </w:pPr>
      <w:r>
        <w:rPr>
          <w:rFonts w:ascii="Arial" w:cs="Arial" w:eastAsia="Arial" w:hAnsi="Arial"/>
          <w:sz w:val="14"/>
          <w:szCs w:val="14"/>
          <w:color w:val="auto"/>
        </w:rPr>
        <w:t>- 11 -</w:t>
      </w:r>
    </w:p>
    <w:p>
      <w:pPr>
        <w:sectPr>
          <w:pgSz w:w="11900" w:h="16838" w:orient="portrait"/>
          <w:cols w:equalWidth="0" w:num="1">
            <w:col w:w="10520"/>
          </w:cols>
          <w:pgMar w:left="220" w:top="144" w:right="1159" w:bottom="1440" w:gutter="0" w:footer="0" w:header="0"/>
        </w:sect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45" w:lineRule="exact"/>
        <w:rPr>
          <w:rFonts w:ascii="Arial" w:cs="Arial" w:eastAsia="Arial" w:hAnsi="Arial"/>
          <w:sz w:val="14"/>
          <w:szCs w:val="14"/>
          <w:color w:val="auto"/>
        </w:rPr>
      </w:pPr>
    </w:p>
    <w:p>
      <w:pPr>
        <w:ind w:left="2420" w:hanging="431"/>
        <w:spacing w:after="0"/>
        <w:tabs>
          <w:tab w:leader="none" w:pos="2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die Genehmigung der Vergütung des</w:t>
      </w:r>
    </w:p>
    <w:p>
      <w:pPr>
        <w:spacing w:after="0" w:line="9" w:lineRule="exact"/>
        <w:rPr>
          <w:rFonts w:ascii="Arial" w:cs="Arial" w:eastAsia="Arial" w:hAnsi="Arial"/>
          <w:sz w:val="18"/>
          <w:szCs w:val="18"/>
          <w:color w:val="auto"/>
        </w:rPr>
      </w:pPr>
    </w:p>
    <w:p>
      <w:pPr>
        <w:jc w:val="both"/>
        <w:ind w:left="2440" w:right="617"/>
        <w:spacing w:after="0" w:line="256" w:lineRule="auto"/>
        <w:rPr>
          <w:rFonts w:ascii="Arial" w:cs="Arial" w:eastAsia="Arial" w:hAnsi="Arial"/>
          <w:sz w:val="18"/>
          <w:szCs w:val="18"/>
          <w:color w:val="auto"/>
        </w:rPr>
      </w:pPr>
      <w:r>
        <w:rPr>
          <w:rFonts w:ascii="Arial" w:cs="Arial" w:eastAsia="Arial" w:hAnsi="Arial"/>
          <w:sz w:val="18"/>
          <w:szCs w:val="18"/>
          <w:color w:val="auto"/>
        </w:rPr>
        <w:t>Verwaltungsrats und der Geschäftsleitung gemäss Art. 28 dieser Statuten;</w:t>
      </w:r>
    </w:p>
    <w:p>
      <w:pPr>
        <w:spacing w:after="0" w:line="39" w:lineRule="exact"/>
        <w:rPr>
          <w:rFonts w:ascii="Arial" w:cs="Arial" w:eastAsia="Arial" w:hAnsi="Arial"/>
          <w:sz w:val="18"/>
          <w:szCs w:val="18"/>
          <w:color w:val="auto"/>
        </w:rPr>
      </w:pPr>
    </w:p>
    <w:p>
      <w:pPr>
        <w:jc w:val="both"/>
        <w:ind w:left="2440" w:right="617" w:hanging="451"/>
        <w:spacing w:after="0" w:line="256" w:lineRule="auto"/>
        <w:tabs>
          <w:tab w:leader="none" w:pos="243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die Entlastung der Mitglieder des Verwaltungsrats und der mit der Geschäftsleitung betrauten Personen;</w:t>
      </w:r>
    </w:p>
    <w:p>
      <w:pPr>
        <w:spacing w:after="0" w:line="39" w:lineRule="exact"/>
        <w:rPr>
          <w:rFonts w:ascii="Arial" w:cs="Arial" w:eastAsia="Arial" w:hAnsi="Arial"/>
          <w:sz w:val="18"/>
          <w:szCs w:val="18"/>
          <w:color w:val="auto"/>
        </w:rPr>
      </w:pPr>
    </w:p>
    <w:p>
      <w:pPr>
        <w:ind w:left="2420" w:hanging="431"/>
        <w:spacing w:after="0"/>
        <w:tabs>
          <w:tab w:leader="none" w:pos="24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die   Beschlussfassung   über   die</w:t>
      </w:r>
    </w:p>
    <w:p>
      <w:pPr>
        <w:spacing w:after="0" w:line="9" w:lineRule="exact"/>
        <w:rPr>
          <w:rFonts w:ascii="Arial" w:cs="Arial" w:eastAsia="Arial" w:hAnsi="Arial"/>
          <w:sz w:val="18"/>
          <w:szCs w:val="18"/>
          <w:color w:val="auto"/>
        </w:rPr>
      </w:pPr>
    </w:p>
    <w:p>
      <w:pPr>
        <w:jc w:val="both"/>
        <w:ind w:left="2440" w:right="617"/>
        <w:spacing w:after="0" w:line="278" w:lineRule="auto"/>
        <w:rPr>
          <w:rFonts w:ascii="Arial" w:cs="Arial" w:eastAsia="Arial" w:hAnsi="Arial"/>
          <w:sz w:val="18"/>
          <w:szCs w:val="18"/>
          <w:color w:val="auto"/>
        </w:rPr>
      </w:pPr>
      <w:r>
        <w:rPr>
          <w:rFonts w:ascii="Arial" w:cs="Arial" w:eastAsia="Arial" w:hAnsi="Arial"/>
          <w:sz w:val="17"/>
          <w:szCs w:val="17"/>
          <w:color w:val="auto"/>
        </w:rPr>
        <w:t>Gegenstände, die der Generalversammlung durch das Gesetz oder die Statuten vorbehalten sind.</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25" w:lineRule="exact"/>
        <w:rPr>
          <w:rFonts w:ascii="Arial" w:cs="Arial" w:eastAsia="Arial" w:hAnsi="Arial"/>
          <w:sz w:val="14"/>
          <w:szCs w:val="14"/>
          <w:color w:val="auto"/>
        </w:rPr>
      </w:pPr>
    </w:p>
    <w:p>
      <w:pPr>
        <w:jc w:val="both"/>
        <w:ind w:left="443" w:hanging="443"/>
        <w:spacing w:after="0" w:line="254" w:lineRule="auto"/>
        <w:tabs>
          <w:tab w:leader="none" w:pos="43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approval of the compensation of the board of directors and of the executive management pursuant to Article 28 of these Articles of Incorporation;</w:t>
      </w:r>
    </w:p>
    <w:p>
      <w:pPr>
        <w:spacing w:after="0" w:line="41" w:lineRule="exact"/>
        <w:rPr>
          <w:rFonts w:ascii="Arial" w:cs="Arial" w:eastAsia="Arial" w:hAnsi="Arial"/>
          <w:sz w:val="18"/>
          <w:szCs w:val="18"/>
          <w:color w:val="auto"/>
        </w:rPr>
      </w:pPr>
    </w:p>
    <w:p>
      <w:pPr>
        <w:jc w:val="both"/>
        <w:ind w:left="443" w:hanging="443"/>
        <w:spacing w:after="0" w:line="254" w:lineRule="auto"/>
        <w:tabs>
          <w:tab w:leader="none" w:pos="43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granting discharge to the members of the board of directors and the persons entrusted with the executive management;</w:t>
      </w:r>
    </w:p>
    <w:p>
      <w:pPr>
        <w:spacing w:after="0" w:line="41" w:lineRule="exact"/>
        <w:rPr>
          <w:rFonts w:ascii="Arial" w:cs="Arial" w:eastAsia="Arial" w:hAnsi="Arial"/>
          <w:sz w:val="18"/>
          <w:szCs w:val="18"/>
          <w:color w:val="auto"/>
        </w:rPr>
      </w:pPr>
    </w:p>
    <w:p>
      <w:pPr>
        <w:jc w:val="both"/>
        <w:ind w:left="443" w:hanging="443"/>
        <w:spacing w:after="0" w:line="254" w:lineRule="auto"/>
        <w:tabs>
          <w:tab w:leader="none" w:pos="43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passing of resolutions as to all matters reserved by law or under these Articles of Incorporation to the authority of the general meeting of shareholders.</w:t>
      </w:r>
    </w:p>
    <w:p>
      <w:pPr>
        <w:spacing w:after="0" w:line="200" w:lineRule="exact"/>
        <w:rPr>
          <w:rFonts w:ascii="Arial" w:cs="Arial" w:eastAsia="Arial" w:hAnsi="Arial"/>
          <w:sz w:val="14"/>
          <w:szCs w:val="14"/>
          <w:color w:val="auto"/>
        </w:rPr>
      </w:pPr>
    </w:p>
    <w:p>
      <w:pPr>
        <w:sectPr>
          <w:pgSz w:w="11900" w:h="16838" w:orient="portrait"/>
          <w:cols w:equalWidth="0" w:num="2">
            <w:col w:w="6237" w:space="720"/>
            <w:col w:w="3563"/>
          </w:cols>
          <w:pgMar w:left="220" w:top="144" w:right="1159" w:bottom="1440" w:gutter="0" w:footer="0" w:header="0"/>
          <w:type w:val="continuous"/>
        </w:sectPr>
      </w:pPr>
    </w:p>
    <w:p>
      <w:pPr>
        <w:spacing w:after="0" w:line="360"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Arial" w:cs="Arial" w:eastAsia="Arial" w:hAnsi="Arial"/>
                <w:sz w:val="18"/>
                <w:szCs w:val="18"/>
                <w:b w:val="1"/>
                <w:bCs w:val="1"/>
                <w:color w:val="auto"/>
              </w:rPr>
              <w:t>Artikel 9</w:t>
            </w:r>
          </w:p>
        </w:tc>
        <w:tc>
          <w:tcPr>
            <w:tcW w:w="1140" w:type="dxa"/>
            <w:vAlign w:val="bottom"/>
          </w:tcPr>
          <w:p>
            <w:pPr>
              <w:spacing w:after="0"/>
              <w:rPr>
                <w:sz w:val="20"/>
                <w:szCs w:val="20"/>
                <w:color w:val="auto"/>
              </w:rPr>
            </w:pPr>
          </w:p>
        </w:tc>
      </w:tr>
      <w:tr>
        <w:trPr>
          <w:trHeight w:val="221"/>
        </w:trPr>
        <w:tc>
          <w:tcPr>
            <w:tcW w:w="1020" w:type="dxa"/>
            <w:vAlign w:val="bottom"/>
          </w:tcPr>
          <w:p>
            <w:pPr>
              <w:spacing w:after="0"/>
              <w:rPr>
                <w:sz w:val="20"/>
                <w:szCs w:val="20"/>
                <w:color w:val="auto"/>
              </w:rPr>
            </w:pPr>
            <w:r>
              <w:rPr>
                <w:rFonts w:ascii="Arial" w:cs="Arial" w:eastAsia="Arial" w:hAnsi="Arial"/>
                <w:sz w:val="14"/>
                <w:szCs w:val="14"/>
                <w:color w:val="auto"/>
              </w:rPr>
              <w:t>entliche und</w:t>
            </w:r>
          </w:p>
        </w:tc>
        <w:tc>
          <w:tcPr>
            <w:tcW w:w="4180" w:type="dxa"/>
            <w:vAlign w:val="bottom"/>
          </w:tcPr>
          <w:p>
            <w:pPr>
              <w:ind w:left="280"/>
              <w:spacing w:after="0" w:line="221"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Die ordentliche Generalversammlung findet</w:t>
            </w:r>
          </w:p>
        </w:tc>
        <w:tc>
          <w:tcPr>
            <w:tcW w:w="1140" w:type="dxa"/>
            <w:vAlign w:val="bottom"/>
          </w:tcPr>
          <w:p>
            <w:pPr>
              <w:ind w:left="160"/>
              <w:spacing w:after="0"/>
              <w:rPr>
                <w:sz w:val="20"/>
                <w:szCs w:val="20"/>
                <w:color w:val="auto"/>
              </w:rPr>
            </w:pPr>
            <w:r>
              <w:rPr>
                <w:rFonts w:ascii="Arial" w:cs="Arial" w:eastAsia="Arial" w:hAnsi="Arial"/>
                <w:sz w:val="14"/>
                <w:szCs w:val="14"/>
                <w:color w:val="auto"/>
              </w:rPr>
              <w:t>Ordinary and 1</w:t>
            </w:r>
          </w:p>
        </w:tc>
      </w:tr>
    </w:tbl>
    <w:p>
      <w:pPr>
        <w:spacing w:after="0" w:line="1" w:lineRule="exact"/>
        <w:rPr>
          <w:rFonts w:ascii="Arial" w:cs="Arial" w:eastAsia="Arial" w:hAnsi="Arial"/>
          <w:sz w:val="14"/>
          <w:szCs w:val="14"/>
          <w:color w:val="auto"/>
        </w:rPr>
      </w:pPr>
    </w:p>
    <w:tbl>
      <w:tblPr>
        <w:tblLayout w:type="fixed"/>
        <w:tblInd w:w="120" w:type="dxa"/>
        <w:tblCellMar>
          <w:top w:w="0" w:type="dxa"/>
          <w:left w:w="0" w:type="dxa"/>
          <w:bottom w:w="0" w:type="dxa"/>
          <w:right w:w="0" w:type="dxa"/>
        </w:tblCellMar>
      </w:tblPr>
      <w:tr>
        <w:trPr>
          <w:trHeight w:val="162"/>
        </w:trPr>
        <w:tc>
          <w:tcPr>
            <w:tcW w:w="1700" w:type="dxa"/>
            <w:vAlign w:val="bottom"/>
          </w:tcPr>
          <w:p>
            <w:pPr>
              <w:spacing w:after="0"/>
              <w:rPr>
                <w:sz w:val="20"/>
                <w:szCs w:val="20"/>
                <w:color w:val="auto"/>
              </w:rPr>
            </w:pPr>
            <w:r>
              <w:rPr>
                <w:rFonts w:ascii="Arial" w:cs="Arial" w:eastAsia="Arial" w:hAnsi="Arial"/>
                <w:sz w:val="14"/>
                <w:szCs w:val="14"/>
                <w:color w:val="auto"/>
              </w:rPr>
              <w:t>ausserordentliche</w:t>
            </w: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w w:val="99"/>
              </w:rPr>
              <w:t>alljährlich innerhalb von sechs Monaten nach</w:t>
            </w:r>
          </w:p>
        </w:tc>
        <w:tc>
          <w:tcPr>
            <w:tcW w:w="0" w:type="dxa"/>
            <w:vAlign w:val="bottom"/>
          </w:tcPr>
          <w:p>
            <w:pPr>
              <w:spacing w:after="0"/>
              <w:rPr>
                <w:sz w:val="1"/>
                <w:szCs w:val="1"/>
                <w:color w:val="auto"/>
              </w:rPr>
            </w:pPr>
          </w:p>
        </w:tc>
      </w:tr>
      <w:tr>
        <w:trPr>
          <w:trHeight w:val="102"/>
        </w:trPr>
        <w:tc>
          <w:tcPr>
            <w:tcW w:w="1700" w:type="dxa"/>
            <w:vAlign w:val="bottom"/>
            <w:vMerge w:val="restart"/>
          </w:tcPr>
          <w:p>
            <w:pPr>
              <w:spacing w:after="0"/>
              <w:rPr>
                <w:sz w:val="20"/>
                <w:szCs w:val="20"/>
                <w:color w:val="auto"/>
              </w:rPr>
            </w:pPr>
            <w:r>
              <w:rPr>
                <w:rFonts w:ascii="Arial" w:cs="Arial" w:eastAsia="Arial" w:hAnsi="Arial"/>
                <w:sz w:val="14"/>
                <w:szCs w:val="14"/>
                <w:color w:val="auto"/>
              </w:rPr>
              <w:t>Generalversammlungen</w:t>
            </w: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700" w:type="dxa"/>
            <w:vAlign w:val="bottom"/>
            <w:vMerge w:val="continue"/>
          </w:tcPr>
          <w:p>
            <w:pPr>
              <w:spacing w:after="0"/>
              <w:rPr>
                <w:sz w:val="6"/>
                <w:szCs w:val="6"/>
                <w:color w:val="auto"/>
              </w:rPr>
            </w:pP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rPr>
              <w:t>Schluss des Geschäftsjahres statt.</w:t>
            </w:r>
          </w:p>
        </w:tc>
        <w:tc>
          <w:tcPr>
            <w:tcW w:w="0" w:type="dxa"/>
            <w:vAlign w:val="bottom"/>
          </w:tcPr>
          <w:p>
            <w:pPr>
              <w:spacing w:after="0"/>
              <w:rPr>
                <w:sz w:val="1"/>
                <w:szCs w:val="1"/>
                <w:color w:val="auto"/>
              </w:rPr>
            </w:pPr>
          </w:p>
        </w:tc>
      </w:tr>
      <w:tr>
        <w:trPr>
          <w:trHeight w:val="147"/>
        </w:trPr>
        <w:tc>
          <w:tcPr>
            <w:tcW w:w="170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340"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Article 9</w:t>
      </w:r>
    </w:p>
    <w:p>
      <w:pPr>
        <w:spacing w:after="0" w:line="37"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7"/>
          <w:szCs w:val="17"/>
          <w:color w:val="auto"/>
        </w:rPr>
        <w:t>The ordinary general meeting of shareholders</w:t>
      </w:r>
    </w:p>
    <w:p>
      <w:pPr>
        <w:spacing w:after="0" w:line="68" w:lineRule="exact"/>
        <w:rPr>
          <w:rFonts w:ascii="Arial" w:cs="Arial" w:eastAsia="Arial" w:hAnsi="Arial"/>
          <w:sz w:val="14"/>
          <w:szCs w:val="14"/>
          <w:color w:val="auto"/>
        </w:rPr>
      </w:pPr>
    </w:p>
    <w:p>
      <w:pPr>
        <w:ind w:left="400" w:right="300"/>
        <w:spacing w:after="0" w:line="256" w:lineRule="auto"/>
        <w:rPr>
          <w:sz w:val="20"/>
          <w:szCs w:val="20"/>
          <w:color w:val="auto"/>
        </w:rPr>
      </w:pPr>
      <w:r>
        <w:rPr>
          <w:rFonts w:ascii="Arial" w:cs="Arial" w:eastAsia="Arial" w:hAnsi="Arial"/>
          <w:sz w:val="18"/>
          <w:szCs w:val="18"/>
          <w:color w:val="auto"/>
        </w:rPr>
        <w:t>shall be held each year within six months after the close of the fiscal year of the Company.</w:t>
      </w:r>
    </w:p>
    <w:p>
      <w:pPr>
        <w:spacing w:after="0" w:line="1" w:lineRule="exact"/>
        <w:rPr>
          <w:rFonts w:ascii="Arial" w:cs="Arial" w:eastAsia="Arial" w:hAnsi="Arial"/>
          <w:sz w:val="14"/>
          <w:szCs w:val="14"/>
          <w:color w:val="auto"/>
        </w:rPr>
      </w:pPr>
    </w:p>
    <w:p>
      <w:pPr>
        <w:sectPr>
          <w:pgSz w:w="11900" w:h="16838" w:orient="portrait"/>
          <w:cols w:equalWidth="0" w:num="2">
            <w:col w:w="6340" w:space="220"/>
            <w:col w:w="3960"/>
          </w:cols>
          <w:pgMar w:left="220" w:top="144" w:right="1159" w:bottom="1440" w:gutter="0" w:footer="0" w:header="0"/>
          <w:type w:val="continuous"/>
        </w:sectPr>
      </w:pPr>
    </w:p>
    <w:p>
      <w:pPr>
        <w:ind w:left="1580" w:hanging="280"/>
        <w:spacing w:after="0" w:line="183" w:lineRule="auto"/>
        <w:tabs>
          <w:tab w:leader="none" w:pos="1580" w:val="left"/>
        </w:tabs>
        <w:numPr>
          <w:ilvl w:val="0"/>
          <w:numId w:val="192"/>
        </w:numPr>
        <w:rPr>
          <w:rFonts w:ascii="Arial" w:cs="Arial" w:eastAsia="Arial" w:hAnsi="Arial"/>
          <w:sz w:val="29"/>
          <w:szCs w:val="29"/>
          <w:color w:val="auto"/>
          <w:vertAlign w:val="superscript"/>
        </w:rPr>
      </w:pPr>
      <w:r>
        <w:rPr>
          <w:rFonts w:ascii="Arial" w:cs="Arial" w:eastAsia="Arial" w:hAnsi="Arial"/>
          <w:sz w:val="18"/>
          <w:szCs w:val="18"/>
          <w:color w:val="auto"/>
        </w:rPr>
        <w:t>Ausserordentliche Generalversammlungen finden</w:t>
      </w:r>
    </w:p>
    <w:p>
      <w:pPr>
        <w:spacing w:after="0" w:line="1" w:lineRule="exact"/>
        <w:rPr>
          <w:rFonts w:ascii="Arial" w:cs="Arial" w:eastAsia="Arial" w:hAnsi="Arial"/>
          <w:sz w:val="29"/>
          <w:szCs w:val="29"/>
          <w:color w:val="auto"/>
          <w:vertAlign w:val="superscript"/>
        </w:rPr>
      </w:pPr>
    </w:p>
    <w:p>
      <w:pPr>
        <w:ind w:left="1980" w:right="500"/>
        <w:spacing w:after="0" w:line="267" w:lineRule="auto"/>
        <w:rPr>
          <w:rFonts w:ascii="Arial" w:cs="Arial" w:eastAsia="Arial" w:hAnsi="Arial"/>
          <w:sz w:val="29"/>
          <w:szCs w:val="29"/>
          <w:color w:val="auto"/>
          <w:vertAlign w:val="superscript"/>
        </w:rPr>
      </w:pPr>
      <w:r>
        <w:rPr>
          <w:rFonts w:ascii="Arial" w:cs="Arial" w:eastAsia="Arial" w:hAnsi="Arial"/>
          <w:sz w:val="17"/>
          <w:szCs w:val="17"/>
          <w:color w:val="auto"/>
        </w:rPr>
        <w:t>statt, wenn der Verwaltungsrat oder die Revisionsstelle es für angezeigt erachten oder wenn es eine Generalversammlung beschliesst. Darüber hinaus können Aktionäre, die zusammen mindestens 10 Prozent des Aktienkapitals vertreten, gemeinsam schriftlich unter Angabe des Verhandlungsgegenstandes und des Antrages, bei Wahlen der Namen der vorgeschlagenen Kandidaten, die Einberufung einer ausserordentlichen Generalversammlung verlangen.</w:t>
      </w:r>
    </w:p>
    <w:p>
      <w:pPr>
        <w:spacing w:after="0" w:line="284" w:lineRule="exact"/>
        <w:rPr>
          <w:rFonts w:ascii="Arial" w:cs="Arial" w:eastAsia="Arial" w:hAnsi="Arial"/>
          <w:sz w:val="14"/>
          <w:szCs w:val="14"/>
          <w:color w:val="auto"/>
        </w:rPr>
      </w:pPr>
    </w:p>
    <w:p>
      <w:pPr>
        <w:ind w:left="1580"/>
        <w:spacing w:after="0"/>
        <w:rPr>
          <w:sz w:val="20"/>
          <w:szCs w:val="20"/>
          <w:color w:val="auto"/>
        </w:rPr>
      </w:pPr>
      <w:r>
        <w:rPr>
          <w:rFonts w:ascii="Arial" w:cs="Arial" w:eastAsia="Arial" w:hAnsi="Arial"/>
          <w:sz w:val="18"/>
          <w:szCs w:val="18"/>
          <w:b w:val="1"/>
          <w:bCs w:val="1"/>
          <w:color w:val="auto"/>
        </w:rPr>
        <w:t>Artikel 10</w:t>
      </w:r>
    </w:p>
    <w:p>
      <w:pPr>
        <w:spacing w:after="0" w:line="60"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color w:val="auto"/>
              </w:rPr>
              <w:t>erufung</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Notice</w:t>
            </w:r>
          </w:p>
        </w:tc>
      </w:tr>
      <w:tr>
        <w:trPr>
          <w:trHeight w:val="134"/>
        </w:trPr>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80" w:type="dxa"/>
            <w:vAlign w:val="bottom"/>
            <w:gridSpan w:val="4"/>
          </w:tcPr>
          <w:p>
            <w:pPr>
              <w:jc w:val="right"/>
              <w:ind w:right="55"/>
              <w:spacing w:after="0" w:line="134" w:lineRule="exact"/>
              <w:rPr>
                <w:sz w:val="20"/>
                <w:szCs w:val="20"/>
                <w:color w:val="auto"/>
              </w:rPr>
            </w:pPr>
            <w:r>
              <w:rPr>
                <w:rFonts w:ascii="Arial" w:cs="Arial" w:eastAsia="Arial" w:hAnsi="Arial"/>
                <w:sz w:val="15"/>
                <w:szCs w:val="15"/>
                <w:color w:val="auto"/>
              </w:rPr>
              <w:t>Die   Generalversammlung   wird   durch   den</w:t>
            </w:r>
          </w:p>
        </w:tc>
      </w:tr>
      <w:tr>
        <w:trPr>
          <w:trHeight w:val="216"/>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ind w:left="500"/>
              <w:spacing w:after="0"/>
              <w:rPr>
                <w:sz w:val="20"/>
                <w:szCs w:val="20"/>
                <w:color w:val="auto"/>
              </w:rPr>
            </w:pPr>
            <w:r>
              <w:rPr>
                <w:rFonts w:ascii="Arial" w:cs="Arial" w:eastAsia="Arial" w:hAnsi="Arial"/>
                <w:sz w:val="18"/>
                <w:szCs w:val="18"/>
                <w:color w:val="auto"/>
              </w:rPr>
              <w:t>Verwaltungsrat,</w:t>
            </w: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nötigenfalls</w:t>
            </w: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die</w:t>
            </w:r>
          </w:p>
        </w:tc>
      </w:tr>
      <w:tr>
        <w:trPr>
          <w:trHeight w:val="216"/>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gridSpan w:val="4"/>
          </w:tcPr>
          <w:p>
            <w:pPr>
              <w:ind w:left="500"/>
              <w:spacing w:after="0"/>
              <w:rPr>
                <w:sz w:val="20"/>
                <w:szCs w:val="20"/>
                <w:color w:val="auto"/>
              </w:rPr>
            </w:pPr>
            <w:r>
              <w:rPr>
                <w:rFonts w:ascii="Arial" w:cs="Arial" w:eastAsia="Arial" w:hAnsi="Arial"/>
                <w:sz w:val="18"/>
                <w:szCs w:val="18"/>
                <w:color w:val="auto"/>
              </w:rPr>
              <w:t>Revisionsstelle, spätestens 20 Tage vor der</w:t>
            </w:r>
          </w:p>
        </w:tc>
      </w:tr>
      <w:tr>
        <w:trPr>
          <w:trHeight w:val="216"/>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ind w:left="500"/>
              <w:spacing w:after="0"/>
              <w:rPr>
                <w:sz w:val="20"/>
                <w:szCs w:val="20"/>
                <w:color w:val="auto"/>
              </w:rPr>
            </w:pPr>
            <w:r>
              <w:rPr>
                <w:rFonts w:ascii="Arial" w:cs="Arial" w:eastAsia="Arial" w:hAnsi="Arial"/>
                <w:sz w:val="18"/>
                <w:szCs w:val="18"/>
                <w:color w:val="auto"/>
              </w:rPr>
              <w:t>Versammlung</w:t>
            </w: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einberufen.</w:t>
            </w: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Das</w:t>
            </w:r>
          </w:p>
        </w:tc>
      </w:tr>
      <w:tr>
        <w:trPr>
          <w:trHeight w:val="216"/>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ind w:left="500"/>
              <w:spacing w:after="0"/>
              <w:rPr>
                <w:sz w:val="20"/>
                <w:szCs w:val="20"/>
                <w:color w:val="auto"/>
              </w:rPr>
            </w:pPr>
            <w:r>
              <w:rPr>
                <w:rFonts w:ascii="Arial" w:cs="Arial" w:eastAsia="Arial" w:hAnsi="Arial"/>
                <w:sz w:val="18"/>
                <w:szCs w:val="18"/>
                <w:color w:val="auto"/>
              </w:rPr>
              <w:t>Einberufungsrecht</w:t>
            </w:r>
          </w:p>
        </w:tc>
        <w:tc>
          <w:tcPr>
            <w:tcW w:w="780" w:type="dxa"/>
            <w:vAlign w:val="bottom"/>
          </w:tcPr>
          <w:p>
            <w:pPr>
              <w:ind w:left="220"/>
              <w:spacing w:after="0"/>
              <w:rPr>
                <w:sz w:val="20"/>
                <w:szCs w:val="20"/>
                <w:color w:val="auto"/>
              </w:rPr>
            </w:pPr>
            <w:r>
              <w:rPr>
                <w:rFonts w:ascii="Arial" w:cs="Arial" w:eastAsia="Arial" w:hAnsi="Arial"/>
                <w:sz w:val="18"/>
                <w:szCs w:val="18"/>
                <w:color w:val="auto"/>
              </w:rPr>
              <w:t>steht</w:t>
            </w:r>
          </w:p>
        </w:tc>
        <w:tc>
          <w:tcPr>
            <w:tcW w:w="760" w:type="dxa"/>
            <w:vAlign w:val="bottom"/>
          </w:tcPr>
          <w:p>
            <w:pPr>
              <w:ind w:left="180"/>
              <w:spacing w:after="0"/>
              <w:rPr>
                <w:sz w:val="20"/>
                <w:szCs w:val="20"/>
                <w:color w:val="auto"/>
              </w:rPr>
            </w:pPr>
            <w:r>
              <w:rPr>
                <w:rFonts w:ascii="Arial" w:cs="Arial" w:eastAsia="Arial" w:hAnsi="Arial"/>
                <w:sz w:val="18"/>
                <w:szCs w:val="18"/>
                <w:color w:val="auto"/>
              </w:rPr>
              <w:t>auch</w:t>
            </w: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den</w:t>
            </w:r>
          </w:p>
        </w:tc>
      </w:tr>
      <w:tr>
        <w:trPr>
          <w:trHeight w:val="217"/>
        </w:trPr>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20" w:type="dxa"/>
            <w:vAlign w:val="bottom"/>
          </w:tcPr>
          <w:p>
            <w:pPr>
              <w:ind w:left="500"/>
              <w:spacing w:after="0"/>
              <w:rPr>
                <w:sz w:val="20"/>
                <w:szCs w:val="20"/>
                <w:color w:val="auto"/>
              </w:rPr>
            </w:pPr>
            <w:r>
              <w:rPr>
                <w:rFonts w:ascii="Arial" w:cs="Arial" w:eastAsia="Arial" w:hAnsi="Arial"/>
                <w:sz w:val="18"/>
                <w:szCs w:val="18"/>
                <w:color w:val="auto"/>
              </w:rPr>
              <w:t>Liquidatoren zu.</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15" w:lineRule="exact"/>
        <w:rPr>
          <w:rFonts w:ascii="Arial" w:cs="Arial" w:eastAsia="Arial" w:hAnsi="Arial"/>
          <w:sz w:val="14"/>
          <w:szCs w:val="14"/>
          <w:color w:val="auto"/>
        </w:rPr>
      </w:pPr>
    </w:p>
    <w:p>
      <w:pPr>
        <w:ind w:left="1980" w:right="340" w:hanging="680"/>
        <w:spacing w:after="0" w:line="217" w:lineRule="auto"/>
        <w:tabs>
          <w:tab w:leader="none" w:pos="1575" w:val="left"/>
        </w:tabs>
        <w:numPr>
          <w:ilvl w:val="0"/>
          <w:numId w:val="193"/>
        </w:numPr>
        <w:rPr>
          <w:rFonts w:ascii="Arial" w:cs="Arial" w:eastAsia="Arial" w:hAnsi="Arial"/>
          <w:sz w:val="29"/>
          <w:szCs w:val="29"/>
          <w:color w:val="auto"/>
          <w:vertAlign w:val="superscript"/>
        </w:rPr>
      </w:pPr>
      <w:r>
        <w:rPr>
          <w:rFonts w:ascii="Arial" w:cs="Arial" w:eastAsia="Arial" w:hAnsi="Arial"/>
          <w:sz w:val="18"/>
          <w:szCs w:val="18"/>
          <w:color w:val="auto"/>
        </w:rPr>
        <w:t>Die Einberufung erfolgt durch einmalige Bekanntmachung im Publikationsorgan der Gesellschaft. Namenaktionäre können überdies schriftlich orientiert werden.</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19" w:lineRule="exact"/>
        <w:rPr>
          <w:rFonts w:ascii="Arial" w:cs="Arial" w:eastAsia="Arial" w:hAnsi="Arial"/>
          <w:sz w:val="14"/>
          <w:szCs w:val="14"/>
          <w:color w:val="auto"/>
        </w:rPr>
      </w:pPr>
    </w:p>
    <w:p>
      <w:pPr>
        <w:ind w:left="705" w:right="180" w:hanging="705"/>
        <w:spacing w:after="0" w:line="218" w:lineRule="auto"/>
        <w:tabs>
          <w:tab w:leader="none" w:pos="300" w:val="left"/>
        </w:tabs>
        <w:numPr>
          <w:ilvl w:val="0"/>
          <w:numId w:val="194"/>
        </w:numPr>
        <w:rPr>
          <w:rFonts w:ascii="Arial" w:cs="Arial" w:eastAsia="Arial" w:hAnsi="Arial"/>
          <w:sz w:val="28"/>
          <w:szCs w:val="28"/>
          <w:color w:val="auto"/>
          <w:vertAlign w:val="superscript"/>
        </w:rPr>
      </w:pPr>
      <w:r>
        <w:rPr>
          <w:rFonts w:ascii="Arial" w:cs="Arial" w:eastAsia="Arial" w:hAnsi="Arial"/>
          <w:sz w:val="17"/>
          <w:szCs w:val="17"/>
          <w:color w:val="auto"/>
        </w:rPr>
        <w:t>Extraordinary general meetings of shareholders shall be held when deemed necessary by the board of directors or the auditors.</w:t>
      </w:r>
    </w:p>
    <w:p>
      <w:pPr>
        <w:ind w:left="705" w:right="20"/>
        <w:spacing w:after="0" w:line="251" w:lineRule="auto"/>
        <w:rPr>
          <w:rFonts w:ascii="Arial" w:cs="Arial" w:eastAsia="Arial" w:hAnsi="Arial"/>
          <w:sz w:val="28"/>
          <w:szCs w:val="28"/>
          <w:color w:val="auto"/>
          <w:vertAlign w:val="superscript"/>
        </w:rPr>
      </w:pPr>
      <w:r>
        <w:rPr>
          <w:rFonts w:ascii="Arial" w:cs="Arial" w:eastAsia="Arial" w:hAnsi="Arial"/>
          <w:sz w:val="18"/>
          <w:szCs w:val="18"/>
          <w:color w:val="auto"/>
        </w:rPr>
        <w:t>Furthermore, extraordinary general meetings of shareholders shall be convened upon resolution of a general meeting of shareholders or if this is requested by one or more shareholders who represent an aggregate of at least one-tenth of the share capital and who submit a written request specifying the agenda items and the proposals, in case of elections the name of the proposed candidates.</w:t>
      </w:r>
    </w:p>
    <w:p>
      <w:pPr>
        <w:spacing w:after="0" w:line="297" w:lineRule="exact"/>
        <w:rPr>
          <w:rFonts w:ascii="Arial" w:cs="Arial" w:eastAsia="Arial" w:hAnsi="Arial"/>
          <w:sz w:val="14"/>
          <w:szCs w:val="14"/>
          <w:color w:val="auto"/>
        </w:rPr>
      </w:pPr>
    </w:p>
    <w:p>
      <w:pPr>
        <w:ind w:left="305"/>
        <w:spacing w:after="0"/>
        <w:rPr>
          <w:sz w:val="20"/>
          <w:szCs w:val="20"/>
          <w:color w:val="auto"/>
        </w:rPr>
      </w:pPr>
      <w:r>
        <w:rPr>
          <w:rFonts w:ascii="Arial" w:cs="Arial" w:eastAsia="Arial" w:hAnsi="Arial"/>
          <w:sz w:val="18"/>
          <w:szCs w:val="18"/>
          <w:b w:val="1"/>
          <w:bCs w:val="1"/>
          <w:color w:val="auto"/>
        </w:rPr>
        <w:t>Article 10</w:t>
      </w:r>
    </w:p>
    <w:p>
      <w:pPr>
        <w:spacing w:after="0" w:line="85" w:lineRule="exact"/>
        <w:rPr>
          <w:rFonts w:ascii="Arial" w:cs="Arial" w:eastAsia="Arial" w:hAnsi="Arial"/>
          <w:sz w:val="14"/>
          <w:szCs w:val="14"/>
          <w:color w:val="auto"/>
        </w:rPr>
      </w:pPr>
    </w:p>
    <w:p>
      <w:pPr>
        <w:ind w:left="705" w:right="20" w:hanging="705"/>
        <w:spacing w:after="0" w:line="230" w:lineRule="auto"/>
        <w:tabs>
          <w:tab w:leader="none" w:pos="300" w:val="left"/>
        </w:tabs>
        <w:numPr>
          <w:ilvl w:val="0"/>
          <w:numId w:val="195"/>
        </w:numPr>
        <w:rPr>
          <w:rFonts w:ascii="Arial" w:cs="Arial" w:eastAsia="Arial" w:hAnsi="Arial"/>
          <w:sz w:val="29"/>
          <w:szCs w:val="29"/>
          <w:color w:val="auto"/>
          <w:vertAlign w:val="superscript"/>
        </w:rPr>
      </w:pPr>
      <w:r>
        <w:rPr>
          <w:rFonts w:ascii="Arial" w:cs="Arial" w:eastAsia="Arial" w:hAnsi="Arial"/>
          <w:sz w:val="18"/>
          <w:szCs w:val="18"/>
          <w:color w:val="auto"/>
        </w:rPr>
        <w:t>Notice of a general meeting of shareholders shall be given by the board of directors or, if necessary, by the auditors, no later than twenty calendar days prior to the date of the general meeting of shareholders. The liquidators may also call the general meeting of shareholders.</w:t>
      </w:r>
    </w:p>
    <w:p>
      <w:pPr>
        <w:ind w:left="305" w:hanging="305"/>
        <w:spacing w:after="0" w:line="195" w:lineRule="auto"/>
        <w:tabs>
          <w:tab w:leader="none" w:pos="305" w:val="left"/>
        </w:tabs>
        <w:numPr>
          <w:ilvl w:val="0"/>
          <w:numId w:val="196"/>
        </w:numPr>
        <w:rPr>
          <w:rFonts w:ascii="Arial" w:cs="Arial" w:eastAsia="Arial" w:hAnsi="Arial"/>
          <w:sz w:val="29"/>
          <w:szCs w:val="29"/>
          <w:color w:val="auto"/>
          <w:vertAlign w:val="superscript"/>
        </w:rPr>
      </w:pPr>
      <w:r>
        <w:rPr>
          <w:rFonts w:ascii="Arial" w:cs="Arial" w:eastAsia="Arial" w:hAnsi="Arial"/>
          <w:sz w:val="18"/>
          <w:szCs w:val="18"/>
          <w:color w:val="auto"/>
        </w:rPr>
        <w:t>Notice of the general meeting of shareholders</w:t>
      </w:r>
    </w:p>
    <w:p>
      <w:pPr>
        <w:spacing w:after="0" w:line="1" w:lineRule="exact"/>
        <w:rPr>
          <w:rFonts w:ascii="Arial" w:cs="Arial" w:eastAsia="Arial" w:hAnsi="Arial"/>
          <w:sz w:val="29"/>
          <w:szCs w:val="29"/>
          <w:color w:val="auto"/>
          <w:vertAlign w:val="superscript"/>
        </w:rPr>
      </w:pPr>
    </w:p>
    <w:p>
      <w:pPr>
        <w:ind w:left="705" w:right="140"/>
        <w:spacing w:after="0" w:line="253" w:lineRule="auto"/>
        <w:rPr>
          <w:rFonts w:ascii="Arial" w:cs="Arial" w:eastAsia="Arial" w:hAnsi="Arial"/>
          <w:sz w:val="29"/>
          <w:szCs w:val="29"/>
          <w:color w:val="auto"/>
          <w:vertAlign w:val="superscript"/>
        </w:rPr>
      </w:pPr>
      <w:r>
        <w:rPr>
          <w:rFonts w:ascii="Arial" w:cs="Arial" w:eastAsia="Arial" w:hAnsi="Arial"/>
          <w:sz w:val="18"/>
          <w:szCs w:val="18"/>
          <w:color w:val="auto"/>
        </w:rPr>
        <w:t>shall be given by way of a one-time announcement in the official means of publication of the Company. In addtion, shareholders of record may be informed by ordinary mail.</w:t>
      </w:r>
    </w:p>
    <w:p>
      <w:pPr>
        <w:sectPr>
          <w:pgSz w:w="11900" w:h="16838" w:orient="portrait"/>
          <w:cols w:equalWidth="0" w:num="2">
            <w:col w:w="5760" w:space="495"/>
            <w:col w:w="4265"/>
          </w:cols>
          <w:pgMar w:left="220" w:top="144" w:right="1159" w:bottom="1440" w:gutter="0" w:footer="0" w:header="0"/>
          <w:type w:val="continuous"/>
        </w:sectPr>
      </w:pPr>
    </w:p>
    <w:bookmarkStart w:id="309" w:name="page310"/>
    <w:bookmarkEnd w:id="309"/>
    <w:p>
      <w:pPr>
        <w:ind w:left="5560"/>
        <w:spacing w:after="0"/>
        <w:rPr>
          <w:sz w:val="20"/>
          <w:szCs w:val="20"/>
          <w:color w:val="auto"/>
        </w:rPr>
      </w:pPr>
      <w:r>
        <w:rPr>
          <w:rFonts w:ascii="Arial" w:cs="Arial" w:eastAsia="Arial" w:hAnsi="Arial"/>
          <w:sz w:val="14"/>
          <w:szCs w:val="14"/>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4800" w:type="dxa"/>
            <w:vAlign w:val="bottom"/>
          </w:tcPr>
          <w:p>
            <w:pPr>
              <w:ind w:left="140"/>
              <w:spacing w:after="0"/>
              <w:rPr>
                <w:sz w:val="20"/>
                <w:szCs w:val="20"/>
                <w:color w:val="auto"/>
              </w:rPr>
            </w:pPr>
            <w:r>
              <w:rPr>
                <w:rFonts w:ascii="Arial" w:cs="Arial" w:eastAsia="Arial" w:hAnsi="Arial"/>
                <w:sz w:val="18"/>
                <w:szCs w:val="18"/>
                <w:color w:val="auto"/>
              </w:rPr>
              <w:t>Spätestens 20 Tage vor der ordentlichen</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4380" w:type="dxa"/>
            <w:vAlign w:val="bottom"/>
          </w:tcPr>
          <w:p>
            <w:pPr>
              <w:ind w:left="120"/>
              <w:spacing w:after="0"/>
              <w:rPr>
                <w:sz w:val="20"/>
                <w:szCs w:val="20"/>
                <w:color w:val="auto"/>
              </w:rPr>
            </w:pPr>
            <w:r>
              <w:rPr>
                <w:rFonts w:ascii="Arial" w:cs="Arial" w:eastAsia="Arial" w:hAnsi="Arial"/>
                <w:sz w:val="18"/>
                <w:szCs w:val="18"/>
                <w:color w:val="auto"/>
              </w:rPr>
              <w:t>The annual report, the compensation report and the</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Generalversammlung sind der Geschäftsbericht,</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auditors' reports shall be made available for</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der Vergütungsbericht und die</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inspection by the shareholders at the registered</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Revisionsberichte am Sitz der Gesellschaft zur</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office of the Company no later than twenty</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Einsicht der Aktionäre aufzulegen. Die Aktionäre</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calendar days prior to the annual general</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sind darüber in der Einberufung zu orientieren.</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meeting of shareholders. The notice of the</w:t>
            </w:r>
          </w:p>
        </w:tc>
      </w:tr>
      <w:tr>
        <w:trPr>
          <w:trHeight w:val="216"/>
        </w:trPr>
        <w:tc>
          <w:tcPr>
            <w:tcW w:w="9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w w:val="99"/>
              </w:rPr>
              <w:t>general meeting of shareholders shall inform the</w:t>
            </w:r>
          </w:p>
        </w:tc>
      </w:tr>
      <w:tr>
        <w:trPr>
          <w:trHeight w:val="216"/>
        </w:trPr>
        <w:tc>
          <w:tcPr>
            <w:tcW w:w="9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shareholders about the availability of the annual</w:t>
            </w:r>
          </w:p>
        </w:tc>
      </w:tr>
      <w:tr>
        <w:trPr>
          <w:trHeight w:val="216"/>
        </w:trPr>
        <w:tc>
          <w:tcPr>
            <w:tcW w:w="9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report, the compensation report and the</w:t>
            </w:r>
          </w:p>
        </w:tc>
      </w:tr>
      <w:tr>
        <w:trPr>
          <w:trHeight w:val="217"/>
        </w:trPr>
        <w:tc>
          <w:tcPr>
            <w:tcW w:w="9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auditors's reports.</w:t>
            </w:r>
          </w:p>
        </w:tc>
      </w:tr>
      <w:tr>
        <w:trPr>
          <w:trHeight w:val="2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4800" w:type="dxa"/>
            <w:vAlign w:val="bottom"/>
          </w:tcPr>
          <w:p>
            <w:pPr>
              <w:ind w:left="140"/>
              <w:spacing w:after="0"/>
              <w:rPr>
                <w:sz w:val="20"/>
                <w:szCs w:val="20"/>
                <w:color w:val="auto"/>
              </w:rPr>
            </w:pPr>
            <w:r>
              <w:rPr>
                <w:rFonts w:ascii="Arial" w:cs="Arial" w:eastAsia="Arial" w:hAnsi="Arial"/>
                <w:sz w:val="18"/>
                <w:szCs w:val="18"/>
                <w:color w:val="auto"/>
              </w:rPr>
              <w:t>Die Einberufung muss die Verhandlungsgegenstände</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4380" w:type="dxa"/>
            <w:vAlign w:val="bottom"/>
          </w:tcPr>
          <w:p>
            <w:pPr>
              <w:ind w:left="120"/>
              <w:spacing w:after="0"/>
              <w:rPr>
                <w:sz w:val="20"/>
                <w:szCs w:val="20"/>
                <w:color w:val="auto"/>
              </w:rPr>
            </w:pPr>
            <w:r>
              <w:rPr>
                <w:rFonts w:ascii="Arial" w:cs="Arial" w:eastAsia="Arial" w:hAnsi="Arial"/>
                <w:sz w:val="18"/>
                <w:szCs w:val="18"/>
                <w:color w:val="auto"/>
                <w:w w:val="99"/>
              </w:rPr>
              <w:t>The notice of a general meeting of shareholders shall</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sowie die Anträge des Verwaltungsrats und der</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specify the items on the agenda and the</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Aktionäre, welche die Durchführung einer</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proposals of the board of directors and the</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Generalversammlung oder die Traktandierung</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shareholders who requested that a general</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eines Verhandlungsgegenstandes verlangt</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meeting of shareholders be held or an item be</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haben, und bei Wahlgeschäften die Namen der</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included on the agenda, and, in the event of</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vorgeschlagenen Kandidaten enthalten.</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elections, the names of the candidates that has</w:t>
            </w:r>
          </w:p>
        </w:tc>
      </w:tr>
      <w:tr>
        <w:trPr>
          <w:trHeight w:val="217"/>
        </w:trPr>
        <w:tc>
          <w:tcPr>
            <w:tcW w:w="9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or have been put on the ballot for election.</w:t>
            </w:r>
          </w:p>
        </w:tc>
      </w:tr>
      <w:tr>
        <w:trPr>
          <w:trHeight w:val="540"/>
        </w:trPr>
        <w:tc>
          <w:tcPr>
            <w:tcW w:w="940" w:type="dxa"/>
            <w:vAlign w:val="bottom"/>
          </w:tcPr>
          <w:p>
            <w:pPr>
              <w:spacing w:after="0"/>
              <w:rPr>
                <w:sz w:val="24"/>
                <w:szCs w:val="24"/>
                <w:color w:val="auto"/>
              </w:rPr>
            </w:pPr>
          </w:p>
        </w:tc>
        <w:tc>
          <w:tcPr>
            <w:tcW w:w="4800" w:type="dxa"/>
            <w:vAlign w:val="bottom"/>
          </w:tcPr>
          <w:p>
            <w:pPr>
              <w:ind w:left="140"/>
              <w:spacing w:after="0"/>
              <w:rPr>
                <w:sz w:val="20"/>
                <w:szCs w:val="20"/>
                <w:color w:val="auto"/>
              </w:rPr>
            </w:pPr>
            <w:r>
              <w:rPr>
                <w:rFonts w:ascii="Arial" w:cs="Arial" w:eastAsia="Arial" w:hAnsi="Arial"/>
                <w:sz w:val="18"/>
                <w:szCs w:val="18"/>
                <w:b w:val="1"/>
                <w:bCs w:val="1"/>
                <w:color w:val="auto"/>
              </w:rPr>
              <w:t>Artikel 11</w:t>
            </w:r>
          </w:p>
        </w:tc>
        <w:tc>
          <w:tcPr>
            <w:tcW w:w="380" w:type="dxa"/>
            <w:vAlign w:val="bottom"/>
          </w:tcPr>
          <w:p>
            <w:pPr>
              <w:spacing w:after="0"/>
              <w:rPr>
                <w:sz w:val="24"/>
                <w:szCs w:val="24"/>
                <w:color w:val="auto"/>
              </w:rPr>
            </w:pPr>
          </w:p>
        </w:tc>
        <w:tc>
          <w:tcPr>
            <w:tcW w:w="4380" w:type="dxa"/>
            <w:vAlign w:val="bottom"/>
          </w:tcPr>
          <w:p>
            <w:pPr>
              <w:ind w:left="120"/>
              <w:spacing w:after="0"/>
              <w:rPr>
                <w:sz w:val="20"/>
                <w:szCs w:val="20"/>
                <w:color w:val="auto"/>
              </w:rPr>
            </w:pPr>
            <w:r>
              <w:rPr>
                <w:rFonts w:ascii="Arial" w:cs="Arial" w:eastAsia="Arial" w:hAnsi="Arial"/>
                <w:sz w:val="18"/>
                <w:szCs w:val="18"/>
                <w:b w:val="1"/>
                <w:bCs w:val="1"/>
                <w:color w:val="auto"/>
              </w:rPr>
              <w:t>Article 11</w:t>
            </w:r>
          </w:p>
        </w:tc>
      </w:tr>
      <w:tr>
        <w:trPr>
          <w:trHeight w:val="2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tandierung 1</w:t>
            </w:r>
          </w:p>
        </w:tc>
        <w:tc>
          <w:tcPr>
            <w:tcW w:w="4800" w:type="dxa"/>
            <w:vAlign w:val="bottom"/>
          </w:tcPr>
          <w:p>
            <w:pPr>
              <w:ind w:left="140"/>
              <w:spacing w:after="0" w:line="269" w:lineRule="exact"/>
              <w:rPr>
                <w:sz w:val="20"/>
                <w:szCs w:val="20"/>
                <w:color w:val="auto"/>
              </w:rPr>
            </w:pPr>
            <w:r>
              <w:rPr>
                <w:rFonts w:ascii="Arial" w:cs="Arial" w:eastAsia="Arial" w:hAnsi="Arial"/>
                <w:sz w:val="18"/>
                <w:szCs w:val="18"/>
                <w:color w:val="auto"/>
              </w:rPr>
              <w:t xml:space="preserve">Aktionäre, die alleine oder zusammen entweder  </w:t>
            </w:r>
            <w:r>
              <w:rPr>
                <w:rFonts w:ascii="Arial" w:cs="Arial" w:eastAsia="Arial" w:hAnsi="Arial"/>
                <w:sz w:val="28"/>
                <w:szCs w:val="28"/>
                <w:color w:val="auto"/>
                <w:vertAlign w:val="superscript"/>
              </w:rPr>
              <w:t>Agenda</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4380" w:type="dxa"/>
            <w:vAlign w:val="bottom"/>
          </w:tcPr>
          <w:p>
            <w:pPr>
              <w:ind w:left="120"/>
              <w:spacing w:after="0"/>
              <w:rPr>
                <w:sz w:val="20"/>
                <w:szCs w:val="20"/>
                <w:color w:val="auto"/>
              </w:rPr>
            </w:pPr>
            <w:r>
              <w:rPr>
                <w:rFonts w:ascii="Arial" w:cs="Arial" w:eastAsia="Arial" w:hAnsi="Arial"/>
                <w:sz w:val="18"/>
                <w:szCs w:val="18"/>
                <w:color w:val="auto"/>
              </w:rPr>
              <w:t>One or more shareholders whose combined</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Aktien im Nennwert von mindestens CHF</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shareholdings represent an aggregate par value</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1'000'000 oder mindestens 10 Prozent des</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of at least CHF 1'000'000 or at least 10 percent</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Aktienkapitals vertreten, können die</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of the share capital may request that an item be</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Traktandierung eines</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included on the agenda of a general meeting of</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Verhandlungsgegenstandes verlangen. Die</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shareholders. Such inclusion of an item on the</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Traktandierung muss mindestens 45 Tage vor</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agenda must be requested in writing at least 45</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der Versammlung schriftlich unter Angabe des</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calendar days prior to the meeting and shall</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Verhandlungsgegenstandes und der Anträge</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specify the agenda items and proposals of such</w:t>
            </w:r>
          </w:p>
        </w:tc>
      </w:tr>
      <w:tr>
        <w:trPr>
          <w:trHeight w:val="217"/>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des Aktionäre anbegehrt werden.</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shareholders.</w:t>
            </w:r>
          </w:p>
        </w:tc>
      </w:tr>
      <w:tr>
        <w:trPr>
          <w:trHeight w:val="2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4800" w:type="dxa"/>
            <w:vAlign w:val="bottom"/>
          </w:tcPr>
          <w:p>
            <w:pPr>
              <w:ind w:left="140"/>
              <w:spacing w:after="0"/>
              <w:rPr>
                <w:sz w:val="20"/>
                <w:szCs w:val="20"/>
                <w:color w:val="auto"/>
              </w:rPr>
            </w:pPr>
            <w:r>
              <w:rPr>
                <w:rFonts w:ascii="Arial" w:cs="Arial" w:eastAsia="Arial" w:hAnsi="Arial"/>
                <w:sz w:val="18"/>
                <w:szCs w:val="18"/>
                <w:color w:val="auto"/>
              </w:rPr>
              <w:t>Über Anträge zu nicht gehörig angekündigten</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4380" w:type="dxa"/>
            <w:vAlign w:val="bottom"/>
          </w:tcPr>
          <w:p>
            <w:pPr>
              <w:ind w:left="120"/>
              <w:spacing w:after="0"/>
              <w:rPr>
                <w:sz w:val="20"/>
                <w:szCs w:val="20"/>
                <w:color w:val="auto"/>
              </w:rPr>
            </w:pPr>
            <w:r>
              <w:rPr>
                <w:rFonts w:ascii="Arial" w:cs="Arial" w:eastAsia="Arial" w:hAnsi="Arial"/>
                <w:sz w:val="18"/>
                <w:szCs w:val="18"/>
                <w:color w:val="auto"/>
              </w:rPr>
              <w:t>No resolutions may be passed at a general meeting</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Verhandlungsgegenständen kann die</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of shareholders concerning agenda items for</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Generalversammlung keine Beschlüsse fassen;</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which proper notice was not given. This</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ausgenommen sind Anträge auf Einberufung</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provision shall not apply, however, to proposals</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einer ausserordentlichen Generalversammlung</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made during a general meeting of shareholders</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und auf Durchführung einer Sonderprüfung.</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to convene an extraordinary general meeting of</w:t>
            </w:r>
          </w:p>
        </w:tc>
      </w:tr>
      <w:tr>
        <w:trPr>
          <w:trHeight w:val="217"/>
        </w:trPr>
        <w:tc>
          <w:tcPr>
            <w:tcW w:w="9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shareholders or to initiate a special audit.</w:t>
            </w:r>
          </w:p>
        </w:tc>
      </w:tr>
      <w:tr>
        <w:trPr>
          <w:trHeight w:val="269"/>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4800" w:type="dxa"/>
            <w:vAlign w:val="bottom"/>
          </w:tcPr>
          <w:p>
            <w:pPr>
              <w:ind w:left="140"/>
              <w:spacing w:after="0"/>
              <w:rPr>
                <w:sz w:val="20"/>
                <w:szCs w:val="20"/>
                <w:color w:val="auto"/>
              </w:rPr>
            </w:pPr>
            <w:r>
              <w:rPr>
                <w:rFonts w:ascii="Arial" w:cs="Arial" w:eastAsia="Arial" w:hAnsi="Arial"/>
                <w:sz w:val="18"/>
                <w:szCs w:val="18"/>
                <w:color w:val="auto"/>
              </w:rPr>
              <w:t>Zur Stellung von Anträgen im Rahmen der</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4380" w:type="dxa"/>
            <w:vAlign w:val="bottom"/>
          </w:tcPr>
          <w:p>
            <w:pPr>
              <w:ind w:left="120"/>
              <w:spacing w:after="0"/>
              <w:rPr>
                <w:sz w:val="20"/>
                <w:szCs w:val="20"/>
                <w:color w:val="auto"/>
              </w:rPr>
            </w:pPr>
            <w:r>
              <w:rPr>
                <w:rFonts w:ascii="Arial" w:cs="Arial" w:eastAsia="Arial" w:hAnsi="Arial"/>
                <w:sz w:val="18"/>
                <w:szCs w:val="18"/>
                <w:color w:val="auto"/>
              </w:rPr>
              <w:t>No previous notification shall be required for</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Verhandlungsgegenstände und zu</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proposals concerning items included on the</w:t>
            </w:r>
          </w:p>
        </w:tc>
      </w:tr>
      <w:tr>
        <w:trPr>
          <w:trHeight w:val="216"/>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Verhandlungen ohne Beschlussfassung bedarf</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agenda and for debates as to which no vote is</w:t>
            </w:r>
          </w:p>
        </w:tc>
      </w:tr>
      <w:tr>
        <w:trPr>
          <w:trHeight w:val="217"/>
        </w:trPr>
        <w:tc>
          <w:tcPr>
            <w:tcW w:w="940" w:type="dxa"/>
            <w:vAlign w:val="bottom"/>
          </w:tcPr>
          <w:p>
            <w:pPr>
              <w:spacing w:after="0"/>
              <w:rPr>
                <w:sz w:val="18"/>
                <w:szCs w:val="18"/>
                <w:color w:val="auto"/>
              </w:rPr>
            </w:pPr>
          </w:p>
        </w:tc>
        <w:tc>
          <w:tcPr>
            <w:tcW w:w="4800" w:type="dxa"/>
            <w:vAlign w:val="bottom"/>
          </w:tcPr>
          <w:p>
            <w:pPr>
              <w:ind w:left="540"/>
              <w:spacing w:after="0"/>
              <w:rPr>
                <w:sz w:val="20"/>
                <w:szCs w:val="20"/>
                <w:color w:val="auto"/>
              </w:rPr>
            </w:pPr>
            <w:r>
              <w:rPr>
                <w:rFonts w:ascii="Arial" w:cs="Arial" w:eastAsia="Arial" w:hAnsi="Arial"/>
                <w:sz w:val="18"/>
                <w:szCs w:val="18"/>
                <w:color w:val="auto"/>
              </w:rPr>
              <w:t>es keiner vorgängigen Ankündigung.</w:t>
            </w:r>
          </w:p>
        </w:tc>
        <w:tc>
          <w:tcPr>
            <w:tcW w:w="380" w:type="dxa"/>
            <w:vAlign w:val="bottom"/>
          </w:tcPr>
          <w:p>
            <w:pPr>
              <w:spacing w:after="0"/>
              <w:rPr>
                <w:sz w:val="18"/>
                <w:szCs w:val="18"/>
                <w:color w:val="auto"/>
              </w:rPr>
            </w:pPr>
          </w:p>
        </w:tc>
        <w:tc>
          <w:tcPr>
            <w:tcW w:w="4380" w:type="dxa"/>
            <w:vAlign w:val="bottom"/>
          </w:tcPr>
          <w:p>
            <w:pPr>
              <w:ind w:left="520"/>
              <w:spacing w:after="0"/>
              <w:rPr>
                <w:sz w:val="20"/>
                <w:szCs w:val="20"/>
                <w:color w:val="auto"/>
              </w:rPr>
            </w:pPr>
            <w:r>
              <w:rPr>
                <w:rFonts w:ascii="Arial" w:cs="Arial" w:eastAsia="Arial" w:hAnsi="Arial"/>
                <w:sz w:val="18"/>
                <w:szCs w:val="18"/>
                <w:color w:val="auto"/>
              </w:rPr>
              <w:t>taken.</w:t>
            </w:r>
          </w:p>
        </w:tc>
      </w:tr>
    </w:tbl>
    <w:p>
      <w:pPr>
        <w:sectPr>
          <w:pgSz w:w="11900" w:h="16838" w:orient="portrait"/>
          <w:cols w:equalWidth="0" w:num="1">
            <w:col w:w="10500"/>
          </w:cols>
          <w:pgMar w:left="220" w:top="144" w:right="1179" w:bottom="1440" w:gutter="0" w:footer="0" w:header="0"/>
        </w:sectPr>
      </w:pPr>
    </w:p>
    <w:bookmarkStart w:id="310" w:name="page311"/>
    <w:bookmarkEnd w:id="310"/>
    <w:p>
      <w:pPr>
        <w:ind w:left="5560"/>
        <w:spacing w:after="0"/>
        <w:rPr>
          <w:sz w:val="20"/>
          <w:szCs w:val="20"/>
          <w:color w:val="auto"/>
        </w:rPr>
      </w:pPr>
      <w:r>
        <w:rPr>
          <w:rFonts w:ascii="Arial" w:cs="Arial" w:eastAsia="Arial" w:hAnsi="Arial"/>
          <w:sz w:val="14"/>
          <w:szCs w:val="14"/>
          <w:color w:val="auto"/>
        </w:rPr>
        <w:t>- 13 -</w:t>
      </w:r>
    </w:p>
    <w:p>
      <w:pPr>
        <w:sectPr>
          <w:pgSz w:w="11900" w:h="16838" w:orient="portrait"/>
          <w:cols w:equalWidth="0" w:num="1">
            <w:col w:w="10500"/>
          </w:cols>
          <w:pgMar w:left="220" w:top="144"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3960" w:type="dxa"/>
            <w:vAlign w:val="bottom"/>
            <w:gridSpan w:val="2"/>
          </w:tcPr>
          <w:p>
            <w:pPr>
              <w:ind w:left="320"/>
              <w:spacing w:after="0"/>
              <w:rPr>
                <w:sz w:val="20"/>
                <w:szCs w:val="20"/>
                <w:color w:val="auto"/>
              </w:rPr>
            </w:pPr>
            <w:r>
              <w:rPr>
                <w:rFonts w:ascii="Arial" w:cs="Arial" w:eastAsia="Arial" w:hAnsi="Arial"/>
                <w:sz w:val="18"/>
                <w:szCs w:val="18"/>
                <w:b w:val="1"/>
                <w:bCs w:val="1"/>
                <w:color w:val="auto"/>
              </w:rPr>
              <w:t>Artikel 12</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20"/>
                <w:szCs w:val="20"/>
                <w:color w:val="auto"/>
              </w:rPr>
            </w:pPr>
            <w:r>
              <w:rPr>
                <w:rFonts w:ascii="Arial" w:cs="Arial" w:eastAsia="Arial" w:hAnsi="Arial"/>
                <w:sz w:val="14"/>
                <w:szCs w:val="14"/>
                <w:color w:val="auto"/>
              </w:rPr>
              <w:t>itz der</w:t>
            </w:r>
          </w:p>
        </w:tc>
        <w:tc>
          <w:tcPr>
            <w:tcW w:w="3960" w:type="dxa"/>
            <w:vAlign w:val="bottom"/>
            <w:gridSpan w:val="2"/>
          </w:tcPr>
          <w:p>
            <w:pPr>
              <w:ind w:left="40"/>
              <w:spacing w:after="0" w:line="221"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Der Präsident des Verwaltungsrats führt den</w:t>
            </w:r>
          </w:p>
        </w:tc>
        <w:tc>
          <w:tcPr>
            <w:tcW w:w="1220" w:type="dxa"/>
            <w:vAlign w:val="bottom"/>
            <w:gridSpan w:val="2"/>
          </w:tcPr>
          <w:p>
            <w:pPr>
              <w:ind w:left="80"/>
              <w:spacing w:after="0"/>
              <w:rPr>
                <w:sz w:val="20"/>
                <w:szCs w:val="20"/>
                <w:color w:val="auto"/>
              </w:rPr>
            </w:pPr>
            <w:r>
              <w:rPr>
                <w:rFonts w:ascii="Arial" w:cs="Arial" w:eastAsia="Arial" w:hAnsi="Arial"/>
                <w:sz w:val="14"/>
                <w:szCs w:val="14"/>
                <w:color w:val="auto"/>
                <w:w w:val="92"/>
              </w:rPr>
              <w:t>Acting Chair, Vote1</w:t>
            </w:r>
          </w:p>
        </w:tc>
        <w:tc>
          <w:tcPr>
            <w:tcW w:w="0" w:type="dxa"/>
            <w:vAlign w:val="bottom"/>
          </w:tcPr>
          <w:p>
            <w:pPr>
              <w:spacing w:after="0"/>
              <w:rPr>
                <w:sz w:val="1"/>
                <w:szCs w:val="1"/>
                <w:color w:val="auto"/>
              </w:rPr>
            </w:pPr>
          </w:p>
        </w:tc>
      </w:tr>
      <w:tr>
        <w:trPr>
          <w:trHeight w:val="162"/>
        </w:trPr>
        <w:tc>
          <w:tcPr>
            <w:tcW w:w="1700" w:type="dxa"/>
            <w:vAlign w:val="bottom"/>
            <w:gridSpan w:val="2"/>
          </w:tcPr>
          <w:p>
            <w:pPr>
              <w:ind w:left="120"/>
              <w:spacing w:after="0"/>
              <w:rPr>
                <w:sz w:val="20"/>
                <w:szCs w:val="20"/>
                <w:color w:val="auto"/>
              </w:rPr>
            </w:pPr>
            <w:r>
              <w:rPr>
                <w:rFonts w:ascii="Arial" w:cs="Arial" w:eastAsia="Arial" w:hAnsi="Arial"/>
                <w:sz w:val="14"/>
                <w:szCs w:val="14"/>
                <w:color w:val="auto"/>
              </w:rPr>
              <w:t>Generalversammlung,</w:t>
            </w:r>
          </w:p>
        </w:tc>
        <w:tc>
          <w:tcPr>
            <w:tcW w:w="3400" w:type="dxa"/>
            <w:vAlign w:val="bottom"/>
            <w:vMerge w:val="restart"/>
          </w:tcPr>
          <w:p>
            <w:pPr>
              <w:ind w:left="160"/>
              <w:spacing w:after="0"/>
              <w:rPr>
                <w:sz w:val="20"/>
                <w:szCs w:val="20"/>
                <w:color w:val="auto"/>
              </w:rPr>
            </w:pPr>
            <w:r>
              <w:rPr>
                <w:rFonts w:ascii="Arial" w:cs="Arial" w:eastAsia="Arial" w:hAnsi="Arial"/>
                <w:sz w:val="18"/>
                <w:szCs w:val="18"/>
                <w:color w:val="auto"/>
              </w:rPr>
              <w:t>Vorsitz in der Generalversammlung. Bei</w:t>
            </w:r>
          </w:p>
        </w:tc>
        <w:tc>
          <w:tcPr>
            <w:tcW w:w="3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Counters,</w:t>
            </w:r>
          </w:p>
        </w:tc>
        <w:tc>
          <w:tcPr>
            <w:tcW w:w="0" w:type="dxa"/>
            <w:vAlign w:val="bottom"/>
          </w:tcPr>
          <w:p>
            <w:pPr>
              <w:spacing w:after="0"/>
              <w:rPr>
                <w:sz w:val="1"/>
                <w:szCs w:val="1"/>
                <w:color w:val="auto"/>
              </w:rPr>
            </w:pPr>
          </w:p>
        </w:tc>
      </w:tr>
      <w:tr>
        <w:trPr>
          <w:trHeight w:val="102"/>
        </w:trPr>
        <w:tc>
          <w:tcPr>
            <w:tcW w:w="1140" w:type="dxa"/>
            <w:vAlign w:val="bottom"/>
            <w:vMerge w:val="restart"/>
          </w:tcPr>
          <w:p>
            <w:pPr>
              <w:ind w:left="120"/>
              <w:spacing w:after="0"/>
              <w:rPr>
                <w:sz w:val="20"/>
                <w:szCs w:val="20"/>
                <w:color w:val="auto"/>
              </w:rPr>
            </w:pPr>
            <w:r>
              <w:rPr>
                <w:rFonts w:ascii="Arial" w:cs="Arial" w:eastAsia="Arial" w:hAnsi="Arial"/>
                <w:sz w:val="14"/>
                <w:szCs w:val="14"/>
                <w:color w:val="auto"/>
              </w:rPr>
              <w:t>Stimmenzähler,</w:t>
            </w:r>
          </w:p>
        </w:tc>
        <w:tc>
          <w:tcPr>
            <w:tcW w:w="560" w:type="dxa"/>
            <w:vAlign w:val="bottom"/>
          </w:tcPr>
          <w:p>
            <w:pPr>
              <w:spacing w:after="0"/>
              <w:rPr>
                <w:sz w:val="8"/>
                <w:szCs w:val="8"/>
                <w:color w:val="auto"/>
              </w:rPr>
            </w:pPr>
          </w:p>
        </w:tc>
        <w:tc>
          <w:tcPr>
            <w:tcW w:w="34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color w:val="auto"/>
              </w:rPr>
              <w:t>Minutes</w:t>
            </w:r>
          </w:p>
        </w:tc>
        <w:tc>
          <w:tcPr>
            <w:tcW w:w="0" w:type="dxa"/>
            <w:vAlign w:val="bottom"/>
          </w:tcPr>
          <w:p>
            <w:pPr>
              <w:spacing w:after="0"/>
              <w:rPr>
                <w:sz w:val="1"/>
                <w:szCs w:val="1"/>
                <w:color w:val="auto"/>
              </w:rPr>
            </w:pPr>
          </w:p>
        </w:tc>
      </w:tr>
      <w:tr>
        <w:trPr>
          <w:trHeight w:val="60"/>
        </w:trPr>
        <w:tc>
          <w:tcPr>
            <w:tcW w:w="11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color w:val="auto"/>
              </w:rPr>
              <w:t>seiner Abwesenheit führt der Vizepräsident</w:t>
            </w: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140" w:type="dxa"/>
            <w:vAlign w:val="bottom"/>
          </w:tcPr>
          <w:p>
            <w:pPr>
              <w:ind w:left="120"/>
              <w:spacing w:after="0" w:line="157" w:lineRule="exact"/>
              <w:rPr>
                <w:sz w:val="20"/>
                <w:szCs w:val="20"/>
                <w:color w:val="auto"/>
              </w:rPr>
            </w:pPr>
            <w:r>
              <w:rPr>
                <w:rFonts w:ascii="Arial" w:cs="Arial" w:eastAsia="Arial" w:hAnsi="Arial"/>
                <w:sz w:val="14"/>
                <w:szCs w:val="14"/>
                <w:color w:val="auto"/>
              </w:rPr>
              <w:t>Protokoll</w:t>
            </w:r>
          </w:p>
        </w:tc>
        <w:tc>
          <w:tcPr>
            <w:tcW w:w="560" w:type="dxa"/>
            <w:vAlign w:val="bottom"/>
          </w:tcPr>
          <w:p>
            <w:pPr>
              <w:spacing w:after="0"/>
              <w:rPr>
                <w:sz w:val="13"/>
                <w:szCs w:val="13"/>
                <w:color w:val="auto"/>
              </w:rPr>
            </w:pPr>
          </w:p>
        </w:tc>
        <w:tc>
          <w:tcPr>
            <w:tcW w:w="3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both"/>
        <w:ind w:left="1860" w:right="1120"/>
        <w:spacing w:after="0" w:line="278" w:lineRule="auto"/>
        <w:rPr>
          <w:sz w:val="20"/>
          <w:szCs w:val="20"/>
          <w:color w:val="auto"/>
        </w:rPr>
      </w:pPr>
      <w:r>
        <w:rPr>
          <w:rFonts w:ascii="Arial" w:cs="Arial" w:eastAsia="Arial" w:hAnsi="Arial"/>
          <w:sz w:val="17"/>
          <w:szCs w:val="17"/>
          <w:color w:val="auto"/>
        </w:rPr>
        <w:t>des Verwaltungsrats den Vorsitz. Ist auch dieser abwesend, so wird der Vorsitzende durch den Verwaltungsrat gewählt.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w:t>
      </w:r>
    </w:p>
    <w:p>
      <w:pPr>
        <w:spacing w:after="0" w:line="85" w:lineRule="exact"/>
        <w:rPr>
          <w:sz w:val="20"/>
          <w:szCs w:val="20"/>
          <w:color w:val="auto"/>
        </w:rPr>
      </w:pPr>
    </w:p>
    <w:p>
      <w:pPr>
        <w:ind w:left="400" w:right="140" w:hanging="404"/>
        <w:spacing w:after="0" w:line="253" w:lineRule="auto"/>
        <w:rPr>
          <w:sz w:val="20"/>
          <w:szCs w:val="20"/>
          <w:color w:val="auto"/>
        </w:rPr>
      </w:pPr>
      <w:r>
        <w:rPr>
          <w:rFonts w:ascii="Arial" w:cs="Arial" w:eastAsia="Arial" w:hAnsi="Arial"/>
          <w:sz w:val="18"/>
          <w:szCs w:val="18"/>
          <w:color w:val="auto"/>
        </w:rPr>
        <w:t>At the general meeting of shareholders, the Chairman of the board of directors or, in his absence, the Vice-Chairman or, in his absence, any other person designated by the board of directors shall take the chair.</w:t>
      </w:r>
    </w:p>
    <w:p>
      <w:pPr>
        <w:spacing w:after="0" w:line="259" w:lineRule="exact"/>
        <w:rPr>
          <w:sz w:val="20"/>
          <w:szCs w:val="20"/>
          <w:color w:val="auto"/>
        </w:rPr>
      </w:pPr>
    </w:p>
    <w:p>
      <w:pPr>
        <w:sectPr>
          <w:pgSz w:w="11900" w:h="16838" w:orient="portrait"/>
          <w:cols w:equalWidth="0" w:num="2">
            <w:col w:w="6320" w:space="200"/>
            <w:col w:w="3980"/>
          </w:cols>
          <w:pgMar w:left="220" w:top="144" w:right="1179" w:bottom="1440" w:gutter="0" w:footer="0" w:header="0"/>
          <w:type w:val="continuous"/>
        </w:sectPr>
      </w:pPr>
    </w:p>
    <w:p>
      <w:pPr>
        <w:ind w:left="1860" w:right="101" w:hanging="681"/>
        <w:spacing w:after="0" w:line="223" w:lineRule="auto"/>
        <w:tabs>
          <w:tab w:leader="none" w:pos="1455" w:val="left"/>
        </w:tabs>
        <w:numPr>
          <w:ilvl w:val="0"/>
          <w:numId w:val="197"/>
        </w:numPr>
        <w:rPr>
          <w:rFonts w:ascii="Arial" w:cs="Arial" w:eastAsia="Arial" w:hAnsi="Arial"/>
          <w:sz w:val="29"/>
          <w:szCs w:val="29"/>
          <w:color w:val="auto"/>
          <w:vertAlign w:val="superscript"/>
        </w:rPr>
      </w:pPr>
      <w:r>
        <w:rPr>
          <w:rFonts w:ascii="Arial" w:cs="Arial" w:eastAsia="Arial" w:hAnsi="Arial"/>
          <w:sz w:val="18"/>
          <w:szCs w:val="18"/>
          <w:color w:val="auto"/>
        </w:rPr>
        <w:t>Der Vorsitzende bezeichnet einen Protokollführer und die Stimmenzähler, die nicht Aktionäre sein müssen. Das Protokoll ist vom Vorsitzenden und vom Protokollführer zu unterzeichnen.</w:t>
      </w:r>
    </w:p>
    <w:p>
      <w:pPr>
        <w:spacing w:after="0" w:line="20" w:lineRule="exact"/>
        <w:rPr>
          <w:sz w:val="20"/>
          <w:szCs w:val="20"/>
          <w:color w:val="auto"/>
        </w:rPr>
      </w:pPr>
      <w:r>
        <w:rPr>
          <w:sz w:val="20"/>
          <w:szCs w:val="20"/>
          <w:color w:val="auto"/>
        </w:rPr>
        <w:br w:type="column"/>
      </w:r>
    </w:p>
    <w:p>
      <w:pPr>
        <w:ind w:left="719" w:right="40" w:hanging="719"/>
        <w:spacing w:after="0" w:line="227" w:lineRule="auto"/>
        <w:tabs>
          <w:tab w:leader="none" w:pos="314" w:val="left"/>
        </w:tabs>
        <w:numPr>
          <w:ilvl w:val="0"/>
          <w:numId w:val="198"/>
        </w:numPr>
        <w:rPr>
          <w:rFonts w:ascii="Arial" w:cs="Arial" w:eastAsia="Arial" w:hAnsi="Arial"/>
          <w:sz w:val="29"/>
          <w:szCs w:val="29"/>
          <w:color w:val="auto"/>
          <w:vertAlign w:val="superscript"/>
        </w:rPr>
      </w:pPr>
      <w:r>
        <w:rPr>
          <w:rFonts w:ascii="Arial" w:cs="Arial" w:eastAsia="Arial" w:hAnsi="Arial"/>
          <w:sz w:val="18"/>
          <w:szCs w:val="18"/>
          <w:color w:val="auto"/>
        </w:rPr>
        <w:t>The acting chair of the general meeting of shareholders shall appoint the secretary and the vote counters, none of whom need be shareholders. The minutes of the general meeting of shareholders shall be signed by the acting chair and the secretary.</w:t>
      </w:r>
    </w:p>
    <w:p>
      <w:pPr>
        <w:spacing w:after="0" w:line="200" w:lineRule="exact"/>
        <w:rPr>
          <w:sz w:val="20"/>
          <w:szCs w:val="20"/>
          <w:color w:val="auto"/>
        </w:rPr>
      </w:pPr>
    </w:p>
    <w:p>
      <w:pPr>
        <w:sectPr>
          <w:pgSz w:w="11900" w:h="16838" w:orient="portrait"/>
          <w:cols w:equalWidth="0" w:num="2">
            <w:col w:w="5481" w:space="720"/>
            <w:col w:w="4299"/>
          </w:cols>
          <w:pgMar w:left="220" w:top="144" w:right="117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60" w:type="dxa"/>
            <w:vAlign w:val="bottom"/>
          </w:tcPr>
          <w:p>
            <w:pPr>
              <w:spacing w:after="0"/>
              <w:rPr>
                <w:sz w:val="20"/>
                <w:szCs w:val="20"/>
                <w:color w:val="auto"/>
              </w:rPr>
            </w:pPr>
          </w:p>
        </w:tc>
        <w:tc>
          <w:tcPr>
            <w:tcW w:w="3480" w:type="dxa"/>
            <w:vAlign w:val="bottom"/>
          </w:tcPr>
          <w:p>
            <w:pPr>
              <w:ind w:left="100"/>
              <w:spacing w:after="0"/>
              <w:rPr>
                <w:sz w:val="20"/>
                <w:szCs w:val="20"/>
                <w:color w:val="auto"/>
              </w:rPr>
            </w:pPr>
            <w:r>
              <w:rPr>
                <w:rFonts w:ascii="Arial" w:cs="Arial" w:eastAsia="Arial" w:hAnsi="Arial"/>
                <w:sz w:val="18"/>
                <w:szCs w:val="18"/>
                <w:b w:val="1"/>
                <w:bCs w:val="1"/>
                <w:color w:val="auto"/>
              </w:rPr>
              <w:t>Artikel 13</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6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Article 13</w:t>
            </w:r>
          </w:p>
        </w:tc>
        <w:tc>
          <w:tcPr>
            <w:tcW w:w="0" w:type="dxa"/>
            <w:vAlign w:val="bottom"/>
          </w:tcPr>
          <w:p>
            <w:pPr>
              <w:spacing w:after="0"/>
              <w:rPr>
                <w:sz w:val="1"/>
                <w:szCs w:val="1"/>
                <w:color w:val="auto"/>
              </w:rPr>
            </w:pPr>
          </w:p>
        </w:tc>
      </w:tr>
      <w:tr>
        <w:trPr>
          <w:trHeight w:val="59"/>
        </w:trPr>
        <w:tc>
          <w:tcPr>
            <w:tcW w:w="1360" w:type="dxa"/>
            <w:vAlign w:val="bottom"/>
            <w:vMerge w:val="restart"/>
          </w:tcPr>
          <w:p>
            <w:pPr>
              <w:spacing w:after="0"/>
              <w:rPr>
                <w:sz w:val="20"/>
                <w:szCs w:val="20"/>
                <w:color w:val="auto"/>
              </w:rPr>
            </w:pPr>
            <w:r>
              <w:rPr>
                <w:rFonts w:ascii="Arial" w:cs="Arial" w:eastAsia="Arial" w:hAnsi="Arial"/>
                <w:sz w:val="14"/>
                <w:szCs w:val="14"/>
                <w:color w:val="auto"/>
              </w:rPr>
              <w:t>mrecht, Vertretung1</w:t>
            </w:r>
          </w:p>
        </w:tc>
        <w:tc>
          <w:tcPr>
            <w:tcW w:w="4780" w:type="dxa"/>
            <w:vAlign w:val="bottom"/>
            <w:gridSpan w:val="2"/>
          </w:tcPr>
          <w:p>
            <w:pPr>
              <w:ind w:left="100"/>
              <w:spacing w:after="0" w:line="59" w:lineRule="exact"/>
              <w:rPr>
                <w:sz w:val="20"/>
                <w:szCs w:val="20"/>
                <w:color w:val="auto"/>
              </w:rPr>
            </w:pPr>
            <w:r>
              <w:rPr>
                <w:rFonts w:ascii="Arial" w:cs="Arial" w:eastAsia="Arial" w:hAnsi="Arial"/>
                <w:sz w:val="6"/>
                <w:szCs w:val="6"/>
                <w:color w:val="auto"/>
              </w:rPr>
              <w:t>Jede mit Stimmrecht im Aktienbuch eingetragene</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4060" w:type="dxa"/>
            <w:vAlign w:val="bottom"/>
            <w:gridSpan w:val="2"/>
          </w:tcPr>
          <w:p>
            <w:pPr>
              <w:ind w:left="120"/>
              <w:spacing w:after="0" w:line="59" w:lineRule="exact"/>
              <w:rPr>
                <w:sz w:val="20"/>
                <w:szCs w:val="20"/>
                <w:color w:val="auto"/>
              </w:rPr>
            </w:pPr>
            <w:r>
              <w:rPr>
                <w:rFonts w:ascii="Arial" w:cs="Arial" w:eastAsia="Arial" w:hAnsi="Arial"/>
                <w:sz w:val="6"/>
                <w:szCs w:val="6"/>
                <w:color w:val="auto"/>
              </w:rPr>
              <w:t>Each share registered in the share register grants</w:t>
            </w: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480" w:type="dxa"/>
            <w:vAlign w:val="bottom"/>
          </w:tcPr>
          <w:p>
            <w:pPr>
              <w:spacing w:after="0"/>
              <w:rPr>
                <w:sz w:val="14"/>
                <w:szCs w:val="14"/>
                <w:color w:val="auto"/>
              </w:rPr>
            </w:pPr>
          </w:p>
        </w:tc>
        <w:tc>
          <w:tcPr>
            <w:tcW w:w="1300" w:type="dxa"/>
            <w:vAlign w:val="bottom"/>
          </w:tcPr>
          <w:p>
            <w:pPr>
              <w:ind w:left="340"/>
              <w:spacing w:after="0"/>
              <w:rPr>
                <w:sz w:val="20"/>
                <w:szCs w:val="20"/>
                <w:color w:val="auto"/>
              </w:rPr>
            </w:pPr>
            <w:r>
              <w:rPr>
                <w:rFonts w:ascii="Arial" w:cs="Arial" w:eastAsia="Arial" w:hAnsi="Arial"/>
                <w:sz w:val="14"/>
                <w:szCs w:val="14"/>
                <w:color w:val="auto"/>
              </w:rPr>
              <w:t>Voting Rights,</w:t>
            </w:r>
          </w:p>
        </w:tc>
        <w:tc>
          <w:tcPr>
            <w:tcW w:w="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tcPr>
          <w:p>
            <w:pPr>
              <w:spacing w:after="0"/>
              <w:rPr>
                <w:sz w:val="14"/>
                <w:szCs w:val="14"/>
                <w:color w:val="auto"/>
              </w:rPr>
            </w:pPr>
          </w:p>
        </w:tc>
        <w:tc>
          <w:tcPr>
            <w:tcW w:w="3480" w:type="dxa"/>
            <w:vAlign w:val="bottom"/>
            <w:vMerge w:val="restart"/>
          </w:tcPr>
          <w:p>
            <w:pPr>
              <w:ind w:left="500"/>
              <w:spacing w:after="0"/>
              <w:rPr>
                <w:sz w:val="20"/>
                <w:szCs w:val="20"/>
                <w:color w:val="auto"/>
              </w:rPr>
            </w:pPr>
            <w:r>
              <w:rPr>
                <w:rFonts w:ascii="Arial" w:cs="Arial" w:eastAsia="Arial" w:hAnsi="Arial"/>
                <w:sz w:val="18"/>
                <w:szCs w:val="18"/>
                <w:color w:val="auto"/>
              </w:rPr>
              <w:t>Aktie berechtigt zu einer Stimme.</w:t>
            </w:r>
          </w:p>
        </w:tc>
        <w:tc>
          <w:tcPr>
            <w:tcW w:w="1900" w:type="dxa"/>
            <w:vAlign w:val="bottom"/>
            <w:gridSpan w:val="3"/>
          </w:tcPr>
          <w:p>
            <w:pPr>
              <w:ind w:left="740"/>
              <w:spacing w:after="0"/>
              <w:rPr>
                <w:sz w:val="20"/>
                <w:szCs w:val="20"/>
                <w:color w:val="auto"/>
              </w:rPr>
            </w:pPr>
            <w:r>
              <w:rPr>
                <w:rFonts w:ascii="Arial" w:cs="Arial" w:eastAsia="Arial" w:hAnsi="Arial"/>
                <w:sz w:val="14"/>
                <w:szCs w:val="14"/>
                <w:color w:val="auto"/>
              </w:rPr>
              <w:t>Representation</w:t>
            </w:r>
          </w:p>
        </w:tc>
        <w:tc>
          <w:tcPr>
            <w:tcW w:w="3720" w:type="dxa"/>
            <w:vAlign w:val="bottom"/>
            <w:vMerge w:val="restart"/>
          </w:tcPr>
          <w:p>
            <w:pPr>
              <w:ind w:left="180"/>
              <w:spacing w:after="0"/>
              <w:rPr>
                <w:sz w:val="20"/>
                <w:szCs w:val="20"/>
                <w:color w:val="auto"/>
              </w:rPr>
            </w:pPr>
            <w:r>
              <w:rPr>
                <w:rFonts w:ascii="Arial" w:cs="Arial" w:eastAsia="Arial" w:hAnsi="Arial"/>
                <w:sz w:val="18"/>
                <w:szCs w:val="18"/>
                <w:color w:val="auto"/>
              </w:rPr>
              <w:t>one vote.</w:t>
            </w:r>
          </w:p>
        </w:tc>
        <w:tc>
          <w:tcPr>
            <w:tcW w:w="0" w:type="dxa"/>
            <w:vAlign w:val="bottom"/>
          </w:tcPr>
          <w:p>
            <w:pPr>
              <w:spacing w:after="0"/>
              <w:rPr>
                <w:sz w:val="1"/>
                <w:szCs w:val="1"/>
                <w:color w:val="auto"/>
              </w:rPr>
            </w:pPr>
          </w:p>
        </w:tc>
      </w:tr>
      <w:tr>
        <w:trPr>
          <w:trHeight w:val="93"/>
        </w:trPr>
        <w:tc>
          <w:tcPr>
            <w:tcW w:w="1360" w:type="dxa"/>
            <w:vAlign w:val="bottom"/>
          </w:tcPr>
          <w:p>
            <w:pPr>
              <w:spacing w:after="0"/>
              <w:rPr>
                <w:sz w:val="8"/>
                <w:szCs w:val="8"/>
                <w:color w:val="auto"/>
              </w:rPr>
            </w:pPr>
          </w:p>
        </w:tc>
        <w:tc>
          <w:tcPr>
            <w:tcW w:w="34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0500"/>
          </w:cols>
          <w:pgMar w:left="220" w:top="144" w:right="1179" w:bottom="1440" w:gutter="0" w:footer="0" w:header="0"/>
          <w:type w:val="continuous"/>
        </w:sectPr>
      </w:pPr>
    </w:p>
    <w:p>
      <w:pPr>
        <w:ind w:left="1860" w:right="61" w:hanging="681"/>
        <w:spacing w:after="0" w:line="239" w:lineRule="auto"/>
        <w:tabs>
          <w:tab w:leader="none" w:pos="1455" w:val="left"/>
        </w:tabs>
        <w:numPr>
          <w:ilvl w:val="0"/>
          <w:numId w:val="199"/>
        </w:numPr>
        <w:rPr>
          <w:rFonts w:ascii="Arial" w:cs="Arial" w:eastAsia="Arial" w:hAnsi="Arial"/>
          <w:sz w:val="29"/>
          <w:szCs w:val="29"/>
          <w:color w:val="auto"/>
          <w:vertAlign w:val="superscript"/>
        </w:rPr>
      </w:pPr>
      <w:r>
        <w:rPr>
          <w:rFonts w:ascii="Arial" w:cs="Arial" w:eastAsia="Arial" w:hAnsi="Arial"/>
          <w:sz w:val="18"/>
          <w:szCs w:val="18"/>
          <w:color w:val="auto"/>
        </w:rPr>
        <w:t>Der Verwaltungsrat erlässt die Verfahrensvorschriften über die Teilnahme und Vertretung an der Generalversammlung. Ein Aktionär kann sich an der Generalversammlung nur durch den unabhängigen Stimmrechtsvertreter (mittels schriftlicher oder elektronischer Vollmacht), seinen gesetzlichen Vertreter oder (mittels schriftlicher Vollmacht) einen anderen stimmberechtigten Aktionär vertreten lassen. Alle von einem Aktionär gehaltenen Aktien können nur von einer Person vertreten werden.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719" w:hanging="719"/>
        <w:spacing w:after="0" w:line="238" w:lineRule="auto"/>
        <w:tabs>
          <w:tab w:leader="none" w:pos="314" w:val="left"/>
        </w:tabs>
        <w:numPr>
          <w:ilvl w:val="0"/>
          <w:numId w:val="200"/>
        </w:numPr>
        <w:rPr>
          <w:rFonts w:ascii="Arial" w:cs="Arial" w:eastAsia="Arial" w:hAnsi="Arial"/>
          <w:sz w:val="29"/>
          <w:szCs w:val="29"/>
          <w:color w:val="auto"/>
          <w:vertAlign w:val="superscript"/>
        </w:rPr>
      </w:pPr>
      <w:r>
        <w:rPr>
          <w:rFonts w:ascii="Arial" w:cs="Arial" w:eastAsia="Arial" w:hAnsi="Arial"/>
          <w:sz w:val="18"/>
          <w:szCs w:val="18"/>
          <w:color w:val="auto"/>
        </w:rPr>
        <w:t>The board of directors shall issue procedural rules regarding participation in and representation at the general meeting of shareholders. A shareholder may be represented only by the independent voting rights representative (</w:t>
      </w:r>
      <w:r>
        <w:rPr>
          <w:rFonts w:ascii="Arial" w:cs="Arial" w:eastAsia="Arial" w:hAnsi="Arial"/>
          <w:sz w:val="18"/>
          <w:szCs w:val="18"/>
          <w:i w:val="1"/>
          <w:iCs w:val="1"/>
          <w:color w:val="auto"/>
        </w:rPr>
        <w:t>unabhängiger Stimmrechtsvertreter</w:t>
      </w:r>
      <w:r>
        <w:rPr>
          <w:rFonts w:ascii="Arial" w:cs="Arial" w:eastAsia="Arial" w:hAnsi="Arial"/>
          <w:sz w:val="18"/>
          <w:szCs w:val="18"/>
          <w:color w:val="auto"/>
        </w:rPr>
        <w:t>) (by way of a written or electronic proxy), his legal representative or, by means of a written proxy, another shareholder with the right to vote. All shares held by one shareholder must be represented by only one representative.</w:t>
      </w:r>
    </w:p>
    <w:p>
      <w:pPr>
        <w:spacing w:after="0" w:line="218" w:lineRule="exact"/>
        <w:rPr>
          <w:sz w:val="20"/>
          <w:szCs w:val="20"/>
          <w:color w:val="auto"/>
        </w:rPr>
      </w:pPr>
    </w:p>
    <w:p>
      <w:pPr>
        <w:sectPr>
          <w:pgSz w:w="11900" w:h="16838" w:orient="portrait"/>
          <w:cols w:equalWidth="0" w:num="2">
            <w:col w:w="5481" w:space="720"/>
            <w:col w:w="4299"/>
          </w:cols>
          <w:pgMar w:left="220" w:top="144" w:right="1179" w:bottom="1440" w:gutter="0" w:footer="0" w:header="0"/>
          <w:type w:val="continuous"/>
        </w:sectPr>
      </w:pPr>
    </w:p>
    <w:p>
      <w:pPr>
        <w:ind w:left="1860" w:right="61" w:hanging="681"/>
        <w:spacing w:after="0" w:line="236" w:lineRule="auto"/>
        <w:tabs>
          <w:tab w:leader="none" w:pos="1455" w:val="left"/>
        </w:tabs>
        <w:numPr>
          <w:ilvl w:val="0"/>
          <w:numId w:val="201"/>
        </w:numPr>
        <w:rPr>
          <w:rFonts w:ascii="Arial" w:cs="Arial" w:eastAsia="Arial" w:hAnsi="Arial"/>
          <w:sz w:val="29"/>
          <w:szCs w:val="29"/>
          <w:color w:val="auto"/>
          <w:vertAlign w:val="superscript"/>
        </w:rPr>
      </w:pPr>
      <w:r>
        <w:rPr>
          <w:rFonts w:ascii="Arial" w:cs="Arial" w:eastAsia="Arial" w:hAnsi="Arial"/>
          <w:sz w:val="18"/>
          <w:szCs w:val="18"/>
          <w:color w:val="auto"/>
        </w:rPr>
        <w:t>Die Generalversammlung wählt den unabhängigen Stimmrechtsvertreter für eine Amtsdauer bis zum Abschluss der nächsten ordentlichen Generalversammlung. Wiederwahl ist möglich. Hat die Gesellschaft aus irgendwelchen Gründen keinen unabhängigen Stimmrechtsvertreter, bezeichnet der Verwaltungsrat für die nächste stattfindende Generalversammlung einen unabhängigen Stimmrechtsvertreter.</w:t>
      </w:r>
    </w:p>
    <w:p>
      <w:pPr>
        <w:spacing w:after="0" w:line="20" w:lineRule="exact"/>
        <w:rPr>
          <w:sz w:val="20"/>
          <w:szCs w:val="20"/>
          <w:color w:val="auto"/>
        </w:rPr>
      </w:pPr>
      <w:r>
        <w:rPr>
          <w:sz w:val="20"/>
          <w:szCs w:val="20"/>
          <w:color w:val="auto"/>
        </w:rPr>
        <w:br w:type="column"/>
      </w:r>
    </w:p>
    <w:p>
      <w:pPr>
        <w:ind w:left="719" w:right="80" w:hanging="719"/>
        <w:spacing w:after="0" w:line="251" w:lineRule="auto"/>
        <w:tabs>
          <w:tab w:leader="none" w:pos="314" w:val="left"/>
        </w:tabs>
        <w:numPr>
          <w:ilvl w:val="0"/>
          <w:numId w:val="202"/>
        </w:numPr>
        <w:rPr>
          <w:rFonts w:ascii="Arial" w:cs="Arial" w:eastAsia="Arial" w:hAnsi="Arial"/>
          <w:sz w:val="28"/>
          <w:szCs w:val="28"/>
          <w:color w:val="auto"/>
          <w:vertAlign w:val="superscript"/>
        </w:rPr>
      </w:pPr>
      <w:r>
        <w:rPr>
          <w:rFonts w:ascii="Arial" w:cs="Arial" w:eastAsia="Arial" w:hAnsi="Arial"/>
          <w:sz w:val="17"/>
          <w:szCs w:val="17"/>
          <w:color w:val="auto"/>
        </w:rPr>
        <w:t>The general meeting of shareholders shall elect the independent voting rights representative at a general meeting of shareholders for a term of office extending until completion of the next ordinary general meeting of shareholders. Re-election is possible. If the company does not have an independent voting rights representative for whatever reason, the board of directors shall appoint the independent voting rights representative for the next meeting of shareholders.</w:t>
      </w:r>
    </w:p>
    <w:p>
      <w:pPr>
        <w:sectPr>
          <w:pgSz w:w="11900" w:h="16838" w:orient="portrait"/>
          <w:cols w:equalWidth="0" w:num="2">
            <w:col w:w="5481" w:space="720"/>
            <w:col w:w="4299"/>
          </w:cols>
          <w:pgMar w:left="220" w:top="144" w:right="1179" w:bottom="1440" w:gutter="0" w:footer="0" w:header="0"/>
          <w:type w:val="continuous"/>
        </w:sectPr>
      </w:pPr>
    </w:p>
    <w:bookmarkStart w:id="311" w:name="page312"/>
    <w:bookmarkEnd w:id="311"/>
    <w:p>
      <w:pPr>
        <w:spacing w:after="0" w:line="234" w:lineRule="auto"/>
        <w:tabs>
          <w:tab w:leader="none" w:pos="314" w:val="left"/>
        </w:tabs>
        <w:framePr w:w="1100" w:h="292" w:wrap="auto" w:vAnchor="page" w:hAnchor="page" w:x="5260" w:y="2845"/>
        <w:rPr>
          <w:rFonts w:ascii="Arial" w:cs="Arial" w:eastAsia="Arial" w:hAnsi="Arial"/>
          <w:sz w:val="13"/>
          <w:szCs w:val="13"/>
          <w:color w:val="auto"/>
        </w:rPr>
      </w:pPr>
      <w:r>
        <w:rPr>
          <w:rFonts w:ascii="Arial" w:cs="Arial" w:eastAsia="Arial" w:hAnsi="Arial"/>
          <w:sz w:val="13"/>
          <w:szCs w:val="13"/>
          <w:color w:val="auto"/>
        </w:rPr>
        <w:t>Resolutions and1 Elections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58" w:lineRule="exact"/>
        <w:rPr>
          <w:rFonts w:ascii="Arial" w:cs="Arial" w:eastAsia="Arial" w:hAnsi="Arial"/>
          <w:sz w:val="13"/>
          <w:szCs w:val="13"/>
          <w:color w:val="auto"/>
        </w:rPr>
      </w:pPr>
    </w:p>
    <w:p>
      <w:pPr>
        <w:ind w:left="740"/>
        <w:spacing w:after="0"/>
        <w:rPr>
          <w:sz w:val="20"/>
          <w:szCs w:val="20"/>
          <w:color w:val="auto"/>
        </w:rPr>
      </w:pPr>
      <w:r>
        <w:rPr>
          <w:rFonts w:ascii="Arial" w:cs="Arial" w:eastAsia="Arial" w:hAnsi="Arial"/>
          <w:sz w:val="14"/>
          <w:szCs w:val="14"/>
          <w:color w:val="auto"/>
        </w:rPr>
        <w:t>4</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jc w:val="center"/>
        <w:ind w:right="160"/>
        <w:spacing w:after="0"/>
        <w:rPr>
          <w:sz w:val="20"/>
          <w:szCs w:val="20"/>
          <w:color w:val="auto"/>
        </w:rPr>
      </w:pPr>
      <w:r>
        <w:rPr>
          <w:rFonts w:ascii="Arial" w:cs="Arial" w:eastAsia="Arial" w:hAnsi="Arial"/>
          <w:sz w:val="14"/>
          <w:szCs w:val="14"/>
          <w:color w:val="auto"/>
        </w:rPr>
        <w:t>- 14 -</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68" w:lineRule="exact"/>
        <w:rPr>
          <w:rFonts w:ascii="Arial" w:cs="Arial" w:eastAsia="Arial" w:hAnsi="Arial"/>
          <w:sz w:val="13"/>
          <w:szCs w:val="13"/>
          <w:color w:val="auto"/>
        </w:rPr>
      </w:pPr>
    </w:p>
    <w:p>
      <w:pPr>
        <w:spacing w:after="0"/>
        <w:tabs>
          <w:tab w:leader="none" w:pos="4800" w:val="left"/>
          <w:tab w:leader="none" w:pos="5140" w:val="left"/>
        </w:tabs>
        <w:rPr>
          <w:sz w:val="20"/>
          <w:szCs w:val="20"/>
          <w:color w:val="auto"/>
        </w:rPr>
      </w:pPr>
      <w:r>
        <w:rPr>
          <w:rFonts w:ascii="Arial" w:cs="Arial" w:eastAsia="Arial" w:hAnsi="Arial"/>
          <w:sz w:val="18"/>
          <w:szCs w:val="18"/>
          <w:color w:val="auto"/>
        </w:rPr>
        <w:t>Der Verwaltungsrat regelt die Anforderungen an die</w:t>
      </w:r>
      <w:r>
        <w:rPr>
          <w:sz w:val="20"/>
          <w:szCs w:val="20"/>
          <w:color w:val="auto"/>
        </w:rPr>
        <w:tab/>
      </w:r>
      <w:r>
        <w:rPr>
          <w:rFonts w:ascii="Arial" w:cs="Arial" w:eastAsia="Arial" w:hAnsi="Arial"/>
          <w:sz w:val="29"/>
          <w:szCs w:val="29"/>
          <w:color w:val="auto"/>
          <w:vertAlign w:val="superscript"/>
        </w:rPr>
        <w:t>4</w:t>
      </w:r>
      <w:r>
        <w:rPr>
          <w:sz w:val="20"/>
          <w:szCs w:val="20"/>
          <w:color w:val="auto"/>
        </w:rPr>
        <w:tab/>
      </w:r>
      <w:r>
        <w:rPr>
          <w:rFonts w:ascii="Arial" w:cs="Arial" w:eastAsia="Arial" w:hAnsi="Arial"/>
          <w:sz w:val="18"/>
          <w:szCs w:val="18"/>
          <w:color w:val="auto"/>
        </w:rPr>
        <w:t>The board of directors shall issue the particulars for</w:t>
      </w:r>
    </w:p>
    <w:p>
      <w:pPr>
        <w:spacing w:after="0" w:line="6" w:lineRule="exact"/>
        <w:rPr>
          <w:rFonts w:ascii="Arial" w:cs="Arial" w:eastAsia="Arial" w:hAnsi="Arial"/>
          <w:sz w:val="13"/>
          <w:szCs w:val="13"/>
          <w:color w:val="auto"/>
        </w:rPr>
      </w:pPr>
    </w:p>
    <w:p>
      <w:pPr>
        <w:ind w:left="400"/>
        <w:spacing w:after="0"/>
        <w:tabs>
          <w:tab w:leader="none" w:pos="5540" w:val="left"/>
        </w:tabs>
        <w:rPr>
          <w:sz w:val="20"/>
          <w:szCs w:val="20"/>
          <w:color w:val="auto"/>
        </w:rPr>
      </w:pPr>
      <w:r>
        <w:rPr>
          <w:rFonts w:ascii="Arial" w:cs="Arial" w:eastAsia="Arial" w:hAnsi="Arial"/>
          <w:sz w:val="18"/>
          <w:szCs w:val="18"/>
          <w:color w:val="auto"/>
        </w:rPr>
        <w:t>Vollmachten und Weisungen an den</w:t>
      </w:r>
      <w:r>
        <w:rPr>
          <w:sz w:val="20"/>
          <w:szCs w:val="20"/>
          <w:color w:val="auto"/>
        </w:rPr>
        <w:tab/>
      </w:r>
      <w:r>
        <w:rPr>
          <w:rFonts w:ascii="Arial" w:cs="Arial" w:eastAsia="Arial" w:hAnsi="Arial"/>
          <w:sz w:val="18"/>
          <w:szCs w:val="18"/>
          <w:color w:val="auto"/>
        </w:rPr>
        <w:t>the proxy of and for providing instructions to the</w:t>
      </w:r>
    </w:p>
    <w:p>
      <w:pPr>
        <w:spacing w:after="0" w:line="9" w:lineRule="exact"/>
        <w:rPr>
          <w:rFonts w:ascii="Arial" w:cs="Arial" w:eastAsia="Arial" w:hAnsi="Arial"/>
          <w:sz w:val="13"/>
          <w:szCs w:val="13"/>
          <w:color w:val="auto"/>
        </w:rPr>
      </w:pPr>
    </w:p>
    <w:p>
      <w:pPr>
        <w:ind w:left="400"/>
        <w:spacing w:after="0"/>
        <w:tabs>
          <w:tab w:leader="none" w:pos="5540" w:val="left"/>
        </w:tabs>
        <w:rPr>
          <w:sz w:val="20"/>
          <w:szCs w:val="20"/>
          <w:color w:val="auto"/>
        </w:rPr>
      </w:pPr>
      <w:r>
        <w:rPr>
          <w:rFonts w:ascii="Arial" w:cs="Arial" w:eastAsia="Arial" w:hAnsi="Arial"/>
          <w:sz w:val="18"/>
          <w:szCs w:val="18"/>
          <w:color w:val="auto"/>
        </w:rPr>
        <w:t>unabhängigen Stimmrechtsvertreter.</w:t>
      </w:r>
      <w:r>
        <w:rPr>
          <w:sz w:val="20"/>
          <w:szCs w:val="20"/>
          <w:color w:val="auto"/>
        </w:rPr>
        <w:tab/>
      </w:r>
      <w:r>
        <w:rPr>
          <w:rFonts w:ascii="Arial" w:cs="Arial" w:eastAsia="Arial" w:hAnsi="Arial"/>
          <w:sz w:val="18"/>
          <w:szCs w:val="18"/>
          <w:color w:val="auto"/>
        </w:rPr>
        <w:t>independent voting rights representative.</w:t>
      </w:r>
    </w:p>
    <w:p>
      <w:pPr>
        <w:spacing w:after="0" w:line="200" w:lineRule="exact"/>
        <w:rPr>
          <w:rFonts w:ascii="Arial" w:cs="Arial" w:eastAsia="Arial" w:hAnsi="Arial"/>
          <w:sz w:val="13"/>
          <w:szCs w:val="13"/>
          <w:color w:val="auto"/>
        </w:rPr>
      </w:pPr>
    </w:p>
    <w:p>
      <w:pPr>
        <w:sectPr>
          <w:pgSz w:w="11900" w:h="16838" w:orient="portrait"/>
          <w:cols w:equalWidth="0" w:num="2">
            <w:col w:w="820" w:space="260"/>
            <w:col w:w="9440"/>
          </w:cols>
          <w:pgMar w:left="220" w:top="144" w:right="1159" w:bottom="1440" w:gutter="0" w:footer="0" w:header="0"/>
        </w:sectPr>
      </w:pPr>
    </w:p>
    <w:p>
      <w:pPr>
        <w:spacing w:after="0" w:line="200" w:lineRule="exact"/>
        <w:rPr>
          <w:rFonts w:ascii="Arial" w:cs="Arial" w:eastAsia="Arial" w:hAnsi="Arial"/>
          <w:sz w:val="13"/>
          <w:szCs w:val="13"/>
          <w:color w:val="auto"/>
        </w:rPr>
      </w:pPr>
    </w:p>
    <w:p>
      <w:pPr>
        <w:spacing w:after="0" w:line="209"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0"/>
          <w:szCs w:val="10"/>
          <w:color w:val="auto"/>
        </w:rPr>
        <w:t>chlüsse, Wahlen1</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5" w:lineRule="exact"/>
        <w:rPr>
          <w:rFonts w:ascii="Arial" w:cs="Arial" w:eastAsia="Arial" w:hAnsi="Arial"/>
          <w:sz w:val="13"/>
          <w:szCs w:val="13"/>
          <w:color w:val="auto"/>
        </w:rPr>
      </w:pPr>
    </w:p>
    <w:p>
      <w:pPr>
        <w:jc w:val="right"/>
        <w:spacing w:after="0"/>
        <w:rPr>
          <w:sz w:val="20"/>
          <w:szCs w:val="20"/>
          <w:color w:val="auto"/>
        </w:rPr>
      </w:pPr>
      <w:r>
        <w:rPr>
          <w:rFonts w:ascii="Arial" w:cs="Arial" w:eastAsia="Arial" w:hAnsi="Arial"/>
          <w:sz w:val="14"/>
          <w:szCs w:val="14"/>
          <w:color w:val="auto"/>
        </w:rPr>
        <w:t>2</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12" w:lineRule="exact"/>
        <w:rPr>
          <w:rFonts w:ascii="Arial" w:cs="Arial" w:eastAsia="Arial" w:hAnsi="Arial"/>
          <w:sz w:val="13"/>
          <w:szCs w:val="13"/>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9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8"/>
          <w:szCs w:val="18"/>
          <w:b w:val="1"/>
          <w:bCs w:val="1"/>
          <w:color w:val="auto"/>
        </w:rPr>
        <w:t>Artikel 14</w:t>
      </w:r>
    </w:p>
    <w:p>
      <w:pPr>
        <w:spacing w:after="0" w:line="85" w:lineRule="exact"/>
        <w:rPr>
          <w:rFonts w:ascii="Arial" w:cs="Arial" w:eastAsia="Arial" w:hAnsi="Arial"/>
          <w:sz w:val="13"/>
          <w:szCs w:val="13"/>
          <w:color w:val="auto"/>
        </w:rPr>
      </w:pPr>
    </w:p>
    <w:p>
      <w:pPr>
        <w:jc w:val="right"/>
        <w:ind w:right="340"/>
        <w:spacing w:after="0" w:line="250" w:lineRule="auto"/>
        <w:rPr>
          <w:sz w:val="20"/>
          <w:szCs w:val="20"/>
          <w:color w:val="auto"/>
        </w:rPr>
      </w:pPr>
      <w:r>
        <w:rPr>
          <w:rFonts w:ascii="Arial" w:cs="Arial" w:eastAsia="Arial" w:hAnsi="Arial"/>
          <w:sz w:val="18"/>
          <w:szCs w:val="18"/>
          <w:color w:val="auto"/>
        </w:rPr>
        <w:t>Die Generalversammlung beschliesst und wählt, soweit das Gesetz und die Statuten es nicht</w:t>
      </w:r>
    </w:p>
    <w:p>
      <w:pPr>
        <w:spacing w:after="0" w:line="1" w:lineRule="exact"/>
        <w:rPr>
          <w:rFonts w:ascii="Arial" w:cs="Arial" w:eastAsia="Arial" w:hAnsi="Arial"/>
          <w:sz w:val="13"/>
          <w:szCs w:val="13"/>
          <w:color w:val="auto"/>
        </w:rPr>
      </w:pPr>
    </w:p>
    <w:p>
      <w:pPr>
        <w:ind w:left="400" w:right="140"/>
        <w:spacing w:after="0" w:line="261" w:lineRule="auto"/>
        <w:rPr>
          <w:sz w:val="20"/>
          <w:szCs w:val="20"/>
          <w:color w:val="auto"/>
        </w:rPr>
      </w:pPr>
      <w:r>
        <w:rPr>
          <w:rFonts w:ascii="Arial" w:cs="Arial" w:eastAsia="Arial" w:hAnsi="Arial"/>
          <w:sz w:val="18"/>
          <w:szCs w:val="18"/>
          <w:color w:val="auto"/>
        </w:rPr>
        <w:t>anders bestimmen, mit der absoluten Mehrheit der vertretenen Aktienstimmen.</w:t>
      </w:r>
    </w:p>
    <w:p>
      <w:pPr>
        <w:spacing w:after="0" w:line="200" w:lineRule="exact"/>
        <w:rPr>
          <w:rFonts w:ascii="Arial" w:cs="Arial" w:eastAsia="Arial" w:hAnsi="Arial"/>
          <w:sz w:val="13"/>
          <w:szCs w:val="13"/>
          <w:color w:val="auto"/>
        </w:rPr>
      </w:pPr>
    </w:p>
    <w:p>
      <w:pPr>
        <w:spacing w:after="0" w:line="322" w:lineRule="exact"/>
        <w:rPr>
          <w:rFonts w:ascii="Arial" w:cs="Arial" w:eastAsia="Arial" w:hAnsi="Arial"/>
          <w:sz w:val="13"/>
          <w:szCs w:val="13"/>
          <w:color w:val="auto"/>
        </w:rPr>
      </w:pPr>
    </w:p>
    <w:p>
      <w:pPr>
        <w:ind w:left="400" w:right="100" w:hanging="404"/>
        <w:spacing w:after="0" w:line="253" w:lineRule="auto"/>
        <w:rPr>
          <w:sz w:val="20"/>
          <w:szCs w:val="20"/>
          <w:color w:val="auto"/>
        </w:rPr>
      </w:pPr>
      <w:r>
        <w:rPr>
          <w:rFonts w:ascii="Arial" w:cs="Arial" w:eastAsia="Arial" w:hAnsi="Arial"/>
          <w:sz w:val="18"/>
          <w:szCs w:val="18"/>
          <w:color w:val="auto"/>
        </w:rPr>
        <w:t>Ein Beschluss der Generalversammlung, der mindestens zwei Drittel der vertretenen Stimmen und die absolute Mehrheit der vertretenen Aktiennennwerte auf sich vereinigt, ist erforderlich für:</w:t>
      </w:r>
    </w:p>
    <w:p>
      <w:pPr>
        <w:spacing w:after="0" w:line="192" w:lineRule="exact"/>
        <w:rPr>
          <w:rFonts w:ascii="Arial" w:cs="Arial" w:eastAsia="Arial" w:hAnsi="Arial"/>
          <w:sz w:val="13"/>
          <w:szCs w:val="13"/>
          <w:color w:val="auto"/>
        </w:rPr>
      </w:pPr>
    </w:p>
    <w:p>
      <w:pPr>
        <w:ind w:left="840" w:hanging="431"/>
        <w:spacing w:after="0"/>
        <w:tabs>
          <w:tab w:leader="none" w:pos="8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die Änderung des Gesellschaftszweckes;</w:t>
      </w:r>
    </w:p>
    <w:p>
      <w:pPr>
        <w:spacing w:after="0" w:line="225" w:lineRule="exact"/>
        <w:rPr>
          <w:rFonts w:ascii="Arial" w:cs="Arial" w:eastAsia="Arial" w:hAnsi="Arial"/>
          <w:sz w:val="18"/>
          <w:szCs w:val="18"/>
          <w:color w:val="auto"/>
        </w:rPr>
      </w:pPr>
    </w:p>
    <w:p>
      <w:pPr>
        <w:ind w:left="840" w:hanging="431"/>
        <w:spacing w:after="0"/>
        <w:tabs>
          <w:tab w:leader="none" w:pos="8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die Einführung von Stimmrechtsaktien;</w:t>
      </w:r>
    </w:p>
    <w:p>
      <w:pPr>
        <w:spacing w:after="0" w:line="63" w:lineRule="exact"/>
        <w:rPr>
          <w:rFonts w:ascii="Arial" w:cs="Arial" w:eastAsia="Arial" w:hAnsi="Arial"/>
          <w:sz w:val="18"/>
          <w:szCs w:val="18"/>
          <w:color w:val="auto"/>
        </w:rPr>
      </w:pPr>
    </w:p>
    <w:p>
      <w:pPr>
        <w:jc w:val="both"/>
        <w:ind w:left="860" w:hanging="451"/>
        <w:spacing w:after="0" w:line="256" w:lineRule="auto"/>
        <w:tabs>
          <w:tab w:leader="none" w:pos="8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die Beschränkung der Übertragbarkeit von Namenaktien und die Aufhebung einer solchen Beschränkung;</w:t>
      </w:r>
    </w:p>
    <w:p>
      <w:pPr>
        <w:spacing w:after="0" w:line="39" w:lineRule="exact"/>
        <w:rPr>
          <w:rFonts w:ascii="Arial" w:cs="Arial" w:eastAsia="Arial" w:hAnsi="Arial"/>
          <w:sz w:val="18"/>
          <w:szCs w:val="18"/>
          <w:color w:val="auto"/>
        </w:rPr>
      </w:pPr>
    </w:p>
    <w:p>
      <w:pPr>
        <w:ind w:left="860" w:hanging="451"/>
        <w:spacing w:after="0" w:line="261" w:lineRule="auto"/>
        <w:tabs>
          <w:tab w:leader="none" w:pos="84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eine genehmigte oder eine bedingte Kapitalerhöhung;</w:t>
      </w:r>
    </w:p>
    <w:p>
      <w:pPr>
        <w:spacing w:after="0" w:line="35" w:lineRule="exact"/>
        <w:rPr>
          <w:rFonts w:ascii="Arial" w:cs="Arial" w:eastAsia="Arial" w:hAnsi="Arial"/>
          <w:sz w:val="18"/>
          <w:szCs w:val="18"/>
          <w:color w:val="auto"/>
        </w:rPr>
      </w:pPr>
    </w:p>
    <w:p>
      <w:pPr>
        <w:jc w:val="both"/>
        <w:ind w:left="860" w:hanging="451"/>
        <w:spacing w:after="0" w:line="254" w:lineRule="auto"/>
        <w:tabs>
          <w:tab w:leader="none" w:pos="84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die Kapitalerhöhung aus Eigenkapital, gegen Sacheinlage oder zwecks Sachübernahme und die Gewährung von besonderen Vorteilen;</w:t>
      </w:r>
    </w:p>
    <w:p>
      <w:pPr>
        <w:spacing w:after="0" w:line="41" w:lineRule="exact"/>
        <w:rPr>
          <w:rFonts w:ascii="Arial" w:cs="Arial" w:eastAsia="Arial" w:hAnsi="Arial"/>
          <w:sz w:val="18"/>
          <w:szCs w:val="18"/>
          <w:color w:val="auto"/>
        </w:rPr>
      </w:pPr>
    </w:p>
    <w:p>
      <w:pPr>
        <w:ind w:left="860" w:hanging="451"/>
        <w:spacing w:after="0" w:line="261" w:lineRule="auto"/>
        <w:tabs>
          <w:tab w:leader="none" w:pos="85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die Einschränkung oder Aufhebung des Bezugsrechtes;</w:t>
      </w:r>
    </w:p>
    <w:p>
      <w:pPr>
        <w:spacing w:after="0" w:line="35" w:lineRule="exact"/>
        <w:rPr>
          <w:rFonts w:ascii="Arial" w:cs="Arial" w:eastAsia="Arial" w:hAnsi="Arial"/>
          <w:sz w:val="18"/>
          <w:szCs w:val="18"/>
          <w:color w:val="auto"/>
        </w:rPr>
      </w:pPr>
    </w:p>
    <w:p>
      <w:pPr>
        <w:ind w:left="840" w:hanging="431"/>
        <w:spacing w:after="0"/>
        <w:tabs>
          <w:tab w:leader="none" w:pos="8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die Verlegung des Sitzes der Gesellschaft;</w:t>
      </w:r>
    </w:p>
    <w:p>
      <w:pPr>
        <w:spacing w:after="0" w:line="63" w:lineRule="exact"/>
        <w:rPr>
          <w:rFonts w:ascii="Arial" w:cs="Arial" w:eastAsia="Arial" w:hAnsi="Arial"/>
          <w:sz w:val="18"/>
          <w:szCs w:val="18"/>
          <w:color w:val="auto"/>
        </w:rPr>
      </w:pPr>
    </w:p>
    <w:p>
      <w:pPr>
        <w:ind w:left="840" w:hanging="431"/>
        <w:spacing w:after="0"/>
        <w:tabs>
          <w:tab w:leader="none" w:pos="8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die Auflösung der Gesellschaft.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65" w:lineRule="exact"/>
        <w:rPr>
          <w:rFonts w:ascii="Arial" w:cs="Arial" w:eastAsia="Arial" w:hAnsi="Arial"/>
          <w:sz w:val="13"/>
          <w:szCs w:val="13"/>
          <w:color w:val="auto"/>
        </w:rPr>
      </w:pPr>
    </w:p>
    <w:p>
      <w:pPr>
        <w:ind w:left="400" w:right="20" w:hanging="404"/>
        <w:spacing w:after="0" w:line="271" w:lineRule="auto"/>
        <w:rPr>
          <w:sz w:val="20"/>
          <w:szCs w:val="20"/>
          <w:color w:val="auto"/>
        </w:rPr>
      </w:pPr>
      <w:r>
        <w:rPr>
          <w:rFonts w:ascii="Arial" w:cs="Arial" w:eastAsia="Arial" w:hAnsi="Arial"/>
          <w:sz w:val="17"/>
          <w:szCs w:val="17"/>
          <w:color w:val="auto"/>
        </w:rPr>
        <w:t>Die Abstimmungen und Wahlen erfolgen offen, es sei denn, dass die Generalversammlung schriftliche Abstimmung respektive Wahl (einschliesslich elektronische Abstimmungsverfahren) beschliesst oder der Vorsitzende dies anordnet.</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91" w:lineRule="exact"/>
        <w:rPr>
          <w:rFonts w:ascii="Arial" w:cs="Arial" w:eastAsia="Arial" w:hAnsi="Arial"/>
          <w:sz w:val="13"/>
          <w:szCs w:val="13"/>
          <w:color w:val="auto"/>
        </w:rPr>
      </w:pPr>
    </w:p>
    <w:p>
      <w:pPr>
        <w:ind w:left="336"/>
        <w:spacing w:after="0"/>
        <w:rPr>
          <w:sz w:val="20"/>
          <w:szCs w:val="20"/>
          <w:color w:val="auto"/>
        </w:rPr>
      </w:pPr>
      <w:r>
        <w:rPr>
          <w:rFonts w:ascii="Arial" w:cs="Arial" w:eastAsia="Arial" w:hAnsi="Arial"/>
          <w:sz w:val="18"/>
          <w:szCs w:val="18"/>
          <w:b w:val="1"/>
          <w:bCs w:val="1"/>
          <w:color w:val="auto"/>
        </w:rPr>
        <w:t>Article 14</w:t>
      </w:r>
    </w:p>
    <w:p>
      <w:pPr>
        <w:spacing w:after="0" w:line="85" w:lineRule="exact"/>
        <w:rPr>
          <w:rFonts w:ascii="Arial" w:cs="Arial" w:eastAsia="Arial" w:hAnsi="Arial"/>
          <w:sz w:val="13"/>
          <w:szCs w:val="13"/>
          <w:color w:val="auto"/>
        </w:rPr>
      </w:pPr>
    </w:p>
    <w:p>
      <w:pPr>
        <w:ind w:left="736" w:right="80" w:hanging="404"/>
        <w:spacing w:after="0" w:line="252" w:lineRule="auto"/>
        <w:rPr>
          <w:sz w:val="20"/>
          <w:szCs w:val="20"/>
          <w:color w:val="auto"/>
        </w:rPr>
      </w:pPr>
      <w:r>
        <w:rPr>
          <w:rFonts w:ascii="Arial" w:cs="Arial" w:eastAsia="Arial" w:hAnsi="Arial"/>
          <w:sz w:val="18"/>
          <w:szCs w:val="18"/>
          <w:color w:val="auto"/>
        </w:rPr>
        <w:t>Unless otherwise required by law or these Articles of Incorporation, the general meeting of shareholders shall take resolutions and decide elections upon an absolute majority of the votes represented at the general meeting of shareholders.</w:t>
      </w:r>
    </w:p>
    <w:p>
      <w:pPr>
        <w:spacing w:after="0" w:line="46" w:lineRule="exact"/>
        <w:rPr>
          <w:rFonts w:ascii="Arial" w:cs="Arial" w:eastAsia="Arial" w:hAnsi="Arial"/>
          <w:sz w:val="13"/>
          <w:szCs w:val="13"/>
          <w:color w:val="auto"/>
        </w:rPr>
      </w:pPr>
    </w:p>
    <w:p>
      <w:pPr>
        <w:ind w:left="736" w:right="80" w:hanging="736"/>
        <w:spacing w:after="0" w:line="223" w:lineRule="auto"/>
        <w:tabs>
          <w:tab w:leader="none" w:pos="331" w:val="left"/>
        </w:tabs>
        <w:numPr>
          <w:ilvl w:val="0"/>
          <w:numId w:val="204"/>
        </w:numPr>
        <w:rPr>
          <w:rFonts w:ascii="Arial" w:cs="Arial" w:eastAsia="Arial" w:hAnsi="Arial"/>
          <w:sz w:val="29"/>
          <w:szCs w:val="29"/>
          <w:color w:val="auto"/>
          <w:vertAlign w:val="superscript"/>
        </w:rPr>
      </w:pPr>
      <w:r>
        <w:rPr>
          <w:rFonts w:ascii="Arial" w:cs="Arial" w:eastAsia="Arial" w:hAnsi="Arial"/>
          <w:sz w:val="18"/>
          <w:szCs w:val="18"/>
          <w:color w:val="auto"/>
        </w:rPr>
        <w:t>The approval of at least two-thirds of the votes and the absolute majority of the par value of shares, each as represented at a general meeting of shareholders, shall be required for resolutions with respect to:</w:t>
      </w:r>
    </w:p>
    <w:p>
      <w:pPr>
        <w:spacing w:after="0" w:line="108" w:lineRule="exact"/>
        <w:rPr>
          <w:rFonts w:ascii="Arial" w:cs="Arial" w:eastAsia="Arial" w:hAnsi="Arial"/>
          <w:sz w:val="29"/>
          <w:szCs w:val="29"/>
          <w:color w:val="auto"/>
          <w:vertAlign w:val="superscript"/>
        </w:rPr>
      </w:pPr>
    </w:p>
    <w:p>
      <w:pPr>
        <w:ind w:left="1156" w:right="440" w:hanging="414"/>
        <w:spacing w:after="0" w:line="261" w:lineRule="auto"/>
        <w:tabs>
          <w:tab w:leader="none" w:pos="114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amendment or modification of the purpose of the Company;</w:t>
      </w:r>
    </w:p>
    <w:p>
      <w:pPr>
        <w:spacing w:after="0" w:line="130" w:lineRule="exact"/>
        <w:rPr>
          <w:rFonts w:ascii="Arial" w:cs="Arial" w:eastAsia="Arial" w:hAnsi="Arial"/>
          <w:sz w:val="18"/>
          <w:szCs w:val="18"/>
          <w:color w:val="auto"/>
        </w:rPr>
      </w:pPr>
    </w:p>
    <w:p>
      <w:pPr>
        <w:ind w:left="1196" w:right="20" w:hanging="454"/>
        <w:spacing w:after="0" w:line="261" w:lineRule="auto"/>
        <w:tabs>
          <w:tab w:leader="none" w:pos="118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creation of shares with privileged voting rights;</w:t>
      </w:r>
    </w:p>
    <w:p>
      <w:pPr>
        <w:spacing w:after="0" w:line="35" w:lineRule="exact"/>
        <w:rPr>
          <w:rFonts w:ascii="Arial" w:cs="Arial" w:eastAsia="Arial" w:hAnsi="Arial"/>
          <w:sz w:val="18"/>
          <w:szCs w:val="18"/>
          <w:color w:val="auto"/>
        </w:rPr>
      </w:pPr>
    </w:p>
    <w:p>
      <w:pPr>
        <w:jc w:val="both"/>
        <w:ind w:left="1196" w:right="20" w:hanging="454"/>
        <w:spacing w:after="0" w:line="256" w:lineRule="auto"/>
        <w:tabs>
          <w:tab w:leader="none" w:pos="118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restriction on the transferability of registered shares and the cancelation of such restriction;</w:t>
      </w:r>
    </w:p>
    <w:p>
      <w:pPr>
        <w:spacing w:after="0" w:line="39" w:lineRule="exact"/>
        <w:rPr>
          <w:rFonts w:ascii="Arial" w:cs="Arial" w:eastAsia="Arial" w:hAnsi="Arial"/>
          <w:sz w:val="18"/>
          <w:szCs w:val="18"/>
          <w:color w:val="auto"/>
        </w:rPr>
      </w:pPr>
    </w:p>
    <w:p>
      <w:pPr>
        <w:ind w:left="1196" w:right="20" w:hanging="454"/>
        <w:spacing w:after="0" w:line="261" w:lineRule="auto"/>
        <w:tabs>
          <w:tab w:leader="none" w:pos="118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 authorized or conditional increase of the share capital;</w:t>
      </w:r>
    </w:p>
    <w:p>
      <w:pPr>
        <w:spacing w:after="0" w:line="35" w:lineRule="exact"/>
        <w:rPr>
          <w:rFonts w:ascii="Arial" w:cs="Arial" w:eastAsia="Arial" w:hAnsi="Arial"/>
          <w:sz w:val="18"/>
          <w:szCs w:val="18"/>
          <w:color w:val="auto"/>
        </w:rPr>
      </w:pPr>
    </w:p>
    <w:p>
      <w:pPr>
        <w:jc w:val="both"/>
        <w:ind w:left="1196" w:hanging="454"/>
        <w:spacing w:after="0" w:line="253" w:lineRule="auto"/>
        <w:tabs>
          <w:tab w:leader="none" w:pos="118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 increase of the share capital through the conversion of capital surplus, through contribution in kind or for purposes of an acquisition of assets, or the granting of special privileges;</w:t>
      </w:r>
    </w:p>
    <w:p>
      <w:pPr>
        <w:spacing w:after="0" w:line="43" w:lineRule="exact"/>
        <w:rPr>
          <w:rFonts w:ascii="Arial" w:cs="Arial" w:eastAsia="Arial" w:hAnsi="Arial"/>
          <w:sz w:val="18"/>
          <w:szCs w:val="18"/>
          <w:color w:val="auto"/>
        </w:rPr>
      </w:pPr>
    </w:p>
    <w:p>
      <w:pPr>
        <w:ind w:left="1196" w:right="20" w:hanging="454"/>
        <w:spacing w:after="0" w:line="261" w:lineRule="auto"/>
        <w:tabs>
          <w:tab w:leader="none" w:pos="118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limitation or withdrawal of preemptive rights;</w:t>
      </w:r>
    </w:p>
    <w:p>
      <w:pPr>
        <w:spacing w:after="0" w:line="35" w:lineRule="exact"/>
        <w:rPr>
          <w:rFonts w:ascii="Arial" w:cs="Arial" w:eastAsia="Arial" w:hAnsi="Arial"/>
          <w:sz w:val="18"/>
          <w:szCs w:val="18"/>
          <w:color w:val="auto"/>
        </w:rPr>
      </w:pPr>
    </w:p>
    <w:p>
      <w:pPr>
        <w:ind w:left="1196" w:right="20" w:hanging="454"/>
        <w:spacing w:after="0" w:line="261" w:lineRule="auto"/>
        <w:tabs>
          <w:tab w:leader="none" w:pos="118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relocation of the registered office of the Company;</w:t>
      </w:r>
    </w:p>
    <w:p>
      <w:pPr>
        <w:spacing w:after="0" w:line="35" w:lineRule="exact"/>
        <w:rPr>
          <w:rFonts w:ascii="Arial" w:cs="Arial" w:eastAsia="Arial" w:hAnsi="Arial"/>
          <w:sz w:val="18"/>
          <w:szCs w:val="18"/>
          <w:color w:val="auto"/>
        </w:rPr>
      </w:pPr>
    </w:p>
    <w:p>
      <w:pPr>
        <w:ind w:left="1176" w:hanging="434"/>
        <w:spacing w:after="0"/>
        <w:tabs>
          <w:tab w:leader="none" w:pos="117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dissolution of the Company.</w:t>
      </w:r>
    </w:p>
    <w:p>
      <w:pPr>
        <w:spacing w:after="0" w:line="117" w:lineRule="exact"/>
        <w:rPr>
          <w:rFonts w:ascii="Arial" w:cs="Arial" w:eastAsia="Arial" w:hAnsi="Arial"/>
          <w:sz w:val="13"/>
          <w:szCs w:val="13"/>
          <w:color w:val="auto"/>
        </w:rPr>
      </w:pPr>
    </w:p>
    <w:p>
      <w:pPr>
        <w:ind w:left="736" w:right="20" w:hanging="736"/>
        <w:spacing w:after="0" w:line="227" w:lineRule="auto"/>
        <w:tabs>
          <w:tab w:leader="none" w:pos="331" w:val="left"/>
        </w:tabs>
        <w:numPr>
          <w:ilvl w:val="0"/>
          <w:numId w:val="205"/>
        </w:numPr>
        <w:rPr>
          <w:rFonts w:ascii="Arial" w:cs="Arial" w:eastAsia="Arial" w:hAnsi="Arial"/>
          <w:sz w:val="29"/>
          <w:szCs w:val="29"/>
          <w:color w:val="auto"/>
          <w:vertAlign w:val="superscript"/>
        </w:rPr>
      </w:pPr>
      <w:r>
        <w:rPr>
          <w:rFonts w:ascii="Arial" w:cs="Arial" w:eastAsia="Arial" w:hAnsi="Arial"/>
          <w:sz w:val="18"/>
          <w:szCs w:val="18"/>
          <w:color w:val="auto"/>
        </w:rPr>
        <w:t>Resolutions and elections shall be decided by a show of hands, unless a written ballot (including electronic voting systems) is resolved by the general meeting of shareholders or is ordered by the acting chair of the general meeting of shareholders.</w:t>
      </w:r>
    </w:p>
    <w:p>
      <w:pPr>
        <w:sectPr>
          <w:pgSz w:w="11900" w:h="16838" w:orient="portrait"/>
          <w:cols w:equalWidth="0" w:num="3">
            <w:col w:w="820" w:space="260"/>
            <w:col w:w="4260" w:space="564"/>
            <w:col w:w="4616"/>
          </w:cols>
          <w:pgMar w:left="220" w:top="144" w:right="1159" w:bottom="1440" w:gutter="0" w:footer="0" w:header="0"/>
          <w:type w:val="continuous"/>
        </w:sectPr>
      </w:pPr>
    </w:p>
    <w:bookmarkStart w:id="312" w:name="page313"/>
    <w:bookmarkEnd w:id="312"/>
    <w:p>
      <w:pPr>
        <w:ind w:left="5560"/>
        <w:spacing w:after="0"/>
        <w:rPr>
          <w:sz w:val="20"/>
          <w:szCs w:val="20"/>
          <w:color w:val="auto"/>
        </w:rPr>
      </w:pPr>
      <w:r>
        <w:rPr>
          <w:rFonts w:ascii="Arial" w:cs="Arial" w:eastAsia="Arial" w:hAnsi="Arial"/>
          <w:sz w:val="14"/>
          <w:szCs w:val="14"/>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0" w:type="dxa"/>
            <w:vAlign w:val="bottom"/>
          </w:tcPr>
          <w:p>
            <w:pPr>
              <w:spacing w:after="0"/>
              <w:rPr>
                <w:sz w:val="20"/>
                <w:szCs w:val="20"/>
                <w:color w:val="auto"/>
              </w:rPr>
            </w:pPr>
          </w:p>
        </w:tc>
        <w:tc>
          <w:tcPr>
            <w:tcW w:w="5580" w:type="dxa"/>
            <w:vAlign w:val="bottom"/>
            <w:gridSpan w:val="2"/>
          </w:tcPr>
          <w:p>
            <w:pPr>
              <w:ind w:left="360"/>
              <w:spacing w:after="0"/>
              <w:rPr>
                <w:sz w:val="20"/>
                <w:szCs w:val="20"/>
                <w:color w:val="auto"/>
              </w:rPr>
            </w:pPr>
            <w:r>
              <w:rPr>
                <w:rFonts w:ascii="Arial" w:cs="Arial" w:eastAsia="Arial" w:hAnsi="Arial"/>
                <w:sz w:val="18"/>
                <w:szCs w:val="18"/>
                <w:i w:val="1"/>
                <w:iCs w:val="1"/>
                <w:color w:val="auto"/>
              </w:rPr>
              <w:t>B. Verwaltungsrat</w:t>
            </w:r>
          </w:p>
        </w:tc>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B. Board of Directors</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5580" w:type="dxa"/>
            <w:vAlign w:val="bottom"/>
            <w:gridSpan w:val="2"/>
          </w:tcPr>
          <w:p>
            <w:pPr>
              <w:ind w:left="360"/>
              <w:spacing w:after="0"/>
              <w:rPr>
                <w:sz w:val="20"/>
                <w:szCs w:val="20"/>
                <w:color w:val="auto"/>
              </w:rPr>
            </w:pPr>
            <w:r>
              <w:rPr>
                <w:rFonts w:ascii="Arial" w:cs="Arial" w:eastAsia="Arial" w:hAnsi="Arial"/>
                <w:sz w:val="18"/>
                <w:szCs w:val="18"/>
                <w:b w:val="1"/>
                <w:bCs w:val="1"/>
                <w:color w:val="auto"/>
              </w:rPr>
              <w:t>Artikel 15</w:t>
            </w:r>
          </w:p>
        </w:tc>
        <w:tc>
          <w:tcPr>
            <w:tcW w:w="4060" w:type="dxa"/>
            <w:vAlign w:val="bottom"/>
          </w:tcPr>
          <w:p>
            <w:pPr>
              <w:ind w:left="40"/>
              <w:spacing w:after="0"/>
              <w:rPr>
                <w:sz w:val="20"/>
                <w:szCs w:val="20"/>
                <w:color w:val="auto"/>
              </w:rPr>
            </w:pPr>
            <w:r>
              <w:rPr>
                <w:rFonts w:ascii="Arial" w:cs="Arial" w:eastAsia="Arial" w:hAnsi="Arial"/>
                <w:sz w:val="18"/>
                <w:szCs w:val="18"/>
                <w:b w:val="1"/>
                <w:bCs w:val="1"/>
                <w:color w:val="auto"/>
              </w:rPr>
              <w:t>Article 15</w:t>
            </w:r>
          </w:p>
        </w:tc>
        <w:tc>
          <w:tcPr>
            <w:tcW w:w="0" w:type="dxa"/>
            <w:vAlign w:val="bottom"/>
          </w:tcPr>
          <w:p>
            <w:pPr>
              <w:spacing w:after="0"/>
              <w:rPr>
                <w:sz w:val="1"/>
                <w:szCs w:val="1"/>
                <w:color w:val="auto"/>
              </w:rPr>
            </w:pPr>
          </w:p>
        </w:tc>
      </w:tr>
      <w:tr>
        <w:trPr>
          <w:trHeight w:val="59"/>
        </w:trPr>
        <w:tc>
          <w:tcPr>
            <w:tcW w:w="780" w:type="dxa"/>
            <w:vAlign w:val="bottom"/>
            <w:vMerge w:val="restart"/>
          </w:tcPr>
          <w:p>
            <w:pPr>
              <w:spacing w:after="0"/>
              <w:rPr>
                <w:sz w:val="20"/>
                <w:szCs w:val="20"/>
                <w:color w:val="auto"/>
              </w:rPr>
            </w:pPr>
            <w:r>
              <w:rPr>
                <w:rFonts w:ascii="Arial" w:cs="Arial" w:eastAsia="Arial" w:hAnsi="Arial"/>
                <w:sz w:val="14"/>
                <w:szCs w:val="14"/>
                <w:color w:val="auto"/>
              </w:rPr>
              <w:t>ahl der</w:t>
            </w:r>
          </w:p>
        </w:tc>
        <w:tc>
          <w:tcPr>
            <w:tcW w:w="5580" w:type="dxa"/>
            <w:vAlign w:val="bottom"/>
            <w:gridSpan w:val="2"/>
          </w:tcPr>
          <w:p>
            <w:pPr>
              <w:ind w:left="360"/>
              <w:spacing w:after="0" w:line="59" w:lineRule="exact"/>
              <w:rPr>
                <w:sz w:val="20"/>
                <w:szCs w:val="20"/>
                <w:color w:val="auto"/>
              </w:rPr>
            </w:pPr>
            <w:r>
              <w:rPr>
                <w:rFonts w:ascii="Arial" w:cs="Arial" w:eastAsia="Arial" w:hAnsi="Arial"/>
                <w:sz w:val="6"/>
                <w:szCs w:val="6"/>
                <w:color w:val="auto"/>
              </w:rPr>
              <w:t>Der Verwaltungsrat besteht aus mindestens 3 und</w:t>
            </w:r>
          </w:p>
        </w:tc>
        <w:tc>
          <w:tcPr>
            <w:tcW w:w="4060" w:type="dxa"/>
            <w:vAlign w:val="bottom"/>
          </w:tcPr>
          <w:p>
            <w:pPr>
              <w:ind w:left="40"/>
              <w:spacing w:after="0" w:line="59" w:lineRule="exact"/>
              <w:rPr>
                <w:sz w:val="20"/>
                <w:szCs w:val="20"/>
                <w:color w:val="auto"/>
              </w:rPr>
            </w:pPr>
            <w:r>
              <w:rPr>
                <w:rFonts w:ascii="Arial" w:cs="Arial" w:eastAsia="Arial" w:hAnsi="Arial"/>
                <w:sz w:val="6"/>
                <w:szCs w:val="6"/>
                <w:color w:val="auto"/>
              </w:rPr>
              <w:t>The board of directors shall consist of no less than</w:t>
            </w:r>
          </w:p>
        </w:tc>
        <w:tc>
          <w:tcPr>
            <w:tcW w:w="0" w:type="dxa"/>
            <w:vAlign w:val="bottom"/>
          </w:tcPr>
          <w:p>
            <w:pPr>
              <w:spacing w:after="0"/>
              <w:rPr>
                <w:sz w:val="1"/>
                <w:szCs w:val="1"/>
                <w:color w:val="auto"/>
              </w:rPr>
            </w:pPr>
          </w:p>
        </w:tc>
      </w:tr>
      <w:tr>
        <w:trPr>
          <w:trHeight w:val="162"/>
        </w:trPr>
        <w:tc>
          <w:tcPr>
            <w:tcW w:w="7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5000" w:type="dxa"/>
            <w:vAlign w:val="bottom"/>
          </w:tcPr>
          <w:p>
            <w:pPr>
              <w:ind w:left="3660"/>
              <w:spacing w:after="0"/>
              <w:rPr>
                <w:sz w:val="20"/>
                <w:szCs w:val="20"/>
                <w:color w:val="auto"/>
              </w:rPr>
            </w:pPr>
            <w:r>
              <w:rPr>
                <w:rFonts w:ascii="Arial" w:cs="Arial" w:eastAsia="Arial" w:hAnsi="Arial"/>
                <w:sz w:val="14"/>
                <w:szCs w:val="14"/>
                <w:color w:val="auto"/>
              </w:rPr>
              <w:t>Number of Directors</w:t>
            </w:r>
          </w:p>
        </w:tc>
        <w:tc>
          <w:tcPr>
            <w:tcW w:w="4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360" w:type="dxa"/>
            <w:vAlign w:val="bottom"/>
            <w:gridSpan w:val="2"/>
          </w:tcPr>
          <w:p>
            <w:pPr>
              <w:ind w:left="120"/>
              <w:spacing w:after="0"/>
              <w:rPr>
                <w:sz w:val="20"/>
                <w:szCs w:val="20"/>
                <w:color w:val="auto"/>
              </w:rPr>
            </w:pPr>
            <w:r>
              <w:rPr>
                <w:rFonts w:ascii="Arial" w:cs="Arial" w:eastAsia="Arial" w:hAnsi="Arial"/>
                <w:sz w:val="14"/>
                <w:szCs w:val="14"/>
                <w:color w:val="auto"/>
              </w:rPr>
              <w:t>Verwaltungsräte</w:t>
            </w:r>
          </w:p>
        </w:tc>
        <w:tc>
          <w:tcPr>
            <w:tcW w:w="5000" w:type="dxa"/>
            <w:vAlign w:val="bottom"/>
            <w:vMerge w:val="restart"/>
          </w:tcPr>
          <w:p>
            <w:pPr>
              <w:ind w:left="180"/>
              <w:spacing w:after="0"/>
              <w:rPr>
                <w:sz w:val="20"/>
                <w:szCs w:val="20"/>
                <w:color w:val="auto"/>
              </w:rPr>
            </w:pPr>
            <w:r>
              <w:rPr>
                <w:rFonts w:ascii="Arial" w:cs="Arial" w:eastAsia="Arial" w:hAnsi="Arial"/>
                <w:sz w:val="18"/>
                <w:szCs w:val="18"/>
                <w:color w:val="auto"/>
              </w:rPr>
              <w:t>höchstens 11 Mitgliedern.</w:t>
            </w:r>
          </w:p>
        </w:tc>
        <w:tc>
          <w:tcPr>
            <w:tcW w:w="4060" w:type="dxa"/>
            <w:vAlign w:val="bottom"/>
            <w:vMerge w:val="restart"/>
          </w:tcPr>
          <w:p>
            <w:pPr>
              <w:ind w:left="440"/>
              <w:spacing w:after="0"/>
              <w:rPr>
                <w:sz w:val="20"/>
                <w:szCs w:val="20"/>
                <w:color w:val="auto"/>
              </w:rPr>
            </w:pPr>
            <w:r>
              <w:rPr>
                <w:rFonts w:ascii="Arial" w:cs="Arial" w:eastAsia="Arial" w:hAnsi="Arial"/>
                <w:sz w:val="18"/>
                <w:szCs w:val="18"/>
                <w:color w:val="auto"/>
              </w:rPr>
              <w:t>3 and no more than 11 members.</w:t>
            </w:r>
          </w:p>
        </w:tc>
        <w:tc>
          <w:tcPr>
            <w:tcW w:w="0" w:type="dxa"/>
            <w:vAlign w:val="bottom"/>
          </w:tcPr>
          <w:p>
            <w:pPr>
              <w:spacing w:after="0"/>
              <w:rPr>
                <w:sz w:val="1"/>
                <w:szCs w:val="1"/>
                <w:color w:val="auto"/>
              </w:rPr>
            </w:pPr>
          </w:p>
        </w:tc>
      </w:tr>
      <w:tr>
        <w:trPr>
          <w:trHeight w:val="93"/>
        </w:trPr>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4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00"/>
          </w:cols>
          <w:pgMar w:left="220" w:top="144" w:right="1179" w:bottom="1440" w:gutter="0" w:footer="0" w:header="0"/>
        </w:sectPr>
      </w:pP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780" w:type="dxa"/>
            <w:vAlign w:val="bottom"/>
          </w:tcPr>
          <w:p>
            <w:pPr>
              <w:ind w:left="1120"/>
              <w:spacing w:after="0"/>
              <w:rPr>
                <w:sz w:val="20"/>
                <w:szCs w:val="20"/>
                <w:color w:val="auto"/>
              </w:rPr>
            </w:pPr>
            <w:r>
              <w:rPr>
                <w:rFonts w:ascii="Arial" w:cs="Arial" w:eastAsia="Arial" w:hAnsi="Arial"/>
                <w:sz w:val="18"/>
                <w:szCs w:val="18"/>
                <w:b w:val="1"/>
                <w:bCs w:val="1"/>
                <w:color w:val="auto"/>
              </w:rPr>
              <w:t>Artikel 16</w:t>
            </w:r>
          </w:p>
        </w:tc>
        <w:tc>
          <w:tcPr>
            <w:tcW w:w="1360" w:type="dxa"/>
            <w:vAlign w:val="bottom"/>
          </w:tcPr>
          <w:p>
            <w:pPr>
              <w:spacing w:after="0"/>
              <w:rPr>
                <w:sz w:val="20"/>
                <w:szCs w:val="20"/>
                <w:color w:val="auto"/>
              </w:rPr>
            </w:pPr>
          </w:p>
        </w:tc>
      </w:tr>
      <w:tr>
        <w:trPr>
          <w:trHeight w:val="221"/>
        </w:trPr>
        <w:tc>
          <w:tcPr>
            <w:tcW w:w="4780" w:type="dxa"/>
            <w:vAlign w:val="bottom"/>
          </w:tcPr>
          <w:p>
            <w:pPr>
              <w:spacing w:after="0" w:line="221" w:lineRule="exact"/>
              <w:rPr>
                <w:sz w:val="20"/>
                <w:szCs w:val="20"/>
                <w:color w:val="auto"/>
              </w:rPr>
            </w:pPr>
            <w:r>
              <w:rPr>
                <w:rFonts w:ascii="Arial" w:cs="Arial" w:eastAsia="Arial" w:hAnsi="Arial"/>
                <w:sz w:val="25"/>
                <w:szCs w:val="25"/>
                <w:color w:val="auto"/>
                <w:vertAlign w:val="superscript"/>
              </w:rPr>
              <w:t>l, Amtsdauer1</w:t>
            </w:r>
            <w:r>
              <w:rPr>
                <w:rFonts w:ascii="Arial" w:cs="Arial" w:eastAsia="Arial" w:hAnsi="Arial"/>
                <w:sz w:val="16"/>
                <w:szCs w:val="16"/>
                <w:color w:val="auto"/>
              </w:rPr>
              <w:t xml:space="preserve">   Die Mitglieder des Verwaltungsrats und der</w:t>
            </w:r>
          </w:p>
        </w:tc>
        <w:tc>
          <w:tcPr>
            <w:tcW w:w="1360" w:type="dxa"/>
            <w:vAlign w:val="bottom"/>
          </w:tcPr>
          <w:p>
            <w:pPr>
              <w:ind w:left="220"/>
              <w:spacing w:after="0"/>
              <w:rPr>
                <w:sz w:val="20"/>
                <w:szCs w:val="20"/>
                <w:color w:val="auto"/>
              </w:rPr>
            </w:pPr>
            <w:r>
              <w:rPr>
                <w:rFonts w:ascii="Arial" w:cs="Arial" w:eastAsia="Arial" w:hAnsi="Arial"/>
                <w:sz w:val="14"/>
                <w:szCs w:val="14"/>
                <w:color w:val="auto"/>
                <w:w w:val="98"/>
              </w:rPr>
              <w:t>Election, Term of1</w:t>
            </w:r>
          </w:p>
        </w:tc>
      </w:tr>
    </w:tbl>
    <w:p>
      <w:pPr>
        <w:ind w:left="1540" w:right="360"/>
        <w:spacing w:after="0" w:line="217" w:lineRule="auto"/>
        <w:rPr>
          <w:sz w:val="20"/>
          <w:szCs w:val="20"/>
          <w:color w:val="auto"/>
        </w:rPr>
      </w:pPr>
      <w:r>
        <w:rPr>
          <w:rFonts w:ascii="Arial" w:cs="Arial" w:eastAsia="Arial" w:hAnsi="Arial"/>
          <w:sz w:val="18"/>
          <w:szCs w:val="18"/>
          <w:color w:val="auto"/>
        </w:rPr>
        <w:t xml:space="preserve">Präsident des Verwaltungsrats werden von der </w:t>
      </w:r>
      <w:r>
        <w:rPr>
          <w:rFonts w:ascii="Arial" w:cs="Arial" w:eastAsia="Arial" w:hAnsi="Arial"/>
          <w:sz w:val="28"/>
          <w:szCs w:val="28"/>
          <w:color w:val="auto"/>
          <w:vertAlign w:val="superscript"/>
        </w:rPr>
        <w:t>Office</w:t>
      </w:r>
      <w:r>
        <w:rPr>
          <w:rFonts w:ascii="Arial" w:cs="Arial" w:eastAsia="Arial" w:hAnsi="Arial"/>
          <w:sz w:val="18"/>
          <w:szCs w:val="18"/>
          <w:color w:val="auto"/>
        </w:rPr>
        <w:t xml:space="preserve"> Generalversammlung einzeln für eine</w:t>
      </w:r>
    </w:p>
    <w:p>
      <w:pPr>
        <w:spacing w:after="0" w:line="2" w:lineRule="exact"/>
        <w:rPr>
          <w:sz w:val="20"/>
          <w:szCs w:val="20"/>
          <w:color w:val="auto"/>
        </w:rPr>
      </w:pPr>
    </w:p>
    <w:p>
      <w:pPr>
        <w:jc w:val="both"/>
        <w:ind w:left="1540" w:right="1120"/>
        <w:spacing w:after="0" w:line="291" w:lineRule="auto"/>
        <w:rPr>
          <w:sz w:val="20"/>
          <w:szCs w:val="20"/>
          <w:color w:val="auto"/>
        </w:rPr>
      </w:pPr>
      <w:r>
        <w:rPr>
          <w:rFonts w:ascii="Arial" w:cs="Arial" w:eastAsia="Arial" w:hAnsi="Arial"/>
          <w:sz w:val="17"/>
          <w:szCs w:val="17"/>
          <w:color w:val="auto"/>
        </w:rPr>
        <w:t>Amtsdauer bis zum Abschluss der nächsten ordentlichen Generalversammlung gewählt.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w:t>
      </w:r>
    </w:p>
    <w:p>
      <w:pPr>
        <w:spacing w:after="0" w:line="85" w:lineRule="exact"/>
        <w:rPr>
          <w:sz w:val="20"/>
          <w:szCs w:val="20"/>
          <w:color w:val="auto"/>
        </w:rPr>
      </w:pPr>
    </w:p>
    <w:p>
      <w:pPr>
        <w:ind w:left="400" w:hanging="404"/>
        <w:spacing w:after="0" w:line="252" w:lineRule="auto"/>
        <w:rPr>
          <w:sz w:val="20"/>
          <w:szCs w:val="20"/>
          <w:color w:val="auto"/>
        </w:rPr>
      </w:pPr>
      <w:r>
        <w:rPr>
          <w:rFonts w:ascii="Arial" w:cs="Arial" w:eastAsia="Arial" w:hAnsi="Arial"/>
          <w:sz w:val="18"/>
          <w:szCs w:val="18"/>
          <w:color w:val="auto"/>
        </w:rPr>
        <w:t>The shareholders shall elect the members of the board of directors and the chair of the board of directors individually at a general meeting of shareholders for a term of office extending until completion of the next ordinary general meeting of shareholders.</w:t>
      </w:r>
    </w:p>
    <w:p>
      <w:pPr>
        <w:spacing w:after="0" w:line="46" w:lineRule="exact"/>
        <w:rPr>
          <w:sz w:val="20"/>
          <w:szCs w:val="20"/>
          <w:color w:val="auto"/>
        </w:rPr>
      </w:pPr>
    </w:p>
    <w:p>
      <w:pPr>
        <w:sectPr>
          <w:pgSz w:w="11900" w:h="16838" w:orient="portrait"/>
          <w:cols w:equalWidth="0" w:num="2">
            <w:col w:w="6160" w:space="240"/>
            <w:col w:w="4100"/>
          </w:cols>
          <w:pgMar w:left="220" w:top="144" w:right="1179" w:bottom="1440" w:gutter="0" w:footer="0" w:header="0"/>
          <w:type w:val="continuous"/>
        </w:sectPr>
      </w:pPr>
    </w:p>
    <w:p>
      <w:pPr>
        <w:ind w:left="1540" w:right="339" w:hanging="712"/>
        <w:spacing w:after="0" w:line="192" w:lineRule="auto"/>
        <w:tabs>
          <w:tab w:leader="none" w:pos="1135" w:val="left"/>
        </w:tabs>
        <w:numPr>
          <w:ilvl w:val="0"/>
          <w:numId w:val="206"/>
        </w:numPr>
        <w:rPr>
          <w:rFonts w:ascii="Arial" w:cs="Arial" w:eastAsia="Arial" w:hAnsi="Arial"/>
          <w:sz w:val="29"/>
          <w:szCs w:val="29"/>
          <w:color w:val="auto"/>
          <w:vertAlign w:val="superscript"/>
        </w:rPr>
      </w:pPr>
      <w:r>
        <w:rPr>
          <w:rFonts w:ascii="Arial" w:cs="Arial" w:eastAsia="Arial" w:hAnsi="Arial"/>
          <w:sz w:val="18"/>
          <w:szCs w:val="18"/>
          <w:color w:val="auto"/>
        </w:rPr>
        <w:t>Die Mitglieder des Verwaltungsrats sind jederzeit wieder wählbar.</w:t>
      </w:r>
    </w:p>
    <w:p>
      <w:pPr>
        <w:spacing w:after="0" w:line="54" w:lineRule="exact"/>
        <w:rPr>
          <w:sz w:val="20"/>
          <w:szCs w:val="20"/>
          <w:color w:val="auto"/>
        </w:rPr>
      </w:pPr>
    </w:p>
    <w:p>
      <w:pPr>
        <w:ind w:left="1540" w:right="259" w:hanging="712"/>
        <w:spacing w:after="0" w:line="223" w:lineRule="auto"/>
        <w:tabs>
          <w:tab w:leader="none" w:pos="1135" w:val="left"/>
        </w:tabs>
        <w:numPr>
          <w:ilvl w:val="0"/>
          <w:numId w:val="207"/>
        </w:numPr>
        <w:rPr>
          <w:rFonts w:ascii="Arial" w:cs="Arial" w:eastAsia="Arial" w:hAnsi="Arial"/>
          <w:sz w:val="29"/>
          <w:szCs w:val="29"/>
          <w:color w:val="auto"/>
          <w:vertAlign w:val="superscript"/>
        </w:rPr>
      </w:pPr>
      <w:r>
        <w:rPr>
          <w:rFonts w:ascii="Arial" w:cs="Arial" w:eastAsia="Arial" w:hAnsi="Arial"/>
          <w:sz w:val="18"/>
          <w:szCs w:val="18"/>
          <w:color w:val="auto"/>
        </w:rPr>
        <w:t>Ist das Präsidium vakant, bezeichnet der Verwaltungsrat aus seiner Mitte einen neuen Präsidenten für eine Amtsdauer bis zum Abschluss der nächsten ordentlichen Generalsversammlung.</w:t>
      </w:r>
    </w:p>
    <w:p>
      <w:pPr>
        <w:spacing w:after="0" w:line="30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Artikel 17</w:t>
      </w:r>
    </w:p>
    <w:p>
      <w:pPr>
        <w:spacing w:after="0" w:line="20" w:lineRule="exact"/>
        <w:rPr>
          <w:sz w:val="20"/>
          <w:szCs w:val="20"/>
          <w:color w:val="auto"/>
        </w:rPr>
      </w:pPr>
      <w:r>
        <w:rPr>
          <w:sz w:val="20"/>
          <w:szCs w:val="20"/>
          <w:color w:val="auto"/>
        </w:rPr>
        <w:br w:type="column"/>
      </w:r>
    </w:p>
    <w:p>
      <w:pPr>
        <w:ind w:left="721" w:right="480" w:hanging="721"/>
        <w:spacing w:after="0" w:line="192" w:lineRule="auto"/>
        <w:tabs>
          <w:tab w:leader="none" w:pos="316" w:val="left"/>
        </w:tabs>
        <w:numPr>
          <w:ilvl w:val="0"/>
          <w:numId w:val="208"/>
        </w:numPr>
        <w:rPr>
          <w:rFonts w:ascii="Arial" w:cs="Arial" w:eastAsia="Arial" w:hAnsi="Arial"/>
          <w:sz w:val="29"/>
          <w:szCs w:val="29"/>
          <w:color w:val="auto"/>
          <w:vertAlign w:val="superscript"/>
        </w:rPr>
      </w:pPr>
      <w:r>
        <w:rPr>
          <w:rFonts w:ascii="Arial" w:cs="Arial" w:eastAsia="Arial" w:hAnsi="Arial"/>
          <w:sz w:val="18"/>
          <w:szCs w:val="18"/>
          <w:color w:val="auto"/>
        </w:rPr>
        <w:t>Members of the board of directors may be re-elected at any time.</w:t>
      </w:r>
    </w:p>
    <w:p>
      <w:pPr>
        <w:spacing w:after="0" w:line="54" w:lineRule="exact"/>
        <w:rPr>
          <w:sz w:val="20"/>
          <w:szCs w:val="20"/>
          <w:color w:val="auto"/>
        </w:rPr>
      </w:pPr>
    </w:p>
    <w:p>
      <w:pPr>
        <w:ind w:left="721" w:hanging="721"/>
        <w:spacing w:after="0" w:line="223" w:lineRule="auto"/>
        <w:tabs>
          <w:tab w:leader="none" w:pos="316" w:val="left"/>
        </w:tabs>
        <w:numPr>
          <w:ilvl w:val="0"/>
          <w:numId w:val="209"/>
        </w:numPr>
        <w:rPr>
          <w:rFonts w:ascii="Arial" w:cs="Arial" w:eastAsia="Arial" w:hAnsi="Arial"/>
          <w:sz w:val="29"/>
          <w:szCs w:val="29"/>
          <w:color w:val="auto"/>
          <w:vertAlign w:val="superscript"/>
        </w:rPr>
      </w:pPr>
      <w:r>
        <w:rPr>
          <w:rFonts w:ascii="Arial" w:cs="Arial" w:eastAsia="Arial" w:hAnsi="Arial"/>
          <w:sz w:val="18"/>
          <w:szCs w:val="18"/>
          <w:color w:val="auto"/>
        </w:rPr>
        <w:t>If the office of the chair of the board of directors is vacant, the board of directors shall appoint the chair from among its members for a term of office extending until completion of the next ordinary general meeting of shareholders.</w:t>
      </w:r>
    </w:p>
    <w:p>
      <w:pPr>
        <w:spacing w:after="0" w:line="303" w:lineRule="exact"/>
        <w:rPr>
          <w:sz w:val="20"/>
          <w:szCs w:val="20"/>
          <w:color w:val="auto"/>
        </w:rPr>
      </w:pPr>
    </w:p>
    <w:p>
      <w:pPr>
        <w:ind w:left="321"/>
        <w:spacing w:after="0"/>
        <w:rPr>
          <w:sz w:val="20"/>
          <w:szCs w:val="20"/>
          <w:color w:val="auto"/>
        </w:rPr>
      </w:pPr>
      <w:r>
        <w:rPr>
          <w:rFonts w:ascii="Arial" w:cs="Arial" w:eastAsia="Arial" w:hAnsi="Arial"/>
          <w:sz w:val="18"/>
          <w:szCs w:val="18"/>
          <w:b w:val="1"/>
          <w:bCs w:val="1"/>
          <w:color w:val="auto"/>
        </w:rPr>
        <w:t>Article 17</w:t>
      </w:r>
    </w:p>
    <w:p>
      <w:pPr>
        <w:spacing w:after="0" w:line="46" w:lineRule="exact"/>
        <w:rPr>
          <w:sz w:val="20"/>
          <w:szCs w:val="20"/>
          <w:color w:val="auto"/>
        </w:rPr>
      </w:pPr>
    </w:p>
    <w:p>
      <w:pPr>
        <w:sectPr>
          <w:pgSz w:w="11900" w:h="16838" w:orient="portrait"/>
          <w:cols w:equalWidth="0" w:num="2">
            <w:col w:w="5359" w:space="720"/>
            <w:col w:w="4421"/>
          </w:cols>
          <w:pgMar w:left="220" w:top="144" w:right="11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48"/>
              <w:spacing w:after="0"/>
              <w:rPr>
                <w:sz w:val="20"/>
                <w:szCs w:val="20"/>
                <w:color w:val="auto"/>
              </w:rPr>
            </w:pPr>
            <w:r>
              <w:rPr>
                <w:rFonts w:ascii="Arial" w:cs="Arial" w:eastAsia="Arial" w:hAnsi="Arial"/>
                <w:sz w:val="14"/>
                <w:szCs w:val="14"/>
                <w:color w:val="auto"/>
                <w:w w:val="93"/>
              </w:rPr>
              <w:t>anisation des 1</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Vorbehältlich der Wahl des Präsidenten des</w:t>
            </w:r>
          </w:p>
        </w:tc>
        <w:tc>
          <w:tcPr>
            <w:tcW w:w="1300" w:type="dxa"/>
            <w:vAlign w:val="bottom"/>
            <w:gridSpan w:val="2"/>
          </w:tcPr>
          <w:p>
            <w:pPr>
              <w:spacing w:after="0"/>
              <w:rPr>
                <w:sz w:val="20"/>
                <w:szCs w:val="20"/>
                <w:color w:val="auto"/>
              </w:rPr>
            </w:pPr>
            <w:r>
              <w:rPr>
                <w:rFonts w:ascii="Arial" w:cs="Arial" w:eastAsia="Arial" w:hAnsi="Arial"/>
                <w:sz w:val="14"/>
                <w:szCs w:val="14"/>
                <w:color w:val="auto"/>
              </w:rPr>
              <w:t>Organization of the1</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w w:val="99"/>
              </w:rPr>
              <w:t>Except for the election of the chairman of the board</w:t>
            </w:r>
          </w:p>
        </w:tc>
        <w:tc>
          <w:tcPr>
            <w:tcW w:w="0" w:type="dxa"/>
            <w:vAlign w:val="bottom"/>
          </w:tcPr>
          <w:p>
            <w:pPr>
              <w:spacing w:after="0"/>
              <w:rPr>
                <w:sz w:val="1"/>
                <w:szCs w:val="1"/>
                <w:color w:val="auto"/>
              </w:rPr>
            </w:pPr>
          </w:p>
        </w:tc>
      </w:tr>
      <w:tr>
        <w:trPr>
          <w:trHeight w:val="162"/>
        </w:trPr>
        <w:tc>
          <w:tcPr>
            <w:tcW w:w="1360" w:type="dxa"/>
            <w:vAlign w:val="bottom"/>
            <w:gridSpan w:val="2"/>
          </w:tcPr>
          <w:p>
            <w:pPr>
              <w:ind w:left="120"/>
              <w:spacing w:after="0"/>
              <w:rPr>
                <w:sz w:val="20"/>
                <w:szCs w:val="20"/>
                <w:color w:val="auto"/>
              </w:rPr>
            </w:pPr>
            <w:r>
              <w:rPr>
                <w:rFonts w:ascii="Arial" w:cs="Arial" w:eastAsia="Arial" w:hAnsi="Arial"/>
                <w:sz w:val="14"/>
                <w:szCs w:val="14"/>
                <w:color w:val="auto"/>
              </w:rPr>
              <w:t>Verwaltungsrats,</w:t>
            </w:r>
          </w:p>
        </w:tc>
        <w:tc>
          <w:tcPr>
            <w:tcW w:w="3660" w:type="dxa"/>
            <w:vAlign w:val="bottom"/>
            <w:vMerge w:val="restart"/>
          </w:tcPr>
          <w:p>
            <w:pPr>
              <w:ind w:left="180"/>
              <w:spacing w:after="0"/>
              <w:rPr>
                <w:sz w:val="20"/>
                <w:szCs w:val="20"/>
                <w:color w:val="auto"/>
              </w:rPr>
            </w:pPr>
            <w:r>
              <w:rPr>
                <w:rFonts w:ascii="Arial" w:cs="Arial" w:eastAsia="Arial" w:hAnsi="Arial"/>
                <w:sz w:val="18"/>
                <w:szCs w:val="18"/>
                <w:color w:val="auto"/>
              </w:rPr>
              <w:t>Verwaltungsrats und der Mitglieder des</w:t>
            </w:r>
          </w:p>
        </w:tc>
        <w:tc>
          <w:tcPr>
            <w:tcW w:w="3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4"/>
                <w:szCs w:val="14"/>
                <w:color w:val="auto"/>
              </w:rPr>
              <w:t>Board of</w:t>
            </w:r>
          </w:p>
        </w:tc>
        <w:tc>
          <w:tcPr>
            <w:tcW w:w="300" w:type="dxa"/>
            <w:vAlign w:val="bottom"/>
          </w:tcPr>
          <w:p>
            <w:pPr>
              <w:spacing w:after="0"/>
              <w:rPr>
                <w:sz w:val="14"/>
                <w:szCs w:val="14"/>
                <w:color w:val="auto"/>
              </w:rPr>
            </w:pPr>
          </w:p>
        </w:tc>
        <w:tc>
          <w:tcPr>
            <w:tcW w:w="3860" w:type="dxa"/>
            <w:vAlign w:val="bottom"/>
            <w:vMerge w:val="restart"/>
          </w:tcPr>
          <w:p>
            <w:pPr>
              <w:ind w:left="180"/>
              <w:spacing w:after="0"/>
              <w:rPr>
                <w:sz w:val="20"/>
                <w:szCs w:val="20"/>
                <w:color w:val="auto"/>
              </w:rPr>
            </w:pPr>
            <w:r>
              <w:rPr>
                <w:rFonts w:ascii="Arial" w:cs="Arial" w:eastAsia="Arial" w:hAnsi="Arial"/>
                <w:sz w:val="18"/>
                <w:szCs w:val="18"/>
                <w:color w:val="auto"/>
              </w:rPr>
              <w:t>of directors and the members of the</w:t>
            </w:r>
          </w:p>
        </w:tc>
        <w:tc>
          <w:tcPr>
            <w:tcW w:w="0" w:type="dxa"/>
            <w:vAlign w:val="bottom"/>
          </w:tcPr>
          <w:p>
            <w:pPr>
              <w:spacing w:after="0"/>
              <w:rPr>
                <w:sz w:val="1"/>
                <w:szCs w:val="1"/>
                <w:color w:val="auto"/>
              </w:rPr>
            </w:pPr>
          </w:p>
        </w:tc>
      </w:tr>
      <w:tr>
        <w:trPr>
          <w:trHeight w:val="102"/>
        </w:trPr>
        <w:tc>
          <w:tcPr>
            <w:tcW w:w="1020" w:type="dxa"/>
            <w:vAlign w:val="bottom"/>
            <w:vMerge w:val="restart"/>
          </w:tcPr>
          <w:p>
            <w:pPr>
              <w:ind w:left="120"/>
              <w:spacing w:after="0"/>
              <w:rPr>
                <w:sz w:val="20"/>
                <w:szCs w:val="20"/>
                <w:color w:val="auto"/>
              </w:rPr>
            </w:pPr>
            <w:r>
              <w:rPr>
                <w:rFonts w:ascii="Arial" w:cs="Arial" w:eastAsia="Arial" w:hAnsi="Arial"/>
                <w:sz w:val="14"/>
                <w:szCs w:val="14"/>
                <w:color w:val="auto"/>
              </w:rPr>
              <w:t>Ersatz der</w:t>
            </w:r>
          </w:p>
        </w:tc>
        <w:tc>
          <w:tcPr>
            <w:tcW w:w="340" w:type="dxa"/>
            <w:vAlign w:val="bottom"/>
          </w:tcPr>
          <w:p>
            <w:pPr>
              <w:spacing w:after="0"/>
              <w:rPr>
                <w:sz w:val="8"/>
                <w:szCs w:val="8"/>
                <w:color w:val="auto"/>
              </w:rPr>
            </w:pPr>
          </w:p>
        </w:tc>
        <w:tc>
          <w:tcPr>
            <w:tcW w:w="3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color w:val="auto"/>
              </w:rPr>
              <w:t>Directors,</w:t>
            </w:r>
          </w:p>
        </w:tc>
        <w:tc>
          <w:tcPr>
            <w:tcW w:w="3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0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660" w:type="dxa"/>
            <w:vAlign w:val="bottom"/>
            <w:vMerge w:val="restart"/>
          </w:tcPr>
          <w:p>
            <w:pPr>
              <w:ind w:left="180"/>
              <w:spacing w:after="0"/>
              <w:rPr>
                <w:sz w:val="20"/>
                <w:szCs w:val="20"/>
                <w:color w:val="auto"/>
              </w:rPr>
            </w:pPr>
            <w:r>
              <w:rPr>
                <w:rFonts w:ascii="Arial" w:cs="Arial" w:eastAsia="Arial" w:hAnsi="Arial"/>
                <w:sz w:val="18"/>
                <w:szCs w:val="18"/>
                <w:color w:val="auto"/>
              </w:rPr>
              <w:t>Vergütungsausschusses durch die</w:t>
            </w:r>
          </w:p>
        </w:tc>
        <w:tc>
          <w:tcPr>
            <w:tcW w:w="3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860" w:type="dxa"/>
            <w:vAlign w:val="bottom"/>
            <w:vMerge w:val="restart"/>
          </w:tcPr>
          <w:p>
            <w:pPr>
              <w:ind w:left="180"/>
              <w:spacing w:after="0"/>
              <w:rPr>
                <w:sz w:val="20"/>
                <w:szCs w:val="20"/>
                <w:color w:val="auto"/>
              </w:rPr>
            </w:pPr>
            <w:r>
              <w:rPr>
                <w:rFonts w:ascii="Arial" w:cs="Arial" w:eastAsia="Arial" w:hAnsi="Arial"/>
                <w:sz w:val="18"/>
                <w:szCs w:val="18"/>
                <w:color w:val="auto"/>
              </w:rPr>
              <w:t>compensation committee by the general</w:t>
            </w:r>
          </w:p>
        </w:tc>
        <w:tc>
          <w:tcPr>
            <w:tcW w:w="0" w:type="dxa"/>
            <w:vAlign w:val="bottom"/>
          </w:tcPr>
          <w:p>
            <w:pPr>
              <w:spacing w:after="0"/>
              <w:rPr>
                <w:sz w:val="1"/>
                <w:szCs w:val="1"/>
                <w:color w:val="auto"/>
              </w:rPr>
            </w:pPr>
          </w:p>
        </w:tc>
      </w:tr>
      <w:tr>
        <w:trPr>
          <w:trHeight w:val="156"/>
        </w:trPr>
        <w:tc>
          <w:tcPr>
            <w:tcW w:w="1020" w:type="dxa"/>
            <w:vAlign w:val="bottom"/>
          </w:tcPr>
          <w:p>
            <w:pPr>
              <w:ind w:left="120"/>
              <w:spacing w:after="0" w:line="157" w:lineRule="exact"/>
              <w:rPr>
                <w:sz w:val="20"/>
                <w:szCs w:val="20"/>
                <w:color w:val="auto"/>
              </w:rPr>
            </w:pPr>
            <w:r>
              <w:rPr>
                <w:rFonts w:ascii="Arial" w:cs="Arial" w:eastAsia="Arial" w:hAnsi="Arial"/>
                <w:sz w:val="14"/>
                <w:szCs w:val="14"/>
                <w:color w:val="auto"/>
              </w:rPr>
              <w:t>Auslagen</w:t>
            </w:r>
          </w:p>
        </w:tc>
        <w:tc>
          <w:tcPr>
            <w:tcW w:w="34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Reimbursement</w:t>
            </w:r>
          </w:p>
        </w:tc>
        <w:tc>
          <w:tcPr>
            <w:tcW w:w="3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Generalversammlung konstituiert sich der</w:t>
            </w:r>
          </w:p>
        </w:tc>
        <w:tc>
          <w:tcPr>
            <w:tcW w:w="3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4"/>
                <w:szCs w:val="14"/>
                <w:color w:val="auto"/>
              </w:rPr>
              <w:t>of Expenses</w:t>
            </w: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meeting of shareholders, the board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Verwaltungsrat selbst. Er kann aus seiner</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directors shall constitute itself. It may elect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Mitte einen oder mehrere Vize-Präsidenten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from among its members one or several vice-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w w:val="99"/>
              </w:rPr>
              <w:t>wählen. Er bestellt einen Sekretär, der nicht</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chairmen. It shall appoint a secretary who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Mitglied des Verwaltungsrats zu sein braucht.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need not be a member of the board of</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269"/>
        </w:trPr>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Der Verwaltungsrat ordnet im Übrigen im Rahmen</w:t>
            </w:r>
          </w:p>
        </w:tc>
        <w:tc>
          <w:tcPr>
            <w:tcW w:w="980" w:type="dxa"/>
            <w:vAlign w:val="bottom"/>
          </w:tcPr>
          <w:p>
            <w:pPr>
              <w:ind w:left="740"/>
              <w:spacing w:after="0"/>
              <w:rPr>
                <w:sz w:val="20"/>
                <w:szCs w:val="20"/>
                <w:color w:val="auto"/>
              </w:rPr>
            </w:pPr>
            <w:r>
              <w:rPr>
                <w:rFonts w:ascii="Arial" w:cs="Arial" w:eastAsia="Arial" w:hAnsi="Arial"/>
                <w:sz w:val="14"/>
                <w:szCs w:val="14"/>
                <w:color w:val="auto"/>
              </w:rPr>
              <w:t>2</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Subject to applicable law and these Articles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von Gesetz und Statuten seine Organisation</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Incorporation, the board of directors shall</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und Beschlussfassung durch ein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establish the particulars of its organization in</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Organisationsreglement.</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organizational regulations.</w:t>
            </w:r>
          </w:p>
        </w:tc>
        <w:tc>
          <w:tcPr>
            <w:tcW w:w="0" w:type="dxa"/>
            <w:vAlign w:val="bottom"/>
          </w:tcPr>
          <w:p>
            <w:pPr>
              <w:spacing w:after="0"/>
              <w:rPr>
                <w:sz w:val="1"/>
                <w:szCs w:val="1"/>
                <w:color w:val="auto"/>
              </w:rPr>
            </w:pPr>
          </w:p>
        </w:tc>
      </w:tr>
      <w:tr>
        <w:trPr>
          <w:trHeight w:val="269"/>
        </w:trPr>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4320" w:type="dxa"/>
            <w:vAlign w:val="bottom"/>
            <w:gridSpan w:val="3"/>
          </w:tcPr>
          <w:p>
            <w:pPr>
              <w:ind w:left="120"/>
              <w:spacing w:after="0"/>
              <w:rPr>
                <w:sz w:val="20"/>
                <w:szCs w:val="20"/>
                <w:color w:val="auto"/>
              </w:rPr>
            </w:pPr>
            <w:r>
              <w:rPr>
                <w:rFonts w:ascii="Arial" w:cs="Arial" w:eastAsia="Arial" w:hAnsi="Arial"/>
                <w:sz w:val="18"/>
                <w:szCs w:val="18"/>
                <w:color w:val="auto"/>
              </w:rPr>
              <w:t>Die Mitglieder des Verwaltungsrats haben Anspruch</w:t>
            </w:r>
          </w:p>
        </w:tc>
        <w:tc>
          <w:tcPr>
            <w:tcW w:w="980" w:type="dxa"/>
            <w:vAlign w:val="bottom"/>
          </w:tcPr>
          <w:p>
            <w:pPr>
              <w:ind w:left="740"/>
              <w:spacing w:after="0"/>
              <w:rPr>
                <w:sz w:val="20"/>
                <w:szCs w:val="20"/>
                <w:color w:val="auto"/>
              </w:rPr>
            </w:pPr>
            <w:r>
              <w:rPr>
                <w:rFonts w:ascii="Arial" w:cs="Arial" w:eastAsia="Arial" w:hAnsi="Arial"/>
                <w:sz w:val="14"/>
                <w:szCs w:val="14"/>
                <w:color w:val="auto"/>
              </w:rPr>
              <w:t>3</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The members of the board of directors shall be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color w:val="auto"/>
              </w:rPr>
              <w:t>auf Ersatz ihrer im Interesse der Gesellschaft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entitled to the reimbursement of all expenses</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aufgewendeten Auslagen.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incurred in the interests of the Company.</w:t>
            </w:r>
          </w:p>
        </w:tc>
        <w:tc>
          <w:tcPr>
            <w:tcW w:w="0" w:type="dxa"/>
            <w:vAlign w:val="bottom"/>
          </w:tcPr>
          <w:p>
            <w:pPr>
              <w:spacing w:after="0"/>
              <w:rPr>
                <w:sz w:val="1"/>
                <w:szCs w:val="1"/>
                <w:color w:val="auto"/>
              </w:rPr>
            </w:pPr>
          </w:p>
        </w:tc>
      </w:tr>
    </w:tbl>
    <w:p>
      <w:pPr>
        <w:sectPr>
          <w:pgSz w:w="11900" w:h="16838" w:orient="portrait"/>
          <w:cols w:equalWidth="0" w:num="1">
            <w:col w:w="10500"/>
          </w:cols>
          <w:pgMar w:left="220" w:top="144" w:right="1179" w:bottom="1440" w:gutter="0" w:footer="0" w:header="0"/>
          <w:type w:val="continuous"/>
        </w:sectPr>
      </w:pPr>
    </w:p>
    <w:bookmarkStart w:id="313" w:name="page314"/>
    <w:bookmarkEnd w:id="313"/>
    <w:p>
      <w:pPr>
        <w:spacing w:after="0" w:line="217" w:lineRule="auto"/>
        <w:framePr w:w="880" w:h="292" w:wrap="auto" w:vAnchor="page" w:hAnchor="page" w:x="5780" w:y="2305"/>
        <w:rPr>
          <w:rFonts w:ascii="Arial" w:cs="Arial" w:eastAsia="Arial" w:hAnsi="Arial"/>
          <w:sz w:val="14"/>
          <w:szCs w:val="14"/>
          <w:color w:val="auto"/>
        </w:rPr>
      </w:pPr>
      <w:r>
        <w:rPr>
          <w:rFonts w:ascii="Arial" w:cs="Arial" w:eastAsia="Arial" w:hAnsi="Arial"/>
          <w:sz w:val="14"/>
          <w:szCs w:val="14"/>
          <w:color w:val="auto"/>
        </w:rPr>
        <w:t>Resolutions, Minutes</w:t>
      </w:r>
    </w:p>
    <w:p>
      <w:pPr>
        <w:ind w:left="5560"/>
        <w:spacing w:after="0"/>
        <w:rPr>
          <w:sz w:val="20"/>
          <w:szCs w:val="20"/>
          <w:color w:val="auto"/>
        </w:rPr>
      </w:pPr>
      <w:r>
        <w:rPr>
          <w:rFonts w:ascii="Arial" w:cs="Arial" w:eastAsia="Arial" w:hAnsi="Arial"/>
          <w:sz w:val="14"/>
          <w:szCs w:val="14"/>
          <w:color w:val="auto"/>
        </w:rPr>
        <w:t>- 16 -</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61"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70"/>
        </w:trPr>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Artikel 18</w:t>
            </w: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820" w:type="dxa"/>
            <w:vAlign w:val="bottom"/>
          </w:tcPr>
          <w:p>
            <w:pPr>
              <w:spacing w:after="0"/>
              <w:rPr>
                <w:sz w:val="20"/>
                <w:szCs w:val="20"/>
                <w:color w:val="auto"/>
              </w:rPr>
            </w:pPr>
            <w:r>
              <w:rPr>
                <w:rFonts w:ascii="Arial" w:cs="Arial" w:eastAsia="Arial" w:hAnsi="Arial"/>
                <w:sz w:val="14"/>
                <w:szCs w:val="14"/>
                <w:color w:val="auto"/>
              </w:rPr>
              <w:t>erufung,</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4000" w:type="dxa"/>
            <w:vAlign w:val="bottom"/>
            <w:gridSpan w:val="2"/>
          </w:tcPr>
          <w:p>
            <w:pPr>
              <w:ind w:left="120"/>
              <w:spacing w:after="0" w:line="168" w:lineRule="exact"/>
              <w:rPr>
                <w:sz w:val="20"/>
                <w:szCs w:val="20"/>
                <w:color w:val="auto"/>
              </w:rPr>
            </w:pPr>
            <w:r>
              <w:rPr>
                <w:rFonts w:ascii="Arial" w:cs="Arial" w:eastAsia="Arial" w:hAnsi="Arial"/>
                <w:sz w:val="18"/>
                <w:szCs w:val="18"/>
                <w:color w:val="auto"/>
              </w:rPr>
              <w:t>Sitzungen des Verwaltungsrats werden vom</w:t>
            </w:r>
          </w:p>
        </w:tc>
        <w:tc>
          <w:tcPr>
            <w:tcW w:w="760" w:type="dxa"/>
            <w:vAlign w:val="bottom"/>
          </w:tcPr>
          <w:p>
            <w:pPr>
              <w:ind w:left="40"/>
              <w:spacing w:after="0"/>
              <w:rPr>
                <w:sz w:val="20"/>
                <w:szCs w:val="20"/>
                <w:color w:val="auto"/>
              </w:rPr>
            </w:pPr>
            <w:r>
              <w:rPr>
                <w:rFonts w:ascii="Arial" w:cs="Arial" w:eastAsia="Arial" w:hAnsi="Arial"/>
                <w:sz w:val="14"/>
                <w:szCs w:val="14"/>
                <w:color w:val="auto"/>
              </w:rPr>
              <w:t>Invitation,</w:t>
            </w: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1500" w:type="dxa"/>
            <w:vAlign w:val="bottom"/>
            <w:gridSpan w:val="3"/>
          </w:tcPr>
          <w:p>
            <w:pPr>
              <w:ind w:left="120"/>
              <w:spacing w:after="0"/>
              <w:rPr>
                <w:sz w:val="20"/>
                <w:szCs w:val="20"/>
                <w:color w:val="auto"/>
              </w:rPr>
            </w:pPr>
            <w:r>
              <w:rPr>
                <w:rFonts w:ascii="Arial" w:cs="Arial" w:eastAsia="Arial" w:hAnsi="Arial"/>
                <w:sz w:val="14"/>
                <w:szCs w:val="14"/>
                <w:color w:val="auto"/>
              </w:rPr>
              <w:t>Beschlussfassung,</w:t>
            </w:r>
          </w:p>
        </w:tc>
        <w:tc>
          <w:tcPr>
            <w:tcW w:w="4420" w:type="dxa"/>
            <w:vAlign w:val="bottom"/>
            <w:gridSpan w:val="2"/>
            <w:vMerge w:val="restart"/>
          </w:tcPr>
          <w:p>
            <w:pPr>
              <w:ind w:left="180"/>
              <w:spacing w:after="0"/>
              <w:rPr>
                <w:sz w:val="20"/>
                <w:szCs w:val="20"/>
                <w:color w:val="auto"/>
              </w:rPr>
            </w:pPr>
            <w:r>
              <w:rPr>
                <w:rFonts w:ascii="Arial" w:cs="Arial" w:eastAsia="Arial" w:hAnsi="Arial"/>
                <w:sz w:val="18"/>
                <w:szCs w:val="18"/>
                <w:color w:val="auto"/>
              </w:rPr>
              <w:t>Präsidenten oder im Falle seiner Verhinderung</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20" w:type="dxa"/>
            <w:vAlign w:val="bottom"/>
            <w:vMerge w:val="restart"/>
          </w:tcPr>
          <w:p>
            <w:pPr>
              <w:ind w:left="120"/>
              <w:spacing w:after="0"/>
              <w:rPr>
                <w:sz w:val="20"/>
                <w:szCs w:val="20"/>
                <w:color w:val="auto"/>
              </w:rPr>
            </w:pPr>
            <w:r>
              <w:rPr>
                <w:rFonts w:ascii="Arial" w:cs="Arial" w:eastAsia="Arial" w:hAnsi="Arial"/>
                <w:sz w:val="14"/>
                <w:szCs w:val="14"/>
                <w:color w:val="auto"/>
              </w:rPr>
              <w:t>Protokoll</w:t>
            </w: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60" w:type="dxa"/>
            <w:vAlign w:val="bottom"/>
            <w:vMerge w:val="restart"/>
          </w:tcPr>
          <w:p>
            <w:pPr>
              <w:ind w:left="180"/>
              <w:spacing w:after="0"/>
              <w:rPr>
                <w:sz w:val="20"/>
                <w:szCs w:val="20"/>
                <w:color w:val="auto"/>
              </w:rPr>
            </w:pPr>
            <w:r>
              <w:rPr>
                <w:rFonts w:ascii="Arial" w:cs="Arial" w:eastAsia="Arial" w:hAnsi="Arial"/>
                <w:sz w:val="18"/>
                <w:szCs w:val="18"/>
                <w:color w:val="auto"/>
              </w:rPr>
              <w:t>vom Vize-Präsidenten oder einem andern</w:t>
            </w: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Mitglied des Verwaltungsrats einberufen, so oft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dies als notwendig erscheint oder wenn ein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Mitglied es schriftlich unter Angabe der Gründe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verlangt. Sitzungen können auch per Telefon-</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oder Videokonferenz durchgeführt werden.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2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Der Verwaltungsrat fasst seine Beschlüsse mit der</w:t>
            </w:r>
          </w:p>
        </w:tc>
        <w:tc>
          <w:tcPr>
            <w:tcW w:w="1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Mehrheit der abgegebenen Stimmen. Der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Vorsitzende hat den Stichentscheid.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820" w:type="dxa"/>
            <w:vAlign w:val="bottom"/>
          </w:tcPr>
          <w:p>
            <w:pPr>
              <w:spacing w:after="0"/>
              <w:rPr>
                <w:sz w:val="24"/>
                <w:szCs w:val="2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Zur Beschlussfähigkeit des Verwaltungsrats ist die</w:t>
            </w:r>
          </w:p>
        </w:tc>
        <w:tc>
          <w:tcPr>
            <w:tcW w:w="1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w w:val="99"/>
              </w:rPr>
              <w:t>Anwesenheit der Mehrheit seiner Mitglieder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erforderlich. Kein Präsenzquorum ist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erforderlich für die Anpassungs- und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Feststellungsbeschlüsse des Verwaltungsrats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im Zusammenhang mit Kapitalerhöhungen.</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2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Beschlüsse können auch auf schriftlichem Weg</w:t>
            </w:r>
          </w:p>
        </w:tc>
        <w:tc>
          <w:tcPr>
            <w:tcW w:w="7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gefasst werden, sofern nicht ein Mitglied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mündliche Beratung verlangt.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2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Die Beschlüsse sind in einem Protokoll festzuhalten,</w:t>
            </w:r>
          </w:p>
        </w:tc>
        <w:tc>
          <w:tcPr>
            <w:tcW w:w="1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das vom Sitzungspräsidenten und dem</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Sekretär zu unterzeichnen ist.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1" w:lineRule="exact"/>
        <w:rPr>
          <w:rFonts w:ascii="Arial" w:cs="Arial" w:eastAsia="Arial" w:hAnsi="Arial"/>
          <w:sz w:val="14"/>
          <w:szCs w:val="14"/>
          <w:color w:val="auto"/>
        </w:rPr>
      </w:pPr>
    </w:p>
    <w:tbl>
      <w:tblPr>
        <w:tblLayout w:type="fixed"/>
        <w:tblInd w:w="20" w:type="dxa"/>
        <w:tblCellMar>
          <w:top w:w="0" w:type="dxa"/>
          <w:left w:w="0" w:type="dxa"/>
          <w:bottom w:w="0" w:type="dxa"/>
          <w:right w:w="0" w:type="dxa"/>
        </w:tblCellMar>
      </w:tblPr>
      <w:tr>
        <w:trPr>
          <w:trHeight w:val="239"/>
        </w:trPr>
        <w:tc>
          <w:tcPr>
            <w:tcW w:w="124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Artikel 19</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1240" w:type="dxa"/>
            <w:vAlign w:val="bottom"/>
            <w:vMerge w:val="restart"/>
          </w:tcPr>
          <w:p>
            <w:pPr>
              <w:spacing w:after="0"/>
              <w:rPr>
                <w:sz w:val="20"/>
                <w:szCs w:val="20"/>
                <w:color w:val="auto"/>
              </w:rPr>
            </w:pPr>
            <w:r>
              <w:rPr>
                <w:rFonts w:ascii="Arial" w:cs="Arial" w:eastAsia="Arial" w:hAnsi="Arial"/>
                <w:sz w:val="14"/>
                <w:szCs w:val="14"/>
                <w:color w:val="auto"/>
              </w:rPr>
              <w:t>gnisse des    1</w:t>
            </w:r>
          </w:p>
        </w:tc>
        <w:tc>
          <w:tcPr>
            <w:tcW w:w="4920" w:type="dxa"/>
            <w:vAlign w:val="bottom"/>
            <w:gridSpan w:val="2"/>
          </w:tcPr>
          <w:p>
            <w:pPr>
              <w:ind w:left="20"/>
              <w:spacing w:after="0" w:line="59" w:lineRule="exact"/>
              <w:rPr>
                <w:sz w:val="20"/>
                <w:szCs w:val="20"/>
                <w:color w:val="auto"/>
              </w:rPr>
            </w:pPr>
            <w:r>
              <w:rPr>
                <w:rFonts w:ascii="Arial" w:cs="Arial" w:eastAsia="Arial" w:hAnsi="Arial"/>
                <w:sz w:val="6"/>
                <w:szCs w:val="6"/>
                <w:color w:val="auto"/>
              </w:rPr>
              <w:t>Der Verwaltungsrat kann in allen Angelegenheiten</w:t>
            </w:r>
          </w:p>
        </w:tc>
        <w:tc>
          <w:tcPr>
            <w:tcW w:w="0" w:type="dxa"/>
            <w:vAlign w:val="bottom"/>
          </w:tcPr>
          <w:p>
            <w:pPr>
              <w:spacing w:after="0"/>
              <w:rPr>
                <w:sz w:val="1"/>
                <w:szCs w:val="1"/>
                <w:color w:val="auto"/>
              </w:rPr>
            </w:pPr>
          </w:p>
        </w:tc>
      </w:tr>
      <w:tr>
        <w:trPr>
          <w:trHeight w:val="162"/>
        </w:trPr>
        <w:tc>
          <w:tcPr>
            <w:tcW w:w="1240" w:type="dxa"/>
            <w:vAlign w:val="bottom"/>
            <w:vMerge w:val="continue"/>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Arial" w:cs="Arial" w:eastAsia="Arial" w:hAnsi="Arial"/>
                <w:sz w:val="14"/>
                <w:szCs w:val="14"/>
                <w:color w:val="auto"/>
              </w:rPr>
              <w:t>Powers of the1</w:t>
            </w:r>
          </w:p>
        </w:tc>
        <w:tc>
          <w:tcPr>
            <w:tcW w:w="0" w:type="dxa"/>
            <w:vAlign w:val="bottom"/>
          </w:tcPr>
          <w:p>
            <w:pPr>
              <w:spacing w:after="0"/>
              <w:rPr>
                <w:sz w:val="1"/>
                <w:szCs w:val="1"/>
                <w:color w:val="auto"/>
              </w:rPr>
            </w:pPr>
          </w:p>
        </w:tc>
      </w:tr>
      <w:tr>
        <w:trPr>
          <w:trHeight w:val="162"/>
        </w:trPr>
        <w:tc>
          <w:tcPr>
            <w:tcW w:w="1240" w:type="dxa"/>
            <w:vAlign w:val="bottom"/>
          </w:tcPr>
          <w:p>
            <w:pPr>
              <w:ind w:left="100"/>
              <w:spacing w:after="0"/>
              <w:rPr>
                <w:sz w:val="20"/>
                <w:szCs w:val="20"/>
                <w:color w:val="auto"/>
              </w:rPr>
            </w:pPr>
            <w:r>
              <w:rPr>
                <w:rFonts w:ascii="Arial" w:cs="Arial" w:eastAsia="Arial" w:hAnsi="Arial"/>
                <w:sz w:val="14"/>
                <w:szCs w:val="14"/>
                <w:color w:val="auto"/>
              </w:rPr>
              <w:t>Verwaltungsrates</w:t>
            </w:r>
          </w:p>
        </w:tc>
        <w:tc>
          <w:tcPr>
            <w:tcW w:w="3820" w:type="dxa"/>
            <w:vAlign w:val="bottom"/>
            <w:vMerge w:val="restart"/>
          </w:tcPr>
          <w:p>
            <w:pPr>
              <w:ind w:left="420"/>
              <w:spacing w:after="0"/>
              <w:rPr>
                <w:sz w:val="20"/>
                <w:szCs w:val="20"/>
                <w:color w:val="auto"/>
              </w:rPr>
            </w:pPr>
            <w:r>
              <w:rPr>
                <w:rFonts w:ascii="Arial" w:cs="Arial" w:eastAsia="Arial" w:hAnsi="Arial"/>
                <w:sz w:val="18"/>
                <w:szCs w:val="18"/>
                <w:color w:val="auto"/>
              </w:rPr>
              <w:t>Beschluss fassen, die nicht nach Gesetz,</w:t>
            </w:r>
          </w:p>
        </w:tc>
        <w:tc>
          <w:tcPr>
            <w:tcW w:w="1100" w:type="dxa"/>
            <w:vAlign w:val="bottom"/>
          </w:tcPr>
          <w:p>
            <w:pPr>
              <w:ind w:left="520"/>
              <w:spacing w:after="0"/>
              <w:rPr>
                <w:sz w:val="20"/>
                <w:szCs w:val="20"/>
                <w:color w:val="auto"/>
              </w:rPr>
            </w:pPr>
            <w:r>
              <w:rPr>
                <w:rFonts w:ascii="Arial" w:cs="Arial" w:eastAsia="Arial" w:hAnsi="Arial"/>
                <w:sz w:val="14"/>
                <w:szCs w:val="14"/>
                <w:color w:val="auto"/>
              </w:rPr>
              <w:t>Board of</w:t>
            </w:r>
          </w:p>
        </w:tc>
        <w:tc>
          <w:tcPr>
            <w:tcW w:w="0" w:type="dxa"/>
            <w:vAlign w:val="bottom"/>
          </w:tcPr>
          <w:p>
            <w:pPr>
              <w:spacing w:after="0"/>
              <w:rPr>
                <w:sz w:val="1"/>
                <w:szCs w:val="1"/>
                <w:color w:val="auto"/>
              </w:rPr>
            </w:pPr>
          </w:p>
        </w:tc>
      </w:tr>
      <w:tr>
        <w:trPr>
          <w:trHeight w:val="102"/>
        </w:trPr>
        <w:tc>
          <w:tcPr>
            <w:tcW w:w="124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1100" w:type="dxa"/>
            <w:vAlign w:val="bottom"/>
            <w:vMerge w:val="restart"/>
          </w:tcPr>
          <w:p>
            <w:pPr>
              <w:ind w:left="520"/>
              <w:spacing w:after="0"/>
              <w:rPr>
                <w:sz w:val="20"/>
                <w:szCs w:val="20"/>
                <w:color w:val="auto"/>
              </w:rPr>
            </w:pPr>
            <w:r>
              <w:rPr>
                <w:rFonts w:ascii="Arial" w:cs="Arial" w:eastAsia="Arial" w:hAnsi="Arial"/>
                <w:sz w:val="14"/>
                <w:szCs w:val="14"/>
                <w:color w:val="auto"/>
                <w:w w:val="99"/>
              </w:rPr>
              <w:t>Directors</w:t>
            </w:r>
          </w:p>
        </w:tc>
        <w:tc>
          <w:tcPr>
            <w:tcW w:w="0" w:type="dxa"/>
            <w:vAlign w:val="bottom"/>
          </w:tcPr>
          <w:p>
            <w:pPr>
              <w:spacing w:after="0"/>
              <w:rPr>
                <w:sz w:val="1"/>
                <w:szCs w:val="1"/>
                <w:color w:val="auto"/>
              </w:rPr>
            </w:pPr>
          </w:p>
        </w:tc>
      </w:tr>
      <w:tr>
        <w:trPr>
          <w:trHeight w:val="70"/>
        </w:trPr>
        <w:tc>
          <w:tcPr>
            <w:tcW w:w="1240" w:type="dxa"/>
            <w:vAlign w:val="bottom"/>
          </w:tcPr>
          <w:p>
            <w:pPr>
              <w:spacing w:after="0"/>
              <w:rPr>
                <w:sz w:val="6"/>
                <w:szCs w:val="6"/>
                <w:color w:val="auto"/>
              </w:rPr>
            </w:pPr>
          </w:p>
        </w:tc>
        <w:tc>
          <w:tcPr>
            <w:tcW w:w="3820" w:type="dxa"/>
            <w:vAlign w:val="bottom"/>
            <w:vMerge w:val="restart"/>
          </w:tcPr>
          <w:p>
            <w:pPr>
              <w:ind w:left="420"/>
              <w:spacing w:after="0"/>
              <w:rPr>
                <w:sz w:val="20"/>
                <w:szCs w:val="20"/>
                <w:color w:val="auto"/>
              </w:rPr>
            </w:pPr>
            <w:r>
              <w:rPr>
                <w:rFonts w:ascii="Arial" w:cs="Arial" w:eastAsia="Arial" w:hAnsi="Arial"/>
                <w:sz w:val="18"/>
                <w:szCs w:val="18"/>
                <w:color w:val="auto"/>
              </w:rPr>
              <w:t>Statuten oder Reglement einem anderen</w:t>
            </w: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680"/>
        <w:spacing w:after="0"/>
        <w:rPr>
          <w:sz w:val="20"/>
          <w:szCs w:val="20"/>
          <w:color w:val="auto"/>
        </w:rPr>
      </w:pPr>
      <w:r>
        <w:rPr>
          <w:rFonts w:ascii="Arial" w:cs="Arial" w:eastAsia="Arial" w:hAnsi="Arial"/>
          <w:sz w:val="18"/>
          <w:szCs w:val="18"/>
          <w:color w:val="auto"/>
        </w:rPr>
        <w:t>Organ der Gesellschaft übertragen sind.</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80"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Article 18</w:t>
      </w:r>
    </w:p>
    <w:p>
      <w:pPr>
        <w:spacing w:after="0" w:line="26"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color w:val="auto"/>
        </w:rPr>
        <w:t>The chairman or, should he be unable to do so, the</w:t>
      </w:r>
    </w:p>
    <w:p>
      <w:pPr>
        <w:spacing w:after="0" w:line="68" w:lineRule="exact"/>
        <w:rPr>
          <w:rFonts w:ascii="Arial" w:cs="Arial" w:eastAsia="Arial" w:hAnsi="Arial"/>
          <w:sz w:val="14"/>
          <w:szCs w:val="14"/>
          <w:color w:val="auto"/>
        </w:rPr>
      </w:pPr>
    </w:p>
    <w:p>
      <w:pPr>
        <w:ind w:left="420"/>
        <w:spacing w:after="0" w:line="270" w:lineRule="auto"/>
        <w:rPr>
          <w:sz w:val="20"/>
          <w:szCs w:val="20"/>
          <w:color w:val="auto"/>
        </w:rPr>
      </w:pPr>
      <w:r>
        <w:rPr>
          <w:rFonts w:ascii="Arial" w:cs="Arial" w:eastAsia="Arial" w:hAnsi="Arial"/>
          <w:sz w:val="17"/>
          <w:szCs w:val="17"/>
          <w:color w:val="auto"/>
        </w:rPr>
        <w:t>vice-chairman or any other member of the board of directors shall convene meetings of the board of directors if and when the need arises or whenever a member indicating the reasons so requests in writing. Meetings may also be held by telephone or video conference.</w:t>
      </w:r>
    </w:p>
    <w:p>
      <w:pPr>
        <w:spacing w:after="0" w:line="247" w:lineRule="exact"/>
        <w:rPr>
          <w:rFonts w:ascii="Arial" w:cs="Arial" w:eastAsia="Arial" w:hAnsi="Arial"/>
          <w:sz w:val="14"/>
          <w:szCs w:val="14"/>
          <w:color w:val="auto"/>
        </w:rPr>
      </w:pPr>
    </w:p>
    <w:p>
      <w:pPr>
        <w:ind w:left="420" w:right="100" w:hanging="404"/>
        <w:spacing w:after="0" w:line="254" w:lineRule="auto"/>
        <w:rPr>
          <w:sz w:val="20"/>
          <w:szCs w:val="20"/>
          <w:color w:val="auto"/>
        </w:rPr>
      </w:pPr>
      <w:r>
        <w:rPr>
          <w:rFonts w:ascii="Arial" w:cs="Arial" w:eastAsia="Arial" w:hAnsi="Arial"/>
          <w:sz w:val="18"/>
          <w:szCs w:val="18"/>
          <w:color w:val="auto"/>
        </w:rPr>
        <w:t>Resolutions of the board of directors shall be adopted upon a majority of the votes cast. In the event of a tie, the chairman shall have the casting vote.</w:t>
      </w:r>
    </w:p>
    <w:p>
      <w:pPr>
        <w:spacing w:after="0" w:line="42" w:lineRule="exact"/>
        <w:rPr>
          <w:rFonts w:ascii="Arial" w:cs="Arial" w:eastAsia="Arial" w:hAnsi="Arial"/>
          <w:sz w:val="14"/>
          <w:szCs w:val="14"/>
          <w:color w:val="auto"/>
        </w:rPr>
      </w:pPr>
    </w:p>
    <w:p>
      <w:pPr>
        <w:ind w:left="420" w:right="40" w:hanging="404"/>
        <w:spacing w:after="0" w:line="252" w:lineRule="auto"/>
        <w:rPr>
          <w:sz w:val="20"/>
          <w:szCs w:val="20"/>
          <w:color w:val="auto"/>
        </w:rPr>
      </w:pPr>
      <w:r>
        <w:rPr>
          <w:rFonts w:ascii="Arial" w:cs="Arial" w:eastAsia="Arial" w:hAnsi="Arial"/>
          <w:sz w:val="18"/>
          <w:szCs w:val="18"/>
          <w:color w:val="auto"/>
        </w:rPr>
        <w:t>In order to pass resolutions, at least a majority of the members of the board of directors must be present. No attendance quorum shall be required for confirmation or amendment resolutions of the board of directors in connection with capital increases.</w:t>
      </w:r>
    </w:p>
    <w:p>
      <w:pPr>
        <w:spacing w:after="0" w:line="46" w:lineRule="exact"/>
        <w:rPr>
          <w:rFonts w:ascii="Arial" w:cs="Arial" w:eastAsia="Arial" w:hAnsi="Arial"/>
          <w:sz w:val="14"/>
          <w:szCs w:val="14"/>
          <w:color w:val="auto"/>
        </w:rPr>
      </w:pPr>
    </w:p>
    <w:p>
      <w:pPr>
        <w:ind w:left="420" w:hanging="404"/>
        <w:spacing w:after="0" w:line="256" w:lineRule="auto"/>
        <w:rPr>
          <w:sz w:val="20"/>
          <w:szCs w:val="20"/>
          <w:color w:val="auto"/>
        </w:rPr>
      </w:pPr>
      <w:r>
        <w:rPr>
          <w:rFonts w:ascii="Arial" w:cs="Arial" w:eastAsia="Arial" w:hAnsi="Arial"/>
          <w:sz w:val="18"/>
          <w:szCs w:val="18"/>
          <w:color w:val="auto"/>
        </w:rPr>
        <w:t>Resolutions may be passed by way of circulation (in writing), provided that no member requests oral deliberation.</w:t>
      </w:r>
    </w:p>
    <w:p>
      <w:pPr>
        <w:spacing w:after="0" w:line="40" w:lineRule="exact"/>
        <w:rPr>
          <w:rFonts w:ascii="Arial" w:cs="Arial" w:eastAsia="Arial" w:hAnsi="Arial"/>
          <w:sz w:val="14"/>
          <w:szCs w:val="14"/>
          <w:color w:val="auto"/>
        </w:rPr>
      </w:pPr>
    </w:p>
    <w:p>
      <w:pPr>
        <w:ind w:left="420" w:right="60" w:hanging="404"/>
        <w:spacing w:after="0" w:line="256" w:lineRule="auto"/>
        <w:rPr>
          <w:sz w:val="20"/>
          <w:szCs w:val="20"/>
          <w:color w:val="auto"/>
        </w:rPr>
      </w:pPr>
      <w:r>
        <w:rPr>
          <w:rFonts w:ascii="Arial" w:cs="Arial" w:eastAsia="Arial" w:hAnsi="Arial"/>
          <w:sz w:val="18"/>
          <w:szCs w:val="18"/>
          <w:color w:val="auto"/>
        </w:rPr>
        <w:t>The resolutions shall be confirmed in the minutes, which are to be signed by the acting chair and the secretary.</w:t>
      </w:r>
    </w:p>
    <w:p>
      <w:pPr>
        <w:spacing w:after="0" w:line="288"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Article 19</w:t>
      </w:r>
    </w:p>
    <w:p>
      <w:pPr>
        <w:spacing w:after="0" w:line="85" w:lineRule="exact"/>
        <w:rPr>
          <w:rFonts w:ascii="Arial" w:cs="Arial" w:eastAsia="Arial" w:hAnsi="Arial"/>
          <w:sz w:val="14"/>
          <w:szCs w:val="14"/>
          <w:color w:val="auto"/>
        </w:rPr>
      </w:pPr>
    </w:p>
    <w:p>
      <w:pPr>
        <w:ind w:left="420" w:right="140" w:hanging="404"/>
        <w:spacing w:after="0" w:line="253" w:lineRule="auto"/>
        <w:rPr>
          <w:sz w:val="20"/>
          <w:szCs w:val="20"/>
          <w:color w:val="auto"/>
        </w:rPr>
      </w:pPr>
      <w:r>
        <w:rPr>
          <w:rFonts w:ascii="Arial" w:cs="Arial" w:eastAsia="Arial" w:hAnsi="Arial"/>
          <w:sz w:val="18"/>
          <w:szCs w:val="18"/>
          <w:color w:val="auto"/>
        </w:rPr>
        <w:t>The board of directors may pass resolutions with respect to all matters that are not reserved to the general meeting of shareholders or any other corporate body by law or under these Articles of Incorporation.</w:t>
      </w:r>
    </w:p>
    <w:p>
      <w:pPr>
        <w:sectPr>
          <w:pgSz w:w="11900" w:h="16838" w:orient="portrait"/>
          <w:cols w:equalWidth="0" w:num="2">
            <w:col w:w="6180" w:space="160"/>
            <w:col w:w="4140"/>
          </w:cols>
          <w:pgMar w:left="220" w:top="144" w:right="1199" w:bottom="1440" w:gutter="0" w:footer="0" w:header="0"/>
        </w:sectPr>
      </w:pPr>
    </w:p>
    <w:bookmarkStart w:id="314" w:name="page315"/>
    <w:bookmarkEnd w:id="314"/>
    <w:p>
      <w:pPr>
        <w:jc w:val="center"/>
        <w:ind w:right="-199"/>
        <w:spacing w:after="0"/>
        <w:rPr>
          <w:sz w:val="20"/>
          <w:szCs w:val="20"/>
          <w:color w:val="auto"/>
        </w:rPr>
      </w:pPr>
      <w:r>
        <w:rPr>
          <w:rFonts w:ascii="Arial" w:cs="Arial" w:eastAsia="Arial" w:hAnsi="Arial"/>
          <w:sz w:val="14"/>
          <w:szCs w:val="14"/>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2</w:t>
            </w:r>
          </w:p>
        </w:tc>
        <w:tc>
          <w:tcPr>
            <w:tcW w:w="4680" w:type="dxa"/>
            <w:vAlign w:val="bottom"/>
            <w:gridSpan w:val="4"/>
            <w:vMerge w:val="restart"/>
          </w:tcPr>
          <w:p>
            <w:pPr>
              <w:jc w:val="right"/>
              <w:ind w:right="210"/>
              <w:spacing w:after="0"/>
              <w:rPr>
                <w:sz w:val="20"/>
                <w:szCs w:val="20"/>
                <w:color w:val="auto"/>
              </w:rPr>
            </w:pPr>
            <w:r>
              <w:rPr>
                <w:rFonts w:ascii="Arial" w:cs="Arial" w:eastAsia="Arial" w:hAnsi="Arial"/>
                <w:sz w:val="18"/>
                <w:szCs w:val="18"/>
                <w:color w:val="auto"/>
              </w:rPr>
              <w:t>Er hat folgende unübertragbare und unentziehbare</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4380" w:type="dxa"/>
            <w:vAlign w:val="bottom"/>
            <w:gridSpan w:val="8"/>
            <w:vMerge w:val="restart"/>
          </w:tcPr>
          <w:p>
            <w:pPr>
              <w:jc w:val="right"/>
              <w:spacing w:after="0"/>
              <w:rPr>
                <w:sz w:val="20"/>
                <w:szCs w:val="20"/>
                <w:color w:val="auto"/>
              </w:rPr>
            </w:pPr>
            <w:r>
              <w:rPr>
                <w:rFonts w:ascii="Arial" w:cs="Arial" w:eastAsia="Arial" w:hAnsi="Arial"/>
                <w:sz w:val="18"/>
                <w:szCs w:val="18"/>
                <w:color w:val="auto"/>
              </w:rPr>
              <w:t>The  board  of  directors  has  the  following  non-</w:t>
            </w:r>
          </w:p>
        </w:tc>
        <w:tc>
          <w:tcPr>
            <w:tcW w:w="0" w:type="dxa"/>
            <w:vAlign w:val="bottom"/>
          </w:tcPr>
          <w:p>
            <w:pPr>
              <w:spacing w:after="0"/>
              <w:rPr>
                <w:sz w:val="1"/>
                <w:szCs w:val="1"/>
                <w:color w:val="auto"/>
              </w:rPr>
            </w:pPr>
          </w:p>
        </w:tc>
      </w:tr>
      <w:tr>
        <w:trPr>
          <w:trHeight w:val="79"/>
        </w:trPr>
        <w:tc>
          <w:tcPr>
            <w:tcW w:w="200" w:type="dxa"/>
            <w:vAlign w:val="bottom"/>
          </w:tcPr>
          <w:p>
            <w:pPr>
              <w:spacing w:after="0"/>
              <w:rPr>
                <w:sz w:val="6"/>
                <w:szCs w:val="6"/>
                <w:color w:val="auto"/>
              </w:rPr>
            </w:pPr>
          </w:p>
        </w:tc>
        <w:tc>
          <w:tcPr>
            <w:tcW w:w="468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43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500" w:type="dxa"/>
            <w:vAlign w:val="bottom"/>
          </w:tcPr>
          <w:p>
            <w:pPr>
              <w:ind w:left="540"/>
              <w:spacing w:after="0"/>
              <w:rPr>
                <w:sz w:val="20"/>
                <w:szCs w:val="20"/>
                <w:color w:val="auto"/>
              </w:rPr>
            </w:pPr>
            <w:r>
              <w:rPr>
                <w:rFonts w:ascii="Arial" w:cs="Arial" w:eastAsia="Arial" w:hAnsi="Arial"/>
                <w:sz w:val="18"/>
                <w:szCs w:val="18"/>
                <w:color w:val="auto"/>
              </w:rPr>
              <w:t>Aufgaben:</w:t>
            </w: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80" w:type="dxa"/>
            <w:vAlign w:val="bottom"/>
            <w:gridSpan w:val="6"/>
          </w:tcPr>
          <w:p>
            <w:pPr>
              <w:ind w:left="520"/>
              <w:spacing w:after="0"/>
              <w:rPr>
                <w:sz w:val="20"/>
                <w:szCs w:val="20"/>
                <w:color w:val="auto"/>
              </w:rPr>
            </w:pPr>
            <w:r>
              <w:rPr>
                <w:rFonts w:ascii="Arial" w:cs="Arial" w:eastAsia="Arial" w:hAnsi="Arial"/>
                <w:sz w:val="18"/>
                <w:szCs w:val="18"/>
                <w:color w:val="auto"/>
              </w:rPr>
              <w:t>delegable and inalienable duties:</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4680" w:type="dxa"/>
            <w:vAlign w:val="bottom"/>
            <w:gridSpan w:val="4"/>
          </w:tcPr>
          <w:p>
            <w:pPr>
              <w:ind w:left="540"/>
              <w:spacing w:after="0"/>
              <w:rPr>
                <w:sz w:val="20"/>
                <w:szCs w:val="20"/>
                <w:color w:val="auto"/>
              </w:rPr>
            </w:pPr>
            <w:r>
              <w:rPr>
                <w:rFonts w:ascii="Arial" w:cs="Arial" w:eastAsia="Arial" w:hAnsi="Arial"/>
                <w:sz w:val="18"/>
                <w:szCs w:val="18"/>
                <w:color w:val="auto"/>
              </w:rPr>
              <w:t>(a)  die Oberleitung der Gesellschaft und die</w:t>
            </w:r>
          </w:p>
        </w:tc>
        <w:tc>
          <w:tcPr>
            <w:tcW w:w="500" w:type="dxa"/>
            <w:vAlign w:val="bottom"/>
          </w:tcPr>
          <w:p>
            <w:pPr>
              <w:spacing w:after="0"/>
              <w:rPr>
                <w:sz w:val="19"/>
                <w:szCs w:val="19"/>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(a)  the</w:t>
            </w:r>
          </w:p>
        </w:tc>
        <w:tc>
          <w:tcPr>
            <w:tcW w:w="1720" w:type="dxa"/>
            <w:vAlign w:val="bottom"/>
            <w:gridSpan w:val="3"/>
          </w:tcPr>
          <w:p>
            <w:pPr>
              <w:ind w:left="60"/>
              <w:spacing w:after="0"/>
              <w:rPr>
                <w:sz w:val="20"/>
                <w:szCs w:val="20"/>
                <w:color w:val="auto"/>
              </w:rPr>
            </w:pPr>
            <w:r>
              <w:rPr>
                <w:rFonts w:ascii="Arial" w:cs="Arial" w:eastAsia="Arial" w:hAnsi="Arial"/>
                <w:sz w:val="18"/>
                <w:szCs w:val="18"/>
                <w:color w:val="auto"/>
              </w:rPr>
              <w:t>ultimate direction of</w:t>
            </w:r>
          </w:p>
        </w:tc>
        <w:tc>
          <w:tcPr>
            <w:tcW w:w="400" w:type="dxa"/>
            <w:vAlign w:val="bottom"/>
          </w:tcPr>
          <w:p>
            <w:pPr>
              <w:jc w:val="right"/>
              <w:spacing w:after="0"/>
              <w:rPr>
                <w:sz w:val="20"/>
                <w:szCs w:val="20"/>
                <w:color w:val="auto"/>
              </w:rPr>
            </w:pPr>
            <w:r>
              <w:rPr>
                <w:rFonts w:ascii="Arial" w:cs="Arial" w:eastAsia="Arial" w:hAnsi="Arial"/>
                <w:sz w:val="18"/>
                <w:szCs w:val="18"/>
                <w:color w:val="auto"/>
              </w:rPr>
              <w:t>the</w:t>
            </w:r>
          </w:p>
        </w:tc>
        <w:tc>
          <w:tcPr>
            <w:tcW w:w="760" w:type="dxa"/>
            <w:vAlign w:val="bottom"/>
          </w:tcPr>
          <w:p>
            <w:pPr>
              <w:ind w:left="40"/>
              <w:spacing w:after="0"/>
              <w:rPr>
                <w:sz w:val="20"/>
                <w:szCs w:val="20"/>
                <w:color w:val="auto"/>
              </w:rPr>
            </w:pPr>
            <w:r>
              <w:rPr>
                <w:rFonts w:ascii="Arial" w:cs="Arial" w:eastAsia="Arial" w:hAnsi="Arial"/>
                <w:sz w:val="18"/>
                <w:szCs w:val="18"/>
                <w:color w:val="auto"/>
                <w:w w:val="98"/>
              </w:rPr>
              <w:t>business</w:t>
            </w:r>
          </w:p>
        </w:tc>
        <w:tc>
          <w:tcPr>
            <w:tcW w:w="240" w:type="dxa"/>
            <w:vAlign w:val="bottom"/>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3940" w:type="dxa"/>
            <w:vAlign w:val="bottom"/>
            <w:gridSpan w:val="3"/>
          </w:tcPr>
          <w:p>
            <w:pPr>
              <w:ind w:left="980"/>
              <w:spacing w:after="0" w:line="203" w:lineRule="exact"/>
              <w:rPr>
                <w:sz w:val="20"/>
                <w:szCs w:val="20"/>
                <w:color w:val="auto"/>
              </w:rPr>
            </w:pPr>
            <w:r>
              <w:rPr>
                <w:rFonts w:ascii="Arial" w:cs="Arial" w:eastAsia="Arial" w:hAnsi="Arial"/>
                <w:sz w:val="18"/>
                <w:szCs w:val="18"/>
                <w:color w:val="auto"/>
              </w:rPr>
              <w:t>Erteilung der nötigen Weisungen;</w:t>
            </w: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gridSpan w:val="7"/>
          </w:tcPr>
          <w:p>
            <w:pPr>
              <w:ind w:left="120"/>
              <w:spacing w:after="0" w:line="203" w:lineRule="exact"/>
              <w:rPr>
                <w:sz w:val="20"/>
                <w:szCs w:val="20"/>
                <w:color w:val="auto"/>
              </w:rPr>
            </w:pPr>
            <w:r>
              <w:rPr>
                <w:rFonts w:ascii="Arial" w:cs="Arial" w:eastAsia="Arial" w:hAnsi="Arial"/>
                <w:sz w:val="18"/>
                <w:szCs w:val="18"/>
                <w:color w:val="auto"/>
              </w:rPr>
              <w:t>the Company and the issuance of the</w:t>
            </w: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3940" w:type="dxa"/>
            <w:vAlign w:val="bottom"/>
            <w:gridSpan w:val="3"/>
            <w:vMerge w:val="restart"/>
          </w:tcPr>
          <w:p>
            <w:pPr>
              <w:ind w:left="540"/>
              <w:spacing w:after="0"/>
              <w:rPr>
                <w:sz w:val="20"/>
                <w:szCs w:val="20"/>
                <w:color w:val="auto"/>
              </w:rPr>
            </w:pPr>
            <w:r>
              <w:rPr>
                <w:rFonts w:ascii="Arial" w:cs="Arial" w:eastAsia="Arial" w:hAnsi="Arial"/>
                <w:sz w:val="18"/>
                <w:szCs w:val="18"/>
                <w:color w:val="auto"/>
              </w:rPr>
              <w:t>(b)  die Festlegung der Organisation;</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8"/>
                <w:szCs w:val="18"/>
                <w:color w:val="auto"/>
              </w:rPr>
              <w:t>necessary instructions;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0" w:type="dxa"/>
            <w:vAlign w:val="bottom"/>
          </w:tcPr>
          <w:p>
            <w:pPr>
              <w:spacing w:after="0"/>
              <w:rPr>
                <w:sz w:val="9"/>
                <w:szCs w:val="9"/>
                <w:color w:val="auto"/>
              </w:rPr>
            </w:pPr>
          </w:p>
        </w:tc>
        <w:tc>
          <w:tcPr>
            <w:tcW w:w="394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vMerge w:val="restart"/>
          </w:tcPr>
          <w:p>
            <w:pPr>
              <w:ind w:left="520"/>
              <w:spacing w:after="0"/>
              <w:rPr>
                <w:sz w:val="20"/>
                <w:szCs w:val="20"/>
                <w:color w:val="auto"/>
              </w:rPr>
            </w:pPr>
            <w:r>
              <w:rPr>
                <w:rFonts w:ascii="Arial" w:cs="Arial" w:eastAsia="Arial" w:hAnsi="Arial"/>
                <w:sz w:val="18"/>
                <w:szCs w:val="18"/>
                <w:color w:val="auto"/>
              </w:rPr>
              <w:t>(b)</w:t>
            </w:r>
          </w:p>
        </w:tc>
        <w:tc>
          <w:tcPr>
            <w:tcW w:w="400" w:type="dxa"/>
            <w:vAlign w:val="bottom"/>
            <w:vMerge w:val="restart"/>
          </w:tcPr>
          <w:p>
            <w:pPr>
              <w:ind w:left="100"/>
              <w:spacing w:after="0"/>
              <w:rPr>
                <w:sz w:val="20"/>
                <w:szCs w:val="20"/>
                <w:color w:val="auto"/>
              </w:rPr>
            </w:pPr>
            <w:r>
              <w:rPr>
                <w:rFonts w:ascii="Arial" w:cs="Arial" w:eastAsia="Arial" w:hAnsi="Arial"/>
                <w:sz w:val="18"/>
                <w:szCs w:val="18"/>
                <w:color w:val="auto"/>
              </w:rPr>
              <w:t>the</w:t>
            </w:r>
          </w:p>
        </w:tc>
        <w:tc>
          <w:tcPr>
            <w:tcW w:w="1200" w:type="dxa"/>
            <w:vAlign w:val="bottom"/>
            <w:gridSpan w:val="2"/>
            <w:vMerge w:val="restart"/>
          </w:tcPr>
          <w:p>
            <w:pPr>
              <w:ind w:left="60"/>
              <w:spacing w:after="0"/>
              <w:rPr>
                <w:sz w:val="20"/>
                <w:szCs w:val="20"/>
                <w:color w:val="auto"/>
              </w:rPr>
            </w:pPr>
            <w:r>
              <w:rPr>
                <w:rFonts w:ascii="Arial" w:cs="Arial" w:eastAsia="Arial" w:hAnsi="Arial"/>
                <w:sz w:val="18"/>
                <w:szCs w:val="18"/>
                <w:color w:val="auto"/>
              </w:rPr>
              <w:t>determination</w:t>
            </w:r>
          </w:p>
        </w:tc>
        <w:tc>
          <w:tcPr>
            <w:tcW w:w="1680" w:type="dxa"/>
            <w:vAlign w:val="bottom"/>
            <w:gridSpan w:val="3"/>
            <w:vMerge w:val="restart"/>
          </w:tcPr>
          <w:p>
            <w:pPr>
              <w:ind w:left="60"/>
              <w:spacing w:after="0"/>
              <w:rPr>
                <w:sz w:val="20"/>
                <w:szCs w:val="20"/>
                <w:color w:val="auto"/>
              </w:rPr>
            </w:pPr>
            <w:r>
              <w:rPr>
                <w:rFonts w:ascii="Arial" w:cs="Arial" w:eastAsia="Arial" w:hAnsi="Arial"/>
                <w:sz w:val="18"/>
                <w:szCs w:val="18"/>
                <w:color w:val="auto"/>
              </w:rPr>
              <w:t>of the organization</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4680" w:type="dxa"/>
            <w:vAlign w:val="bottom"/>
            <w:gridSpan w:val="4"/>
            <w:vMerge w:val="restart"/>
          </w:tcPr>
          <w:p>
            <w:pPr>
              <w:ind w:left="540"/>
              <w:spacing w:after="0"/>
              <w:rPr>
                <w:sz w:val="20"/>
                <w:szCs w:val="20"/>
                <w:color w:val="auto"/>
              </w:rPr>
            </w:pPr>
            <w:r>
              <w:rPr>
                <w:rFonts w:ascii="Arial" w:cs="Arial" w:eastAsia="Arial" w:hAnsi="Arial"/>
                <w:sz w:val="18"/>
                <w:szCs w:val="18"/>
                <w:color w:val="auto"/>
              </w:rPr>
              <w:t>(c)   die Ausgestaltung des Rechnungswesens,</w:t>
            </w:r>
          </w:p>
        </w:tc>
        <w:tc>
          <w:tcPr>
            <w:tcW w:w="5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4680" w:type="dxa"/>
            <w:vAlign w:val="bottom"/>
            <w:gridSpan w:val="4"/>
            <w:vMerge w:val="continue"/>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3"/>
            <w:vMerge w:val="restart"/>
          </w:tcPr>
          <w:p>
            <w:pPr>
              <w:ind w:left="120"/>
              <w:spacing w:after="0"/>
              <w:rPr>
                <w:sz w:val="20"/>
                <w:szCs w:val="20"/>
                <w:color w:val="auto"/>
              </w:rPr>
            </w:pPr>
            <w:r>
              <w:rPr>
                <w:rFonts w:ascii="Arial" w:cs="Arial" w:eastAsia="Arial" w:hAnsi="Arial"/>
                <w:sz w:val="18"/>
                <w:szCs w:val="18"/>
                <w:color w:val="auto"/>
              </w:rPr>
              <w:t>the Company;</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0" w:type="dxa"/>
            <w:vAlign w:val="bottom"/>
          </w:tcPr>
          <w:p>
            <w:pPr>
              <w:spacing w:after="0"/>
              <w:rPr>
                <w:sz w:val="7"/>
                <w:szCs w:val="7"/>
                <w:color w:val="auto"/>
              </w:rPr>
            </w:pPr>
          </w:p>
        </w:tc>
        <w:tc>
          <w:tcPr>
            <w:tcW w:w="1500" w:type="dxa"/>
            <w:vAlign w:val="bottom"/>
            <w:vMerge w:val="restart"/>
          </w:tcPr>
          <w:p>
            <w:pPr>
              <w:ind w:left="980"/>
              <w:spacing w:after="0"/>
              <w:rPr>
                <w:sz w:val="20"/>
                <w:szCs w:val="20"/>
                <w:color w:val="auto"/>
              </w:rPr>
            </w:pPr>
            <w:r>
              <w:rPr>
                <w:rFonts w:ascii="Arial" w:cs="Arial" w:eastAsia="Arial" w:hAnsi="Arial"/>
                <w:sz w:val="18"/>
                <w:szCs w:val="18"/>
                <w:color w:val="auto"/>
              </w:rPr>
              <w:t>der</w:t>
            </w:r>
          </w:p>
        </w:tc>
        <w:tc>
          <w:tcPr>
            <w:tcW w:w="1500" w:type="dxa"/>
            <w:vAlign w:val="bottom"/>
            <w:vMerge w:val="restart"/>
          </w:tcPr>
          <w:p>
            <w:pPr>
              <w:ind w:left="140"/>
              <w:spacing w:after="0"/>
              <w:rPr>
                <w:sz w:val="20"/>
                <w:szCs w:val="20"/>
                <w:color w:val="auto"/>
              </w:rPr>
            </w:pPr>
            <w:r>
              <w:rPr>
                <w:rFonts w:ascii="Arial" w:cs="Arial" w:eastAsia="Arial" w:hAnsi="Arial"/>
                <w:sz w:val="18"/>
                <w:szCs w:val="18"/>
                <w:color w:val="auto"/>
              </w:rPr>
              <w:t>Finanzkontrolle</w:t>
            </w:r>
          </w:p>
        </w:tc>
        <w:tc>
          <w:tcPr>
            <w:tcW w:w="940" w:type="dxa"/>
            <w:vAlign w:val="bottom"/>
            <w:vMerge w:val="restart"/>
          </w:tcPr>
          <w:p>
            <w:pPr>
              <w:ind w:left="280"/>
              <w:spacing w:after="0"/>
              <w:rPr>
                <w:sz w:val="20"/>
                <w:szCs w:val="20"/>
                <w:color w:val="auto"/>
              </w:rPr>
            </w:pPr>
            <w:r>
              <w:rPr>
                <w:rFonts w:ascii="Arial" w:cs="Arial" w:eastAsia="Arial" w:hAnsi="Arial"/>
                <w:sz w:val="18"/>
                <w:szCs w:val="18"/>
                <w:color w:val="auto"/>
              </w:rPr>
              <w:t>sowie</w:t>
            </w: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color w:val="auto"/>
              </w:rPr>
              <w:t>der</w:t>
            </w: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vMerge w:val="restart"/>
          </w:tcPr>
          <w:p>
            <w:pPr>
              <w:ind w:left="520"/>
              <w:spacing w:after="0"/>
              <w:rPr>
                <w:sz w:val="20"/>
                <w:szCs w:val="20"/>
                <w:color w:val="auto"/>
              </w:rPr>
            </w:pPr>
            <w:r>
              <w:rPr>
                <w:rFonts w:ascii="Arial" w:cs="Arial" w:eastAsia="Arial" w:hAnsi="Arial"/>
                <w:sz w:val="18"/>
                <w:szCs w:val="18"/>
                <w:color w:val="auto"/>
              </w:rPr>
              <w:t>(c)</w:t>
            </w:r>
          </w:p>
        </w:tc>
        <w:tc>
          <w:tcPr>
            <w:tcW w:w="3520" w:type="dxa"/>
            <w:vAlign w:val="bottom"/>
            <w:gridSpan w:val="7"/>
            <w:vMerge w:val="restart"/>
          </w:tcPr>
          <w:p>
            <w:pPr>
              <w:ind w:left="100"/>
              <w:spacing w:after="0"/>
              <w:rPr>
                <w:sz w:val="20"/>
                <w:szCs w:val="20"/>
                <w:color w:val="auto"/>
              </w:rPr>
            </w:pPr>
            <w:r>
              <w:rPr>
                <w:rFonts w:ascii="Arial" w:cs="Arial" w:eastAsia="Arial" w:hAnsi="Arial"/>
                <w:sz w:val="18"/>
                <w:szCs w:val="18"/>
                <w:color w:val="auto"/>
              </w:rPr>
              <w:t>the administration of accounting, financial</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3000" w:type="dxa"/>
            <w:vAlign w:val="bottom"/>
            <w:gridSpan w:val="2"/>
            <w:vMerge w:val="restart"/>
          </w:tcPr>
          <w:p>
            <w:pPr>
              <w:ind w:left="980"/>
              <w:spacing w:after="0"/>
              <w:rPr>
                <w:sz w:val="20"/>
                <w:szCs w:val="20"/>
                <w:color w:val="auto"/>
              </w:rPr>
            </w:pPr>
            <w:r>
              <w:rPr>
                <w:rFonts w:ascii="Arial" w:cs="Arial" w:eastAsia="Arial" w:hAnsi="Arial"/>
                <w:sz w:val="18"/>
                <w:szCs w:val="18"/>
                <w:color w:val="auto"/>
              </w:rPr>
              <w:t>Finanzplanung;</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0" w:type="dxa"/>
            <w:vAlign w:val="bottom"/>
          </w:tcPr>
          <w:p>
            <w:pPr>
              <w:spacing w:after="0"/>
              <w:rPr>
                <w:sz w:val="9"/>
                <w:szCs w:val="9"/>
                <w:color w:val="auto"/>
              </w:rPr>
            </w:pPr>
          </w:p>
        </w:tc>
        <w:tc>
          <w:tcPr>
            <w:tcW w:w="30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520" w:type="dxa"/>
            <w:vAlign w:val="bottom"/>
            <w:gridSpan w:val="5"/>
            <w:vMerge w:val="restart"/>
          </w:tcPr>
          <w:p>
            <w:pPr>
              <w:ind w:left="120"/>
              <w:spacing w:after="0"/>
              <w:rPr>
                <w:sz w:val="20"/>
                <w:szCs w:val="20"/>
                <w:color w:val="auto"/>
              </w:rPr>
            </w:pPr>
            <w:r>
              <w:rPr>
                <w:rFonts w:ascii="Arial" w:cs="Arial" w:eastAsia="Arial" w:hAnsi="Arial"/>
                <w:sz w:val="18"/>
                <w:szCs w:val="18"/>
                <w:color w:val="auto"/>
                <w:w w:val="99"/>
              </w:rPr>
              <w:t>control and financial planning;</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680" w:type="dxa"/>
            <w:vAlign w:val="bottom"/>
            <w:gridSpan w:val="4"/>
            <w:vMerge w:val="restart"/>
          </w:tcPr>
          <w:p>
            <w:pPr>
              <w:ind w:left="540"/>
              <w:spacing w:after="0"/>
              <w:rPr>
                <w:sz w:val="20"/>
                <w:szCs w:val="20"/>
                <w:color w:val="auto"/>
              </w:rPr>
            </w:pPr>
            <w:r>
              <w:rPr>
                <w:rFonts w:ascii="Arial" w:cs="Arial" w:eastAsia="Arial" w:hAnsi="Arial"/>
                <w:sz w:val="18"/>
                <w:szCs w:val="18"/>
                <w:color w:val="auto"/>
              </w:rPr>
              <w:t>(d)  die Ernennung und Abberufung der mit der</w:t>
            </w: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680" w:type="dxa"/>
            <w:vAlign w:val="bottom"/>
            <w:gridSpan w:val="4"/>
            <w:vMerge w:val="continue"/>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vMerge w:val="restart"/>
          </w:tcPr>
          <w:p>
            <w:pPr>
              <w:ind w:left="520"/>
              <w:spacing w:after="0"/>
              <w:rPr>
                <w:sz w:val="20"/>
                <w:szCs w:val="20"/>
                <w:color w:val="auto"/>
              </w:rPr>
            </w:pPr>
            <w:r>
              <w:rPr>
                <w:rFonts w:ascii="Arial" w:cs="Arial" w:eastAsia="Arial" w:hAnsi="Arial"/>
                <w:sz w:val="18"/>
                <w:szCs w:val="18"/>
                <w:color w:val="auto"/>
              </w:rPr>
              <w:t>(d)</w:t>
            </w:r>
          </w:p>
        </w:tc>
        <w:tc>
          <w:tcPr>
            <w:tcW w:w="400" w:type="dxa"/>
            <w:vAlign w:val="bottom"/>
            <w:vMerge w:val="restart"/>
          </w:tcPr>
          <w:p>
            <w:pPr>
              <w:ind w:left="100"/>
              <w:spacing w:after="0"/>
              <w:rPr>
                <w:sz w:val="20"/>
                <w:szCs w:val="20"/>
                <w:color w:val="auto"/>
              </w:rPr>
            </w:pPr>
            <w:r>
              <w:rPr>
                <w:rFonts w:ascii="Arial" w:cs="Arial" w:eastAsia="Arial" w:hAnsi="Arial"/>
                <w:sz w:val="18"/>
                <w:szCs w:val="18"/>
                <w:color w:val="auto"/>
              </w:rPr>
              <w:t>the</w:t>
            </w:r>
          </w:p>
        </w:tc>
        <w:tc>
          <w:tcPr>
            <w:tcW w:w="1200" w:type="dxa"/>
            <w:vAlign w:val="bottom"/>
            <w:gridSpan w:val="2"/>
            <w:vMerge w:val="restart"/>
          </w:tcPr>
          <w:p>
            <w:pPr>
              <w:ind w:left="120"/>
              <w:spacing w:after="0"/>
              <w:rPr>
                <w:sz w:val="20"/>
                <w:szCs w:val="20"/>
                <w:color w:val="auto"/>
              </w:rPr>
            </w:pPr>
            <w:r>
              <w:rPr>
                <w:rFonts w:ascii="Arial" w:cs="Arial" w:eastAsia="Arial" w:hAnsi="Arial"/>
                <w:sz w:val="18"/>
                <w:szCs w:val="18"/>
                <w:color w:val="auto"/>
              </w:rPr>
              <w:t>appointment</w:t>
            </w:r>
          </w:p>
        </w:tc>
        <w:tc>
          <w:tcPr>
            <w:tcW w:w="520" w:type="dxa"/>
            <w:vAlign w:val="bottom"/>
            <w:vMerge w:val="restart"/>
          </w:tcPr>
          <w:p>
            <w:pPr>
              <w:ind w:left="80"/>
              <w:spacing w:after="0"/>
              <w:rPr>
                <w:sz w:val="20"/>
                <w:szCs w:val="20"/>
                <w:color w:val="auto"/>
              </w:rPr>
            </w:pPr>
            <w:r>
              <w:rPr>
                <w:rFonts w:ascii="Arial" w:cs="Arial" w:eastAsia="Arial" w:hAnsi="Arial"/>
                <w:sz w:val="18"/>
                <w:szCs w:val="18"/>
                <w:color w:val="auto"/>
              </w:rPr>
              <w:t>and</w:t>
            </w:r>
          </w:p>
        </w:tc>
        <w:tc>
          <w:tcPr>
            <w:tcW w:w="1160" w:type="dxa"/>
            <w:vAlign w:val="bottom"/>
            <w:gridSpan w:val="2"/>
            <w:vMerge w:val="restart"/>
          </w:tcPr>
          <w:p>
            <w:pPr>
              <w:ind w:left="20"/>
              <w:spacing w:after="0"/>
              <w:rPr>
                <w:sz w:val="20"/>
                <w:szCs w:val="20"/>
                <w:color w:val="auto"/>
              </w:rPr>
            </w:pPr>
            <w:r>
              <w:rPr>
                <w:rFonts w:ascii="Arial" w:cs="Arial" w:eastAsia="Arial" w:hAnsi="Arial"/>
                <w:sz w:val="18"/>
                <w:szCs w:val="18"/>
                <w:color w:val="auto"/>
              </w:rPr>
              <w:t>removal  of</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the</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3000" w:type="dxa"/>
            <w:vAlign w:val="bottom"/>
            <w:gridSpan w:val="2"/>
            <w:vMerge w:val="restart"/>
          </w:tcPr>
          <w:p>
            <w:pPr>
              <w:ind w:left="980"/>
              <w:spacing w:after="0"/>
              <w:rPr>
                <w:sz w:val="20"/>
                <w:szCs w:val="20"/>
                <w:color w:val="auto"/>
              </w:rPr>
            </w:pPr>
            <w:r>
              <w:rPr>
                <w:rFonts w:ascii="Arial" w:cs="Arial" w:eastAsia="Arial" w:hAnsi="Arial"/>
                <w:sz w:val="18"/>
                <w:szCs w:val="18"/>
                <w:color w:val="auto"/>
              </w:rPr>
              <w:t>Geschäftsführung  und</w:t>
            </w:r>
          </w:p>
        </w:tc>
        <w:tc>
          <w:tcPr>
            <w:tcW w:w="16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der  Vertretung</w:t>
            </w:r>
          </w:p>
        </w:tc>
        <w:tc>
          <w:tcPr>
            <w:tcW w:w="5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300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gridSpan w:val="2"/>
            <w:vMerge w:val="restart"/>
          </w:tcPr>
          <w:p>
            <w:pPr>
              <w:ind w:left="120"/>
              <w:spacing w:after="0" w:line="202" w:lineRule="exact"/>
              <w:rPr>
                <w:sz w:val="20"/>
                <w:szCs w:val="20"/>
                <w:color w:val="auto"/>
              </w:rPr>
            </w:pPr>
            <w:r>
              <w:rPr>
                <w:rFonts w:ascii="Arial" w:cs="Arial" w:eastAsia="Arial" w:hAnsi="Arial"/>
                <w:sz w:val="18"/>
                <w:szCs w:val="18"/>
                <w:color w:val="auto"/>
              </w:rPr>
              <w:t>persons</w:t>
            </w:r>
          </w:p>
        </w:tc>
        <w:tc>
          <w:tcPr>
            <w:tcW w:w="1200" w:type="dxa"/>
            <w:vAlign w:val="bottom"/>
            <w:gridSpan w:val="2"/>
            <w:vMerge w:val="restart"/>
          </w:tcPr>
          <w:p>
            <w:pPr>
              <w:ind w:left="140"/>
              <w:spacing w:after="0" w:line="202" w:lineRule="exact"/>
              <w:rPr>
                <w:sz w:val="20"/>
                <w:szCs w:val="20"/>
                <w:color w:val="auto"/>
              </w:rPr>
            </w:pPr>
            <w:r>
              <w:rPr>
                <w:rFonts w:ascii="Arial" w:cs="Arial" w:eastAsia="Arial" w:hAnsi="Arial"/>
                <w:sz w:val="18"/>
                <w:szCs w:val="18"/>
                <w:color w:val="auto"/>
              </w:rPr>
              <w:t>entrusted</w:t>
            </w:r>
          </w:p>
        </w:tc>
        <w:tc>
          <w:tcPr>
            <w:tcW w:w="4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w w:val="99"/>
              </w:rPr>
              <w:t>with</w:t>
            </w:r>
          </w:p>
        </w:tc>
        <w:tc>
          <w:tcPr>
            <w:tcW w:w="100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executive</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4680" w:type="dxa"/>
            <w:vAlign w:val="bottom"/>
            <w:gridSpan w:val="4"/>
            <w:vMerge w:val="restart"/>
          </w:tcPr>
          <w:p>
            <w:pPr>
              <w:ind w:left="980"/>
              <w:spacing w:after="0"/>
              <w:rPr>
                <w:sz w:val="20"/>
                <w:szCs w:val="20"/>
                <w:color w:val="auto"/>
              </w:rPr>
            </w:pPr>
            <w:r>
              <w:rPr>
                <w:rFonts w:ascii="Arial" w:cs="Arial" w:eastAsia="Arial" w:hAnsi="Arial"/>
                <w:sz w:val="18"/>
                <w:szCs w:val="18"/>
                <w:color w:val="auto"/>
              </w:rPr>
              <w:t>betrauten Personen und die Regelung von</w:t>
            </w:r>
          </w:p>
        </w:tc>
        <w:tc>
          <w:tcPr>
            <w:tcW w:w="50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468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20" w:type="dxa"/>
            <w:vAlign w:val="bottom"/>
            <w:gridSpan w:val="7"/>
            <w:vMerge w:val="restart"/>
          </w:tcPr>
          <w:p>
            <w:pPr>
              <w:ind w:left="120"/>
              <w:spacing w:after="0" w:line="202" w:lineRule="exact"/>
              <w:rPr>
                <w:sz w:val="20"/>
                <w:szCs w:val="20"/>
                <w:color w:val="auto"/>
              </w:rPr>
            </w:pPr>
            <w:r>
              <w:rPr>
                <w:rFonts w:ascii="Arial" w:cs="Arial" w:eastAsia="Arial" w:hAnsi="Arial"/>
                <w:sz w:val="18"/>
                <w:szCs w:val="18"/>
                <w:color w:val="auto"/>
              </w:rPr>
              <w:t>management and their representation of</w:t>
            </w: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940" w:type="dxa"/>
            <w:vAlign w:val="bottom"/>
            <w:gridSpan w:val="3"/>
            <w:vMerge w:val="restart"/>
          </w:tcPr>
          <w:p>
            <w:pPr>
              <w:ind w:left="980"/>
              <w:spacing w:after="0"/>
              <w:rPr>
                <w:sz w:val="20"/>
                <w:szCs w:val="20"/>
                <w:color w:val="auto"/>
              </w:rPr>
            </w:pPr>
            <w:r>
              <w:rPr>
                <w:rFonts w:ascii="Arial" w:cs="Arial" w:eastAsia="Arial" w:hAnsi="Arial"/>
                <w:sz w:val="18"/>
                <w:szCs w:val="18"/>
                <w:color w:val="auto"/>
              </w:rPr>
              <w:t>deren Zeichnungsberechtigung;</w:t>
            </w: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5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394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3"/>
          </w:tcPr>
          <w:p>
            <w:pPr>
              <w:ind w:left="120"/>
              <w:spacing w:after="0"/>
              <w:rPr>
                <w:sz w:val="20"/>
                <w:szCs w:val="20"/>
                <w:color w:val="auto"/>
              </w:rPr>
            </w:pPr>
            <w:r>
              <w:rPr>
                <w:rFonts w:ascii="Arial" w:cs="Arial" w:eastAsia="Arial" w:hAnsi="Arial"/>
                <w:sz w:val="18"/>
                <w:szCs w:val="18"/>
                <w:color w:val="auto"/>
              </w:rPr>
              <w:t>the Company;</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760"/>
          </w:cols>
          <w:pgMar w:left="960" w:top="144" w:right="1179" w:bottom="1440" w:gutter="0" w:footer="0" w:header="0"/>
        </w:sectPr>
      </w:pPr>
    </w:p>
    <w:bookmarkStart w:id="315" w:name="page316"/>
    <w:bookmarkEnd w:id="315"/>
    <w:p>
      <w:pPr>
        <w:jc w:val="center"/>
        <w:ind w:right="-199"/>
        <w:spacing w:after="0"/>
        <w:rPr>
          <w:sz w:val="20"/>
          <w:szCs w:val="20"/>
          <w:color w:val="auto"/>
        </w:rPr>
      </w:pPr>
      <w:r>
        <w:rPr>
          <w:rFonts w:ascii="Arial" w:cs="Arial" w:eastAsia="Arial" w:hAnsi="Arial"/>
          <w:sz w:val="14"/>
          <w:szCs w:val="14"/>
          <w:color w:val="auto"/>
        </w:rPr>
        <w:t>- 18 -</w:t>
      </w:r>
    </w:p>
    <w:p>
      <w:pPr>
        <w:sectPr>
          <w:pgSz w:w="11900" w:h="16838" w:orient="portrait"/>
          <w:cols w:equalWidth="0" w:num="1">
            <w:col w:w="9780"/>
          </w:cols>
          <w:pgMar w:left="96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180" w:right="586" w:hanging="444"/>
        <w:spacing w:after="0" w:line="238" w:lineRule="auto"/>
        <w:tabs>
          <w:tab w:leader="none" w:pos="117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die Oberaufsicht über die mit der Geschäftsführung betrauten Personen, namentlich im Hinblick auf die Befolgung der Gesetze, Statuten, Reglemente und Weisungen;</w:t>
      </w:r>
    </w:p>
    <w:p>
      <w:pPr>
        <w:spacing w:after="0" w:line="40" w:lineRule="exact"/>
        <w:rPr>
          <w:rFonts w:ascii="Arial" w:cs="Arial" w:eastAsia="Arial" w:hAnsi="Arial"/>
          <w:sz w:val="18"/>
          <w:szCs w:val="18"/>
          <w:color w:val="auto"/>
        </w:rPr>
      </w:pPr>
    </w:p>
    <w:p>
      <w:pPr>
        <w:jc w:val="both"/>
        <w:ind w:left="1180" w:right="586" w:hanging="444"/>
        <w:spacing w:after="0" w:line="238" w:lineRule="auto"/>
        <w:tabs>
          <w:tab w:leader="none" w:pos="117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die Erstellung des Geschäftsberichts und des Vergütungsberichts sowie die Vorbereitung der Generalversammlung und die Ausführung ihrer Beschlüsse;</w:t>
      </w:r>
    </w:p>
    <w:p>
      <w:pPr>
        <w:spacing w:after="0" w:line="42" w:lineRule="exact"/>
        <w:rPr>
          <w:rFonts w:ascii="Arial" w:cs="Arial" w:eastAsia="Arial" w:hAnsi="Arial"/>
          <w:sz w:val="18"/>
          <w:szCs w:val="18"/>
          <w:color w:val="auto"/>
        </w:rPr>
      </w:pPr>
    </w:p>
    <w:p>
      <w:pPr>
        <w:jc w:val="both"/>
        <w:ind w:left="1180" w:right="586" w:hanging="444"/>
        <w:spacing w:after="0" w:line="238" w:lineRule="auto"/>
        <w:tabs>
          <w:tab w:leader="none" w:pos="117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die Beschlussfassung über nachträgliche Leistung von Einlagen auf nicht vollständig liberierten Aktien und daraus folgende Statutenänderungen;</w:t>
      </w:r>
    </w:p>
    <w:p>
      <w:pPr>
        <w:spacing w:after="0" w:line="42" w:lineRule="exact"/>
        <w:rPr>
          <w:rFonts w:ascii="Arial" w:cs="Arial" w:eastAsia="Arial" w:hAnsi="Arial"/>
          <w:sz w:val="18"/>
          <w:szCs w:val="18"/>
          <w:color w:val="auto"/>
        </w:rPr>
      </w:pPr>
    </w:p>
    <w:p>
      <w:pPr>
        <w:jc w:val="both"/>
        <w:ind w:left="1180" w:right="586" w:hanging="444"/>
        <w:spacing w:after="0" w:line="234" w:lineRule="auto"/>
        <w:tabs>
          <w:tab w:leader="none" w:pos="117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die Beschlussfassung über die Erhöhung des Aktienkapitals, soweit dies in der Kompetenz des Verwaltungsrats liegt (Art. 651 Abs. 4 OR), die Feststellung von Kapitalerhöhungen, die Erstellung des</w:t>
      </w:r>
    </w:p>
    <w:p>
      <w:pPr>
        <w:spacing w:after="0" w:line="3"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Kapitalerhöhungsberichtsund</w:t>
      </w:r>
      <w:r>
        <w:rPr>
          <w:rFonts w:ascii="Arial" w:cs="Arial" w:eastAsia="Arial" w:hAnsi="Arial"/>
          <w:sz w:val="17"/>
          <w:szCs w:val="17"/>
          <w:color w:val="auto"/>
        </w:rPr>
        <w:t>die</w:t>
      </w:r>
    </w:p>
    <w:p>
      <w:pPr>
        <w:ind w:left="1180" w:right="586"/>
        <w:spacing w:after="0" w:line="246" w:lineRule="auto"/>
        <w:rPr>
          <w:rFonts w:ascii="Arial" w:cs="Arial" w:eastAsia="Arial" w:hAnsi="Arial"/>
          <w:sz w:val="18"/>
          <w:szCs w:val="18"/>
          <w:color w:val="auto"/>
        </w:rPr>
      </w:pPr>
      <w:r>
        <w:rPr>
          <w:rFonts w:ascii="Arial" w:cs="Arial" w:eastAsia="Arial" w:hAnsi="Arial"/>
          <w:sz w:val="18"/>
          <w:szCs w:val="18"/>
          <w:color w:val="auto"/>
        </w:rPr>
        <w:t>Vornahme der entsprechenden Statutenänderungen;</w:t>
      </w:r>
    </w:p>
    <w:p>
      <w:pPr>
        <w:spacing w:after="0" w:line="34" w:lineRule="exact"/>
        <w:rPr>
          <w:rFonts w:ascii="Arial" w:cs="Arial" w:eastAsia="Arial" w:hAnsi="Arial"/>
          <w:sz w:val="18"/>
          <w:szCs w:val="18"/>
          <w:color w:val="auto"/>
        </w:rPr>
      </w:pPr>
    </w:p>
    <w:p>
      <w:pPr>
        <w:jc w:val="both"/>
        <w:ind w:left="1180" w:right="586" w:hanging="444"/>
        <w:spacing w:after="0" w:line="234" w:lineRule="auto"/>
        <w:tabs>
          <w:tab w:leader="none" w:pos="117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diegemäss Fusionsgesetz unübertragbaren und unentziehbaren</w:t>
      </w:r>
    </w:p>
    <w:p>
      <w:pPr>
        <w:spacing w:after="0" w:line="1" w:lineRule="exact"/>
        <w:rPr>
          <w:rFonts w:ascii="Arial" w:cs="Arial" w:eastAsia="Arial" w:hAnsi="Arial"/>
          <w:sz w:val="18"/>
          <w:szCs w:val="18"/>
          <w:color w:val="auto"/>
        </w:rPr>
      </w:pPr>
    </w:p>
    <w:p>
      <w:pPr>
        <w:ind w:left="1180" w:right="586"/>
        <w:spacing w:after="0" w:line="246" w:lineRule="auto"/>
        <w:rPr>
          <w:rFonts w:ascii="Arial" w:cs="Arial" w:eastAsia="Arial" w:hAnsi="Arial"/>
          <w:sz w:val="18"/>
          <w:szCs w:val="18"/>
          <w:color w:val="auto"/>
        </w:rPr>
      </w:pPr>
      <w:r>
        <w:rPr>
          <w:rFonts w:ascii="Arial" w:cs="Arial" w:eastAsia="Arial" w:hAnsi="Arial"/>
          <w:sz w:val="18"/>
          <w:szCs w:val="18"/>
          <w:color w:val="auto"/>
        </w:rPr>
        <w:t>Aufgaben und Befugnisse des Verwaltungsrats;</w:t>
      </w:r>
    </w:p>
    <w:p>
      <w:pPr>
        <w:spacing w:after="0" w:line="34" w:lineRule="exact"/>
        <w:rPr>
          <w:rFonts w:ascii="Arial" w:cs="Arial" w:eastAsia="Arial" w:hAnsi="Arial"/>
          <w:sz w:val="18"/>
          <w:szCs w:val="18"/>
          <w:color w:val="auto"/>
        </w:rPr>
      </w:pPr>
    </w:p>
    <w:p>
      <w:pPr>
        <w:ind w:left="1180" w:right="606" w:hanging="444"/>
        <w:spacing w:after="0" w:line="246" w:lineRule="auto"/>
        <w:tabs>
          <w:tab w:leader="none" w:pos="117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die Benachrichtigung des Richters im Falle der Überschuldung;</w:t>
      </w:r>
    </w:p>
    <w:p>
      <w:pPr>
        <w:spacing w:after="0" w:line="34" w:lineRule="exact"/>
        <w:rPr>
          <w:rFonts w:ascii="Arial" w:cs="Arial" w:eastAsia="Arial" w:hAnsi="Arial"/>
          <w:sz w:val="18"/>
          <w:szCs w:val="18"/>
          <w:color w:val="auto"/>
        </w:rPr>
      </w:pPr>
    </w:p>
    <w:p>
      <w:pPr>
        <w:jc w:val="both"/>
        <w:ind w:left="1180" w:right="586" w:hanging="444"/>
        <w:spacing w:after="0"/>
        <w:tabs>
          <w:tab w:leader="none" w:pos="117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andere durch Gesetz oder Statuten dem Verwaltungsrat vorbehaltene Aufgaben und Befugnisse.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454" w:hanging="454"/>
        <w:spacing w:after="0" w:line="237" w:lineRule="auto"/>
        <w:tabs>
          <w:tab w:leader="none" w:pos="44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ultimate supervision of the persons entrusted with management of the Company, specifically in view of their compliance with the law, these Articles of Incorporation, the regulations and directives;</w:t>
      </w:r>
    </w:p>
    <w:p>
      <w:pPr>
        <w:spacing w:after="0" w:line="42" w:lineRule="exact"/>
        <w:rPr>
          <w:rFonts w:ascii="Arial" w:cs="Arial" w:eastAsia="Arial" w:hAnsi="Arial"/>
          <w:sz w:val="18"/>
          <w:szCs w:val="18"/>
          <w:color w:val="auto"/>
        </w:rPr>
      </w:pPr>
    </w:p>
    <w:p>
      <w:pPr>
        <w:jc w:val="both"/>
        <w:ind w:left="454" w:right="20" w:hanging="454"/>
        <w:spacing w:after="0" w:line="238" w:lineRule="auto"/>
        <w:tabs>
          <w:tab w:leader="none" w:pos="4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preparation of the business report, the compensation report and the general meetings of shareholders as well as the implementation of the resolutions adopted by the general meetings of shareholders;</w:t>
      </w:r>
    </w:p>
    <w:p>
      <w:pPr>
        <w:spacing w:after="0" w:line="40" w:lineRule="exact"/>
        <w:rPr>
          <w:rFonts w:ascii="Arial" w:cs="Arial" w:eastAsia="Arial" w:hAnsi="Arial"/>
          <w:sz w:val="18"/>
          <w:szCs w:val="18"/>
          <w:color w:val="auto"/>
        </w:rPr>
      </w:pPr>
    </w:p>
    <w:p>
      <w:pPr>
        <w:jc w:val="both"/>
        <w:ind w:left="454" w:hanging="454"/>
        <w:spacing w:after="0" w:line="238" w:lineRule="auto"/>
        <w:tabs>
          <w:tab w:leader="none" w:pos="44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adoption of resolutions regarding the subsequent payment of capital with respect to non-fully paid up shares and the amendments to the articles of association related thereto;</w:t>
      </w:r>
    </w:p>
    <w:p>
      <w:pPr>
        <w:spacing w:after="0" w:line="40" w:lineRule="exact"/>
        <w:rPr>
          <w:rFonts w:ascii="Arial" w:cs="Arial" w:eastAsia="Arial" w:hAnsi="Arial"/>
          <w:sz w:val="18"/>
          <w:szCs w:val="18"/>
          <w:color w:val="auto"/>
        </w:rPr>
      </w:pPr>
    </w:p>
    <w:p>
      <w:pPr>
        <w:jc w:val="both"/>
        <w:ind w:left="454" w:right="20" w:hanging="454"/>
        <w:spacing w:after="0" w:line="251" w:lineRule="auto"/>
        <w:tabs>
          <w:tab w:leader="none" w:pos="44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adoption of resolutions concerning an increase of the share capital to the extent that such power is vested in the board of directors (art. 651 para. 4 CO) and of resolutions concerning the confirmation of capital increases and corresponding amendments to the Articles of Incorporation, as well as the preparation of the required report on the capital increase;</w:t>
      </w:r>
    </w:p>
    <w:p>
      <w:pPr>
        <w:spacing w:after="0" w:line="36" w:lineRule="exact"/>
        <w:rPr>
          <w:rFonts w:ascii="Arial" w:cs="Arial" w:eastAsia="Arial" w:hAnsi="Arial"/>
          <w:sz w:val="17"/>
          <w:szCs w:val="17"/>
          <w:color w:val="auto"/>
        </w:rPr>
      </w:pPr>
    </w:p>
    <w:p>
      <w:pPr>
        <w:jc w:val="both"/>
        <w:ind w:left="454" w:hanging="454"/>
        <w:spacing w:after="0"/>
        <w:tabs>
          <w:tab w:leader="none" w:pos="45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non-delegable and inalienable duties and powers of the board of directors pursuant to the Merger Act;</w:t>
      </w:r>
    </w:p>
    <w:p>
      <w:pPr>
        <w:spacing w:after="0" w:line="40" w:lineRule="exact"/>
        <w:rPr>
          <w:rFonts w:ascii="Arial" w:cs="Arial" w:eastAsia="Arial" w:hAnsi="Arial"/>
          <w:sz w:val="18"/>
          <w:szCs w:val="18"/>
          <w:color w:val="auto"/>
        </w:rPr>
      </w:pPr>
    </w:p>
    <w:p>
      <w:pPr>
        <w:ind w:left="454" w:right="20" w:hanging="454"/>
        <w:spacing w:after="0" w:line="246" w:lineRule="auto"/>
        <w:tabs>
          <w:tab w:leader="none" w:pos="45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notification of the court if liabilities exceed assets;</w:t>
      </w:r>
    </w:p>
    <w:p>
      <w:pPr>
        <w:spacing w:after="0" w:line="34" w:lineRule="exact"/>
        <w:rPr>
          <w:rFonts w:ascii="Arial" w:cs="Arial" w:eastAsia="Arial" w:hAnsi="Arial"/>
          <w:sz w:val="18"/>
          <w:szCs w:val="18"/>
          <w:color w:val="auto"/>
        </w:rPr>
      </w:pPr>
    </w:p>
    <w:p>
      <w:pPr>
        <w:jc w:val="both"/>
        <w:ind w:left="454" w:right="20" w:hanging="454"/>
        <w:spacing w:after="0"/>
        <w:tabs>
          <w:tab w:leader="none" w:pos="44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other matter reserved to the board of directors by the law or the Articles of Incorporation.</w:t>
      </w:r>
    </w:p>
    <w:p>
      <w:pPr>
        <w:spacing w:after="0" w:line="1" w:lineRule="exact"/>
        <w:rPr>
          <w:sz w:val="20"/>
          <w:szCs w:val="20"/>
          <w:color w:val="auto"/>
        </w:rPr>
      </w:pPr>
    </w:p>
    <w:p>
      <w:pPr>
        <w:sectPr>
          <w:pgSz w:w="11900" w:h="16838" w:orient="portrait"/>
          <w:cols w:equalWidth="0" w:num="2">
            <w:col w:w="5186" w:space="720"/>
            <w:col w:w="3874"/>
          </w:cols>
          <w:pgMar w:left="960" w:top="144" w:right="1159" w:bottom="1440" w:gutter="0" w:footer="0" w:header="0"/>
          <w:type w:val="continuous"/>
        </w:sectPr>
      </w:pPr>
    </w:p>
    <w:p>
      <w:pPr>
        <w:spacing w:after="0"/>
        <w:tabs>
          <w:tab w:leader="none" w:pos="320" w:val="left"/>
          <w:tab w:leader="none" w:pos="5140" w:val="left"/>
          <w:tab w:leader="none" w:pos="5480" w:val="left"/>
        </w:tabs>
        <w:rPr>
          <w:sz w:val="20"/>
          <w:szCs w:val="20"/>
          <w:color w:val="auto"/>
        </w:rPr>
      </w:pPr>
      <w:r>
        <w:rPr>
          <w:rFonts w:ascii="Arial" w:cs="Arial" w:eastAsia="Arial" w:hAnsi="Arial"/>
          <w:sz w:val="29"/>
          <w:szCs w:val="29"/>
          <w:color w:val="auto"/>
          <w:vertAlign w:val="superscript"/>
        </w:rPr>
        <w:t>3</w:t>
      </w:r>
      <w:r>
        <w:rPr>
          <w:sz w:val="20"/>
          <w:szCs w:val="20"/>
          <w:color w:val="auto"/>
        </w:rPr>
        <w:tab/>
      </w:r>
      <w:r>
        <w:rPr>
          <w:rFonts w:ascii="Arial" w:cs="Arial" w:eastAsia="Arial" w:hAnsi="Arial"/>
          <w:sz w:val="18"/>
          <w:szCs w:val="18"/>
          <w:color w:val="auto"/>
        </w:rPr>
        <w:t>Im Übrigen kann der Verwaltungsrat die</w:t>
      </w:r>
      <w:r>
        <w:rPr>
          <w:sz w:val="20"/>
          <w:szCs w:val="20"/>
          <w:color w:val="auto"/>
        </w:rPr>
        <w:tab/>
      </w:r>
      <w:r>
        <w:rPr>
          <w:rFonts w:ascii="Arial" w:cs="Arial" w:eastAsia="Arial" w:hAnsi="Arial"/>
          <w:sz w:val="29"/>
          <w:szCs w:val="29"/>
          <w:color w:val="auto"/>
          <w:vertAlign w:val="superscript"/>
        </w:rPr>
        <w:t>3</w:t>
      </w:r>
      <w:r>
        <w:rPr>
          <w:sz w:val="20"/>
          <w:szCs w:val="20"/>
          <w:color w:val="auto"/>
        </w:rPr>
        <w:tab/>
      </w:r>
      <w:r>
        <w:rPr>
          <w:rFonts w:ascii="Arial" w:cs="Arial" w:eastAsia="Arial" w:hAnsi="Arial"/>
          <w:sz w:val="17"/>
          <w:szCs w:val="17"/>
          <w:color w:val="auto"/>
        </w:rPr>
        <w:t>The board of directors may delegate the executive</w:t>
      </w:r>
    </w:p>
    <w:p>
      <w:pPr>
        <w:spacing w:after="0" w:line="1" w:lineRule="exact"/>
        <w:rPr>
          <w:sz w:val="20"/>
          <w:szCs w:val="20"/>
          <w:color w:val="auto"/>
        </w:rPr>
      </w:pPr>
    </w:p>
    <w:p>
      <w:pPr>
        <w:ind w:left="740"/>
        <w:spacing w:after="0"/>
        <w:tabs>
          <w:tab w:leader="none" w:pos="5880" w:val="left"/>
        </w:tabs>
        <w:rPr>
          <w:sz w:val="20"/>
          <w:szCs w:val="20"/>
          <w:color w:val="auto"/>
        </w:rPr>
      </w:pPr>
      <w:r>
        <w:rPr>
          <w:rFonts w:ascii="Arial" w:cs="Arial" w:eastAsia="Arial" w:hAnsi="Arial"/>
          <w:sz w:val="18"/>
          <w:szCs w:val="18"/>
          <w:color w:val="auto"/>
        </w:rPr>
        <w:t>Geschäftsführung sowie die Vertretung der</w:t>
      </w:r>
      <w:r>
        <w:rPr>
          <w:sz w:val="20"/>
          <w:szCs w:val="20"/>
          <w:color w:val="auto"/>
        </w:rPr>
        <w:tab/>
      </w:r>
      <w:r>
        <w:rPr>
          <w:rFonts w:ascii="Arial" w:cs="Arial" w:eastAsia="Arial" w:hAnsi="Arial"/>
          <w:sz w:val="17"/>
          <w:szCs w:val="17"/>
          <w:color w:val="auto"/>
        </w:rPr>
        <w:t>management of the Company in whole or in part</w:t>
      </w:r>
    </w:p>
    <w:p>
      <w:pPr>
        <w:spacing w:after="0" w:line="9" w:lineRule="exact"/>
        <w:rPr>
          <w:sz w:val="20"/>
          <w:szCs w:val="20"/>
          <w:color w:val="auto"/>
        </w:rPr>
      </w:pPr>
    </w:p>
    <w:p>
      <w:pPr>
        <w:ind w:left="740"/>
        <w:spacing w:after="0"/>
        <w:tabs>
          <w:tab w:leader="none" w:pos="5880" w:val="left"/>
        </w:tabs>
        <w:rPr>
          <w:sz w:val="20"/>
          <w:szCs w:val="20"/>
          <w:color w:val="auto"/>
        </w:rPr>
      </w:pPr>
      <w:r>
        <w:rPr>
          <w:rFonts w:ascii="Arial" w:cs="Arial" w:eastAsia="Arial" w:hAnsi="Arial"/>
          <w:sz w:val="18"/>
          <w:szCs w:val="18"/>
          <w:color w:val="auto"/>
        </w:rPr>
        <w:t>Gesellschaft im Rahmen der gesetzlichen</w:t>
      </w:r>
      <w:r>
        <w:rPr>
          <w:sz w:val="20"/>
          <w:szCs w:val="20"/>
          <w:color w:val="auto"/>
        </w:rPr>
        <w:tab/>
      </w:r>
      <w:r>
        <w:rPr>
          <w:rFonts w:ascii="Arial" w:cs="Arial" w:eastAsia="Arial" w:hAnsi="Arial"/>
          <w:sz w:val="18"/>
          <w:szCs w:val="18"/>
          <w:color w:val="auto"/>
        </w:rPr>
        <w:t>to one or several individual directors or to</w:t>
      </w:r>
    </w:p>
    <w:p>
      <w:pPr>
        <w:spacing w:after="0" w:line="9" w:lineRule="exact"/>
        <w:rPr>
          <w:sz w:val="20"/>
          <w:szCs w:val="20"/>
          <w:color w:val="auto"/>
        </w:rPr>
      </w:pPr>
    </w:p>
    <w:p>
      <w:pPr>
        <w:ind w:left="740"/>
        <w:spacing w:after="0"/>
        <w:tabs>
          <w:tab w:leader="none" w:pos="5880" w:val="left"/>
        </w:tabs>
        <w:rPr>
          <w:sz w:val="20"/>
          <w:szCs w:val="20"/>
          <w:color w:val="auto"/>
        </w:rPr>
      </w:pPr>
      <w:r>
        <w:rPr>
          <w:rFonts w:ascii="Arial" w:cs="Arial" w:eastAsia="Arial" w:hAnsi="Arial"/>
          <w:sz w:val="18"/>
          <w:szCs w:val="18"/>
          <w:color w:val="auto"/>
        </w:rPr>
        <w:t>Bestimmungen durch Erlass eines</w:t>
      </w:r>
      <w:r>
        <w:rPr>
          <w:sz w:val="20"/>
          <w:szCs w:val="20"/>
          <w:color w:val="auto"/>
        </w:rPr>
        <w:tab/>
      </w:r>
      <w:r>
        <w:rPr>
          <w:rFonts w:ascii="Arial" w:cs="Arial" w:eastAsia="Arial" w:hAnsi="Arial"/>
          <w:sz w:val="18"/>
          <w:szCs w:val="18"/>
          <w:color w:val="auto"/>
        </w:rPr>
        <w:t>individuals other than directors pursuant to</w:t>
      </w:r>
    </w:p>
    <w:p>
      <w:pPr>
        <w:spacing w:after="0" w:line="9" w:lineRule="exact"/>
        <w:rPr>
          <w:sz w:val="20"/>
          <w:szCs w:val="20"/>
          <w:color w:val="auto"/>
        </w:rPr>
      </w:pPr>
    </w:p>
    <w:p>
      <w:pPr>
        <w:ind w:left="740"/>
        <w:spacing w:after="0"/>
        <w:tabs>
          <w:tab w:leader="none" w:pos="5880" w:val="left"/>
        </w:tabs>
        <w:rPr>
          <w:sz w:val="20"/>
          <w:szCs w:val="20"/>
          <w:color w:val="auto"/>
        </w:rPr>
      </w:pPr>
      <w:r>
        <w:rPr>
          <w:rFonts w:ascii="Arial" w:cs="Arial" w:eastAsia="Arial" w:hAnsi="Arial"/>
          <w:sz w:val="18"/>
          <w:szCs w:val="18"/>
          <w:color w:val="auto"/>
        </w:rPr>
        <w:t>Organisationsreglements ganz oder teilweise an</w:t>
      </w:r>
      <w:r>
        <w:rPr>
          <w:sz w:val="20"/>
          <w:szCs w:val="20"/>
          <w:color w:val="auto"/>
        </w:rPr>
        <w:tab/>
      </w:r>
      <w:r>
        <w:rPr>
          <w:rFonts w:ascii="Arial" w:cs="Arial" w:eastAsia="Arial" w:hAnsi="Arial"/>
          <w:sz w:val="17"/>
          <w:szCs w:val="17"/>
          <w:color w:val="auto"/>
        </w:rPr>
        <w:t>organizational regulations.</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einzelne oder mehrere seiner Mitglieder oder an</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andere natürliche Personen übertragen.</w:t>
      </w:r>
    </w:p>
    <w:p>
      <w:pPr>
        <w:sectPr>
          <w:pgSz w:w="11900" w:h="16838" w:orient="portrait"/>
          <w:cols w:equalWidth="0" w:num="1">
            <w:col w:w="9780"/>
          </w:cols>
          <w:pgMar w:left="960" w:top="144" w:right="1159" w:bottom="1440" w:gutter="0" w:footer="0" w:header="0"/>
          <w:type w:val="continuous"/>
        </w:sectPr>
      </w:pPr>
    </w:p>
    <w:bookmarkStart w:id="316" w:name="page317"/>
    <w:bookmarkEnd w:id="316"/>
    <w:p>
      <w:pPr>
        <w:ind w:left="5560"/>
        <w:spacing w:after="0"/>
        <w:rPr>
          <w:sz w:val="20"/>
          <w:szCs w:val="20"/>
          <w:color w:val="auto"/>
        </w:rPr>
      </w:pPr>
      <w:r>
        <w:rPr>
          <w:rFonts w:ascii="Arial" w:cs="Arial" w:eastAsia="Arial" w:hAnsi="Arial"/>
          <w:sz w:val="14"/>
          <w:szCs w:val="14"/>
          <w:color w:val="auto"/>
        </w:rPr>
        <w:t>- 19 -</w:t>
      </w:r>
    </w:p>
    <w:p>
      <w:pPr>
        <w:sectPr>
          <w:pgSz w:w="11900" w:h="16838" w:orient="portrait"/>
          <w:cols w:equalWidth="0" w:num="1">
            <w:col w:w="10500"/>
          </w:cols>
          <w:pgMar w:left="220" w:top="144"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Artikel 20</w:t>
      </w:r>
    </w:p>
    <w:p>
      <w:pPr>
        <w:spacing w:after="0"/>
        <w:tabs>
          <w:tab w:leader="none" w:pos="1580" w:val="left"/>
        </w:tabs>
        <w:rPr>
          <w:sz w:val="20"/>
          <w:szCs w:val="20"/>
          <w:color w:val="auto"/>
        </w:rPr>
      </w:pPr>
      <w:r>
        <w:rPr>
          <w:rFonts w:ascii="Arial" w:cs="Arial" w:eastAsia="Arial" w:hAnsi="Arial"/>
          <w:sz w:val="28"/>
          <w:szCs w:val="28"/>
          <w:color w:val="auto"/>
          <w:vertAlign w:val="superscript"/>
        </w:rPr>
        <w:t>ahl der Mitglieder des</w:t>
      </w:r>
      <w:r>
        <w:rPr>
          <w:sz w:val="20"/>
          <w:szCs w:val="20"/>
          <w:color w:val="auto"/>
        </w:rPr>
        <w:tab/>
      </w:r>
      <w:r>
        <w:rPr>
          <w:rFonts w:ascii="Arial" w:cs="Arial" w:eastAsia="Arial" w:hAnsi="Arial"/>
          <w:sz w:val="17"/>
          <w:szCs w:val="17"/>
          <w:color w:val="auto"/>
        </w:rPr>
        <w:t>Der Vergütungsausschuss besteht aus</w:t>
      </w:r>
    </w:p>
    <w:tbl>
      <w:tblPr>
        <w:tblLayout w:type="fixed"/>
        <w:tblInd w:w="120" w:type="dxa"/>
        <w:tblCellMar>
          <w:top w:w="0" w:type="dxa"/>
          <w:left w:w="0" w:type="dxa"/>
          <w:bottom w:w="0" w:type="dxa"/>
          <w:right w:w="0" w:type="dxa"/>
        </w:tblCellMar>
      </w:tblPr>
      <w:tr>
        <w:trPr>
          <w:trHeight w:val="172"/>
        </w:trPr>
        <w:tc>
          <w:tcPr>
            <w:tcW w:w="1720" w:type="dxa"/>
            <w:vAlign w:val="bottom"/>
          </w:tcPr>
          <w:p>
            <w:pPr>
              <w:spacing w:after="0"/>
              <w:rPr>
                <w:sz w:val="20"/>
                <w:szCs w:val="20"/>
                <w:color w:val="auto"/>
              </w:rPr>
            </w:pPr>
            <w:r>
              <w:rPr>
                <w:rFonts w:ascii="Arial" w:cs="Arial" w:eastAsia="Arial" w:hAnsi="Arial"/>
                <w:sz w:val="14"/>
                <w:szCs w:val="14"/>
                <w:color w:val="auto"/>
              </w:rPr>
              <w:t>Vergütungsausschusses</w:t>
            </w:r>
          </w:p>
        </w:tc>
        <w:tc>
          <w:tcPr>
            <w:tcW w:w="2480" w:type="dxa"/>
            <w:vAlign w:val="bottom"/>
            <w:vMerge w:val="restart"/>
          </w:tcPr>
          <w:p>
            <w:pPr>
              <w:ind w:left="160"/>
              <w:spacing w:after="0"/>
              <w:rPr>
                <w:sz w:val="20"/>
                <w:szCs w:val="20"/>
                <w:color w:val="auto"/>
              </w:rPr>
            </w:pPr>
            <w:r>
              <w:rPr>
                <w:rFonts w:ascii="Arial" w:cs="Arial" w:eastAsia="Arial" w:hAnsi="Arial"/>
                <w:sz w:val="18"/>
                <w:szCs w:val="18"/>
                <w:color w:val="auto"/>
                <w:w w:val="99"/>
              </w:rPr>
              <w:t>mindestens zwei Mitgliedern.</w:t>
            </w:r>
          </w:p>
        </w:tc>
        <w:tc>
          <w:tcPr>
            <w:tcW w:w="0" w:type="dxa"/>
            <w:vAlign w:val="bottom"/>
          </w:tcPr>
          <w:p>
            <w:pPr>
              <w:spacing w:after="0"/>
              <w:rPr>
                <w:sz w:val="1"/>
                <w:szCs w:val="1"/>
                <w:color w:val="auto"/>
              </w:rPr>
            </w:pPr>
          </w:p>
        </w:tc>
      </w:tr>
      <w:tr>
        <w:trPr>
          <w:trHeight w:val="93"/>
        </w:trPr>
        <w:tc>
          <w:tcPr>
            <w:tcW w:w="172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6"/>
        </w:trPr>
        <w:tc>
          <w:tcPr>
            <w:tcW w:w="4200" w:type="dxa"/>
            <w:vAlign w:val="bottom"/>
            <w:gridSpan w:val="2"/>
          </w:tcPr>
          <w:p>
            <w:pPr>
              <w:ind w:left="1480"/>
              <w:spacing w:after="0"/>
              <w:rPr>
                <w:sz w:val="20"/>
                <w:szCs w:val="20"/>
                <w:color w:val="auto"/>
              </w:rPr>
            </w:pPr>
            <w:r>
              <w:rPr>
                <w:rFonts w:ascii="Arial" w:cs="Arial" w:eastAsia="Arial" w:hAnsi="Arial"/>
                <w:sz w:val="18"/>
                <w:szCs w:val="18"/>
                <w:b w:val="1"/>
                <w:bCs w:val="1"/>
                <w:color w:val="auto"/>
              </w:rPr>
              <w:t>Artikel 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Article 20</w:t>
      </w:r>
    </w:p>
    <w:p>
      <w:pPr>
        <w:spacing w:after="0" w:line="210" w:lineRule="auto"/>
        <w:rPr>
          <w:sz w:val="20"/>
          <w:szCs w:val="20"/>
          <w:color w:val="auto"/>
        </w:rPr>
      </w:pPr>
      <w:r>
        <w:rPr>
          <w:rFonts w:ascii="Arial" w:cs="Arial" w:eastAsia="Arial" w:hAnsi="Arial"/>
          <w:sz w:val="25"/>
          <w:szCs w:val="25"/>
          <w:color w:val="auto"/>
          <w:vertAlign w:val="superscript"/>
        </w:rPr>
        <w:t>Number of Members</w:t>
      </w:r>
      <w:r>
        <w:rPr>
          <w:rFonts w:ascii="Arial" w:cs="Arial" w:eastAsia="Arial" w:hAnsi="Arial"/>
          <w:sz w:val="16"/>
          <w:szCs w:val="16"/>
          <w:color w:val="auto"/>
        </w:rPr>
        <w:t>The compensation committee shall consist of no</w:t>
      </w:r>
    </w:p>
    <w:p>
      <w:pPr>
        <w:ind w:left="400"/>
        <w:spacing w:after="0" w:line="184" w:lineRule="auto"/>
        <w:tabs>
          <w:tab w:leader="none" w:pos="1660" w:val="left"/>
        </w:tabs>
        <w:rPr>
          <w:sz w:val="20"/>
          <w:szCs w:val="20"/>
          <w:color w:val="auto"/>
        </w:rPr>
      </w:pPr>
      <w:r>
        <w:rPr>
          <w:rFonts w:ascii="Arial" w:cs="Arial" w:eastAsia="Arial" w:hAnsi="Arial"/>
          <w:sz w:val="18"/>
          <w:szCs w:val="18"/>
          <w:color w:val="auto"/>
          <w:vertAlign w:val="superscript"/>
        </w:rPr>
        <w:t>of the</w:t>
      </w:r>
      <w:r>
        <w:rPr>
          <w:sz w:val="20"/>
          <w:szCs w:val="20"/>
          <w:color w:val="auto"/>
        </w:rPr>
        <w:tab/>
      </w:r>
      <w:r>
        <w:rPr>
          <w:rFonts w:ascii="Arial" w:cs="Arial" w:eastAsia="Arial" w:hAnsi="Arial"/>
          <w:sz w:val="13"/>
          <w:szCs w:val="13"/>
          <w:color w:val="auto"/>
        </w:rPr>
        <w:t>less than two members.</w:t>
      </w:r>
    </w:p>
    <w:p>
      <w:pPr>
        <w:ind w:left="400"/>
        <w:spacing w:after="0"/>
        <w:rPr>
          <w:sz w:val="20"/>
          <w:szCs w:val="20"/>
          <w:color w:val="auto"/>
        </w:rPr>
      </w:pPr>
      <w:r>
        <w:rPr>
          <w:rFonts w:ascii="Arial" w:cs="Arial" w:eastAsia="Arial" w:hAnsi="Arial"/>
          <w:sz w:val="14"/>
          <w:szCs w:val="14"/>
          <w:color w:val="auto"/>
        </w:rPr>
        <w:t>Compensation</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Committee</w:t>
      </w:r>
    </w:p>
    <w:p>
      <w:pPr>
        <w:spacing w:after="0" w:line="2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Article 21</w:t>
      </w:r>
    </w:p>
    <w:p>
      <w:pPr>
        <w:spacing w:after="0" w:line="32" w:lineRule="exact"/>
        <w:rPr>
          <w:sz w:val="20"/>
          <w:szCs w:val="20"/>
          <w:color w:val="auto"/>
        </w:rPr>
      </w:pPr>
    </w:p>
    <w:p>
      <w:pPr>
        <w:sectPr>
          <w:pgSz w:w="11900" w:h="16838" w:orient="portrait"/>
          <w:cols w:equalWidth="0" w:num="2">
            <w:col w:w="4680" w:space="660"/>
            <w:col w:w="5160"/>
          </w:cols>
          <w:pgMar w:left="220" w:top="144" w:right="1179" w:bottom="1440" w:gutter="0" w:footer="0" w:header="0"/>
          <w:type w:val="continuous"/>
        </w:sectPr>
      </w:pPr>
    </w:p>
    <w:tbl>
      <w:tblPr>
        <w:tblLayout w:type="fixed"/>
        <w:tblInd w:w="20" w:type="dxa"/>
        <w:tblCellMar>
          <w:top w:w="0" w:type="dxa"/>
          <w:left w:w="0" w:type="dxa"/>
          <w:bottom w:w="0" w:type="dxa"/>
          <w:right w:w="0" w:type="dxa"/>
        </w:tblCellMar>
      </w:tblPr>
      <w:tr>
        <w:trPr>
          <w:trHeight w:val="59"/>
        </w:trPr>
        <w:tc>
          <w:tcPr>
            <w:tcW w:w="1480" w:type="dxa"/>
            <w:vAlign w:val="bottom"/>
            <w:vMerge w:val="restart"/>
          </w:tcPr>
          <w:p>
            <w:pPr>
              <w:spacing w:after="0"/>
              <w:rPr>
                <w:sz w:val="20"/>
                <w:szCs w:val="20"/>
                <w:color w:val="auto"/>
              </w:rPr>
            </w:pPr>
            <w:r>
              <w:rPr>
                <w:rFonts w:ascii="Arial" w:cs="Arial" w:eastAsia="Arial" w:hAnsi="Arial"/>
                <w:sz w:val="14"/>
                <w:szCs w:val="14"/>
                <w:color w:val="auto"/>
              </w:rPr>
              <w:t>l und Amtsdauer der1</w:t>
            </w:r>
          </w:p>
        </w:tc>
        <w:tc>
          <w:tcPr>
            <w:tcW w:w="3700" w:type="dxa"/>
            <w:vAlign w:val="bottom"/>
            <w:gridSpan w:val="2"/>
          </w:tcPr>
          <w:p>
            <w:pPr>
              <w:ind w:left="100"/>
              <w:spacing w:after="0" w:line="59" w:lineRule="exact"/>
              <w:rPr>
                <w:sz w:val="20"/>
                <w:szCs w:val="20"/>
                <w:color w:val="auto"/>
              </w:rPr>
            </w:pPr>
            <w:r>
              <w:rPr>
                <w:rFonts w:ascii="Arial" w:cs="Arial" w:eastAsia="Arial" w:hAnsi="Arial"/>
                <w:sz w:val="6"/>
                <w:szCs w:val="6"/>
                <w:color w:val="auto"/>
              </w:rPr>
              <w:t>Die Mitglieder des Vergütungsausschusses</w:t>
            </w:r>
          </w:p>
        </w:tc>
        <w:tc>
          <w:tcPr>
            <w:tcW w:w="440" w:type="dxa"/>
            <w:vAlign w:val="bottom"/>
          </w:tcPr>
          <w:p>
            <w:pPr>
              <w:spacing w:after="0"/>
              <w:rPr>
                <w:sz w:val="5"/>
                <w:szCs w:val="5"/>
                <w:color w:val="auto"/>
              </w:rPr>
            </w:pPr>
          </w:p>
        </w:tc>
        <w:tc>
          <w:tcPr>
            <w:tcW w:w="4760" w:type="dxa"/>
            <w:vAlign w:val="bottom"/>
            <w:gridSpan w:val="2"/>
          </w:tcPr>
          <w:p>
            <w:pPr>
              <w:ind w:left="960"/>
              <w:spacing w:after="0" w:line="59" w:lineRule="exact"/>
              <w:rPr>
                <w:sz w:val="20"/>
                <w:szCs w:val="20"/>
                <w:color w:val="auto"/>
              </w:rPr>
            </w:pPr>
            <w:r>
              <w:rPr>
                <w:rFonts w:ascii="Arial" w:cs="Arial" w:eastAsia="Arial" w:hAnsi="Arial"/>
                <w:sz w:val="6"/>
                <w:szCs w:val="6"/>
                <w:color w:val="auto"/>
              </w:rPr>
              <w:t>The general meeting of shareholders shall elect</w:t>
            </w:r>
          </w:p>
        </w:tc>
        <w:tc>
          <w:tcPr>
            <w:tcW w:w="0" w:type="dxa"/>
            <w:vAlign w:val="bottom"/>
          </w:tcPr>
          <w:p>
            <w:pPr>
              <w:spacing w:after="0"/>
              <w:rPr>
                <w:sz w:val="1"/>
                <w:szCs w:val="1"/>
                <w:color w:val="auto"/>
              </w:rPr>
            </w:pPr>
          </w:p>
        </w:tc>
      </w:tr>
      <w:tr>
        <w:trPr>
          <w:trHeight w:val="162"/>
        </w:trPr>
        <w:tc>
          <w:tcPr>
            <w:tcW w:w="14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color w:val="auto"/>
              </w:rPr>
              <w:t>Election and Term1 of</w:t>
            </w:r>
          </w:p>
        </w:tc>
        <w:tc>
          <w:tcPr>
            <w:tcW w:w="3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100"/>
              <w:spacing w:after="0"/>
              <w:rPr>
                <w:sz w:val="20"/>
                <w:szCs w:val="20"/>
                <w:color w:val="auto"/>
              </w:rPr>
            </w:pPr>
            <w:r>
              <w:rPr>
                <w:rFonts w:ascii="Arial" w:cs="Arial" w:eastAsia="Arial" w:hAnsi="Arial"/>
                <w:sz w:val="14"/>
                <w:szCs w:val="14"/>
                <w:color w:val="auto"/>
              </w:rPr>
              <w:t>Mitglieder des</w:t>
            </w:r>
          </w:p>
        </w:tc>
        <w:tc>
          <w:tcPr>
            <w:tcW w:w="340" w:type="dxa"/>
            <w:vAlign w:val="bottom"/>
          </w:tcPr>
          <w:p>
            <w:pPr>
              <w:spacing w:after="0"/>
              <w:rPr>
                <w:sz w:val="14"/>
                <w:szCs w:val="14"/>
                <w:color w:val="auto"/>
              </w:rPr>
            </w:pPr>
          </w:p>
        </w:tc>
        <w:tc>
          <w:tcPr>
            <w:tcW w:w="3360" w:type="dxa"/>
            <w:vAlign w:val="bottom"/>
            <w:vMerge w:val="restart"/>
          </w:tcPr>
          <w:p>
            <w:pPr>
              <w:ind w:left="160"/>
              <w:spacing w:after="0"/>
              <w:rPr>
                <w:sz w:val="20"/>
                <w:szCs w:val="20"/>
                <w:color w:val="auto"/>
              </w:rPr>
            </w:pPr>
            <w:r>
              <w:rPr>
                <w:rFonts w:ascii="Arial" w:cs="Arial" w:eastAsia="Arial" w:hAnsi="Arial"/>
                <w:sz w:val="18"/>
                <w:szCs w:val="18"/>
                <w:color w:val="auto"/>
              </w:rPr>
              <w:t>werden von der Generalversammlung</w:t>
            </w:r>
          </w:p>
        </w:tc>
        <w:tc>
          <w:tcPr>
            <w:tcW w:w="44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auto"/>
              </w:rPr>
              <w:t>Office of</w:t>
            </w:r>
          </w:p>
        </w:tc>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the members of the compensation</w:t>
            </w:r>
          </w:p>
        </w:tc>
        <w:tc>
          <w:tcPr>
            <w:tcW w:w="0" w:type="dxa"/>
            <w:vAlign w:val="bottom"/>
          </w:tcPr>
          <w:p>
            <w:pPr>
              <w:spacing w:after="0"/>
              <w:rPr>
                <w:sz w:val="1"/>
                <w:szCs w:val="1"/>
                <w:color w:val="auto"/>
              </w:rPr>
            </w:pPr>
          </w:p>
        </w:tc>
      </w:tr>
      <w:tr>
        <w:trPr>
          <w:trHeight w:val="102"/>
        </w:trPr>
        <w:tc>
          <w:tcPr>
            <w:tcW w:w="1820" w:type="dxa"/>
            <w:vAlign w:val="bottom"/>
            <w:gridSpan w:val="2"/>
            <w:vMerge w:val="restart"/>
          </w:tcPr>
          <w:p>
            <w:pPr>
              <w:ind w:left="100"/>
              <w:spacing w:after="0"/>
              <w:rPr>
                <w:sz w:val="20"/>
                <w:szCs w:val="20"/>
                <w:color w:val="auto"/>
              </w:rPr>
            </w:pPr>
            <w:r>
              <w:rPr>
                <w:rFonts w:ascii="Arial" w:cs="Arial" w:eastAsia="Arial" w:hAnsi="Arial"/>
                <w:sz w:val="14"/>
                <w:szCs w:val="14"/>
                <w:color w:val="auto"/>
              </w:rPr>
              <w:t>Vergütungsausschusses</w:t>
            </w:r>
          </w:p>
        </w:tc>
        <w:tc>
          <w:tcPr>
            <w:tcW w:w="33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4"/>
                <w:szCs w:val="14"/>
                <w:color w:val="auto"/>
              </w:rPr>
              <w:t>Members of</w:t>
            </w:r>
          </w:p>
        </w:tc>
        <w:tc>
          <w:tcPr>
            <w:tcW w:w="3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820" w:type="dxa"/>
            <w:vAlign w:val="bottom"/>
            <w:gridSpan w:val="2"/>
            <w:vMerge w:val="continue"/>
          </w:tcPr>
          <w:p>
            <w:pPr>
              <w:spacing w:after="0"/>
              <w:rPr>
                <w:sz w:val="5"/>
                <w:szCs w:val="5"/>
                <w:color w:val="auto"/>
              </w:rPr>
            </w:pPr>
          </w:p>
        </w:tc>
        <w:tc>
          <w:tcPr>
            <w:tcW w:w="3360" w:type="dxa"/>
            <w:vAlign w:val="bottom"/>
            <w:vMerge w:val="restart"/>
          </w:tcPr>
          <w:p>
            <w:pPr>
              <w:ind w:left="160"/>
              <w:spacing w:after="0"/>
              <w:rPr>
                <w:sz w:val="20"/>
                <w:szCs w:val="20"/>
                <w:color w:val="auto"/>
              </w:rPr>
            </w:pPr>
            <w:r>
              <w:rPr>
                <w:rFonts w:ascii="Arial" w:cs="Arial" w:eastAsia="Arial" w:hAnsi="Arial"/>
                <w:sz w:val="18"/>
                <w:szCs w:val="18"/>
                <w:color w:val="auto"/>
              </w:rPr>
              <w:t>einzeln für eine Amtsdauer bis zum</w:t>
            </w:r>
          </w:p>
        </w:tc>
        <w:tc>
          <w:tcPr>
            <w:tcW w:w="4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committee individually for a term of office</w:t>
            </w: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ind w:left="100"/>
              <w:spacing w:after="0" w:line="157" w:lineRule="exact"/>
              <w:rPr>
                <w:sz w:val="20"/>
                <w:szCs w:val="20"/>
                <w:color w:val="auto"/>
              </w:rPr>
            </w:pPr>
            <w:r>
              <w:rPr>
                <w:rFonts w:ascii="Arial" w:cs="Arial" w:eastAsia="Arial" w:hAnsi="Arial"/>
                <w:sz w:val="14"/>
                <w:szCs w:val="14"/>
                <w:color w:val="auto"/>
              </w:rPr>
              <w:t>the</w:t>
            </w:r>
          </w:p>
        </w:tc>
        <w:tc>
          <w:tcPr>
            <w:tcW w:w="3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tcPr>
          <w:p>
            <w:pPr>
              <w:ind w:left="160"/>
              <w:spacing w:after="0" w:line="168" w:lineRule="exact"/>
              <w:rPr>
                <w:sz w:val="20"/>
                <w:szCs w:val="20"/>
                <w:color w:val="auto"/>
              </w:rPr>
            </w:pPr>
            <w:r>
              <w:rPr>
                <w:rFonts w:ascii="Arial" w:cs="Arial" w:eastAsia="Arial" w:hAnsi="Arial"/>
                <w:sz w:val="18"/>
                <w:szCs w:val="18"/>
                <w:color w:val="auto"/>
              </w:rPr>
              <w:t>Abschluss der nächsten ordentlichen</w:t>
            </w:r>
          </w:p>
        </w:tc>
        <w:tc>
          <w:tcPr>
            <w:tcW w:w="44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3560" w:type="dxa"/>
            <w:vAlign w:val="bottom"/>
          </w:tcPr>
          <w:p>
            <w:pPr>
              <w:ind w:left="180"/>
              <w:spacing w:after="0" w:line="168" w:lineRule="exact"/>
              <w:rPr>
                <w:sz w:val="20"/>
                <w:szCs w:val="20"/>
                <w:color w:val="auto"/>
              </w:rPr>
            </w:pPr>
            <w:r>
              <w:rPr>
                <w:rFonts w:ascii="Arial" w:cs="Arial" w:eastAsia="Arial" w:hAnsi="Arial"/>
                <w:sz w:val="18"/>
                <w:szCs w:val="18"/>
                <w:color w:val="auto"/>
              </w:rPr>
              <w:t>extending until completion of the next</w:t>
            </w:r>
          </w:p>
        </w:tc>
        <w:tc>
          <w:tcPr>
            <w:tcW w:w="0" w:type="dxa"/>
            <w:vAlign w:val="bottom"/>
          </w:tcPr>
          <w:p>
            <w:pPr>
              <w:spacing w:after="0"/>
              <w:rPr>
                <w:sz w:val="1"/>
                <w:szCs w:val="1"/>
                <w:color w:val="auto"/>
              </w:rPr>
            </w:pPr>
          </w:p>
        </w:tc>
      </w:tr>
      <w:tr>
        <w:trPr>
          <w:trHeight w:val="172"/>
        </w:trPr>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0" w:type="dxa"/>
            <w:vAlign w:val="bottom"/>
            <w:gridSpan w:val="2"/>
            <w:vMerge w:val="restart"/>
          </w:tcPr>
          <w:p>
            <w:pPr>
              <w:ind w:left="160"/>
              <w:spacing w:after="0"/>
              <w:rPr>
                <w:sz w:val="20"/>
                <w:szCs w:val="20"/>
                <w:color w:val="auto"/>
              </w:rPr>
            </w:pPr>
            <w:r>
              <w:rPr>
                <w:rFonts w:ascii="Arial" w:cs="Arial" w:eastAsia="Arial" w:hAnsi="Arial"/>
                <w:sz w:val="18"/>
                <w:szCs w:val="18"/>
                <w:color w:val="auto"/>
              </w:rPr>
              <w:t>Generalversammlung gewählt. Wählbar sind</w:t>
            </w:r>
          </w:p>
        </w:tc>
        <w:tc>
          <w:tcPr>
            <w:tcW w:w="1200" w:type="dxa"/>
            <w:vAlign w:val="bottom"/>
          </w:tcPr>
          <w:p>
            <w:pPr>
              <w:ind w:left="100"/>
              <w:spacing w:after="0"/>
              <w:rPr>
                <w:sz w:val="20"/>
                <w:szCs w:val="20"/>
                <w:color w:val="auto"/>
              </w:rPr>
            </w:pPr>
            <w:r>
              <w:rPr>
                <w:rFonts w:ascii="Arial" w:cs="Arial" w:eastAsia="Arial" w:hAnsi="Arial"/>
                <w:sz w:val="14"/>
                <w:szCs w:val="14"/>
                <w:color w:val="auto"/>
              </w:rPr>
              <w:t>Committee</w:t>
            </w:r>
          </w:p>
        </w:tc>
        <w:tc>
          <w:tcPr>
            <w:tcW w:w="3560" w:type="dxa"/>
            <w:vAlign w:val="bottom"/>
            <w:vMerge w:val="restart"/>
          </w:tcPr>
          <w:p>
            <w:pPr>
              <w:ind w:left="180"/>
              <w:spacing w:after="0"/>
              <w:rPr>
                <w:sz w:val="20"/>
                <w:szCs w:val="20"/>
                <w:color w:val="auto"/>
              </w:rPr>
            </w:pPr>
            <w:r>
              <w:rPr>
                <w:rFonts w:ascii="Arial" w:cs="Arial" w:eastAsia="Arial" w:hAnsi="Arial"/>
                <w:sz w:val="18"/>
                <w:szCs w:val="18"/>
                <w:color w:val="auto"/>
              </w:rPr>
              <w:t>ordinary general meeting of shareholders.</w:t>
            </w:r>
          </w:p>
        </w:tc>
        <w:tc>
          <w:tcPr>
            <w:tcW w:w="0" w:type="dxa"/>
            <w:vAlign w:val="bottom"/>
          </w:tcPr>
          <w:p>
            <w:pPr>
              <w:spacing w:after="0"/>
              <w:rPr>
                <w:sz w:val="1"/>
                <w:szCs w:val="1"/>
                <w:color w:val="auto"/>
              </w:rPr>
            </w:pPr>
          </w:p>
        </w:tc>
      </w:tr>
      <w:tr>
        <w:trPr>
          <w:trHeight w:val="92"/>
        </w:trPr>
        <w:tc>
          <w:tcPr>
            <w:tcW w:w="1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nur Mitglieder des Verwaltungsrates.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Only members of the board of directors</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may be elected.</w:t>
            </w: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0500"/>
          </w:cols>
          <w:pgMar w:left="220" w:top="144" w:right="1179" w:bottom="1440" w:gutter="0" w:footer="0" w:header="0"/>
          <w:type w:val="continuous"/>
        </w:sectPr>
      </w:pPr>
    </w:p>
    <w:p>
      <w:pPr>
        <w:ind w:left="2000" w:right="169" w:hanging="686"/>
        <w:spacing w:after="0" w:line="192" w:lineRule="auto"/>
        <w:tabs>
          <w:tab w:leader="none" w:pos="1595" w:val="left"/>
        </w:tabs>
        <w:numPr>
          <w:ilvl w:val="0"/>
          <w:numId w:val="212"/>
        </w:numPr>
        <w:rPr>
          <w:rFonts w:ascii="Arial" w:cs="Arial" w:eastAsia="Arial" w:hAnsi="Arial"/>
          <w:sz w:val="29"/>
          <w:szCs w:val="29"/>
          <w:color w:val="auto"/>
          <w:vertAlign w:val="superscript"/>
        </w:rPr>
      </w:pPr>
      <w:r>
        <w:rPr>
          <w:rFonts w:ascii="Arial" w:cs="Arial" w:eastAsia="Arial" w:hAnsi="Arial"/>
          <w:sz w:val="18"/>
          <w:szCs w:val="18"/>
          <w:color w:val="auto"/>
        </w:rPr>
        <w:t>Die Mitglieder des Vergütungsausschusses sind jederzeit wieder wählbar.</w:t>
      </w:r>
    </w:p>
    <w:p>
      <w:pPr>
        <w:spacing w:after="0" w:line="54" w:lineRule="exact"/>
        <w:rPr>
          <w:sz w:val="20"/>
          <w:szCs w:val="20"/>
          <w:color w:val="auto"/>
        </w:rPr>
      </w:pPr>
    </w:p>
    <w:p>
      <w:pPr>
        <w:ind w:left="2000" w:right="49" w:hanging="686"/>
        <w:spacing w:after="0" w:line="223" w:lineRule="auto"/>
        <w:tabs>
          <w:tab w:leader="none" w:pos="1595" w:val="left"/>
        </w:tabs>
        <w:numPr>
          <w:ilvl w:val="0"/>
          <w:numId w:val="213"/>
        </w:numPr>
        <w:rPr>
          <w:rFonts w:ascii="Arial" w:cs="Arial" w:eastAsia="Arial" w:hAnsi="Arial"/>
          <w:sz w:val="29"/>
          <w:szCs w:val="29"/>
          <w:color w:val="auto"/>
          <w:vertAlign w:val="superscript"/>
        </w:rPr>
      </w:pPr>
      <w:r>
        <w:rPr>
          <w:rFonts w:ascii="Arial" w:cs="Arial" w:eastAsia="Arial" w:hAnsi="Arial"/>
          <w:sz w:val="18"/>
          <w:szCs w:val="18"/>
          <w:color w:val="auto"/>
        </w:rPr>
        <w:t>Bei Vakanzen im Vergütungsausschuss kann der Verwaltungsrat aus seiner Mitte Ersatzmitglieder für eine Amtsdauer bis zum Abschluss der nächsten ordentlichen Generalversammlung bezeichnen.</w:t>
      </w:r>
    </w:p>
    <w:p>
      <w:pPr>
        <w:spacing w:after="0" w:line="20" w:lineRule="exact"/>
        <w:rPr>
          <w:sz w:val="20"/>
          <w:szCs w:val="20"/>
          <w:color w:val="auto"/>
        </w:rPr>
      </w:pPr>
      <w:r>
        <w:rPr>
          <w:sz w:val="20"/>
          <w:szCs w:val="20"/>
          <w:color w:val="auto"/>
        </w:rPr>
        <w:br w:type="column"/>
      </w:r>
    </w:p>
    <w:p>
      <w:pPr>
        <w:ind w:left="711" w:right="200" w:hanging="711"/>
        <w:spacing w:after="0" w:line="192" w:lineRule="auto"/>
        <w:tabs>
          <w:tab w:leader="none" w:pos="306" w:val="left"/>
        </w:tabs>
        <w:numPr>
          <w:ilvl w:val="0"/>
          <w:numId w:val="214"/>
        </w:numPr>
        <w:rPr>
          <w:rFonts w:ascii="Arial" w:cs="Arial" w:eastAsia="Arial" w:hAnsi="Arial"/>
          <w:sz w:val="29"/>
          <w:szCs w:val="29"/>
          <w:color w:val="auto"/>
          <w:vertAlign w:val="superscript"/>
        </w:rPr>
      </w:pPr>
      <w:r>
        <w:rPr>
          <w:rFonts w:ascii="Arial" w:cs="Arial" w:eastAsia="Arial" w:hAnsi="Arial"/>
          <w:sz w:val="18"/>
          <w:szCs w:val="18"/>
          <w:color w:val="auto"/>
        </w:rPr>
        <w:t>Members of the compensation committee may be re-elected at any time.</w:t>
      </w:r>
    </w:p>
    <w:p>
      <w:pPr>
        <w:spacing w:after="0" w:line="54" w:lineRule="exact"/>
        <w:rPr>
          <w:sz w:val="20"/>
          <w:szCs w:val="20"/>
          <w:color w:val="auto"/>
        </w:rPr>
      </w:pPr>
    </w:p>
    <w:p>
      <w:pPr>
        <w:ind w:left="711" w:hanging="711"/>
        <w:spacing w:after="0" w:line="227" w:lineRule="auto"/>
        <w:tabs>
          <w:tab w:leader="none" w:pos="306" w:val="left"/>
        </w:tabs>
        <w:numPr>
          <w:ilvl w:val="0"/>
          <w:numId w:val="215"/>
        </w:numPr>
        <w:rPr>
          <w:rFonts w:ascii="Arial" w:cs="Arial" w:eastAsia="Arial" w:hAnsi="Arial"/>
          <w:sz w:val="29"/>
          <w:szCs w:val="29"/>
          <w:color w:val="auto"/>
          <w:vertAlign w:val="superscript"/>
        </w:rPr>
      </w:pPr>
      <w:r>
        <w:rPr>
          <w:rFonts w:ascii="Arial" w:cs="Arial" w:eastAsia="Arial" w:hAnsi="Arial"/>
          <w:sz w:val="18"/>
          <w:szCs w:val="18"/>
          <w:color w:val="auto"/>
        </w:rPr>
        <w:t>If there are vacancies on the compensation committee, the board of directors shall appoint from among its members substitutes for a term of office extending until completion of the next ordinary general meeting of shareholders.</w:t>
      </w:r>
    </w:p>
    <w:p>
      <w:pPr>
        <w:spacing w:after="0" w:line="200" w:lineRule="exact"/>
        <w:rPr>
          <w:sz w:val="20"/>
          <w:szCs w:val="20"/>
          <w:color w:val="auto"/>
        </w:rPr>
      </w:pPr>
    </w:p>
    <w:p>
      <w:pPr>
        <w:sectPr>
          <w:pgSz w:w="11900" w:h="16838" w:orient="portrait"/>
          <w:cols w:equalWidth="0" w:num="2">
            <w:col w:w="5589" w:space="720"/>
            <w:col w:w="4191"/>
          </w:cols>
          <w:pgMar w:left="220" w:top="144" w:right="117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0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Artikel 22</w:t>
            </w:r>
          </w:p>
        </w:tc>
        <w:tc>
          <w:tcPr>
            <w:tcW w:w="98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b w:val="1"/>
                <w:bCs w:val="1"/>
                <w:color w:val="auto"/>
              </w:rPr>
              <w:t>Article 22</w:t>
            </w:r>
          </w:p>
        </w:tc>
        <w:tc>
          <w:tcPr>
            <w:tcW w:w="0" w:type="dxa"/>
            <w:vAlign w:val="bottom"/>
          </w:tcPr>
          <w:p>
            <w:pPr>
              <w:spacing w:after="0"/>
              <w:rPr>
                <w:sz w:val="1"/>
                <w:szCs w:val="1"/>
                <w:color w:val="auto"/>
              </w:rPr>
            </w:pPr>
          </w:p>
        </w:tc>
      </w:tr>
      <w:tr>
        <w:trPr>
          <w:trHeight w:val="59"/>
        </w:trPr>
        <w:tc>
          <w:tcPr>
            <w:tcW w:w="1060" w:type="dxa"/>
            <w:vAlign w:val="bottom"/>
            <w:vMerge w:val="restart"/>
          </w:tcPr>
          <w:p>
            <w:pPr>
              <w:spacing w:after="0"/>
              <w:rPr>
                <w:sz w:val="20"/>
                <w:szCs w:val="20"/>
                <w:color w:val="auto"/>
              </w:rPr>
            </w:pPr>
            <w:r>
              <w:rPr>
                <w:rFonts w:ascii="Arial" w:cs="Arial" w:eastAsia="Arial" w:hAnsi="Arial"/>
                <w:sz w:val="14"/>
                <w:szCs w:val="14"/>
                <w:color w:val="auto"/>
              </w:rPr>
              <w:t>anisation des</w:t>
            </w: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4100" w:type="dxa"/>
            <w:vAlign w:val="bottom"/>
            <w:gridSpan w:val="2"/>
          </w:tcPr>
          <w:p>
            <w:pPr>
              <w:ind w:left="100"/>
              <w:spacing w:after="0" w:line="59" w:lineRule="exact"/>
              <w:rPr>
                <w:sz w:val="20"/>
                <w:szCs w:val="20"/>
                <w:color w:val="auto"/>
              </w:rPr>
            </w:pPr>
            <w:r>
              <w:rPr>
                <w:rFonts w:ascii="Arial" w:cs="Arial" w:eastAsia="Arial" w:hAnsi="Arial"/>
                <w:sz w:val="6"/>
                <w:szCs w:val="6"/>
                <w:color w:val="auto"/>
              </w:rPr>
              <w:t>Der Vergütungsausschuss konstituiert sich unter</w:t>
            </w:r>
          </w:p>
        </w:tc>
        <w:tc>
          <w:tcPr>
            <w:tcW w:w="980" w:type="dxa"/>
            <w:vAlign w:val="bottom"/>
          </w:tcPr>
          <w:p>
            <w:pPr>
              <w:spacing w:after="0"/>
              <w:rPr>
                <w:sz w:val="5"/>
                <w:szCs w:val="5"/>
                <w:color w:val="auto"/>
              </w:rPr>
            </w:pPr>
          </w:p>
        </w:tc>
        <w:tc>
          <w:tcPr>
            <w:tcW w:w="3840" w:type="dxa"/>
            <w:vAlign w:val="bottom"/>
            <w:gridSpan w:val="2"/>
          </w:tcPr>
          <w:p>
            <w:pPr>
              <w:ind w:left="20"/>
              <w:spacing w:after="0" w:line="59" w:lineRule="exact"/>
              <w:rPr>
                <w:sz w:val="20"/>
                <w:szCs w:val="20"/>
                <w:color w:val="auto"/>
              </w:rPr>
            </w:pPr>
            <w:r>
              <w:rPr>
                <w:rFonts w:ascii="Arial" w:cs="Arial" w:eastAsia="Arial" w:hAnsi="Arial"/>
                <w:sz w:val="6"/>
                <w:szCs w:val="6"/>
                <w:color w:val="auto"/>
              </w:rPr>
              <w:t>The compensation committee constitutes itself</w:t>
            </w:r>
          </w:p>
        </w:tc>
        <w:tc>
          <w:tcPr>
            <w:tcW w:w="0" w:type="dxa"/>
            <w:vAlign w:val="bottom"/>
          </w:tcPr>
          <w:p>
            <w:pPr>
              <w:spacing w:after="0"/>
              <w:rPr>
                <w:sz w:val="1"/>
                <w:szCs w:val="1"/>
                <w:color w:val="auto"/>
              </w:rPr>
            </w:pPr>
          </w:p>
        </w:tc>
      </w:tr>
      <w:tr>
        <w:trPr>
          <w:trHeight w:val="162"/>
        </w:trPr>
        <w:tc>
          <w:tcPr>
            <w:tcW w:w="10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3500"/>
              <w:spacing w:after="0"/>
              <w:rPr>
                <w:sz w:val="20"/>
                <w:szCs w:val="20"/>
                <w:color w:val="auto"/>
              </w:rPr>
            </w:pPr>
            <w:r>
              <w:rPr>
                <w:rFonts w:ascii="Arial" w:cs="Arial" w:eastAsia="Arial" w:hAnsi="Arial"/>
                <w:sz w:val="14"/>
                <w:szCs w:val="14"/>
                <w:color w:val="auto"/>
                <w:w w:val="99"/>
              </w:rPr>
              <w:t>Organization of1the</w:t>
            </w:r>
          </w:p>
        </w:tc>
        <w:tc>
          <w:tcPr>
            <w:tcW w:w="2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ind w:left="120"/>
              <w:spacing w:after="0"/>
              <w:rPr>
                <w:sz w:val="20"/>
                <w:szCs w:val="20"/>
                <w:color w:val="auto"/>
              </w:rPr>
            </w:pPr>
            <w:r>
              <w:rPr>
                <w:rFonts w:ascii="Arial" w:cs="Arial" w:eastAsia="Arial" w:hAnsi="Arial"/>
                <w:sz w:val="14"/>
                <w:szCs w:val="14"/>
                <w:color w:val="auto"/>
              </w:rPr>
              <w:t>Vergütungsausschusses</w:t>
            </w: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rPr>
              <w:t>Vorbehalt der Kompetenzen der</w:t>
            </w: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Compensation</w:t>
            </w:r>
          </w:p>
        </w:tc>
        <w:tc>
          <w:tcPr>
            <w:tcW w:w="3580" w:type="dxa"/>
            <w:vAlign w:val="bottom"/>
            <w:vMerge w:val="restart"/>
          </w:tcPr>
          <w:p>
            <w:pPr>
              <w:ind w:left="180"/>
              <w:spacing w:after="0"/>
              <w:rPr>
                <w:sz w:val="20"/>
                <w:szCs w:val="20"/>
                <w:color w:val="auto"/>
              </w:rPr>
            </w:pPr>
            <w:r>
              <w:rPr>
                <w:rFonts w:ascii="Arial" w:cs="Arial" w:eastAsia="Arial" w:hAnsi="Arial"/>
                <w:sz w:val="18"/>
                <w:szCs w:val="18"/>
                <w:color w:val="auto"/>
              </w:rPr>
              <w:t>subject to the powers of the general</w:t>
            </w: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color w:val="auto"/>
              </w:rPr>
              <w:t>Committee</w:t>
            </w:r>
          </w:p>
        </w:tc>
        <w:tc>
          <w:tcPr>
            <w:tcW w:w="260" w:type="dxa"/>
            <w:vAlign w:val="bottom"/>
          </w:tcPr>
          <w:p>
            <w:pPr>
              <w:spacing w:after="0"/>
              <w:rPr>
                <w:sz w:val="8"/>
                <w:szCs w:val="8"/>
                <w:color w:val="auto"/>
              </w:rPr>
            </w:pPr>
          </w:p>
        </w:tc>
        <w:tc>
          <w:tcPr>
            <w:tcW w:w="3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760" w:type="dxa"/>
            <w:vAlign w:val="bottom"/>
            <w:vMerge w:val="restart"/>
          </w:tcPr>
          <w:p>
            <w:pPr>
              <w:ind w:left="160"/>
              <w:spacing w:after="0"/>
              <w:rPr>
                <w:sz w:val="20"/>
                <w:szCs w:val="20"/>
                <w:color w:val="auto"/>
              </w:rPr>
            </w:pPr>
            <w:r>
              <w:rPr>
                <w:rFonts w:ascii="Arial" w:cs="Arial" w:eastAsia="Arial" w:hAnsi="Arial"/>
                <w:sz w:val="18"/>
                <w:szCs w:val="18"/>
                <w:color w:val="auto"/>
              </w:rPr>
              <w:t>Generalversammlung und des</w:t>
            </w:r>
          </w:p>
        </w:tc>
        <w:tc>
          <w:tcPr>
            <w:tcW w:w="9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580" w:type="dxa"/>
            <w:vAlign w:val="bottom"/>
            <w:vMerge w:val="restart"/>
          </w:tcPr>
          <w:p>
            <w:pPr>
              <w:ind w:left="180"/>
              <w:spacing w:after="0"/>
              <w:rPr>
                <w:sz w:val="20"/>
                <w:szCs w:val="20"/>
                <w:color w:val="auto"/>
              </w:rPr>
            </w:pPr>
            <w:r>
              <w:rPr>
                <w:rFonts w:ascii="Arial" w:cs="Arial" w:eastAsia="Arial" w:hAnsi="Arial"/>
                <w:sz w:val="18"/>
                <w:szCs w:val="18"/>
                <w:color w:val="auto"/>
              </w:rPr>
              <w:t>meeting of shareholders and the board of</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Verwaltungsrats selbst. Der Verwaltungsrat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w w:val="99"/>
              </w:rPr>
              <w:t>directors. The board of directors shall elect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bezeichnet den Vorsitzenden des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the chair of the compensation committee.</w:t>
            </w: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Vergütungsausschusses.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0500"/>
          </w:cols>
          <w:pgMar w:left="220" w:top="144" w:right="1179" w:bottom="1440" w:gutter="0" w:footer="0" w:header="0"/>
          <w:type w:val="continuous"/>
        </w:sectPr>
      </w:pPr>
    </w:p>
    <w:p>
      <w:pPr>
        <w:ind w:left="2000" w:right="589" w:hanging="686"/>
        <w:spacing w:after="0" w:line="217" w:lineRule="auto"/>
        <w:tabs>
          <w:tab w:leader="none" w:pos="1595" w:val="left"/>
        </w:tabs>
        <w:numPr>
          <w:ilvl w:val="0"/>
          <w:numId w:val="216"/>
        </w:numPr>
        <w:rPr>
          <w:rFonts w:ascii="Arial" w:cs="Arial" w:eastAsia="Arial" w:hAnsi="Arial"/>
          <w:sz w:val="29"/>
          <w:szCs w:val="29"/>
          <w:color w:val="auto"/>
          <w:vertAlign w:val="superscript"/>
        </w:rPr>
      </w:pPr>
      <w:r>
        <w:rPr>
          <w:rFonts w:ascii="Arial" w:cs="Arial" w:eastAsia="Arial" w:hAnsi="Arial"/>
          <w:sz w:val="18"/>
          <w:szCs w:val="18"/>
          <w:color w:val="auto"/>
        </w:rPr>
        <w:t>Im Übrigen erlässt der Verwaltungsrat ein Reglement über die Organisation und Beschlussfassung des Vergütungsausschusses.</w:t>
      </w:r>
    </w:p>
    <w:p>
      <w:pPr>
        <w:spacing w:after="0" w:line="20" w:lineRule="exact"/>
        <w:rPr>
          <w:sz w:val="20"/>
          <w:szCs w:val="20"/>
          <w:color w:val="auto"/>
        </w:rPr>
      </w:pPr>
      <w:r>
        <w:rPr>
          <w:sz w:val="20"/>
          <w:szCs w:val="20"/>
          <w:color w:val="auto"/>
        </w:rPr>
        <w:br w:type="column"/>
      </w:r>
    </w:p>
    <w:p>
      <w:pPr>
        <w:ind w:left="711" w:right="40" w:hanging="711"/>
        <w:spacing w:after="0" w:line="217" w:lineRule="auto"/>
        <w:tabs>
          <w:tab w:leader="none" w:pos="306" w:val="left"/>
        </w:tabs>
        <w:numPr>
          <w:ilvl w:val="0"/>
          <w:numId w:val="217"/>
        </w:numPr>
        <w:rPr>
          <w:rFonts w:ascii="Arial" w:cs="Arial" w:eastAsia="Arial" w:hAnsi="Arial"/>
          <w:sz w:val="29"/>
          <w:szCs w:val="29"/>
          <w:color w:val="auto"/>
          <w:vertAlign w:val="superscript"/>
        </w:rPr>
      </w:pPr>
      <w:r>
        <w:rPr>
          <w:rFonts w:ascii="Arial" w:cs="Arial" w:eastAsia="Arial" w:hAnsi="Arial"/>
          <w:sz w:val="18"/>
          <w:szCs w:val="18"/>
          <w:color w:val="auto"/>
        </w:rPr>
        <w:t>The board of directors shall establish the particulars of the organization and adoption of resolutions of the compensation committee in regulations.</w:t>
      </w:r>
    </w:p>
    <w:p>
      <w:pPr>
        <w:sectPr>
          <w:pgSz w:w="11900" w:h="16838" w:orient="portrait"/>
          <w:cols w:equalWidth="0" w:num="2">
            <w:col w:w="5589" w:space="720"/>
            <w:col w:w="4191"/>
          </w:cols>
          <w:pgMar w:left="220" w:top="144" w:right="1179" w:bottom="1440" w:gutter="0" w:footer="0" w:header="0"/>
          <w:type w:val="continuous"/>
        </w:sectPr>
      </w:pPr>
    </w:p>
    <w:bookmarkStart w:id="317" w:name="page318"/>
    <w:bookmarkEnd w:id="317"/>
    <w:p>
      <w:pPr>
        <w:spacing w:after="0" w:line="217" w:lineRule="auto"/>
        <w:tabs>
          <w:tab w:leader="none" w:pos="306" w:val="left"/>
        </w:tabs>
        <w:framePr w:w="1000" w:h="292" w:wrap="auto" w:vAnchor="page" w:hAnchor="page" w:x="5900" w:y="2035"/>
        <w:rPr>
          <w:rFonts w:ascii="Arial" w:cs="Arial" w:eastAsia="Arial" w:hAnsi="Arial"/>
          <w:sz w:val="14"/>
          <w:szCs w:val="14"/>
          <w:color w:val="auto"/>
        </w:rPr>
      </w:pPr>
      <w:r>
        <w:rPr>
          <w:rFonts w:ascii="Arial" w:cs="Arial" w:eastAsia="Arial" w:hAnsi="Arial"/>
          <w:sz w:val="14"/>
          <w:szCs w:val="14"/>
          <w:color w:val="auto"/>
        </w:rPr>
        <w:t>Compensation Committee</w:t>
      </w:r>
    </w:p>
    <w:p>
      <w:pPr>
        <w:ind w:left="5540"/>
        <w:spacing w:after="0"/>
        <w:rPr>
          <w:sz w:val="20"/>
          <w:szCs w:val="20"/>
          <w:color w:val="auto"/>
        </w:rPr>
      </w:pPr>
      <w:r>
        <w:rPr>
          <w:rFonts w:ascii="Arial" w:cs="Arial" w:eastAsia="Arial" w:hAnsi="Arial"/>
          <w:sz w:val="14"/>
          <w:szCs w:val="14"/>
          <w:color w:val="auto"/>
        </w:rPr>
        <w:t>- 20 -</w:t>
      </w:r>
    </w:p>
    <w:p>
      <w:pPr>
        <w:sectPr>
          <w:pgSz w:w="11900" w:h="16838" w:orient="portrait"/>
          <w:cols w:equalWidth="0" w:num="1">
            <w:col w:w="10440"/>
          </w:cols>
          <w:pgMar w:left="240" w:top="144" w:right="1219" w:bottom="1440" w:gutter="0" w:footer="0" w:header="0"/>
        </w:sect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9"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spacing w:after="0"/>
              <w:rPr>
                <w:sz w:val="20"/>
                <w:szCs w:val="20"/>
                <w:color w:val="auto"/>
              </w:rPr>
            </w:pPr>
          </w:p>
        </w:tc>
        <w:tc>
          <w:tcPr>
            <w:tcW w:w="4120" w:type="dxa"/>
            <w:vAlign w:val="bottom"/>
          </w:tcPr>
          <w:p>
            <w:pPr>
              <w:ind w:left="600"/>
              <w:spacing w:after="0"/>
              <w:rPr>
                <w:sz w:val="20"/>
                <w:szCs w:val="20"/>
                <w:color w:val="auto"/>
              </w:rPr>
            </w:pPr>
            <w:r>
              <w:rPr>
                <w:rFonts w:ascii="Arial" w:cs="Arial" w:eastAsia="Arial" w:hAnsi="Arial"/>
                <w:sz w:val="18"/>
                <w:szCs w:val="18"/>
                <w:b w:val="1"/>
                <w:bCs w:val="1"/>
                <w:color w:val="auto"/>
              </w:rPr>
              <w:t>Artikel 23</w:t>
            </w:r>
          </w:p>
        </w:tc>
        <w:tc>
          <w:tcPr>
            <w:tcW w:w="1240" w:type="dxa"/>
            <w:vAlign w:val="bottom"/>
          </w:tcPr>
          <w:p>
            <w:pPr>
              <w:spacing w:after="0"/>
              <w:rPr>
                <w:sz w:val="20"/>
                <w:szCs w:val="20"/>
                <w:color w:val="auto"/>
              </w:rPr>
            </w:pPr>
          </w:p>
        </w:tc>
      </w:tr>
      <w:tr>
        <w:trPr>
          <w:trHeight w:val="221"/>
        </w:trPr>
        <w:tc>
          <w:tcPr>
            <w:tcW w:w="980" w:type="dxa"/>
            <w:vAlign w:val="bottom"/>
          </w:tcPr>
          <w:p>
            <w:pPr>
              <w:spacing w:after="0"/>
              <w:rPr>
                <w:sz w:val="20"/>
                <w:szCs w:val="20"/>
                <w:color w:val="auto"/>
              </w:rPr>
            </w:pPr>
            <w:r>
              <w:rPr>
                <w:rFonts w:ascii="Arial" w:cs="Arial" w:eastAsia="Arial" w:hAnsi="Arial"/>
                <w:sz w:val="14"/>
                <w:szCs w:val="14"/>
                <w:color w:val="auto"/>
              </w:rPr>
              <w:t>gnisse des</w:t>
            </w:r>
          </w:p>
        </w:tc>
        <w:tc>
          <w:tcPr>
            <w:tcW w:w="4120" w:type="dxa"/>
            <w:vAlign w:val="bottom"/>
          </w:tcPr>
          <w:p>
            <w:pPr>
              <w:ind w:left="320"/>
              <w:spacing w:after="0" w:line="221"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6"/>
                <w:szCs w:val="16"/>
                <w:color w:val="auto"/>
              </w:rPr>
              <w:t xml:space="preserve">   Der Vergütungsausschuss unterstützt den</w:t>
            </w:r>
          </w:p>
        </w:tc>
        <w:tc>
          <w:tcPr>
            <w:tcW w:w="1240" w:type="dxa"/>
            <w:vAlign w:val="bottom"/>
          </w:tcPr>
          <w:p>
            <w:pPr>
              <w:ind w:left="200"/>
              <w:spacing w:after="0"/>
              <w:rPr>
                <w:sz w:val="20"/>
                <w:szCs w:val="20"/>
                <w:color w:val="auto"/>
              </w:rPr>
            </w:pPr>
            <w:r>
              <w:rPr>
                <w:rFonts w:ascii="Arial" w:cs="Arial" w:eastAsia="Arial" w:hAnsi="Arial"/>
                <w:sz w:val="14"/>
                <w:szCs w:val="14"/>
                <w:color w:val="auto"/>
              </w:rPr>
              <w:t>Powers of the 1</w:t>
            </w:r>
          </w:p>
        </w:tc>
      </w:tr>
    </w:tbl>
    <w:p>
      <w:pPr>
        <w:spacing w:after="0" w:line="1" w:lineRule="exact"/>
        <w:rPr>
          <w:rFonts w:ascii="Arial" w:cs="Arial" w:eastAsia="Arial" w:hAnsi="Arial"/>
          <w:sz w:val="14"/>
          <w:szCs w:val="14"/>
          <w:color w:val="auto"/>
        </w:rPr>
      </w:pPr>
    </w:p>
    <w:tbl>
      <w:tblPr>
        <w:tblLayout w:type="fixed"/>
        <w:tblInd w:w="100" w:type="dxa"/>
        <w:tblCellMar>
          <w:top w:w="0" w:type="dxa"/>
          <w:left w:w="0" w:type="dxa"/>
          <w:bottom w:w="0" w:type="dxa"/>
          <w:right w:w="0" w:type="dxa"/>
        </w:tblCellMar>
      </w:tblPr>
      <w:tr>
        <w:trPr>
          <w:trHeight w:val="172"/>
        </w:trPr>
        <w:tc>
          <w:tcPr>
            <w:tcW w:w="1720" w:type="dxa"/>
            <w:vAlign w:val="bottom"/>
          </w:tcPr>
          <w:p>
            <w:pPr>
              <w:spacing w:after="0"/>
              <w:rPr>
                <w:sz w:val="20"/>
                <w:szCs w:val="20"/>
                <w:color w:val="auto"/>
              </w:rPr>
            </w:pPr>
            <w:r>
              <w:rPr>
                <w:rFonts w:ascii="Arial" w:cs="Arial" w:eastAsia="Arial" w:hAnsi="Arial"/>
                <w:sz w:val="14"/>
                <w:szCs w:val="14"/>
                <w:color w:val="auto"/>
              </w:rPr>
              <w:t>Vergütungsausschusses</w:t>
            </w:r>
          </w:p>
        </w:tc>
        <w:tc>
          <w:tcPr>
            <w:tcW w:w="3720" w:type="dxa"/>
            <w:vAlign w:val="bottom"/>
            <w:vMerge w:val="restart"/>
          </w:tcPr>
          <w:p>
            <w:pPr>
              <w:ind w:left="160"/>
              <w:spacing w:after="0"/>
              <w:rPr>
                <w:sz w:val="20"/>
                <w:szCs w:val="20"/>
                <w:color w:val="auto"/>
              </w:rPr>
            </w:pPr>
            <w:r>
              <w:rPr>
                <w:rFonts w:ascii="Arial" w:cs="Arial" w:eastAsia="Arial" w:hAnsi="Arial"/>
                <w:sz w:val="18"/>
                <w:szCs w:val="18"/>
                <w:color w:val="auto"/>
              </w:rPr>
              <w:t>Verwaltungsrat bei der Festsetzung und</w:t>
            </w:r>
          </w:p>
        </w:tc>
        <w:tc>
          <w:tcPr>
            <w:tcW w:w="0" w:type="dxa"/>
            <w:vAlign w:val="bottom"/>
          </w:tcPr>
          <w:p>
            <w:pPr>
              <w:spacing w:after="0"/>
              <w:rPr>
                <w:sz w:val="1"/>
                <w:szCs w:val="1"/>
                <w:color w:val="auto"/>
              </w:rPr>
            </w:pPr>
          </w:p>
        </w:tc>
      </w:tr>
      <w:tr>
        <w:trPr>
          <w:trHeight w:val="92"/>
        </w:trPr>
        <w:tc>
          <w:tcPr>
            <w:tcW w:w="172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Überprüfung der Vergütungsstrategie und -</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richtlinien sowie bei der Vorbereitung der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w w:val="99"/>
              </w:rPr>
              <w:t>Anträge zuhanden der Generalversammlung</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betreffend die Vergütung des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Verwaltungsrats und der Geschäftsleitung</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und kann dem Verwaltungsrat Anträge zu</w:t>
            </w: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weiteren Vergütungsfragen unterbreiten.</w:t>
            </w:r>
          </w:p>
        </w:tc>
        <w:tc>
          <w:tcPr>
            <w:tcW w:w="0" w:type="dxa"/>
            <w:vAlign w:val="bottom"/>
          </w:tcPr>
          <w:p>
            <w:pPr>
              <w:spacing w:after="0"/>
              <w:rPr>
                <w:sz w:val="1"/>
                <w:szCs w:val="1"/>
                <w:color w:val="auto"/>
              </w:rPr>
            </w:pPr>
          </w:p>
        </w:tc>
      </w:tr>
    </w:tbl>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9"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8"/>
          <w:szCs w:val="18"/>
          <w:b w:val="1"/>
          <w:bCs w:val="1"/>
          <w:color w:val="auto"/>
        </w:rPr>
        <w:t>Article 23</w:t>
      </w:r>
    </w:p>
    <w:p>
      <w:pPr>
        <w:spacing w:after="0" w:line="37" w:lineRule="exact"/>
        <w:rPr>
          <w:rFonts w:ascii="Arial" w:cs="Arial" w:eastAsia="Arial" w:hAnsi="Arial"/>
          <w:sz w:val="14"/>
          <w:szCs w:val="14"/>
          <w:color w:val="auto"/>
        </w:rPr>
      </w:pPr>
    </w:p>
    <w:p>
      <w:pPr>
        <w:spacing w:after="0"/>
        <w:rPr>
          <w:sz w:val="20"/>
          <w:szCs w:val="20"/>
          <w:color w:val="auto"/>
        </w:rPr>
      </w:pPr>
      <w:r>
        <w:rPr>
          <w:rFonts w:ascii="Arial" w:cs="Arial" w:eastAsia="Arial" w:hAnsi="Arial"/>
          <w:sz w:val="17"/>
          <w:szCs w:val="17"/>
          <w:color w:val="auto"/>
        </w:rPr>
        <w:t>The compensation committee shall support the</w:t>
      </w:r>
    </w:p>
    <w:p>
      <w:pPr>
        <w:spacing w:after="0" w:line="68" w:lineRule="exact"/>
        <w:rPr>
          <w:rFonts w:ascii="Arial" w:cs="Arial" w:eastAsia="Arial" w:hAnsi="Arial"/>
          <w:sz w:val="14"/>
          <w:szCs w:val="14"/>
          <w:color w:val="auto"/>
        </w:rPr>
      </w:pPr>
    </w:p>
    <w:p>
      <w:pPr>
        <w:ind w:left="400" w:right="80"/>
        <w:spacing w:after="0" w:line="251" w:lineRule="auto"/>
        <w:rPr>
          <w:sz w:val="20"/>
          <w:szCs w:val="20"/>
          <w:color w:val="auto"/>
        </w:rPr>
      </w:pPr>
      <w:r>
        <w:rPr>
          <w:rFonts w:ascii="Arial" w:cs="Arial" w:eastAsia="Arial" w:hAnsi="Arial"/>
          <w:sz w:val="18"/>
          <w:szCs w:val="18"/>
          <w:color w:val="auto"/>
        </w:rPr>
        <w:t>board of directors in establishing and reviewing the compensation strategy and guidelines as well as in preparing the proposals to the general meeting of shareholders regarding the compensation of the board of directors and of the executive management, and may submit proposals to the board of directors in other compensation-related issues.</w:t>
      </w:r>
    </w:p>
    <w:p>
      <w:pPr>
        <w:spacing w:after="0" w:line="50" w:lineRule="exact"/>
        <w:rPr>
          <w:rFonts w:ascii="Arial" w:cs="Arial" w:eastAsia="Arial" w:hAnsi="Arial"/>
          <w:sz w:val="14"/>
          <w:szCs w:val="14"/>
          <w:color w:val="auto"/>
        </w:rPr>
      </w:pPr>
    </w:p>
    <w:p>
      <w:pPr>
        <w:sectPr>
          <w:pgSz w:w="11900" w:h="16838" w:orient="portrait"/>
          <w:cols w:equalWidth="0" w:num="2">
            <w:col w:w="6340" w:space="240"/>
            <w:col w:w="3860"/>
          </w:cols>
          <w:pgMar w:left="240" w:top="144" w:right="1219" w:bottom="1440" w:gutter="0" w:footer="0" w:header="0"/>
          <w:type w:val="continuous"/>
        </w:sectPr>
      </w:pPr>
    </w:p>
    <w:p>
      <w:pPr>
        <w:ind w:left="1980" w:right="2" w:hanging="686"/>
        <w:spacing w:after="0" w:line="237" w:lineRule="auto"/>
        <w:tabs>
          <w:tab w:leader="none" w:pos="1575" w:val="left"/>
        </w:tabs>
        <w:numPr>
          <w:ilvl w:val="0"/>
          <w:numId w:val="218"/>
        </w:numPr>
        <w:rPr>
          <w:rFonts w:ascii="Arial" w:cs="Arial" w:eastAsia="Arial" w:hAnsi="Arial"/>
          <w:sz w:val="29"/>
          <w:szCs w:val="29"/>
          <w:color w:val="auto"/>
          <w:vertAlign w:val="superscript"/>
        </w:rPr>
      </w:pPr>
      <w:r>
        <w:rPr>
          <w:rFonts w:ascii="Arial" w:cs="Arial" w:eastAsia="Arial" w:hAnsi="Arial"/>
          <w:sz w:val="18"/>
          <w:szCs w:val="18"/>
          <w:color w:val="auto"/>
        </w:rPr>
        <w:t>Der Verwaltungsrat legt in einem Reglement fest, für welche Funktionen des Verwaltungsrats und der Geschäftsleitung der Vergütungsausschuss dem Verwaltungsrat Vorschläge für die Leistungswerte, Zielwerte und die Vergütung unterbreitet und für welche Funktionen er selbst im Rahmen der Statuten und der vom Verwaltungsrat erlassenen Vergütungsrichtlinien die Leistungswerte, Zielwerte und die Vergütung festsetzt.</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ind w:left="718" w:hanging="718"/>
        <w:spacing w:after="0" w:line="239" w:lineRule="auto"/>
        <w:tabs>
          <w:tab w:leader="none" w:pos="313" w:val="left"/>
        </w:tabs>
        <w:numPr>
          <w:ilvl w:val="0"/>
          <w:numId w:val="219"/>
        </w:numPr>
        <w:rPr>
          <w:rFonts w:ascii="Arial" w:cs="Arial" w:eastAsia="Arial" w:hAnsi="Arial"/>
          <w:sz w:val="29"/>
          <w:szCs w:val="29"/>
          <w:color w:val="auto"/>
          <w:vertAlign w:val="superscript"/>
        </w:rPr>
      </w:pPr>
      <w:r>
        <w:rPr>
          <w:rFonts w:ascii="Arial" w:cs="Arial" w:eastAsia="Arial" w:hAnsi="Arial"/>
          <w:sz w:val="18"/>
          <w:szCs w:val="18"/>
          <w:color w:val="auto"/>
        </w:rPr>
        <w:t>The board of directors shall determine in regulations for which positions of the board of directors and of the executive management, the compensation committee shall submit proposals for the performance metrics, target values and the compensation to the board of directors, and for which positions it shall itself determine, in accordance with the Articles of Incorporation and the compensation guidelines established by the board of directors, the performance metrics, target values and the compensation.</w:t>
      </w:r>
    </w:p>
    <w:p>
      <w:pPr>
        <w:spacing w:after="0" w:line="56" w:lineRule="exact"/>
        <w:rPr>
          <w:rFonts w:ascii="Arial" w:cs="Arial" w:eastAsia="Arial" w:hAnsi="Arial"/>
          <w:sz w:val="14"/>
          <w:szCs w:val="14"/>
          <w:color w:val="auto"/>
        </w:rPr>
      </w:pPr>
    </w:p>
    <w:p>
      <w:pPr>
        <w:sectPr>
          <w:pgSz w:w="11900" w:h="16838" w:orient="portrait"/>
          <w:cols w:equalWidth="0" w:num="2">
            <w:col w:w="5542" w:space="720"/>
            <w:col w:w="4178"/>
          </w:cols>
          <w:pgMar w:left="240" w:top="144" w:right="1219" w:bottom="1440" w:gutter="0" w:footer="0" w:header="0"/>
          <w:type w:val="continuous"/>
        </w:sectPr>
      </w:pPr>
    </w:p>
    <w:p>
      <w:pPr>
        <w:ind w:left="1980" w:right="342" w:hanging="686"/>
        <w:spacing w:after="0" w:line="217" w:lineRule="auto"/>
        <w:tabs>
          <w:tab w:leader="none" w:pos="1575" w:val="left"/>
        </w:tabs>
        <w:numPr>
          <w:ilvl w:val="0"/>
          <w:numId w:val="220"/>
        </w:numPr>
        <w:rPr>
          <w:rFonts w:ascii="Arial" w:cs="Arial" w:eastAsia="Arial" w:hAnsi="Arial"/>
          <w:sz w:val="29"/>
          <w:szCs w:val="29"/>
          <w:color w:val="auto"/>
          <w:vertAlign w:val="superscript"/>
        </w:rPr>
      </w:pPr>
      <w:r>
        <w:rPr>
          <w:rFonts w:ascii="Arial" w:cs="Arial" w:eastAsia="Arial" w:hAnsi="Arial"/>
          <w:sz w:val="18"/>
          <w:szCs w:val="18"/>
          <w:color w:val="auto"/>
        </w:rPr>
        <w:t>Der Verwaltungsrat kann dem Vergütungsausschuss weitere Aufgaben zuweisen, die in einem Reglement festgehalten werden.</w:t>
      </w:r>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ind w:left="718" w:right="40" w:hanging="718"/>
        <w:spacing w:after="0" w:line="218" w:lineRule="auto"/>
        <w:tabs>
          <w:tab w:leader="none" w:pos="313" w:val="left"/>
        </w:tabs>
        <w:numPr>
          <w:ilvl w:val="0"/>
          <w:numId w:val="221"/>
        </w:numPr>
        <w:rPr>
          <w:rFonts w:ascii="Arial" w:cs="Arial" w:eastAsia="Arial" w:hAnsi="Arial"/>
          <w:sz w:val="28"/>
          <w:szCs w:val="28"/>
          <w:color w:val="auto"/>
          <w:vertAlign w:val="superscript"/>
        </w:rPr>
      </w:pPr>
      <w:r>
        <w:rPr>
          <w:rFonts w:ascii="Arial" w:cs="Arial" w:eastAsia="Arial" w:hAnsi="Arial"/>
          <w:sz w:val="17"/>
          <w:szCs w:val="17"/>
          <w:color w:val="auto"/>
        </w:rPr>
        <w:t>The board of directors may determine in regulations to delegate further authorities and duties to the compensation committee.</w:t>
      </w:r>
    </w:p>
    <w:p>
      <w:pPr>
        <w:spacing w:after="0" w:line="415" w:lineRule="exact"/>
        <w:rPr>
          <w:rFonts w:ascii="Arial" w:cs="Arial" w:eastAsia="Arial" w:hAnsi="Arial"/>
          <w:sz w:val="14"/>
          <w:szCs w:val="14"/>
          <w:color w:val="auto"/>
        </w:rPr>
      </w:pPr>
    </w:p>
    <w:p>
      <w:pPr>
        <w:sectPr>
          <w:pgSz w:w="11900" w:h="16838" w:orient="portrait"/>
          <w:cols w:equalWidth="0" w:num="2">
            <w:col w:w="5542" w:space="720"/>
            <w:col w:w="4178"/>
          </w:cols>
          <w:pgMar w:left="240" w:top="144" w:right="1219" w:bottom="1440" w:gutter="0" w:footer="0" w:header="0"/>
          <w:type w:val="continuous"/>
        </w:sectPr>
      </w:pPr>
    </w:p>
    <w:p>
      <w:pPr>
        <w:spacing w:after="0" w:line="107" w:lineRule="exact"/>
        <w:rPr>
          <w:rFonts w:ascii="Arial" w:cs="Arial" w:eastAsia="Arial" w:hAnsi="Arial"/>
          <w:sz w:val="14"/>
          <w:szCs w:val="14"/>
          <w:color w:val="auto"/>
        </w:rPr>
      </w:pPr>
    </w:p>
    <w:tbl>
      <w:tblPr>
        <w:tblLayout w:type="fixed"/>
        <w:tblInd w:w="0" w:type="dxa"/>
        <w:tblCellMar>
          <w:top w:w="0" w:type="dxa"/>
          <w:left w:w="0" w:type="dxa"/>
          <w:bottom w:w="0" w:type="dxa"/>
          <w:right w:w="0" w:type="dxa"/>
        </w:tblCellMar>
      </w:tblPr>
      <w:tr>
        <w:trPr>
          <w:trHeight w:val="235"/>
        </w:trPr>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Arial" w:cs="Arial" w:eastAsia="Arial" w:hAnsi="Arial"/>
                <w:sz w:val="18"/>
                <w:szCs w:val="18"/>
                <w:i w:val="1"/>
                <w:iCs w:val="1"/>
                <w:color w:val="auto"/>
              </w:rPr>
              <w:t>C. Die Revisionsstelle</w:t>
            </w:r>
          </w:p>
        </w:tc>
        <w:tc>
          <w:tcPr>
            <w:tcW w:w="162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i w:val="1"/>
                <w:iCs w:val="1"/>
                <w:color w:val="auto"/>
              </w:rPr>
              <w:t>C. Auditors</w:t>
            </w:r>
          </w:p>
        </w:tc>
        <w:tc>
          <w:tcPr>
            <w:tcW w:w="0" w:type="dxa"/>
            <w:vAlign w:val="bottom"/>
          </w:tcPr>
          <w:p>
            <w:pPr>
              <w:spacing w:after="0"/>
              <w:rPr>
                <w:sz w:val="1"/>
                <w:szCs w:val="1"/>
                <w:color w:val="auto"/>
              </w:rPr>
            </w:pPr>
          </w:p>
        </w:tc>
      </w:tr>
      <w:tr>
        <w:trPr>
          <w:trHeight w:val="540"/>
        </w:trPr>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80" w:type="dxa"/>
            <w:vAlign w:val="bottom"/>
          </w:tcPr>
          <w:p>
            <w:pPr>
              <w:ind w:left="100"/>
              <w:spacing w:after="0"/>
              <w:rPr>
                <w:sz w:val="20"/>
                <w:szCs w:val="20"/>
                <w:color w:val="auto"/>
              </w:rPr>
            </w:pPr>
            <w:r>
              <w:rPr>
                <w:rFonts w:ascii="Arial" w:cs="Arial" w:eastAsia="Arial" w:hAnsi="Arial"/>
                <w:sz w:val="18"/>
                <w:szCs w:val="18"/>
                <w:b w:val="1"/>
                <w:bCs w:val="1"/>
                <w:color w:val="auto"/>
              </w:rPr>
              <w:t>Artikel 24</w:t>
            </w:r>
          </w:p>
        </w:tc>
        <w:tc>
          <w:tcPr>
            <w:tcW w:w="1620" w:type="dxa"/>
            <w:vAlign w:val="bottom"/>
          </w:tcPr>
          <w:p>
            <w:pPr>
              <w:spacing w:after="0"/>
              <w:rPr>
                <w:sz w:val="24"/>
                <w:szCs w:val="24"/>
                <w:color w:val="auto"/>
              </w:rPr>
            </w:pPr>
          </w:p>
        </w:tc>
        <w:tc>
          <w:tcPr>
            <w:tcW w:w="3900" w:type="dxa"/>
            <w:vAlign w:val="bottom"/>
          </w:tcPr>
          <w:p>
            <w:pPr>
              <w:ind w:left="100"/>
              <w:spacing w:after="0"/>
              <w:rPr>
                <w:sz w:val="20"/>
                <w:szCs w:val="20"/>
                <w:color w:val="auto"/>
              </w:rPr>
            </w:pPr>
            <w:r>
              <w:rPr>
                <w:rFonts w:ascii="Arial" w:cs="Arial" w:eastAsia="Arial" w:hAnsi="Arial"/>
                <w:sz w:val="18"/>
                <w:szCs w:val="18"/>
                <w:b w:val="1"/>
                <w:bCs w:val="1"/>
                <w:color w:val="auto"/>
              </w:rPr>
              <w:t>Article 24</w:t>
            </w:r>
          </w:p>
        </w:tc>
        <w:tc>
          <w:tcPr>
            <w:tcW w:w="0" w:type="dxa"/>
            <w:vAlign w:val="bottom"/>
          </w:tcPr>
          <w:p>
            <w:pPr>
              <w:spacing w:after="0"/>
              <w:rPr>
                <w:sz w:val="1"/>
                <w:szCs w:val="1"/>
                <w:color w:val="auto"/>
              </w:rPr>
            </w:pPr>
          </w:p>
        </w:tc>
      </w:tr>
      <w:tr>
        <w:trPr>
          <w:trHeight w:val="221"/>
        </w:trPr>
        <w:tc>
          <w:tcPr>
            <w:tcW w:w="1040" w:type="dxa"/>
            <w:vAlign w:val="bottom"/>
          </w:tcPr>
          <w:p>
            <w:pPr>
              <w:spacing w:after="0"/>
              <w:rPr>
                <w:sz w:val="20"/>
                <w:szCs w:val="20"/>
                <w:color w:val="auto"/>
              </w:rPr>
            </w:pPr>
            <w:r>
              <w:rPr>
                <w:rFonts w:ascii="Arial" w:cs="Arial" w:eastAsia="Arial" w:hAnsi="Arial"/>
                <w:sz w:val="14"/>
                <w:szCs w:val="14"/>
                <w:color w:val="auto"/>
              </w:rPr>
              <w:t>l, Amtsdauer</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380" w:type="dxa"/>
            <w:vAlign w:val="bottom"/>
          </w:tcPr>
          <w:p>
            <w:pPr>
              <w:ind w:left="100"/>
              <w:spacing w:after="0"/>
              <w:rPr>
                <w:sz w:val="20"/>
                <w:szCs w:val="20"/>
                <w:color w:val="auto"/>
              </w:rPr>
            </w:pPr>
            <w:r>
              <w:rPr>
                <w:rFonts w:ascii="Arial" w:cs="Arial" w:eastAsia="Arial" w:hAnsi="Arial"/>
                <w:sz w:val="18"/>
                <w:szCs w:val="18"/>
                <w:color w:val="auto"/>
              </w:rPr>
              <w:t>Die Generalversammlung wählt die</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Election, Term of1</w:t>
            </w:r>
          </w:p>
        </w:tc>
        <w:tc>
          <w:tcPr>
            <w:tcW w:w="3900" w:type="dxa"/>
            <w:vAlign w:val="bottom"/>
          </w:tcPr>
          <w:p>
            <w:pPr>
              <w:ind w:left="100"/>
              <w:spacing w:after="0"/>
              <w:rPr>
                <w:sz w:val="20"/>
                <w:szCs w:val="20"/>
                <w:color w:val="auto"/>
              </w:rPr>
            </w:pPr>
            <w:r>
              <w:rPr>
                <w:rFonts w:ascii="Arial" w:cs="Arial" w:eastAsia="Arial" w:hAnsi="Arial"/>
                <w:sz w:val="18"/>
                <w:szCs w:val="18"/>
                <w:color w:val="auto"/>
              </w:rPr>
              <w:t>The auditors shall be elected by the general</w:t>
            </w:r>
          </w:p>
        </w:tc>
        <w:tc>
          <w:tcPr>
            <w:tcW w:w="0" w:type="dxa"/>
            <w:vAlign w:val="bottom"/>
          </w:tcPr>
          <w:p>
            <w:pPr>
              <w:spacing w:after="0"/>
              <w:rPr>
                <w:sz w:val="1"/>
                <w:szCs w:val="1"/>
                <w:color w:val="auto"/>
              </w:rPr>
            </w:pPr>
          </w:p>
        </w:tc>
      </w:tr>
      <w:tr>
        <w:trPr>
          <w:trHeight w:val="172"/>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80" w:type="dxa"/>
            <w:vAlign w:val="bottom"/>
            <w:vMerge w:val="restart"/>
          </w:tcPr>
          <w:p>
            <w:pPr>
              <w:ind w:left="500"/>
              <w:spacing w:after="0"/>
              <w:rPr>
                <w:sz w:val="20"/>
                <w:szCs w:val="20"/>
                <w:color w:val="auto"/>
              </w:rPr>
            </w:pPr>
            <w:r>
              <w:rPr>
                <w:rFonts w:ascii="Arial" w:cs="Arial" w:eastAsia="Arial" w:hAnsi="Arial"/>
                <w:sz w:val="18"/>
                <w:szCs w:val="18"/>
                <w:color w:val="auto"/>
              </w:rPr>
              <w:t>Revisionsstelle.</w:t>
            </w:r>
          </w:p>
        </w:tc>
        <w:tc>
          <w:tcPr>
            <w:tcW w:w="1620" w:type="dxa"/>
            <w:vAlign w:val="bottom"/>
          </w:tcPr>
          <w:p>
            <w:pPr>
              <w:jc w:val="right"/>
              <w:ind w:right="328"/>
              <w:spacing w:after="0"/>
              <w:rPr>
                <w:sz w:val="20"/>
                <w:szCs w:val="20"/>
                <w:color w:val="auto"/>
              </w:rPr>
            </w:pPr>
            <w:r>
              <w:rPr>
                <w:rFonts w:ascii="Arial" w:cs="Arial" w:eastAsia="Arial" w:hAnsi="Arial"/>
                <w:sz w:val="14"/>
                <w:szCs w:val="14"/>
                <w:color w:val="auto"/>
              </w:rPr>
              <w:t>Office</w:t>
            </w:r>
          </w:p>
        </w:tc>
        <w:tc>
          <w:tcPr>
            <w:tcW w:w="3900" w:type="dxa"/>
            <w:vAlign w:val="bottom"/>
            <w:vMerge w:val="restart"/>
          </w:tcPr>
          <w:p>
            <w:pPr>
              <w:ind w:left="500"/>
              <w:spacing w:after="0"/>
              <w:rPr>
                <w:sz w:val="20"/>
                <w:szCs w:val="20"/>
                <w:color w:val="auto"/>
              </w:rPr>
            </w:pPr>
            <w:r>
              <w:rPr>
                <w:rFonts w:ascii="Arial" w:cs="Arial" w:eastAsia="Arial" w:hAnsi="Arial"/>
                <w:sz w:val="18"/>
                <w:szCs w:val="18"/>
                <w:color w:val="auto"/>
              </w:rPr>
              <w:t>meeting of shareholders.</w:t>
            </w:r>
          </w:p>
        </w:tc>
        <w:tc>
          <w:tcPr>
            <w:tcW w:w="0" w:type="dxa"/>
            <w:vAlign w:val="bottom"/>
          </w:tcPr>
          <w:p>
            <w:pPr>
              <w:spacing w:after="0"/>
              <w:rPr>
                <w:sz w:val="1"/>
                <w:szCs w:val="1"/>
                <w:color w:val="auto"/>
              </w:rPr>
            </w:pPr>
          </w:p>
        </w:tc>
      </w:tr>
      <w:tr>
        <w:trPr>
          <w:trHeight w:val="93"/>
        </w:trPr>
        <w:tc>
          <w:tcPr>
            <w:tcW w:w="10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38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3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04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3380" w:type="dxa"/>
            <w:vAlign w:val="bottom"/>
          </w:tcPr>
          <w:p>
            <w:pPr>
              <w:ind w:left="100"/>
              <w:spacing w:after="0"/>
              <w:rPr>
                <w:sz w:val="20"/>
                <w:szCs w:val="20"/>
                <w:color w:val="auto"/>
              </w:rPr>
            </w:pPr>
            <w:r>
              <w:rPr>
                <w:rFonts w:ascii="Arial" w:cs="Arial" w:eastAsia="Arial" w:hAnsi="Arial"/>
                <w:sz w:val="18"/>
                <w:szCs w:val="18"/>
                <w:color w:val="auto"/>
              </w:rPr>
              <w:t>Die Revisionsstelle wird von der</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900" w:type="dxa"/>
            <w:vAlign w:val="bottom"/>
          </w:tcPr>
          <w:p>
            <w:pPr>
              <w:ind w:left="100"/>
              <w:spacing w:after="0"/>
              <w:rPr>
                <w:sz w:val="20"/>
                <w:szCs w:val="20"/>
                <w:color w:val="auto"/>
              </w:rPr>
            </w:pPr>
            <w:r>
              <w:rPr>
                <w:rFonts w:ascii="Arial" w:cs="Arial" w:eastAsia="Arial" w:hAnsi="Arial"/>
                <w:sz w:val="18"/>
                <w:szCs w:val="18"/>
                <w:color w:val="auto"/>
              </w:rPr>
              <w:t>The shareholders shall elect the auditors at a</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2"/>
          </w:tcPr>
          <w:p>
            <w:pPr>
              <w:ind w:left="500"/>
              <w:spacing w:after="0"/>
              <w:rPr>
                <w:sz w:val="20"/>
                <w:szCs w:val="20"/>
                <w:color w:val="auto"/>
              </w:rPr>
            </w:pPr>
            <w:r>
              <w:rPr>
                <w:rFonts w:ascii="Arial" w:cs="Arial" w:eastAsia="Arial" w:hAnsi="Arial"/>
                <w:sz w:val="18"/>
                <w:szCs w:val="18"/>
                <w:color w:val="auto"/>
              </w:rPr>
              <w:t>Generalversammlung für eine Amtsdauer bis</w:t>
            </w:r>
          </w:p>
        </w:tc>
        <w:tc>
          <w:tcPr>
            <w:tcW w:w="3900" w:type="dxa"/>
            <w:vAlign w:val="bottom"/>
          </w:tcPr>
          <w:p>
            <w:pPr>
              <w:ind w:left="500"/>
              <w:spacing w:after="0"/>
              <w:rPr>
                <w:sz w:val="20"/>
                <w:szCs w:val="20"/>
                <w:color w:val="auto"/>
              </w:rPr>
            </w:pPr>
            <w:r>
              <w:rPr>
                <w:rFonts w:ascii="Arial" w:cs="Arial" w:eastAsia="Arial" w:hAnsi="Arial"/>
                <w:sz w:val="18"/>
                <w:szCs w:val="18"/>
                <w:color w:val="auto"/>
                <w:w w:val="99"/>
              </w:rPr>
              <w:t>general meeting of shareholders for a term</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0" w:type="dxa"/>
            <w:vAlign w:val="bottom"/>
            <w:gridSpan w:val="2"/>
          </w:tcPr>
          <w:p>
            <w:pPr>
              <w:ind w:left="500"/>
              <w:spacing w:after="0"/>
              <w:rPr>
                <w:sz w:val="20"/>
                <w:szCs w:val="20"/>
                <w:color w:val="auto"/>
              </w:rPr>
            </w:pPr>
            <w:r>
              <w:rPr>
                <w:rFonts w:ascii="Arial" w:cs="Arial" w:eastAsia="Arial" w:hAnsi="Arial"/>
                <w:sz w:val="18"/>
                <w:szCs w:val="18"/>
                <w:color w:val="auto"/>
              </w:rPr>
              <w:t>zum Abschluss der nächsten ordentlichen</w:t>
            </w:r>
          </w:p>
        </w:tc>
        <w:tc>
          <w:tcPr>
            <w:tcW w:w="3900" w:type="dxa"/>
            <w:vAlign w:val="bottom"/>
          </w:tcPr>
          <w:p>
            <w:pPr>
              <w:ind w:left="500"/>
              <w:spacing w:after="0"/>
              <w:rPr>
                <w:sz w:val="20"/>
                <w:szCs w:val="20"/>
                <w:color w:val="auto"/>
              </w:rPr>
            </w:pPr>
            <w:r>
              <w:rPr>
                <w:rFonts w:ascii="Arial" w:cs="Arial" w:eastAsia="Arial" w:hAnsi="Arial"/>
                <w:sz w:val="18"/>
                <w:szCs w:val="18"/>
                <w:color w:val="auto"/>
              </w:rPr>
              <w:t>of office extending until completion of the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80" w:type="dxa"/>
            <w:vAlign w:val="bottom"/>
          </w:tcPr>
          <w:p>
            <w:pPr>
              <w:ind w:left="500"/>
              <w:spacing w:after="0"/>
              <w:rPr>
                <w:sz w:val="20"/>
                <w:szCs w:val="20"/>
                <w:color w:val="auto"/>
              </w:rPr>
            </w:pPr>
            <w:r>
              <w:rPr>
                <w:rFonts w:ascii="Arial" w:cs="Arial" w:eastAsia="Arial" w:hAnsi="Arial"/>
                <w:sz w:val="18"/>
                <w:szCs w:val="18"/>
                <w:color w:val="auto"/>
              </w:rPr>
              <w:t>Generalversammlung gewählt.</w:t>
            </w:r>
          </w:p>
        </w:tc>
        <w:tc>
          <w:tcPr>
            <w:tcW w:w="1620" w:type="dxa"/>
            <w:vAlign w:val="bottom"/>
          </w:tcPr>
          <w:p>
            <w:pPr>
              <w:spacing w:after="0"/>
              <w:rPr>
                <w:sz w:val="18"/>
                <w:szCs w:val="18"/>
                <w:color w:val="auto"/>
              </w:rPr>
            </w:pPr>
          </w:p>
        </w:tc>
        <w:tc>
          <w:tcPr>
            <w:tcW w:w="3900" w:type="dxa"/>
            <w:vAlign w:val="bottom"/>
          </w:tcPr>
          <w:p>
            <w:pPr>
              <w:ind w:left="500"/>
              <w:spacing w:after="0"/>
              <w:rPr>
                <w:sz w:val="20"/>
                <w:szCs w:val="20"/>
                <w:color w:val="auto"/>
              </w:rPr>
            </w:pPr>
            <w:r>
              <w:rPr>
                <w:rFonts w:ascii="Arial" w:cs="Arial" w:eastAsia="Arial" w:hAnsi="Arial"/>
                <w:sz w:val="18"/>
                <w:szCs w:val="18"/>
                <w:color w:val="auto"/>
              </w:rPr>
              <w:t>next ordinary general meeting of</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00" w:type="dxa"/>
            <w:vAlign w:val="bottom"/>
          </w:tcPr>
          <w:p>
            <w:pPr>
              <w:ind w:left="500"/>
              <w:spacing w:after="0"/>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bl>
    <w:p>
      <w:pPr>
        <w:sectPr>
          <w:pgSz w:w="11900" w:h="16838" w:orient="portrait"/>
          <w:cols w:equalWidth="0" w:num="1">
            <w:col w:w="10440"/>
          </w:cols>
          <w:pgMar w:left="240" w:top="144" w:right="1219" w:bottom="1440" w:gutter="0" w:footer="0" w:header="0"/>
          <w:type w:val="continuous"/>
        </w:sectPr>
      </w:pPr>
    </w:p>
    <w:bookmarkStart w:id="318" w:name="page319"/>
    <w:bookmarkEnd w:id="318"/>
    <w:p>
      <w:pPr>
        <w:ind w:left="5560"/>
        <w:spacing w:after="0"/>
        <w:rPr>
          <w:sz w:val="20"/>
          <w:szCs w:val="20"/>
          <w:color w:val="auto"/>
        </w:rPr>
      </w:pPr>
      <w:r>
        <w:rPr>
          <w:rFonts w:ascii="Arial" w:cs="Arial" w:eastAsia="Arial" w:hAnsi="Arial"/>
          <w:sz w:val="14"/>
          <w:szCs w:val="14"/>
          <w:color w:val="auto"/>
        </w:rPr>
        <w:t>- 21 -</w:t>
      </w:r>
    </w:p>
    <w:p>
      <w:pPr>
        <w:sectPr>
          <w:pgSz w:w="11900" w:h="16838" w:orient="portrait"/>
          <w:cols w:equalWidth="0" w:num="1">
            <w:col w:w="10520"/>
          </w:cols>
          <w:pgMar w:left="22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 w:type="dxa"/>
            <w:vAlign w:val="bottom"/>
          </w:tcPr>
          <w:p>
            <w:pPr>
              <w:spacing w:after="0"/>
              <w:rPr>
                <w:sz w:val="20"/>
                <w:szCs w:val="20"/>
                <w:color w:val="auto"/>
              </w:rPr>
            </w:pPr>
          </w:p>
        </w:tc>
        <w:tc>
          <w:tcPr>
            <w:tcW w:w="4200" w:type="dxa"/>
            <w:vAlign w:val="bottom"/>
          </w:tcPr>
          <w:p>
            <w:pPr>
              <w:ind w:left="600"/>
              <w:spacing w:after="0"/>
              <w:rPr>
                <w:sz w:val="20"/>
                <w:szCs w:val="20"/>
                <w:color w:val="auto"/>
              </w:rPr>
            </w:pPr>
            <w:r>
              <w:rPr>
                <w:rFonts w:ascii="Arial" w:cs="Arial" w:eastAsia="Arial" w:hAnsi="Arial"/>
                <w:sz w:val="18"/>
                <w:szCs w:val="18"/>
                <w:b w:val="1"/>
                <w:bCs w:val="1"/>
                <w:color w:val="auto"/>
              </w:rPr>
              <w:t>Artikel 25</w:t>
            </w:r>
          </w:p>
        </w:tc>
      </w:tr>
      <w:tr>
        <w:trPr>
          <w:trHeight w:val="221"/>
        </w:trPr>
        <w:tc>
          <w:tcPr>
            <w:tcW w:w="980" w:type="dxa"/>
            <w:vAlign w:val="bottom"/>
          </w:tcPr>
          <w:p>
            <w:pPr>
              <w:spacing w:after="0"/>
              <w:rPr>
                <w:sz w:val="20"/>
                <w:szCs w:val="20"/>
                <w:color w:val="auto"/>
              </w:rPr>
            </w:pPr>
            <w:r>
              <w:rPr>
                <w:rFonts w:ascii="Arial" w:cs="Arial" w:eastAsia="Arial" w:hAnsi="Arial"/>
                <w:sz w:val="14"/>
                <w:szCs w:val="14"/>
                <w:color w:val="auto"/>
              </w:rPr>
              <w:t>ungs-,</w:t>
            </w:r>
          </w:p>
        </w:tc>
        <w:tc>
          <w:tcPr>
            <w:tcW w:w="4200" w:type="dxa"/>
            <w:vAlign w:val="bottom"/>
          </w:tcPr>
          <w:p>
            <w:pPr>
              <w:ind w:left="600"/>
              <w:spacing w:after="0"/>
              <w:rPr>
                <w:sz w:val="20"/>
                <w:szCs w:val="20"/>
                <w:color w:val="auto"/>
              </w:rPr>
            </w:pPr>
            <w:r>
              <w:rPr>
                <w:rFonts w:ascii="Arial" w:cs="Arial" w:eastAsia="Arial" w:hAnsi="Arial"/>
                <w:sz w:val="18"/>
                <w:szCs w:val="18"/>
                <w:color w:val="auto"/>
                <w:w w:val="99"/>
              </w:rPr>
              <w:t>Die Revisionsstelle nimmt ihre Prüfungs- und</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Arial" w:cs="Arial" w:eastAsia="Arial" w:hAnsi="Arial"/>
                <w:sz w:val="14"/>
                <w:szCs w:val="14"/>
                <w:color w:val="auto"/>
              </w:rPr>
              <w:t>Berichterstattungspflicht</w:t>
            </w:r>
          </w:p>
        </w:tc>
        <w:tc>
          <w:tcPr>
            <w:tcW w:w="3360" w:type="dxa"/>
            <w:vAlign w:val="bottom"/>
            <w:vMerge w:val="restart"/>
          </w:tcPr>
          <w:p>
            <w:pPr>
              <w:ind w:left="160"/>
              <w:spacing w:after="0"/>
              <w:rPr>
                <w:sz w:val="20"/>
                <w:szCs w:val="20"/>
                <w:color w:val="auto"/>
              </w:rPr>
            </w:pPr>
            <w:r>
              <w:rPr>
                <w:rFonts w:ascii="Arial" w:cs="Arial" w:eastAsia="Arial" w:hAnsi="Arial"/>
                <w:sz w:val="18"/>
                <w:szCs w:val="18"/>
                <w:color w:val="auto"/>
              </w:rPr>
              <w:t>Berichterstattungspflichten in</w:t>
            </w:r>
          </w:p>
        </w:tc>
        <w:tc>
          <w:tcPr>
            <w:tcW w:w="0" w:type="dxa"/>
            <w:vAlign w:val="bottom"/>
          </w:tcPr>
          <w:p>
            <w:pPr>
              <w:spacing w:after="0"/>
              <w:rPr>
                <w:sz w:val="1"/>
                <w:szCs w:val="1"/>
                <w:color w:val="auto"/>
              </w:rPr>
            </w:pPr>
          </w:p>
        </w:tc>
      </w:tr>
      <w:tr>
        <w:trPr>
          <w:trHeight w:val="92"/>
        </w:trPr>
        <w:tc>
          <w:tcPr>
            <w:tcW w:w="170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w w:val="99"/>
              </w:rPr>
              <w:t>Übereinstimmung mit dem Gesetz wahr.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Article 25</w:t>
      </w:r>
    </w:p>
    <w:p>
      <w:pPr>
        <w:spacing w:after="0" w:line="210" w:lineRule="auto"/>
        <w:rPr>
          <w:sz w:val="20"/>
          <w:szCs w:val="20"/>
          <w:color w:val="auto"/>
        </w:rPr>
      </w:pPr>
      <w:r>
        <w:rPr>
          <w:rFonts w:ascii="Arial" w:cs="Arial" w:eastAsia="Arial" w:hAnsi="Arial"/>
          <w:sz w:val="25"/>
          <w:szCs w:val="25"/>
          <w:color w:val="auto"/>
          <w:vertAlign w:val="superscript"/>
        </w:rPr>
        <w:t>Duty of Auditing and</w:t>
      </w:r>
      <w:r>
        <w:rPr>
          <w:rFonts w:ascii="Arial" w:cs="Arial" w:eastAsia="Arial" w:hAnsi="Arial"/>
          <w:sz w:val="16"/>
          <w:szCs w:val="16"/>
          <w:color w:val="auto"/>
        </w:rPr>
        <w:t>The auditors shall perform their duties to audit</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960" w:type="dxa"/>
            <w:vAlign w:val="bottom"/>
          </w:tcPr>
          <w:p>
            <w:pPr>
              <w:spacing w:after="0"/>
              <w:rPr>
                <w:sz w:val="20"/>
                <w:szCs w:val="20"/>
                <w:color w:val="auto"/>
              </w:rPr>
            </w:pPr>
            <w:r>
              <w:rPr>
                <w:rFonts w:ascii="Arial" w:cs="Arial" w:eastAsia="Arial" w:hAnsi="Arial"/>
                <w:sz w:val="14"/>
                <w:szCs w:val="14"/>
                <w:color w:val="auto"/>
              </w:rPr>
              <w:t>Reporting</w:t>
            </w:r>
          </w:p>
        </w:tc>
        <w:tc>
          <w:tcPr>
            <w:tcW w:w="3340" w:type="dxa"/>
            <w:vAlign w:val="bottom"/>
            <w:vMerge w:val="restart"/>
          </w:tcPr>
          <w:p>
            <w:pPr>
              <w:ind w:left="320"/>
              <w:spacing w:after="0"/>
              <w:rPr>
                <w:sz w:val="20"/>
                <w:szCs w:val="20"/>
                <w:color w:val="auto"/>
              </w:rPr>
            </w:pPr>
            <w:r>
              <w:rPr>
                <w:rFonts w:ascii="Arial" w:cs="Arial" w:eastAsia="Arial" w:hAnsi="Arial"/>
                <w:sz w:val="18"/>
                <w:szCs w:val="18"/>
                <w:color w:val="auto"/>
                <w:w w:val="98"/>
              </w:rPr>
              <w:t>and report in accordance with the law.</w:t>
            </w:r>
          </w:p>
        </w:tc>
        <w:tc>
          <w:tcPr>
            <w:tcW w:w="0" w:type="dxa"/>
            <w:vAlign w:val="bottom"/>
          </w:tcPr>
          <w:p>
            <w:pPr>
              <w:spacing w:after="0"/>
              <w:rPr>
                <w:sz w:val="1"/>
                <w:szCs w:val="1"/>
                <w:color w:val="auto"/>
              </w:rPr>
            </w:pPr>
          </w:p>
        </w:tc>
      </w:tr>
      <w:tr>
        <w:trPr>
          <w:trHeight w:val="93"/>
        </w:trPr>
        <w:tc>
          <w:tcPr>
            <w:tcW w:w="96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415" w:lineRule="exact"/>
        <w:rPr>
          <w:sz w:val="20"/>
          <w:szCs w:val="20"/>
          <w:color w:val="auto"/>
        </w:rPr>
      </w:pPr>
    </w:p>
    <w:p>
      <w:pPr>
        <w:sectPr>
          <w:pgSz w:w="11900" w:h="16838" w:orient="portrait"/>
          <w:cols w:equalWidth="0" w:num="2">
            <w:col w:w="5180" w:space="160"/>
            <w:col w:w="5180"/>
          </w:cols>
          <w:pgMar w:left="220" w:top="144" w:right="1159" w:bottom="1440" w:gutter="0" w:footer="0" w:header="0"/>
          <w:type w:val="continuous"/>
        </w:sectPr>
      </w:pPr>
    </w:p>
    <w:p>
      <w:pPr>
        <w:spacing w:after="0" w:line="399" w:lineRule="exact"/>
        <w:rPr>
          <w:sz w:val="20"/>
          <w:szCs w:val="20"/>
          <w:color w:val="auto"/>
        </w:rPr>
      </w:pPr>
    </w:p>
    <w:p>
      <w:pPr>
        <w:ind w:left="120" w:hanging="125"/>
        <w:spacing w:after="0" w:line="258" w:lineRule="auto"/>
        <w:rPr>
          <w:sz w:val="20"/>
          <w:szCs w:val="20"/>
          <w:color w:val="auto"/>
        </w:rPr>
      </w:pPr>
      <w:r>
        <w:rPr>
          <w:rFonts w:ascii="Arial" w:cs="Arial" w:eastAsia="Arial" w:hAnsi="Arial"/>
          <w:sz w:val="14"/>
          <w:szCs w:val="14"/>
          <w:color w:val="auto"/>
        </w:rPr>
        <w:t>ondere Abklärungen, Zwischenrevisionen</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Artikel 26</w:t>
      </w:r>
    </w:p>
    <w:p>
      <w:pPr>
        <w:spacing w:after="0" w:line="85" w:lineRule="exact"/>
        <w:rPr>
          <w:sz w:val="20"/>
          <w:szCs w:val="20"/>
          <w:color w:val="auto"/>
        </w:rPr>
      </w:pPr>
    </w:p>
    <w:p>
      <w:pPr>
        <w:ind w:left="400" w:hanging="404"/>
        <w:spacing w:after="0" w:line="253" w:lineRule="auto"/>
        <w:rPr>
          <w:sz w:val="20"/>
          <w:szCs w:val="20"/>
          <w:color w:val="auto"/>
        </w:rPr>
      </w:pPr>
      <w:r>
        <w:rPr>
          <w:rFonts w:ascii="Arial" w:cs="Arial" w:eastAsia="Arial" w:hAnsi="Arial"/>
          <w:sz w:val="18"/>
          <w:szCs w:val="18"/>
          <w:color w:val="auto"/>
        </w:rPr>
        <w:t>Der Verwaltungsrat kann die Revisionsstelle jederzeit beauftragen, besondere Abklärungen, insbesondere Zwischenrevisionen, durchzuführen und darüber Bericht zu erstatten.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182245</wp:posOffset>
            </wp:positionV>
            <wp:extent cx="23228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12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b w:val="1"/>
                <w:bCs w:val="1"/>
                <w:color w:val="auto"/>
              </w:rPr>
              <w:t>Article 26</w:t>
            </w:r>
          </w:p>
        </w:tc>
      </w:tr>
      <w:tr>
        <w:trPr>
          <w:trHeight w:val="221"/>
        </w:trPr>
        <w:tc>
          <w:tcPr>
            <w:tcW w:w="1120" w:type="dxa"/>
            <w:vAlign w:val="bottom"/>
          </w:tcPr>
          <w:p>
            <w:pPr>
              <w:spacing w:after="0"/>
              <w:rPr>
                <w:sz w:val="20"/>
                <w:szCs w:val="20"/>
                <w:color w:val="auto"/>
              </w:rPr>
            </w:pPr>
            <w:r>
              <w:rPr>
                <w:rFonts w:ascii="Arial" w:cs="Arial" w:eastAsia="Arial" w:hAnsi="Arial"/>
                <w:sz w:val="14"/>
                <w:szCs w:val="14"/>
                <w:color w:val="auto"/>
              </w:rPr>
              <w:t>Special Audits,</w:t>
            </w:r>
          </w:p>
        </w:tc>
        <w:tc>
          <w:tcPr>
            <w:tcW w:w="3880" w:type="dxa"/>
            <w:vAlign w:val="bottom"/>
          </w:tcPr>
          <w:p>
            <w:pPr>
              <w:ind w:left="140"/>
              <w:spacing w:after="0"/>
              <w:rPr>
                <w:sz w:val="20"/>
                <w:szCs w:val="20"/>
                <w:color w:val="auto"/>
              </w:rPr>
            </w:pPr>
            <w:r>
              <w:rPr>
                <w:rFonts w:ascii="Arial" w:cs="Arial" w:eastAsia="Arial" w:hAnsi="Arial"/>
                <w:sz w:val="18"/>
                <w:szCs w:val="18"/>
                <w:color w:val="auto"/>
                <w:w w:val="99"/>
              </w:rPr>
              <w:t>The board of directors may at any time request</w:t>
            </w:r>
          </w:p>
        </w:tc>
      </w:tr>
    </w:tbl>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1080" w:type="dxa"/>
            <w:vAlign w:val="bottom"/>
          </w:tcPr>
          <w:p>
            <w:pPr>
              <w:spacing w:after="0"/>
              <w:rPr>
                <w:sz w:val="20"/>
                <w:szCs w:val="20"/>
                <w:color w:val="auto"/>
              </w:rPr>
            </w:pPr>
            <w:r>
              <w:rPr>
                <w:rFonts w:ascii="Arial" w:cs="Arial" w:eastAsia="Arial" w:hAnsi="Arial"/>
                <w:sz w:val="14"/>
                <w:szCs w:val="14"/>
                <w:color w:val="auto"/>
              </w:rPr>
              <w:t>Interim Audits</w:t>
            </w:r>
          </w:p>
        </w:tc>
        <w:tc>
          <w:tcPr>
            <w:tcW w:w="3360" w:type="dxa"/>
            <w:vAlign w:val="bottom"/>
            <w:vMerge w:val="restart"/>
          </w:tcPr>
          <w:p>
            <w:pPr>
              <w:ind w:left="200"/>
              <w:spacing w:after="0"/>
              <w:rPr>
                <w:sz w:val="20"/>
                <w:szCs w:val="20"/>
                <w:color w:val="auto"/>
              </w:rPr>
            </w:pPr>
            <w:r>
              <w:rPr>
                <w:rFonts w:ascii="Arial" w:cs="Arial" w:eastAsia="Arial" w:hAnsi="Arial"/>
                <w:sz w:val="18"/>
                <w:szCs w:val="18"/>
                <w:color w:val="auto"/>
              </w:rPr>
              <w:t>the auditors to conduct special audits,</w:t>
            </w:r>
          </w:p>
        </w:tc>
        <w:tc>
          <w:tcPr>
            <w:tcW w:w="0" w:type="dxa"/>
            <w:vAlign w:val="bottom"/>
          </w:tcPr>
          <w:p>
            <w:pPr>
              <w:spacing w:after="0"/>
              <w:rPr>
                <w:sz w:val="1"/>
                <w:szCs w:val="1"/>
                <w:color w:val="auto"/>
              </w:rPr>
            </w:pPr>
          </w:p>
        </w:tc>
      </w:tr>
      <w:tr>
        <w:trPr>
          <w:trHeight w:val="92"/>
        </w:trPr>
        <w:tc>
          <w:tcPr>
            <w:tcW w:w="108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w w:val="99"/>
              </w:rPr>
              <w:t>including interim audits, and to submit a</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respective report.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325755</wp:posOffset>
            </wp:positionV>
            <wp:extent cx="22459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26" w:lineRule="exact"/>
        <w:rPr>
          <w:sz w:val="20"/>
          <w:szCs w:val="20"/>
          <w:color w:val="auto"/>
        </w:rPr>
      </w:pPr>
    </w:p>
    <w:p>
      <w:pPr>
        <w:sectPr>
          <w:pgSz w:w="11900" w:h="16838" w:orient="portrait"/>
          <w:cols w:equalWidth="0" w:num="3">
            <w:col w:w="1380" w:space="200"/>
            <w:col w:w="3580" w:space="180"/>
            <w:col w:w="5180"/>
          </w:cols>
          <w:pgMar w:left="220" w:top="144" w:right="1159" w:bottom="1440" w:gutter="0" w:footer="0" w:header="0"/>
          <w:type w:val="continuous"/>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80" w:type="dxa"/>
            <w:vAlign w:val="bottom"/>
          </w:tcPr>
          <w:p>
            <w:pPr>
              <w:spacing w:after="0"/>
              <w:rPr>
                <w:sz w:val="19"/>
                <w:szCs w:val="19"/>
                <w:color w:val="auto"/>
              </w:rPr>
            </w:pPr>
          </w:p>
        </w:tc>
        <w:tc>
          <w:tcPr>
            <w:tcW w:w="4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Abschnitt 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Section 4:</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i w:val="1"/>
                <w:iCs w:val="1"/>
                <w:color w:val="auto"/>
              </w:rPr>
              <w:t>Vergütung der Mitglieder des</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Compensation of the Board of Directors</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i w:val="1"/>
                <w:iCs w:val="1"/>
                <w:color w:val="auto"/>
              </w:rPr>
              <w:t>Verwaltungsrates und der Geschäftsleitung</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and the Executive Management</w:t>
            </w: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93"/>
        </w:trPr>
        <w:tc>
          <w:tcPr>
            <w:tcW w:w="1480" w:type="dxa"/>
            <w:vAlign w:val="bottom"/>
          </w:tcPr>
          <w:p>
            <w:pPr>
              <w:spacing w:after="0"/>
              <w:rPr>
                <w:sz w:val="24"/>
                <w:szCs w:val="24"/>
                <w:color w:val="auto"/>
              </w:rPr>
            </w:pPr>
          </w:p>
        </w:tc>
        <w:tc>
          <w:tcPr>
            <w:tcW w:w="4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Artikel 27</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2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Article 27</w:t>
            </w:r>
          </w:p>
        </w:tc>
        <w:tc>
          <w:tcPr>
            <w:tcW w:w="0" w:type="dxa"/>
            <w:vAlign w:val="bottom"/>
          </w:tcPr>
          <w:p>
            <w:pPr>
              <w:spacing w:after="0"/>
              <w:rPr>
                <w:sz w:val="1"/>
                <w:szCs w:val="1"/>
                <w:color w:val="auto"/>
              </w:rPr>
            </w:pPr>
          </w:p>
        </w:tc>
      </w:tr>
      <w:tr>
        <w:trPr>
          <w:trHeight w:val="59"/>
        </w:trPr>
        <w:tc>
          <w:tcPr>
            <w:tcW w:w="1480" w:type="dxa"/>
            <w:vAlign w:val="bottom"/>
            <w:vMerge w:val="restart"/>
          </w:tcPr>
          <w:p>
            <w:pPr>
              <w:spacing w:after="0"/>
              <w:rPr>
                <w:sz w:val="20"/>
                <w:szCs w:val="20"/>
                <w:color w:val="auto"/>
              </w:rPr>
            </w:pPr>
            <w:r>
              <w:rPr>
                <w:rFonts w:ascii="Arial" w:cs="Arial" w:eastAsia="Arial" w:hAnsi="Arial"/>
                <w:sz w:val="14"/>
                <w:szCs w:val="14"/>
                <w:color w:val="auto"/>
                <w:w w:val="88"/>
              </w:rPr>
              <w:t>ndsätze der Vergütungen1</w:t>
            </w:r>
          </w:p>
        </w:tc>
        <w:tc>
          <w:tcPr>
            <w:tcW w:w="4140" w:type="dxa"/>
            <w:vAlign w:val="bottom"/>
            <w:gridSpan w:val="2"/>
          </w:tcPr>
          <w:p>
            <w:pPr>
              <w:ind w:left="100"/>
              <w:spacing w:after="0" w:line="59" w:lineRule="exact"/>
              <w:rPr>
                <w:sz w:val="20"/>
                <w:szCs w:val="20"/>
                <w:color w:val="auto"/>
              </w:rPr>
            </w:pPr>
            <w:r>
              <w:rPr>
                <w:rFonts w:ascii="Arial" w:cs="Arial" w:eastAsia="Arial" w:hAnsi="Arial"/>
                <w:sz w:val="6"/>
                <w:szCs w:val="6"/>
                <w:color w:val="auto"/>
              </w:rPr>
              <w:t>Die Vergütung der Mitglieder des Verwaltungsrats</w:t>
            </w:r>
          </w:p>
        </w:tc>
        <w:tc>
          <w:tcPr>
            <w:tcW w:w="460" w:type="dxa"/>
            <w:vAlign w:val="bottom"/>
          </w:tcPr>
          <w:p>
            <w:pPr>
              <w:spacing w:after="0"/>
              <w:rPr>
                <w:sz w:val="5"/>
                <w:szCs w:val="5"/>
                <w:color w:val="auto"/>
              </w:rPr>
            </w:pPr>
          </w:p>
        </w:tc>
        <w:tc>
          <w:tcPr>
            <w:tcW w:w="42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4020" w:type="dxa"/>
            <w:vAlign w:val="bottom"/>
            <w:gridSpan w:val="2"/>
          </w:tcPr>
          <w:p>
            <w:pPr>
              <w:ind w:left="100"/>
              <w:spacing w:after="0" w:line="59" w:lineRule="exact"/>
              <w:rPr>
                <w:sz w:val="20"/>
                <w:szCs w:val="20"/>
                <w:color w:val="auto"/>
              </w:rPr>
            </w:pPr>
            <w:r>
              <w:rPr>
                <w:rFonts w:ascii="Arial" w:cs="Arial" w:eastAsia="Arial" w:hAnsi="Arial"/>
                <w:sz w:val="6"/>
                <w:szCs w:val="6"/>
                <w:color w:val="auto"/>
              </w:rPr>
              <w:t>Compensation of the members of the board of</w:t>
            </w:r>
          </w:p>
        </w:tc>
        <w:tc>
          <w:tcPr>
            <w:tcW w:w="0" w:type="dxa"/>
            <w:vAlign w:val="bottom"/>
          </w:tcPr>
          <w:p>
            <w:pPr>
              <w:spacing w:after="0"/>
              <w:rPr>
                <w:sz w:val="1"/>
                <w:szCs w:val="1"/>
                <w:color w:val="auto"/>
              </w:rPr>
            </w:pPr>
          </w:p>
        </w:tc>
      </w:tr>
      <w:tr>
        <w:trPr>
          <w:trHeight w:val="162"/>
        </w:trPr>
        <w:tc>
          <w:tcPr>
            <w:tcW w:w="14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4100" w:type="dxa"/>
            <w:vAlign w:val="bottom"/>
            <w:gridSpan w:val="2"/>
          </w:tcPr>
          <w:p>
            <w:pPr>
              <w:ind w:left="3360"/>
              <w:spacing w:after="0"/>
              <w:rPr>
                <w:sz w:val="20"/>
                <w:szCs w:val="20"/>
                <w:color w:val="auto"/>
              </w:rPr>
            </w:pPr>
            <w:r>
              <w:rPr>
                <w:rFonts w:ascii="Arial" w:cs="Arial" w:eastAsia="Arial" w:hAnsi="Arial"/>
                <w:sz w:val="14"/>
                <w:szCs w:val="14"/>
                <w:color w:val="auto"/>
              </w:rPr>
              <w:t>General</w:t>
            </w:r>
          </w:p>
        </w:tc>
        <w:tc>
          <w:tcPr>
            <w:tcW w:w="4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40" w:type="dxa"/>
            <w:vAlign w:val="bottom"/>
            <w:vMerge w:val="restart"/>
          </w:tcPr>
          <w:p>
            <w:pPr>
              <w:spacing w:after="0"/>
              <w:rPr>
                <w:sz w:val="20"/>
                <w:szCs w:val="20"/>
                <w:color w:val="auto"/>
              </w:rPr>
            </w:pPr>
            <w:r>
              <w:rPr>
                <w:rFonts w:ascii="Arial" w:cs="Arial" w:eastAsia="Arial" w:hAnsi="Arial"/>
                <w:sz w:val="18"/>
                <w:szCs w:val="18"/>
                <w:color w:val="auto"/>
              </w:rPr>
              <w:t>kann fixe und variable Vergütungselemente</w:t>
            </w:r>
          </w:p>
        </w:tc>
        <w:tc>
          <w:tcPr>
            <w:tcW w:w="1380" w:type="dxa"/>
            <w:vAlign w:val="bottom"/>
            <w:gridSpan w:val="3"/>
          </w:tcPr>
          <w:p>
            <w:pPr>
              <w:ind w:left="120"/>
              <w:spacing w:after="0"/>
              <w:rPr>
                <w:sz w:val="20"/>
                <w:szCs w:val="20"/>
                <w:color w:val="auto"/>
              </w:rPr>
            </w:pPr>
            <w:r>
              <w:rPr>
                <w:rFonts w:ascii="Arial" w:cs="Arial" w:eastAsia="Arial" w:hAnsi="Arial"/>
                <w:sz w:val="14"/>
                <w:szCs w:val="14"/>
                <w:color w:val="auto"/>
              </w:rPr>
              <w:t>Compensation</w:t>
            </w:r>
          </w:p>
        </w:tc>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directors may consist of fixed and variable</w:t>
            </w:r>
          </w:p>
        </w:tc>
        <w:tc>
          <w:tcPr>
            <w:tcW w:w="0" w:type="dxa"/>
            <w:vAlign w:val="bottom"/>
          </w:tcPr>
          <w:p>
            <w:pPr>
              <w:spacing w:after="0"/>
              <w:rPr>
                <w:sz w:val="1"/>
                <w:szCs w:val="1"/>
                <w:color w:val="auto"/>
              </w:rPr>
            </w:pPr>
          </w:p>
        </w:tc>
      </w:tr>
      <w:tr>
        <w:trPr>
          <w:trHeight w:val="130"/>
        </w:trPr>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40" w:type="dxa"/>
            <w:vAlign w:val="bottom"/>
            <w:vMerge w:val="continue"/>
          </w:tcPr>
          <w:p>
            <w:pPr>
              <w:spacing w:after="0"/>
              <w:rPr>
                <w:sz w:val="11"/>
                <w:szCs w:val="11"/>
                <w:color w:val="auto"/>
              </w:rPr>
            </w:pPr>
          </w:p>
        </w:tc>
        <w:tc>
          <w:tcPr>
            <w:tcW w:w="880" w:type="dxa"/>
            <w:vAlign w:val="bottom"/>
            <w:gridSpan w:val="2"/>
          </w:tcPr>
          <w:p>
            <w:pPr>
              <w:ind w:left="120"/>
              <w:spacing w:after="0" w:line="131" w:lineRule="exact"/>
              <w:rPr>
                <w:sz w:val="20"/>
                <w:szCs w:val="20"/>
                <w:color w:val="auto"/>
              </w:rPr>
            </w:pPr>
            <w:r>
              <w:rPr>
                <w:rFonts w:ascii="Arial" w:cs="Arial" w:eastAsia="Arial" w:hAnsi="Arial"/>
                <w:sz w:val="14"/>
                <w:szCs w:val="14"/>
                <w:color w:val="auto"/>
              </w:rPr>
              <w:t>Principles</w:t>
            </w:r>
          </w:p>
        </w:tc>
        <w:tc>
          <w:tcPr>
            <w:tcW w:w="500" w:type="dxa"/>
            <w:vAlign w:val="bottom"/>
          </w:tcPr>
          <w:p>
            <w:pPr>
              <w:spacing w:after="0"/>
              <w:rPr>
                <w:sz w:val="11"/>
                <w:szCs w:val="11"/>
                <w:color w:val="auto"/>
              </w:rPr>
            </w:pPr>
          </w:p>
        </w:tc>
        <w:tc>
          <w:tcPr>
            <w:tcW w:w="3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40" w:type="dxa"/>
            <w:vAlign w:val="bottom"/>
          </w:tcPr>
          <w:p>
            <w:pPr>
              <w:spacing w:after="0" w:line="189" w:lineRule="exact"/>
              <w:rPr>
                <w:sz w:val="20"/>
                <w:szCs w:val="20"/>
                <w:color w:val="auto"/>
              </w:rPr>
            </w:pPr>
            <w:r>
              <w:rPr>
                <w:rFonts w:ascii="Arial" w:cs="Arial" w:eastAsia="Arial" w:hAnsi="Arial"/>
                <w:sz w:val="18"/>
                <w:szCs w:val="18"/>
                <w:color w:val="auto"/>
              </w:rPr>
              <w:t>umfassen. Die Gesamtvergütung</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20" w:type="dxa"/>
            <w:vAlign w:val="bottom"/>
          </w:tcPr>
          <w:p>
            <w:pPr>
              <w:ind w:left="20"/>
              <w:spacing w:after="0" w:line="189" w:lineRule="exact"/>
              <w:rPr>
                <w:sz w:val="20"/>
                <w:szCs w:val="20"/>
                <w:color w:val="auto"/>
              </w:rPr>
            </w:pPr>
            <w:r>
              <w:rPr>
                <w:rFonts w:ascii="Arial" w:cs="Arial" w:eastAsia="Arial" w:hAnsi="Arial"/>
                <w:sz w:val="18"/>
                <w:szCs w:val="18"/>
                <w:color w:val="auto"/>
              </w:rPr>
              <w:t>compensation.  Total  compensation  shall</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berücksichtigt Funktion und</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take into account the position and level of</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Verantwortungsstufe des Empfängers.</w:t>
            </w: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responsibility of the recipient.</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0520"/>
          </w:cols>
          <w:pgMar w:left="220" w:top="144" w:right="1159" w:bottom="1440" w:gutter="0" w:footer="0" w:header="0"/>
          <w:type w:val="continuous"/>
        </w:sectPr>
      </w:pPr>
    </w:p>
    <w:p>
      <w:pPr>
        <w:ind w:left="1980" w:right="29" w:hanging="680"/>
        <w:spacing w:after="0" w:line="243" w:lineRule="auto"/>
        <w:tabs>
          <w:tab w:leader="none" w:pos="1575" w:val="left"/>
        </w:tabs>
        <w:numPr>
          <w:ilvl w:val="0"/>
          <w:numId w:val="222"/>
        </w:numPr>
        <w:rPr>
          <w:rFonts w:ascii="Arial" w:cs="Arial" w:eastAsia="Arial" w:hAnsi="Arial"/>
          <w:sz w:val="28"/>
          <w:szCs w:val="28"/>
          <w:color w:val="auto"/>
          <w:vertAlign w:val="superscript"/>
        </w:rPr>
      </w:pPr>
      <w:r>
        <w:rPr>
          <w:rFonts w:ascii="Arial" w:cs="Arial" w:eastAsia="Arial" w:hAnsi="Arial"/>
          <w:sz w:val="17"/>
          <w:szCs w:val="17"/>
          <w:color w:val="auto"/>
        </w:rPr>
        <w:t>Die Vergütung der Mitglieder der Geschäftsleitung besteht aus fixen und variablen Vergütungselementen. Die fixe Vergütung umfasst das Basissalär und weitere nicht-variable Vergütungselemente. Die variable Vergütung kann kurzfristige und langfristige variable Vergütungselemente umfassen.</w:t>
      </w:r>
    </w:p>
    <w:p>
      <w:pPr>
        <w:spacing w:after="0" w:line="268" w:lineRule="exact"/>
        <w:rPr>
          <w:sz w:val="20"/>
          <w:szCs w:val="20"/>
          <w:color w:val="auto"/>
        </w:rPr>
      </w:pPr>
    </w:p>
    <w:p>
      <w:pPr>
        <w:ind w:left="1980" w:right="29" w:hanging="680"/>
        <w:spacing w:after="0" w:line="238" w:lineRule="auto"/>
        <w:tabs>
          <w:tab w:leader="none" w:pos="1575" w:val="left"/>
        </w:tabs>
        <w:numPr>
          <w:ilvl w:val="0"/>
          <w:numId w:val="223"/>
        </w:numPr>
        <w:rPr>
          <w:rFonts w:ascii="Arial" w:cs="Arial" w:eastAsia="Arial" w:hAnsi="Arial"/>
          <w:sz w:val="29"/>
          <w:szCs w:val="29"/>
          <w:color w:val="auto"/>
          <w:vertAlign w:val="superscript"/>
        </w:rPr>
      </w:pPr>
      <w:r>
        <w:rPr>
          <w:rFonts w:ascii="Arial" w:cs="Arial" w:eastAsia="Arial" w:hAnsi="Arial"/>
          <w:sz w:val="18"/>
          <w:szCs w:val="18"/>
          <w:color w:val="auto"/>
        </w:rPr>
        <w:t>Die kurzfristigen variablen Vergütungselemente orientieren sich an Leistungswerten, die das Erreichen von operativen, strategischen, finanziellen oder anderen Zielen, das Ergebnis der Gesellschaft, des Konzerns oder Teilen davon und/oder individuelle Ziele berücksichtigen, und deren Erreichung sich in der Regel während eines einjährigen Zeitraums bemisst. Je nach erreichter Leistung kann sich die Vergütung auf einen vordefinierten Multiplikator des Zielwerts belaufen.</w:t>
      </w:r>
    </w:p>
    <w:p>
      <w:pPr>
        <w:spacing w:after="0" w:line="20" w:lineRule="exact"/>
        <w:rPr>
          <w:sz w:val="20"/>
          <w:szCs w:val="20"/>
          <w:color w:val="auto"/>
        </w:rPr>
      </w:pPr>
      <w:r>
        <w:rPr>
          <w:sz w:val="20"/>
          <w:szCs w:val="20"/>
          <w:color w:val="auto"/>
        </w:rPr>
        <w:br w:type="column"/>
      </w:r>
    </w:p>
    <w:p>
      <w:pPr>
        <w:ind w:left="711" w:right="60" w:hanging="711"/>
        <w:spacing w:after="0" w:line="232" w:lineRule="auto"/>
        <w:tabs>
          <w:tab w:leader="none" w:pos="306" w:val="left"/>
        </w:tabs>
        <w:numPr>
          <w:ilvl w:val="0"/>
          <w:numId w:val="224"/>
        </w:numPr>
        <w:rPr>
          <w:rFonts w:ascii="Arial" w:cs="Arial" w:eastAsia="Arial" w:hAnsi="Arial"/>
          <w:sz w:val="29"/>
          <w:szCs w:val="29"/>
          <w:color w:val="auto"/>
          <w:vertAlign w:val="superscript"/>
        </w:rPr>
      </w:pPr>
      <w:r>
        <w:rPr>
          <w:rFonts w:ascii="Arial" w:cs="Arial" w:eastAsia="Arial" w:hAnsi="Arial"/>
          <w:sz w:val="18"/>
          <w:szCs w:val="18"/>
          <w:color w:val="auto"/>
        </w:rPr>
        <w:t>Compensation of the members of the executive management consists of fixed and variable compensation elements. Fixed compensation comprises the base salary and other non-variable compensation elements. Variable compensation may comprise short-term and long-term variable compensation elements.</w:t>
      </w:r>
    </w:p>
    <w:p>
      <w:pPr>
        <w:spacing w:after="0" w:line="59" w:lineRule="exact"/>
        <w:rPr>
          <w:sz w:val="20"/>
          <w:szCs w:val="20"/>
          <w:color w:val="auto"/>
        </w:rPr>
      </w:pPr>
    </w:p>
    <w:p>
      <w:pPr>
        <w:ind w:left="711" w:right="20" w:hanging="711"/>
        <w:spacing w:after="0" w:line="237" w:lineRule="auto"/>
        <w:tabs>
          <w:tab w:leader="none" w:pos="306" w:val="left"/>
        </w:tabs>
        <w:numPr>
          <w:ilvl w:val="0"/>
          <w:numId w:val="225"/>
        </w:numPr>
        <w:rPr>
          <w:rFonts w:ascii="Arial" w:cs="Arial" w:eastAsia="Arial" w:hAnsi="Arial"/>
          <w:sz w:val="29"/>
          <w:szCs w:val="29"/>
          <w:color w:val="auto"/>
          <w:vertAlign w:val="superscript"/>
        </w:rPr>
      </w:pPr>
      <w:r>
        <w:rPr>
          <w:rFonts w:ascii="Arial" w:cs="Arial" w:eastAsia="Arial" w:hAnsi="Arial"/>
          <w:sz w:val="18"/>
          <w:szCs w:val="18"/>
          <w:color w:val="auto"/>
        </w:rPr>
        <w:t>Short-term variable compensation elements shall be governed by performance metrics that take into account the achievement of operational, strategic, financial or other objectives, the results of the Company, the group or parts thereof and/or individual targets, and achievement of which is generally measured during a one-year period. Depending on achieved performance, the compensation may amount to a multiplier of target level.</w:t>
      </w:r>
    </w:p>
    <w:p>
      <w:pPr>
        <w:sectPr>
          <w:pgSz w:w="11900" w:h="16838" w:orient="portrait"/>
          <w:cols w:equalWidth="0" w:num="2">
            <w:col w:w="5589" w:space="720"/>
            <w:col w:w="4211"/>
          </w:cols>
          <w:pgMar w:left="220" w:top="144" w:right="1159" w:bottom="1440" w:gutter="0" w:footer="0" w:header="0"/>
          <w:type w:val="continuous"/>
        </w:sectPr>
      </w:pPr>
    </w:p>
    <w:bookmarkStart w:id="319" w:name="page320"/>
    <w:bookmarkEnd w:id="3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47" w:right="20" w:hanging="747"/>
        <w:spacing w:after="0" w:line="256" w:lineRule="auto"/>
        <w:tabs>
          <w:tab w:leader="none" w:pos="342" w:val="left"/>
        </w:tabs>
        <w:numPr>
          <w:ilvl w:val="0"/>
          <w:numId w:val="226"/>
        </w:numPr>
        <w:rPr>
          <w:rFonts w:ascii="Arial" w:cs="Arial" w:eastAsia="Arial" w:hAnsi="Arial"/>
          <w:sz w:val="28"/>
          <w:szCs w:val="28"/>
          <w:color w:val="auto"/>
          <w:vertAlign w:val="superscript"/>
        </w:rPr>
      </w:pPr>
      <w:r>
        <w:rPr>
          <w:rFonts w:ascii="Arial" w:cs="Arial" w:eastAsia="Arial" w:hAnsi="Arial"/>
          <w:sz w:val="17"/>
          <w:szCs w:val="17"/>
          <w:color w:val="auto"/>
        </w:rPr>
        <w:t>Die langfristigen variablen Vergütungselemente orientieren sich an Leistungswerten, welche die Entwicklung des Aktienkurses oder Aktienergebnisses absolut oder im Verhältnis zu Vergleichsgruppen oder Indices und/oder das Ergebnis der Gesellschaft, des Konzerns oder Teilen davon und/oder das Erreichen von operativen, strategischen, finanziellen oder anderen Zielen absolut oder im Vergleich zum Markt, anderen Unternehmen oder vergleichbaren Richtgrössen und/oder Elemente zwecks Mitarbeiterbindung berücksichtigen. Die Zielerreichung bemisst sich in der Regel während eines mehrjährigen Zeitraums, sowie an Elementen zwecks Mitarbeiterbindung. Je nach erreichter Leistung kann sich die Vergütung auf einen vordefinierten Multiplikator des Zielwerts belaufen.</w:t>
      </w:r>
    </w:p>
    <w:p>
      <w:pPr>
        <w:spacing w:after="0" w:line="54" w:lineRule="exact"/>
        <w:rPr>
          <w:sz w:val="20"/>
          <w:szCs w:val="20"/>
          <w:color w:val="auto"/>
        </w:rPr>
      </w:pPr>
    </w:p>
    <w:p>
      <w:pPr>
        <w:ind w:left="747" w:right="80" w:hanging="747"/>
        <w:spacing w:after="0" w:line="217" w:lineRule="auto"/>
        <w:tabs>
          <w:tab w:leader="none" w:pos="342" w:val="left"/>
        </w:tabs>
        <w:numPr>
          <w:ilvl w:val="0"/>
          <w:numId w:val="227"/>
        </w:numPr>
        <w:rPr>
          <w:rFonts w:ascii="Arial" w:cs="Arial" w:eastAsia="Arial" w:hAnsi="Arial"/>
          <w:sz w:val="29"/>
          <w:szCs w:val="29"/>
          <w:color w:val="auto"/>
          <w:vertAlign w:val="superscript"/>
        </w:rPr>
      </w:pPr>
      <w:r>
        <w:rPr>
          <w:rFonts w:ascii="Arial" w:cs="Arial" w:eastAsia="Arial" w:hAnsi="Arial"/>
          <w:sz w:val="18"/>
          <w:szCs w:val="18"/>
          <w:color w:val="auto"/>
        </w:rPr>
        <w:t>Der Verwaltungsrat oder, soweit an ihn delegiert, der Vergütungsausschuss legen Leistungs- und Zielwerte sowie deren Gewichtung und Erreichung fest.</w:t>
      </w:r>
    </w:p>
    <w:p>
      <w:pPr>
        <w:spacing w:after="0" w:line="271" w:lineRule="exact"/>
        <w:rPr>
          <w:sz w:val="20"/>
          <w:szCs w:val="20"/>
          <w:color w:val="auto"/>
        </w:rPr>
      </w:pPr>
    </w:p>
    <w:p>
      <w:pPr>
        <w:ind w:left="747" w:hanging="747"/>
        <w:spacing w:after="0" w:line="227" w:lineRule="auto"/>
        <w:tabs>
          <w:tab w:leader="none" w:pos="342" w:val="left"/>
        </w:tabs>
        <w:numPr>
          <w:ilvl w:val="0"/>
          <w:numId w:val="228"/>
        </w:numPr>
        <w:rPr>
          <w:rFonts w:ascii="Arial" w:cs="Arial" w:eastAsia="Arial" w:hAnsi="Arial"/>
          <w:sz w:val="29"/>
          <w:szCs w:val="29"/>
          <w:color w:val="auto"/>
          <w:vertAlign w:val="superscript"/>
        </w:rPr>
      </w:pPr>
      <w:r>
        <w:rPr>
          <w:rFonts w:ascii="Arial" w:cs="Arial" w:eastAsia="Arial" w:hAnsi="Arial"/>
          <w:sz w:val="18"/>
          <w:szCs w:val="18"/>
          <w:color w:val="auto"/>
        </w:rPr>
        <w:t>Die Vergütung kann in der Form von Geld, Aktien oder Sach- oder Dienstleistungen ausgerichtet werden werden; Vergütung der Mitglieder der Geschäftsleitung kann zusätzlich in der Form von aktienbasierten Instrumenten oder Einheiten ausgerichtet werden.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80" w:hanging="736"/>
        <w:spacing w:after="0"/>
        <w:tabs>
          <w:tab w:leader="none" w:pos="675" w:val="left"/>
        </w:tabs>
        <w:numPr>
          <w:ilvl w:val="0"/>
          <w:numId w:val="229"/>
        </w:numPr>
        <w:rPr>
          <w:rFonts w:ascii="Arial" w:cs="Arial" w:eastAsia="Arial" w:hAnsi="Arial"/>
          <w:sz w:val="29"/>
          <w:szCs w:val="29"/>
          <w:color w:val="auto"/>
          <w:vertAlign w:val="superscript"/>
        </w:rPr>
      </w:pPr>
      <w:r>
        <w:rPr>
          <w:rFonts w:ascii="Arial" w:cs="Arial" w:eastAsia="Arial" w:hAnsi="Arial"/>
          <w:sz w:val="18"/>
          <w:szCs w:val="18"/>
          <w:color w:val="auto"/>
        </w:rPr>
        <w:t>Long-term variable compensation elements shall be governed by performance metrics that take into account the development of the share price or share performance in absolute terms or in relation to peer groups or indices and/or the results of the Company, the group or parts thereof and/or the achievement of operational, strategic, financial or other objectives in absolute terms or in relation to the market, other companies or comparable benchmarks and/or retention elements. An achievement of the objectives is generally measured over a period of several years. Depending on achieved performance, the compensation may amount to a multiplier of target level.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80" w:right="60" w:hanging="736"/>
        <w:spacing w:after="0" w:line="223" w:lineRule="auto"/>
        <w:tabs>
          <w:tab w:leader="none" w:pos="675" w:val="left"/>
        </w:tabs>
        <w:numPr>
          <w:ilvl w:val="0"/>
          <w:numId w:val="230"/>
        </w:numPr>
        <w:rPr>
          <w:rFonts w:ascii="Arial" w:cs="Arial" w:eastAsia="Arial" w:hAnsi="Arial"/>
          <w:sz w:val="29"/>
          <w:szCs w:val="29"/>
          <w:color w:val="auto"/>
          <w:vertAlign w:val="superscript"/>
        </w:rPr>
      </w:pPr>
      <w:r>
        <w:rPr>
          <w:rFonts w:ascii="Arial" w:cs="Arial" w:eastAsia="Arial" w:hAnsi="Arial"/>
          <w:sz w:val="18"/>
          <w:szCs w:val="18"/>
          <w:color w:val="auto"/>
        </w:rPr>
        <w:t>The board of directors or, to the extent delegated to it, the compensation committee shall determine the performance metrics and target levels of the short- and long-term variable compensation elements, as well as their achievement.</w:t>
      </w:r>
    </w:p>
    <w:p>
      <w:pPr>
        <w:spacing w:after="0" w:line="95" w:lineRule="exact"/>
        <w:rPr>
          <w:sz w:val="20"/>
          <w:szCs w:val="20"/>
          <w:color w:val="auto"/>
        </w:rPr>
      </w:pPr>
    </w:p>
    <w:p>
      <w:pPr>
        <w:ind w:left="1080" w:hanging="736"/>
        <w:spacing w:after="0" w:line="201" w:lineRule="auto"/>
        <w:tabs>
          <w:tab w:leader="none" w:pos="675" w:val="left"/>
        </w:tabs>
        <w:numPr>
          <w:ilvl w:val="0"/>
          <w:numId w:val="231"/>
        </w:numPr>
        <w:rPr>
          <w:rFonts w:ascii="Arial" w:cs="Arial" w:eastAsia="Arial" w:hAnsi="Arial"/>
          <w:sz w:val="29"/>
          <w:szCs w:val="29"/>
          <w:color w:val="auto"/>
          <w:vertAlign w:val="superscript"/>
        </w:rPr>
      </w:pPr>
      <w:r>
        <w:rPr>
          <w:rFonts w:ascii="Arial" w:cs="Arial" w:eastAsia="Arial" w:hAnsi="Arial"/>
          <w:sz w:val="18"/>
          <w:szCs w:val="18"/>
          <w:color w:val="auto"/>
        </w:rPr>
        <w:t>Compensation may be paid in the form of cash, shares, or in the form of other types of benefits benefits; for the executive management, compensation may in addition be paid in the form of share-based instruments or units.</w:t>
      </w:r>
    </w:p>
    <w:p>
      <w:pPr>
        <w:sectPr>
          <w:pgSz w:w="11900" w:h="16838" w:orient="portrait"/>
          <w:cols w:equalWidth="0" w:num="2">
            <w:col w:w="4607" w:space="220"/>
            <w:col w:w="4960"/>
          </w:cols>
          <w:pgMar w:left="953" w:top="144" w:right="1159" w:bottom="1440" w:gutter="0" w:footer="0" w:header="0"/>
        </w:sectPr>
      </w:pPr>
    </w:p>
    <w:bookmarkStart w:id="320" w:name="page321"/>
    <w:bookmarkEnd w:id="320"/>
    <w:p>
      <w:pPr>
        <w:ind w:left="5440"/>
        <w:spacing w:after="0"/>
        <w:rPr>
          <w:sz w:val="20"/>
          <w:szCs w:val="20"/>
          <w:color w:val="auto"/>
        </w:rPr>
      </w:pPr>
      <w:r>
        <w:rPr>
          <w:rFonts w:ascii="Arial" w:cs="Arial" w:eastAsia="Arial" w:hAnsi="Arial"/>
          <w:sz w:val="14"/>
          <w:szCs w:val="14"/>
          <w:color w:val="auto"/>
        </w:rPr>
        <w:t>- 23 -</w:t>
      </w:r>
    </w:p>
    <w:p>
      <w:pPr>
        <w:sectPr>
          <w:pgSz w:w="11900" w:h="16838" w:orient="portrait"/>
          <w:cols w:equalWidth="0" w:num="1">
            <w:col w:w="10400"/>
          </w:cols>
          <w:pgMar w:left="34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360" w:right="720" w:hanging="404"/>
        <w:spacing w:after="0" w:line="251" w:lineRule="auto"/>
        <w:rPr>
          <w:sz w:val="20"/>
          <w:szCs w:val="20"/>
          <w:color w:val="auto"/>
        </w:rPr>
      </w:pPr>
      <w:r>
        <w:rPr>
          <w:rFonts w:ascii="Arial" w:cs="Arial" w:eastAsia="Arial" w:hAnsi="Arial"/>
          <w:sz w:val="18"/>
          <w:szCs w:val="18"/>
          <w:color w:val="auto"/>
        </w:rPr>
        <w:t>Der Verwaltungsrat oder, soweit an ihn delegiert, der Vergütungsausschuss legen Zuteilungs-, Vesting-, Ausübungs- und Verfallsbedingungen fest. Sie können insbesondere vorsehen, dass aufgrund des Eintritts im Voraus bestimmter Ereignisse, wie eines Kontrollwechsels oder der Beendigung des Arbeits- oder Mandatsverhältnisses, Vesting-, Ausübungs-und Verfallsbedingungen weitergelten, verkürzt oder aufgehoben werden, Vergütungen unter der Annahme der Erreichung von Zielwerten ausgerichtet werden oder Vergütungen verfallen. Die Gesellschaft kann die erforderlichen Aktien auf dem Markt erwerben, aus Beständen eigener Aktien entnehmen oder unter Verwendung von bedingtem oder genehmigtem Kapital bereitstellen.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hanging="404"/>
        <w:spacing w:after="0" w:line="251" w:lineRule="auto"/>
        <w:rPr>
          <w:sz w:val="20"/>
          <w:szCs w:val="20"/>
          <w:color w:val="auto"/>
        </w:rPr>
      </w:pPr>
      <w:r>
        <w:rPr>
          <w:rFonts w:ascii="Arial" w:cs="Arial" w:eastAsia="Arial" w:hAnsi="Arial"/>
          <w:sz w:val="18"/>
          <w:szCs w:val="18"/>
          <w:color w:val="auto"/>
        </w:rPr>
        <w:t>The board of directors or, to the extent delegated to it, the compensation committee shall determine grant, vesting, exercise and forfeiture conditions. In particular, they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 The Company may procure the required shares through purchases in the market, from treasury shares or by using contingent or authorized share capital.</w:t>
      </w:r>
    </w:p>
    <w:p>
      <w:pPr>
        <w:spacing w:after="0" w:line="478" w:lineRule="exact"/>
        <w:rPr>
          <w:sz w:val="20"/>
          <w:szCs w:val="20"/>
          <w:color w:val="auto"/>
        </w:rPr>
      </w:pPr>
    </w:p>
    <w:p>
      <w:pPr>
        <w:sectPr>
          <w:pgSz w:w="11900" w:h="16838" w:orient="portrait"/>
          <w:cols w:equalWidth="0" w:num="2">
            <w:col w:w="5880" w:space="720"/>
            <w:col w:w="3800"/>
          </w:cols>
          <w:pgMar w:left="340" w:top="144" w:right="1159" w:bottom="1440" w:gutter="0" w:footer="0" w:header="0"/>
          <w:type w:val="continuous"/>
        </w:sectPr>
      </w:pPr>
    </w:p>
    <w:p>
      <w:pPr>
        <w:spacing w:after="0" w:line="6" w:lineRule="exact"/>
        <w:rPr>
          <w:sz w:val="20"/>
          <w:szCs w:val="20"/>
          <w:color w:val="auto"/>
        </w:rPr>
      </w:pPr>
    </w:p>
    <w:p>
      <w:pPr>
        <w:ind w:left="620"/>
        <w:spacing w:after="0"/>
        <w:rPr>
          <w:sz w:val="20"/>
          <w:szCs w:val="20"/>
          <w:color w:val="auto"/>
        </w:rPr>
      </w:pPr>
      <w:r>
        <w:rPr>
          <w:rFonts w:ascii="Arial" w:cs="Arial" w:eastAsia="Arial" w:hAnsi="Arial"/>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hanging="125"/>
        <w:spacing w:after="0" w:line="258" w:lineRule="auto"/>
        <w:rPr>
          <w:sz w:val="20"/>
          <w:szCs w:val="20"/>
          <w:color w:val="auto"/>
        </w:rPr>
      </w:pPr>
      <w:r>
        <w:rPr>
          <w:rFonts w:ascii="Arial" w:cs="Arial" w:eastAsia="Arial" w:hAnsi="Arial"/>
          <w:sz w:val="14"/>
          <w:szCs w:val="14"/>
          <w:color w:val="auto"/>
        </w:rPr>
        <w:t>ehmigung der1 Vergütungen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Die Vergütung kann durch die Gesellschaft oder</w:t>
            </w:r>
          </w:p>
        </w:tc>
        <w:tc>
          <w:tcPr>
            <w:tcW w:w="520" w:type="dxa"/>
            <w:vAlign w:val="bottom"/>
          </w:tcPr>
          <w:p>
            <w:pPr>
              <w:spacing w:after="0"/>
              <w:rPr>
                <w:sz w:val="18"/>
                <w:szCs w:val="18"/>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Compensation may be paid by the Company or</w:t>
            </w:r>
          </w:p>
        </w:tc>
        <w:tc>
          <w:tcPr>
            <w:tcW w:w="0" w:type="dxa"/>
            <w:vAlign w:val="bottom"/>
          </w:tcPr>
          <w:p>
            <w:pPr>
              <w:spacing w:after="0"/>
              <w:rPr>
                <w:sz w:val="1"/>
                <w:szCs w:val="1"/>
                <w:color w:val="auto"/>
              </w:rPr>
            </w:pPr>
          </w:p>
        </w:tc>
      </w:tr>
      <w:tr>
        <w:trPr>
          <w:trHeight w:val="216"/>
        </w:trPr>
        <w:tc>
          <w:tcPr>
            <w:tcW w:w="4260" w:type="dxa"/>
            <w:vAlign w:val="bottom"/>
          </w:tcPr>
          <w:p>
            <w:pPr>
              <w:ind w:left="400"/>
              <w:spacing w:after="0"/>
              <w:rPr>
                <w:sz w:val="20"/>
                <w:szCs w:val="20"/>
                <w:color w:val="auto"/>
              </w:rPr>
            </w:pPr>
            <w:r>
              <w:rPr>
                <w:rFonts w:ascii="Arial" w:cs="Arial" w:eastAsia="Arial" w:hAnsi="Arial"/>
                <w:sz w:val="18"/>
                <w:szCs w:val="18"/>
                <w:color w:val="auto"/>
              </w:rPr>
              <w:t>durch von ihr kontrollierte Unternehmen</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companies controlled by it.</w:t>
            </w:r>
          </w:p>
        </w:tc>
        <w:tc>
          <w:tcPr>
            <w:tcW w:w="0" w:type="dxa"/>
            <w:vAlign w:val="bottom"/>
          </w:tcPr>
          <w:p>
            <w:pPr>
              <w:spacing w:after="0"/>
              <w:rPr>
                <w:sz w:val="1"/>
                <w:szCs w:val="1"/>
                <w:color w:val="auto"/>
              </w:rPr>
            </w:pPr>
          </w:p>
        </w:tc>
      </w:tr>
      <w:tr>
        <w:trPr>
          <w:trHeight w:val="217"/>
        </w:trPr>
        <w:tc>
          <w:tcPr>
            <w:tcW w:w="4260" w:type="dxa"/>
            <w:vAlign w:val="bottom"/>
          </w:tcPr>
          <w:p>
            <w:pPr>
              <w:ind w:left="400"/>
              <w:spacing w:after="0"/>
              <w:rPr>
                <w:sz w:val="20"/>
                <w:szCs w:val="20"/>
                <w:color w:val="auto"/>
              </w:rPr>
            </w:pPr>
            <w:r>
              <w:rPr>
                <w:rFonts w:ascii="Arial" w:cs="Arial" w:eastAsia="Arial" w:hAnsi="Arial"/>
                <w:sz w:val="18"/>
                <w:szCs w:val="18"/>
                <w:color w:val="auto"/>
              </w:rPr>
              <w:t>ausgerichtet werden.</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4260" w:type="dxa"/>
            <w:vAlign w:val="bottom"/>
          </w:tcPr>
          <w:p>
            <w:pPr>
              <w:spacing w:after="0"/>
              <w:rPr>
                <w:sz w:val="20"/>
                <w:szCs w:val="20"/>
                <w:color w:val="auto"/>
              </w:rPr>
            </w:pPr>
            <w:r>
              <w:rPr>
                <w:rFonts w:ascii="Arial" w:cs="Arial" w:eastAsia="Arial" w:hAnsi="Arial"/>
                <w:sz w:val="18"/>
                <w:szCs w:val="18"/>
                <w:b w:val="1"/>
                <w:bCs w:val="1"/>
                <w:color w:val="auto"/>
              </w:rPr>
              <w:t>Artikel 28</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Article 28</w:t>
            </w:r>
          </w:p>
        </w:tc>
        <w:tc>
          <w:tcPr>
            <w:tcW w:w="0" w:type="dxa"/>
            <w:vAlign w:val="bottom"/>
          </w:tcPr>
          <w:p>
            <w:pPr>
              <w:spacing w:after="0"/>
              <w:rPr>
                <w:sz w:val="1"/>
                <w:szCs w:val="1"/>
                <w:color w:val="auto"/>
              </w:rPr>
            </w:pPr>
          </w:p>
        </w:tc>
      </w:tr>
      <w:tr>
        <w:trPr>
          <w:trHeight w:val="189"/>
        </w:trPr>
        <w:tc>
          <w:tcPr>
            <w:tcW w:w="4780" w:type="dxa"/>
            <w:vAlign w:val="bottom"/>
            <w:gridSpan w:val="2"/>
          </w:tcPr>
          <w:p>
            <w:pPr>
              <w:ind w:left="3920"/>
              <w:spacing w:after="0"/>
              <w:rPr>
                <w:sz w:val="20"/>
                <w:szCs w:val="20"/>
                <w:color w:val="auto"/>
              </w:rPr>
            </w:pPr>
            <w:r>
              <w:rPr>
                <w:rFonts w:ascii="Arial" w:cs="Arial" w:eastAsia="Arial" w:hAnsi="Arial"/>
                <w:sz w:val="14"/>
                <w:szCs w:val="14"/>
                <w:color w:val="auto"/>
              </w:rPr>
              <w:t>Approval of</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4320" w:type="dxa"/>
            <w:vAlign w:val="bottom"/>
            <w:gridSpan w:val="2"/>
            <w:vMerge w:val="restart"/>
          </w:tcPr>
          <w:p>
            <w:pPr>
              <w:ind w:left="120"/>
              <w:spacing w:after="0"/>
              <w:rPr>
                <w:sz w:val="20"/>
                <w:szCs w:val="20"/>
                <w:color w:val="auto"/>
              </w:rPr>
            </w:pPr>
            <w:r>
              <w:rPr>
                <w:rFonts w:ascii="Arial" w:cs="Arial" w:eastAsia="Arial" w:hAnsi="Arial"/>
                <w:sz w:val="18"/>
                <w:szCs w:val="18"/>
                <w:color w:val="auto"/>
              </w:rPr>
              <w:t>The general meeting of shareholders shall approve</w:t>
            </w:r>
          </w:p>
        </w:tc>
        <w:tc>
          <w:tcPr>
            <w:tcW w:w="0" w:type="dxa"/>
            <w:vAlign w:val="bottom"/>
          </w:tcPr>
          <w:p>
            <w:pPr>
              <w:spacing w:after="0"/>
              <w:rPr>
                <w:sz w:val="1"/>
                <w:szCs w:val="1"/>
                <w:color w:val="auto"/>
              </w:rPr>
            </w:pPr>
          </w:p>
        </w:tc>
      </w:tr>
      <w:tr>
        <w:trPr>
          <w:trHeight w:val="81"/>
        </w:trPr>
        <w:tc>
          <w:tcPr>
            <w:tcW w:w="4260" w:type="dxa"/>
            <w:vAlign w:val="bottom"/>
          </w:tcPr>
          <w:p>
            <w:pPr>
              <w:spacing w:after="0" w:line="81" w:lineRule="exact"/>
              <w:rPr>
                <w:sz w:val="20"/>
                <w:szCs w:val="20"/>
                <w:color w:val="auto"/>
              </w:rPr>
            </w:pPr>
            <w:r>
              <w:rPr>
                <w:rFonts w:ascii="Arial" w:cs="Arial" w:eastAsia="Arial" w:hAnsi="Arial"/>
                <w:sz w:val="9"/>
                <w:szCs w:val="9"/>
                <w:color w:val="auto"/>
              </w:rPr>
              <w:t>Die  Generalversammlung  genehmigt  die  Anträge</w:t>
            </w: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4260" w:type="dxa"/>
            <w:vAlign w:val="bottom"/>
          </w:tcPr>
          <w:p>
            <w:pPr>
              <w:ind w:left="400"/>
              <w:spacing w:after="0"/>
              <w:rPr>
                <w:sz w:val="20"/>
                <w:szCs w:val="20"/>
                <w:color w:val="auto"/>
              </w:rPr>
            </w:pPr>
            <w:r>
              <w:rPr>
                <w:rFonts w:ascii="Arial" w:cs="Arial" w:eastAsia="Arial" w:hAnsi="Arial"/>
                <w:sz w:val="18"/>
                <w:szCs w:val="18"/>
                <w:color w:val="auto"/>
              </w:rPr>
              <w:t>des  Verwaltungsrats  in  Bezug  auf  die</w:t>
            </w:r>
          </w:p>
        </w:tc>
        <w:tc>
          <w:tcPr>
            <w:tcW w:w="1180" w:type="dxa"/>
            <w:vAlign w:val="bottom"/>
            <w:gridSpan w:val="3"/>
          </w:tcPr>
          <w:p>
            <w:pPr>
              <w:ind w:left="80"/>
              <w:spacing w:after="0"/>
              <w:rPr>
                <w:sz w:val="20"/>
                <w:szCs w:val="20"/>
                <w:color w:val="auto"/>
              </w:rPr>
            </w:pPr>
            <w:r>
              <w:rPr>
                <w:rFonts w:ascii="Arial" w:cs="Arial" w:eastAsia="Arial" w:hAnsi="Arial"/>
                <w:sz w:val="14"/>
                <w:szCs w:val="14"/>
                <w:color w:val="auto"/>
              </w:rPr>
              <w:t>Compensation</w:t>
            </w:r>
          </w:p>
        </w:tc>
        <w:tc>
          <w:tcPr>
            <w:tcW w:w="3980" w:type="dxa"/>
            <w:vAlign w:val="bottom"/>
          </w:tcPr>
          <w:p>
            <w:pPr>
              <w:ind w:left="200"/>
              <w:spacing w:after="0"/>
              <w:rPr>
                <w:sz w:val="20"/>
                <w:szCs w:val="20"/>
                <w:color w:val="auto"/>
              </w:rPr>
            </w:pPr>
            <w:r>
              <w:rPr>
                <w:rFonts w:ascii="Arial" w:cs="Arial" w:eastAsia="Arial" w:hAnsi="Arial"/>
                <w:sz w:val="18"/>
                <w:szCs w:val="18"/>
                <w:color w:val="auto"/>
              </w:rPr>
              <w:t>the  proposals  of  the  board  of  directors  in</w:t>
            </w:r>
          </w:p>
        </w:tc>
        <w:tc>
          <w:tcPr>
            <w:tcW w:w="0" w:type="dxa"/>
            <w:vAlign w:val="bottom"/>
          </w:tcPr>
          <w:p>
            <w:pPr>
              <w:spacing w:after="0"/>
              <w:rPr>
                <w:sz w:val="1"/>
                <w:szCs w:val="1"/>
                <w:color w:val="auto"/>
              </w:rPr>
            </w:pPr>
          </w:p>
        </w:tc>
      </w:tr>
      <w:tr>
        <w:trPr>
          <w:trHeight w:val="217"/>
        </w:trPr>
        <w:tc>
          <w:tcPr>
            <w:tcW w:w="4260" w:type="dxa"/>
            <w:vAlign w:val="bottom"/>
          </w:tcPr>
          <w:p>
            <w:pPr>
              <w:ind w:left="400"/>
              <w:spacing w:after="0"/>
              <w:rPr>
                <w:sz w:val="20"/>
                <w:szCs w:val="20"/>
                <w:color w:val="auto"/>
              </w:rPr>
            </w:pPr>
            <w:r>
              <w:rPr>
                <w:rFonts w:ascii="Arial" w:cs="Arial" w:eastAsia="Arial" w:hAnsi="Arial"/>
                <w:sz w:val="18"/>
                <w:szCs w:val="18"/>
                <w:color w:val="auto"/>
              </w:rPr>
              <w:t>maximalen Gesamtbeträge der</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w w:val="99"/>
              </w:rPr>
              <w:t>relation to the maximum aggregate amounts of:</w:t>
            </w: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2">
            <w:col w:w="820" w:space="140"/>
            <w:col w:w="9440"/>
          </w:cols>
          <w:pgMar w:left="340" w:top="144" w:right="1159" w:bottom="1440" w:gutter="0" w:footer="0" w:header="0"/>
          <w:type w:val="continuous"/>
        </w:sectPr>
      </w:pPr>
    </w:p>
    <w:p>
      <w:pPr>
        <w:ind w:left="1800" w:right="734" w:hanging="444"/>
        <w:spacing w:after="0" w:line="261" w:lineRule="auto"/>
        <w:tabs>
          <w:tab w:leader="none" w:pos="179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Vergütung des Verwaltungsrats für die kommende Amtsdauer; und</w:t>
      </w:r>
    </w:p>
    <w:p>
      <w:pPr>
        <w:spacing w:after="0" w:line="35" w:lineRule="exact"/>
        <w:rPr>
          <w:rFonts w:ascii="Arial" w:cs="Arial" w:eastAsia="Arial" w:hAnsi="Arial"/>
          <w:sz w:val="18"/>
          <w:szCs w:val="18"/>
          <w:color w:val="auto"/>
        </w:rPr>
      </w:pPr>
    </w:p>
    <w:p>
      <w:pPr>
        <w:jc w:val="both"/>
        <w:ind w:left="1800" w:right="714" w:hanging="444"/>
        <w:spacing w:after="0" w:line="254" w:lineRule="auto"/>
        <w:tabs>
          <w:tab w:leader="none" w:pos="179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der fixen Vergütung der Geschäftsleitung für die Periode vom 1. Juli des laufenden bis zum 30. Juni des folgenden Jahres; und</w:t>
      </w:r>
    </w:p>
    <w:p>
      <w:pPr>
        <w:spacing w:after="0" w:line="41" w:lineRule="exact"/>
        <w:rPr>
          <w:rFonts w:ascii="Arial" w:cs="Arial" w:eastAsia="Arial" w:hAnsi="Arial"/>
          <w:sz w:val="18"/>
          <w:szCs w:val="18"/>
          <w:color w:val="auto"/>
        </w:rPr>
      </w:pPr>
    </w:p>
    <w:p>
      <w:pPr>
        <w:jc w:val="both"/>
        <w:ind w:left="1800" w:right="734" w:hanging="444"/>
        <w:spacing w:after="0" w:line="256" w:lineRule="auto"/>
        <w:tabs>
          <w:tab w:leader="none" w:pos="179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der variablen Vergütungselemente der Geschäftsleitung für das laufende Geschäftsjahr.</w:t>
      </w:r>
    </w:p>
    <w:p>
      <w:pPr>
        <w:spacing w:after="0" w:line="20" w:lineRule="exact"/>
        <w:rPr>
          <w:sz w:val="20"/>
          <w:szCs w:val="20"/>
          <w:color w:val="auto"/>
        </w:rPr>
      </w:pPr>
      <w:r>
        <w:rPr>
          <w:sz w:val="20"/>
          <w:szCs w:val="20"/>
          <w:color w:val="auto"/>
        </w:rPr>
        <w:br w:type="column"/>
      </w:r>
    </w:p>
    <w:p>
      <w:pPr>
        <w:ind w:left="446" w:right="20" w:hanging="446"/>
        <w:spacing w:after="0" w:line="261" w:lineRule="auto"/>
        <w:tabs>
          <w:tab w:leader="none" w:pos="43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compensation of the board of directors for the next term of office; and</w:t>
      </w:r>
    </w:p>
    <w:p>
      <w:pPr>
        <w:spacing w:after="0" w:line="35" w:lineRule="exact"/>
        <w:rPr>
          <w:rFonts w:ascii="Arial" w:cs="Arial" w:eastAsia="Arial" w:hAnsi="Arial"/>
          <w:sz w:val="18"/>
          <w:szCs w:val="18"/>
          <w:color w:val="auto"/>
        </w:rPr>
      </w:pPr>
    </w:p>
    <w:p>
      <w:pPr>
        <w:jc w:val="both"/>
        <w:ind w:left="446" w:hanging="446"/>
        <w:spacing w:after="0" w:line="254" w:lineRule="auto"/>
        <w:tabs>
          <w:tab w:leader="none" w:pos="43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of the fixed compensation of the executive management for the period of July 1 of the current year until June 30 of the following year; and</w:t>
      </w:r>
    </w:p>
    <w:p>
      <w:pPr>
        <w:spacing w:after="0" w:line="41" w:lineRule="exact"/>
        <w:rPr>
          <w:rFonts w:ascii="Arial" w:cs="Arial" w:eastAsia="Arial" w:hAnsi="Arial"/>
          <w:sz w:val="18"/>
          <w:szCs w:val="18"/>
          <w:color w:val="auto"/>
        </w:rPr>
      </w:pPr>
    </w:p>
    <w:p>
      <w:pPr>
        <w:jc w:val="both"/>
        <w:ind w:left="446" w:right="20" w:hanging="446"/>
        <w:spacing w:after="0" w:line="256" w:lineRule="auto"/>
        <w:tabs>
          <w:tab w:leader="none" w:pos="43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of the variable compensation elements of the executive management for the current financial year.</w:t>
      </w:r>
    </w:p>
    <w:p>
      <w:pPr>
        <w:sectPr>
          <w:pgSz w:w="11900" w:h="16838" w:orient="portrait"/>
          <w:cols w:equalWidth="0" w:num="2">
            <w:col w:w="5874" w:space="720"/>
            <w:col w:w="3806"/>
          </w:cols>
          <w:pgMar w:left="340" w:top="144" w:right="1159" w:bottom="1440" w:gutter="0" w:footer="0" w:header="0"/>
          <w:type w:val="continuous"/>
        </w:sectPr>
      </w:pPr>
    </w:p>
    <w:bookmarkStart w:id="321" w:name="page322"/>
    <w:bookmarkEnd w:id="321"/>
    <w:p>
      <w:pPr>
        <w:ind w:left="5560"/>
        <w:spacing w:after="0"/>
        <w:rPr>
          <w:sz w:val="20"/>
          <w:szCs w:val="20"/>
          <w:color w:val="auto"/>
        </w:rPr>
      </w:pPr>
      <w:r>
        <w:rPr>
          <w:rFonts w:ascii="Arial" w:cs="Arial" w:eastAsia="Arial" w:hAnsi="Arial"/>
          <w:sz w:val="14"/>
          <w:szCs w:val="14"/>
          <w:color w:val="auto"/>
        </w:rPr>
        <w:t>- 24 -</w:t>
      </w:r>
    </w:p>
    <w:p>
      <w:pPr>
        <w:sectPr>
          <w:pgSz w:w="11900" w:h="16838" w:orient="portrait"/>
          <w:cols w:equalWidth="0" w:num="1">
            <w:col w:w="10500"/>
          </w:cols>
          <w:pgMar w:left="220" w:top="144"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Der Verwaltungsrat kann der Generalversammlung</w:t>
            </w:r>
          </w:p>
        </w:tc>
        <w:tc>
          <w:tcPr>
            <w:tcW w:w="4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abweichende, zusätzliche oder bedingte</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Anträge in Bezug auf die maximalen</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80" w:type="dxa"/>
            <w:vAlign w:val="bottom"/>
            <w:gridSpan w:val="2"/>
          </w:tcPr>
          <w:p>
            <w:pPr>
              <w:ind w:left="520"/>
              <w:spacing w:after="0"/>
              <w:rPr>
                <w:sz w:val="20"/>
                <w:szCs w:val="20"/>
                <w:color w:val="auto"/>
              </w:rPr>
            </w:pPr>
            <w:r>
              <w:rPr>
                <w:rFonts w:ascii="Arial" w:cs="Arial" w:eastAsia="Arial" w:hAnsi="Arial"/>
                <w:sz w:val="18"/>
                <w:szCs w:val="18"/>
                <w:color w:val="auto"/>
              </w:rPr>
              <w:t>Gesamtbeträge, mehrere maximale Teilbeträge</w:t>
            </w: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für die gleichen oder andere Zeitperioden</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und/oder einzelne Vergütungselemente</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und/oder in Bezug auf Zusatzbeträge für</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besondere Vergütungselemente zur</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Genehmigung vorlegen.</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69"/>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Die Vergütung kann vor der Genehmigung durch die</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Generalversammlung unter Vorbehalt der</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nachträglichen Genehmigung ausgerichtet</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werden.</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69"/>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4680" w:type="dxa"/>
            <w:vAlign w:val="bottom"/>
            <w:gridSpan w:val="2"/>
          </w:tcPr>
          <w:p>
            <w:pPr>
              <w:ind w:left="120"/>
              <w:spacing w:after="0"/>
              <w:rPr>
                <w:sz w:val="20"/>
                <w:szCs w:val="20"/>
                <w:color w:val="auto"/>
              </w:rPr>
            </w:pPr>
            <w:r>
              <w:rPr>
                <w:rFonts w:ascii="Arial" w:cs="Arial" w:eastAsia="Arial" w:hAnsi="Arial"/>
                <w:sz w:val="18"/>
                <w:szCs w:val="18"/>
                <w:color w:val="auto"/>
              </w:rPr>
              <w:t>Genehmigt die Generalversammlung einen Antrag</w:t>
            </w: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des Verwaltungsrats nicht, setzt der</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Verwaltungsrat den entsprechenden</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w w:val="99"/>
              </w:rPr>
              <w:t>(maximalen) Gesamtbetrag oder (maximale)</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Teilbeträge unter Berücksichtigung aller</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80" w:type="dxa"/>
            <w:vAlign w:val="bottom"/>
            <w:gridSpan w:val="2"/>
          </w:tcPr>
          <w:p>
            <w:pPr>
              <w:ind w:left="520"/>
              <w:spacing w:after="0"/>
              <w:rPr>
                <w:sz w:val="20"/>
                <w:szCs w:val="20"/>
                <w:color w:val="auto"/>
              </w:rPr>
            </w:pPr>
            <w:r>
              <w:rPr>
                <w:rFonts w:ascii="Arial" w:cs="Arial" w:eastAsia="Arial" w:hAnsi="Arial"/>
                <w:sz w:val="18"/>
                <w:szCs w:val="18"/>
                <w:color w:val="auto"/>
              </w:rPr>
              <w:t>relevanten Faktoren neu fest und unterbreitet</w:t>
            </w: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den oder die so festgesetzten Beträge der</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gleichen Generalversammlung, einer</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80" w:type="dxa"/>
            <w:vAlign w:val="bottom"/>
            <w:gridSpan w:val="2"/>
          </w:tcPr>
          <w:p>
            <w:pPr>
              <w:ind w:left="520"/>
              <w:spacing w:after="0"/>
              <w:rPr>
                <w:sz w:val="20"/>
                <w:szCs w:val="20"/>
                <w:color w:val="auto"/>
              </w:rPr>
            </w:pPr>
            <w:r>
              <w:rPr>
                <w:rFonts w:ascii="Arial" w:cs="Arial" w:eastAsia="Arial" w:hAnsi="Arial"/>
                <w:sz w:val="18"/>
                <w:szCs w:val="18"/>
                <w:color w:val="auto"/>
              </w:rPr>
              <w:t>ausserordentlichen Generalversammlung oder</w:t>
            </w:r>
          </w:p>
        </w:tc>
        <w:tc>
          <w:tcPr>
            <w:tcW w:w="4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der nächsten ordentlichen</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4060" w:type="dxa"/>
            <w:vAlign w:val="bottom"/>
          </w:tcPr>
          <w:p>
            <w:pPr>
              <w:ind w:left="520"/>
              <w:spacing w:after="0"/>
              <w:rPr>
                <w:sz w:val="20"/>
                <w:szCs w:val="20"/>
                <w:color w:val="auto"/>
              </w:rPr>
            </w:pPr>
            <w:r>
              <w:rPr>
                <w:rFonts w:ascii="Arial" w:cs="Arial" w:eastAsia="Arial" w:hAnsi="Arial"/>
                <w:sz w:val="18"/>
                <w:szCs w:val="18"/>
                <w:color w:val="auto"/>
              </w:rPr>
              <w:t>Generalversammlung zur Genehmigung.</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540"/>
        </w:trPr>
        <w:tc>
          <w:tcPr>
            <w:tcW w:w="920" w:type="dxa"/>
            <w:vAlign w:val="bottom"/>
          </w:tcPr>
          <w:p>
            <w:pPr>
              <w:spacing w:after="0"/>
              <w:rPr>
                <w:sz w:val="24"/>
                <w:szCs w:val="24"/>
                <w:color w:val="auto"/>
              </w:rPr>
            </w:pPr>
          </w:p>
        </w:tc>
        <w:tc>
          <w:tcPr>
            <w:tcW w:w="4060" w:type="dxa"/>
            <w:vAlign w:val="bottom"/>
          </w:tcPr>
          <w:p>
            <w:pPr>
              <w:ind w:left="120"/>
              <w:spacing w:after="0"/>
              <w:rPr>
                <w:sz w:val="20"/>
                <w:szCs w:val="20"/>
                <w:color w:val="auto"/>
              </w:rPr>
            </w:pPr>
            <w:r>
              <w:rPr>
                <w:rFonts w:ascii="Arial" w:cs="Arial" w:eastAsia="Arial" w:hAnsi="Arial"/>
                <w:sz w:val="18"/>
                <w:szCs w:val="18"/>
                <w:b w:val="1"/>
                <w:bCs w:val="1"/>
                <w:color w:val="auto"/>
              </w:rPr>
              <w:t>Artikel 29</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1"/>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atzbetrag  1</w:t>
            </w:r>
          </w:p>
        </w:tc>
        <w:tc>
          <w:tcPr>
            <w:tcW w:w="4060" w:type="dxa"/>
            <w:vAlign w:val="bottom"/>
          </w:tcPr>
          <w:p>
            <w:pPr>
              <w:ind w:left="120"/>
              <w:spacing w:after="0"/>
              <w:rPr>
                <w:sz w:val="20"/>
                <w:szCs w:val="20"/>
                <w:color w:val="auto"/>
              </w:rPr>
            </w:pPr>
            <w:r>
              <w:rPr>
                <w:rFonts w:ascii="Arial" w:cs="Arial" w:eastAsia="Arial" w:hAnsi="Arial"/>
                <w:sz w:val="18"/>
                <w:szCs w:val="18"/>
                <w:color w:val="auto"/>
              </w:rPr>
              <w:t>Die Gesellschaft oder von ihr kontrollierte</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Supplementary 1</w:t>
            </w:r>
          </w:p>
        </w:tc>
      </w:tr>
    </w:tbl>
    <w:p>
      <w:pPr>
        <w:ind w:left="1440" w:right="180"/>
        <w:spacing w:after="0"/>
        <w:rPr>
          <w:sz w:val="20"/>
          <w:szCs w:val="20"/>
          <w:color w:val="auto"/>
        </w:rPr>
      </w:pPr>
      <w:r>
        <w:rPr>
          <w:rFonts w:ascii="Arial" w:cs="Arial" w:eastAsia="Arial" w:hAnsi="Arial"/>
          <w:sz w:val="18"/>
          <w:szCs w:val="18"/>
          <w:color w:val="auto"/>
        </w:rPr>
        <w:t xml:space="preserve">Gesellschaften sind ermächtigt, Mitgliedern der </w:t>
      </w:r>
      <w:r>
        <w:rPr>
          <w:rFonts w:ascii="Arial" w:cs="Arial" w:eastAsia="Arial" w:hAnsi="Arial"/>
          <w:sz w:val="28"/>
          <w:szCs w:val="28"/>
          <w:color w:val="auto"/>
          <w:vertAlign w:val="superscript"/>
        </w:rPr>
        <w:t>Amount</w:t>
      </w:r>
      <w:r>
        <w:rPr>
          <w:rFonts w:ascii="Arial" w:cs="Arial" w:eastAsia="Arial" w:hAnsi="Arial"/>
          <w:sz w:val="18"/>
          <w:szCs w:val="18"/>
          <w:color w:val="auto"/>
        </w:rPr>
        <w:t xml:space="preserve"> Geschäftsleitung, die während einer Periode, für welche die Vergütung der Geschäftsleitung bereits genehmigt ist, in die Geschäftsleitung eintreten oder befördert werden, einen Zusatzbetrag auszurichten, sofern der für die betreffende Periode bereits genehmigte Gesamtbetrag für deren Vergütung nicht ausreicht.</w:t>
      </w:r>
    </w:p>
    <w:p>
      <w:pPr>
        <w:spacing w:after="0" w:line="158" w:lineRule="exact"/>
        <w:rPr>
          <w:sz w:val="20"/>
          <w:szCs w:val="20"/>
          <w:color w:val="auto"/>
        </w:rPr>
      </w:pPr>
    </w:p>
    <w:p>
      <w:pPr>
        <w:jc w:val="both"/>
        <w:ind w:left="720"/>
        <w:spacing w:after="0"/>
        <w:tabs>
          <w:tab w:leader="none" w:pos="1020" w:val="left"/>
          <w:tab w:leader="none" w:pos="5960" w:val="left"/>
        </w:tabs>
        <w:rPr>
          <w:sz w:val="20"/>
          <w:szCs w:val="20"/>
          <w:color w:val="auto"/>
        </w:rPr>
      </w:pPr>
      <w:r>
        <w:rPr>
          <w:rFonts w:ascii="Arial" w:cs="Arial" w:eastAsia="Arial" w:hAnsi="Arial"/>
          <w:sz w:val="29"/>
          <w:szCs w:val="29"/>
          <w:color w:val="auto"/>
          <w:vertAlign w:val="superscript"/>
        </w:rPr>
        <w:t>2</w:t>
      </w:r>
      <w:r>
        <w:rPr>
          <w:sz w:val="20"/>
          <w:szCs w:val="20"/>
          <w:color w:val="auto"/>
        </w:rPr>
        <w:tab/>
      </w:r>
      <w:r>
        <w:rPr>
          <w:rFonts w:ascii="Arial" w:cs="Arial" w:eastAsia="Arial" w:hAnsi="Arial"/>
          <w:sz w:val="18"/>
          <w:szCs w:val="18"/>
          <w:color w:val="auto"/>
        </w:rPr>
        <w:t>Der Zusatzbetrag darf je Vergütungsperiode je</w:t>
      </w:r>
      <w:r>
        <w:rPr>
          <w:sz w:val="20"/>
          <w:szCs w:val="20"/>
          <w:color w:val="auto"/>
        </w:rPr>
        <w:tab/>
      </w:r>
      <w:r>
        <w:rPr>
          <w:rFonts w:ascii="Arial" w:cs="Arial" w:eastAsia="Arial" w:hAnsi="Arial"/>
          <w:sz w:val="21"/>
          <w:szCs w:val="21"/>
          <w:color w:val="auto"/>
          <w:vertAlign w:val="superscript"/>
        </w:rPr>
        <w:t>2</w:t>
      </w:r>
    </w:p>
    <w:p>
      <w:pPr>
        <w:ind w:left="1440" w:right="980"/>
        <w:spacing w:after="0" w:line="256" w:lineRule="auto"/>
        <w:rPr>
          <w:sz w:val="20"/>
          <w:szCs w:val="20"/>
          <w:color w:val="auto"/>
        </w:rPr>
      </w:pPr>
      <w:r>
        <w:rPr>
          <w:rFonts w:ascii="Arial" w:cs="Arial" w:eastAsia="Arial" w:hAnsi="Arial"/>
          <w:sz w:val="18"/>
          <w:szCs w:val="18"/>
          <w:color w:val="auto"/>
        </w:rPr>
        <w:t>Mitglied 50% des letzten genehmigten maximalen Gesamtbetrags der Vergütung der Geschäftsleitung nicht übersteigen.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0" w:right="80" w:hanging="404"/>
        <w:spacing w:after="0" w:line="251" w:lineRule="auto"/>
        <w:rPr>
          <w:sz w:val="20"/>
          <w:szCs w:val="20"/>
          <w:color w:val="auto"/>
        </w:rPr>
      </w:pPr>
      <w:r>
        <w:rPr>
          <w:rFonts w:ascii="Arial" w:cs="Arial" w:eastAsia="Arial" w:hAnsi="Arial"/>
          <w:sz w:val="18"/>
          <w:szCs w:val="18"/>
          <w:color w:val="auto"/>
        </w:rPr>
        <w:t>The board of directors may submit for approval by the general meeting of shareholders deviating, additional or conditional proposals relating to the maximum aggregate amount or maximum partial amounts for the same or different periods and/or specific compensation components and/or in relation to additional amounts for specific compensation components.</w:t>
      </w:r>
    </w:p>
    <w:p>
      <w:pPr>
        <w:spacing w:after="0" w:line="50" w:lineRule="exact"/>
        <w:rPr>
          <w:sz w:val="20"/>
          <w:szCs w:val="20"/>
          <w:color w:val="auto"/>
        </w:rPr>
      </w:pPr>
    </w:p>
    <w:p>
      <w:pPr>
        <w:jc w:val="both"/>
        <w:ind w:left="400" w:right="80" w:hanging="404"/>
        <w:spacing w:after="0" w:line="256" w:lineRule="auto"/>
        <w:rPr>
          <w:sz w:val="20"/>
          <w:szCs w:val="20"/>
          <w:color w:val="auto"/>
        </w:rPr>
      </w:pPr>
      <w:r>
        <w:rPr>
          <w:rFonts w:ascii="Arial" w:cs="Arial" w:eastAsia="Arial" w:hAnsi="Arial"/>
          <w:sz w:val="18"/>
          <w:szCs w:val="18"/>
          <w:color w:val="auto"/>
        </w:rPr>
        <w:t>Compensation may be paid out prior to approval by the general meeting of shareholders subject to subsequent approval.</w:t>
      </w:r>
    </w:p>
    <w:p>
      <w:pPr>
        <w:spacing w:after="0" w:line="256" w:lineRule="exact"/>
        <w:rPr>
          <w:sz w:val="20"/>
          <w:szCs w:val="20"/>
          <w:color w:val="auto"/>
        </w:rPr>
      </w:pPr>
    </w:p>
    <w:p>
      <w:pPr>
        <w:ind w:left="400" w:right="40" w:hanging="404"/>
        <w:spacing w:after="0" w:line="251" w:lineRule="auto"/>
        <w:rPr>
          <w:sz w:val="20"/>
          <w:szCs w:val="20"/>
          <w:color w:val="auto"/>
        </w:rPr>
      </w:pPr>
      <w:r>
        <w:rPr>
          <w:rFonts w:ascii="Arial" w:cs="Arial" w:eastAsia="Arial" w:hAnsi="Arial"/>
          <w:sz w:val="18"/>
          <w:szCs w:val="18"/>
          <w:color w:val="auto"/>
        </w:rPr>
        <w:t>If the general meeting of shareholders does not approve a proposal of the board of directors, the board of directors newly determines the maximum aggregate amount or maximum partial amounts taking into account all relevant factors and submits such amounts for approval to the same general meeting of shareholders, to an extraordinary general meeting of shareholders or to the next ordinary general meeting of shareholders.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29</w:t>
      </w:r>
    </w:p>
    <w:p>
      <w:pPr>
        <w:spacing w:after="0" w:line="85" w:lineRule="exact"/>
        <w:rPr>
          <w:sz w:val="20"/>
          <w:szCs w:val="20"/>
          <w:color w:val="auto"/>
        </w:rPr>
      </w:pPr>
    </w:p>
    <w:p>
      <w:pPr>
        <w:ind w:left="400" w:right="40" w:hanging="404"/>
        <w:spacing w:after="0" w:line="268" w:lineRule="auto"/>
        <w:rPr>
          <w:sz w:val="20"/>
          <w:szCs w:val="20"/>
          <w:color w:val="auto"/>
        </w:rPr>
      </w:pPr>
      <w:r>
        <w:rPr>
          <w:rFonts w:ascii="Arial" w:cs="Arial" w:eastAsia="Arial" w:hAnsi="Arial"/>
          <w:sz w:val="17"/>
          <w:szCs w:val="17"/>
          <w:color w:val="auto"/>
        </w:rPr>
        <w:t>The Company or companies under its control shall be authorized to pay a supplementary amount of compensation ratified by the shareholders at a general meeting of shareholders to members of the executive management who joined or were promoted during a compensation period for which the maximum aggregate amount of compensation has already been approved, but is insufficient to cover compensation of such members of the executive management.</w:t>
      </w:r>
    </w:p>
    <w:p>
      <w:pPr>
        <w:spacing w:after="0" w:line="31" w:lineRule="exact"/>
        <w:rPr>
          <w:sz w:val="20"/>
          <w:szCs w:val="20"/>
          <w:color w:val="auto"/>
        </w:rPr>
      </w:pPr>
    </w:p>
    <w:p>
      <w:pPr>
        <w:ind w:left="400" w:hanging="404"/>
        <w:spacing w:after="0" w:line="273" w:lineRule="auto"/>
        <w:rPr>
          <w:sz w:val="20"/>
          <w:szCs w:val="20"/>
          <w:color w:val="auto"/>
        </w:rPr>
      </w:pPr>
      <w:r>
        <w:rPr>
          <w:rFonts w:ascii="Arial" w:cs="Arial" w:eastAsia="Arial" w:hAnsi="Arial"/>
          <w:sz w:val="17"/>
          <w:szCs w:val="17"/>
          <w:color w:val="auto"/>
        </w:rPr>
        <w:t>The supplementary amount per compensation period per member shall not exceed 50% of the maximum aggregate amount of compensation of the executive management last approved.</w:t>
      </w:r>
    </w:p>
    <w:p>
      <w:pPr>
        <w:sectPr>
          <w:pgSz w:w="11900" w:h="16838" w:orient="portrait"/>
          <w:cols w:equalWidth="0" w:num="2">
            <w:col w:w="6060" w:space="260"/>
            <w:col w:w="4180"/>
          </w:cols>
          <w:pgMar w:left="220" w:top="144" w:right="1179" w:bottom="1440" w:gutter="0" w:footer="0" w:header="0"/>
          <w:type w:val="continuous"/>
        </w:sectPr>
      </w:pPr>
    </w:p>
    <w:bookmarkStart w:id="322" w:name="page323"/>
    <w:bookmarkEnd w:id="322"/>
    <w:p>
      <w:pPr>
        <w:ind w:left="5560"/>
        <w:spacing w:after="0"/>
        <w:rPr>
          <w:sz w:val="20"/>
          <w:szCs w:val="20"/>
          <w:color w:val="auto"/>
        </w:rPr>
      </w:pPr>
      <w:r>
        <w:rPr>
          <w:rFonts w:ascii="Arial" w:cs="Arial" w:eastAsia="Arial" w:hAnsi="Arial"/>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837565</wp:posOffset>
            </wp:positionV>
            <wp:extent cx="57092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ectPr>
          <w:pgSz w:w="11900" w:h="16838" w:orient="portrait"/>
          <w:cols w:equalWidth="0" w:num="1">
            <w:col w:w="10520"/>
          </w:cols>
          <w:pgMar w:left="22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Abschnitt 5:</w:t>
      </w:r>
    </w:p>
    <w:p>
      <w:pPr>
        <w:spacing w:after="0" w:line="31" w:lineRule="exact"/>
        <w:rPr>
          <w:sz w:val="20"/>
          <w:szCs w:val="20"/>
          <w:color w:val="auto"/>
        </w:rPr>
      </w:pPr>
    </w:p>
    <w:p>
      <w:pPr>
        <w:ind w:left="1560" w:right="460"/>
        <w:spacing w:after="0" w:line="261" w:lineRule="auto"/>
        <w:rPr>
          <w:sz w:val="20"/>
          <w:szCs w:val="20"/>
          <w:color w:val="auto"/>
        </w:rPr>
      </w:pPr>
      <w:r>
        <w:rPr>
          <w:rFonts w:ascii="Arial" w:cs="Arial" w:eastAsia="Arial" w:hAnsi="Arial"/>
          <w:sz w:val="18"/>
          <w:szCs w:val="18"/>
          <w:i w:val="1"/>
          <w:iCs w:val="1"/>
          <w:color w:val="auto"/>
        </w:rPr>
        <w:t>Verträge mit Mitgliedern des Verwaltungsrats und der Geschäftsleitung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177800</wp:posOffset>
            </wp:positionV>
            <wp:extent cx="24434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Artikel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w:t>
      </w:r>
    </w:p>
    <w:p>
      <w:pPr>
        <w:spacing w:after="0" w:line="31" w:lineRule="exact"/>
        <w:rPr>
          <w:sz w:val="20"/>
          <w:szCs w:val="20"/>
          <w:color w:val="auto"/>
        </w:rPr>
      </w:pPr>
    </w:p>
    <w:p>
      <w:pPr>
        <w:jc w:val="both"/>
        <w:ind w:left="400" w:right="400"/>
        <w:spacing w:after="0" w:line="256" w:lineRule="auto"/>
        <w:rPr>
          <w:sz w:val="20"/>
          <w:szCs w:val="20"/>
          <w:color w:val="auto"/>
        </w:rPr>
      </w:pPr>
      <w:r>
        <w:rPr>
          <w:rFonts w:ascii="Arial" w:cs="Arial" w:eastAsia="Arial" w:hAnsi="Arial"/>
          <w:sz w:val="18"/>
          <w:szCs w:val="18"/>
          <w:i w:val="1"/>
          <w:iCs w:val="1"/>
          <w:color w:val="auto"/>
        </w:rPr>
        <w:t>Agreements regarding Compensation with Members of the Board of Directors and the 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43180</wp:posOffset>
            </wp:positionV>
            <wp:extent cx="2425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30</w:t>
      </w:r>
    </w:p>
    <w:p>
      <w:pPr>
        <w:spacing w:after="0" w:line="46" w:lineRule="exact"/>
        <w:rPr>
          <w:sz w:val="20"/>
          <w:szCs w:val="20"/>
          <w:color w:val="auto"/>
        </w:rPr>
      </w:pPr>
    </w:p>
    <w:p>
      <w:pPr>
        <w:sectPr>
          <w:pgSz w:w="11900" w:h="16838" w:orient="portrait"/>
          <w:cols w:equalWidth="0" w:num="2">
            <w:col w:w="5600" w:space="720"/>
            <w:col w:w="4200"/>
          </w:cols>
          <w:pgMar w:left="220" w:top="144" w:right="11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4"/>
                <w:szCs w:val="14"/>
                <w:color w:val="auto"/>
              </w:rPr>
              <w:t>räge mit</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3940" w:type="dxa"/>
            <w:vAlign w:val="bottom"/>
            <w:gridSpan w:val="2"/>
          </w:tcPr>
          <w:p>
            <w:pPr>
              <w:spacing w:after="0"/>
              <w:rPr>
                <w:sz w:val="20"/>
                <w:szCs w:val="20"/>
                <w:color w:val="auto"/>
              </w:rPr>
            </w:pPr>
            <w:r>
              <w:rPr>
                <w:rFonts w:ascii="Arial" w:cs="Arial" w:eastAsia="Arial" w:hAnsi="Arial"/>
                <w:sz w:val="18"/>
                <w:szCs w:val="18"/>
                <w:color w:val="auto"/>
              </w:rPr>
              <w:t>Die Gesellschaft oder von ihr kontrollierte</w:t>
            </w:r>
          </w:p>
        </w:tc>
        <w:tc>
          <w:tcPr>
            <w:tcW w:w="1200" w:type="dxa"/>
            <w:vAlign w:val="bottom"/>
            <w:gridSpan w:val="2"/>
          </w:tcPr>
          <w:p>
            <w:pPr>
              <w:spacing w:after="0"/>
              <w:rPr>
                <w:sz w:val="20"/>
                <w:szCs w:val="20"/>
                <w:color w:val="auto"/>
              </w:rPr>
            </w:pPr>
            <w:r>
              <w:rPr>
                <w:rFonts w:ascii="Arial" w:cs="Arial" w:eastAsia="Arial" w:hAnsi="Arial"/>
                <w:sz w:val="14"/>
                <w:szCs w:val="14"/>
                <w:color w:val="auto"/>
              </w:rPr>
              <w:t>Agreements with1</w:t>
            </w: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The Company or companies under its control may</w:t>
            </w:r>
          </w:p>
        </w:tc>
        <w:tc>
          <w:tcPr>
            <w:tcW w:w="0" w:type="dxa"/>
            <w:vAlign w:val="bottom"/>
          </w:tcPr>
          <w:p>
            <w:pPr>
              <w:spacing w:after="0"/>
              <w:rPr>
                <w:sz w:val="1"/>
                <w:szCs w:val="1"/>
                <w:color w:val="auto"/>
              </w:rPr>
            </w:pPr>
          </w:p>
        </w:tc>
      </w:tr>
      <w:tr>
        <w:trPr>
          <w:trHeight w:val="162"/>
        </w:trPr>
        <w:tc>
          <w:tcPr>
            <w:tcW w:w="1160" w:type="dxa"/>
            <w:vAlign w:val="bottom"/>
            <w:gridSpan w:val="2"/>
          </w:tcPr>
          <w:p>
            <w:pPr>
              <w:ind w:left="120"/>
              <w:spacing w:after="0"/>
              <w:rPr>
                <w:sz w:val="20"/>
                <w:szCs w:val="20"/>
                <w:color w:val="auto"/>
              </w:rPr>
            </w:pPr>
            <w:r>
              <w:rPr>
                <w:rFonts w:ascii="Arial" w:cs="Arial" w:eastAsia="Arial" w:hAnsi="Arial"/>
                <w:sz w:val="14"/>
                <w:szCs w:val="14"/>
                <w:color w:val="auto"/>
              </w:rPr>
              <w:t>Mitgliedern des</w:t>
            </w:r>
          </w:p>
        </w:tc>
        <w:tc>
          <w:tcPr>
            <w:tcW w:w="380" w:type="dxa"/>
            <w:vAlign w:val="bottom"/>
          </w:tcPr>
          <w:p>
            <w:pPr>
              <w:spacing w:after="0"/>
              <w:rPr>
                <w:sz w:val="14"/>
                <w:szCs w:val="14"/>
                <w:color w:val="auto"/>
              </w:rPr>
            </w:pPr>
          </w:p>
        </w:tc>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Gesellschaften können mit Mitgliedern des</w:t>
            </w:r>
          </w:p>
        </w:tc>
        <w:tc>
          <w:tcPr>
            <w:tcW w:w="2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color w:val="auto"/>
              </w:rPr>
              <w:t>Members of</w:t>
            </w:r>
          </w:p>
        </w:tc>
        <w:tc>
          <w:tcPr>
            <w:tcW w:w="400" w:type="dxa"/>
            <w:vAlign w:val="bottom"/>
          </w:tcPr>
          <w:p>
            <w:pPr>
              <w:spacing w:after="0"/>
              <w:rPr>
                <w:sz w:val="14"/>
                <w:szCs w:val="14"/>
                <w:color w:val="auto"/>
              </w:rPr>
            </w:pPr>
          </w:p>
        </w:tc>
        <w:tc>
          <w:tcPr>
            <w:tcW w:w="3820" w:type="dxa"/>
            <w:vAlign w:val="bottom"/>
            <w:vMerge w:val="restart"/>
          </w:tcPr>
          <w:p>
            <w:pPr>
              <w:ind w:left="20"/>
              <w:spacing w:after="0"/>
              <w:rPr>
                <w:sz w:val="20"/>
                <w:szCs w:val="20"/>
                <w:color w:val="auto"/>
              </w:rPr>
            </w:pPr>
            <w:r>
              <w:rPr>
                <w:rFonts w:ascii="Arial" w:cs="Arial" w:eastAsia="Arial" w:hAnsi="Arial"/>
                <w:sz w:val="18"/>
                <w:szCs w:val="18"/>
                <w:color w:val="auto"/>
              </w:rPr>
              <w:t>enter into mandate or other agreements with</w:t>
            </w:r>
          </w:p>
        </w:tc>
        <w:tc>
          <w:tcPr>
            <w:tcW w:w="0" w:type="dxa"/>
            <w:vAlign w:val="bottom"/>
          </w:tcPr>
          <w:p>
            <w:pPr>
              <w:spacing w:after="0"/>
              <w:rPr>
                <w:sz w:val="1"/>
                <w:szCs w:val="1"/>
                <w:color w:val="auto"/>
              </w:rPr>
            </w:pPr>
          </w:p>
        </w:tc>
      </w:tr>
      <w:tr>
        <w:trPr>
          <w:trHeight w:val="102"/>
        </w:trPr>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Verwaltungsrats</w:t>
            </w:r>
          </w:p>
        </w:tc>
        <w:tc>
          <w:tcPr>
            <w:tcW w:w="38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color w:val="auto"/>
              </w:rPr>
              <w:t>the Board of</w:t>
            </w:r>
          </w:p>
        </w:tc>
        <w:tc>
          <w:tcPr>
            <w:tcW w:w="40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1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Verwaltungsrats befristete oder unbefristete</w:t>
            </w: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820" w:type="dxa"/>
            <w:vAlign w:val="bottom"/>
            <w:vMerge w:val="restart"/>
          </w:tcPr>
          <w:p>
            <w:pPr>
              <w:ind w:left="20"/>
              <w:spacing w:after="0"/>
              <w:rPr>
                <w:sz w:val="20"/>
                <w:szCs w:val="20"/>
                <w:color w:val="auto"/>
              </w:rPr>
            </w:pPr>
            <w:r>
              <w:rPr>
                <w:rFonts w:ascii="Arial" w:cs="Arial" w:eastAsia="Arial" w:hAnsi="Arial"/>
                <w:sz w:val="18"/>
                <w:szCs w:val="18"/>
                <w:color w:val="auto"/>
              </w:rPr>
              <w:t>the members of the board of directors</w:t>
            </w:r>
          </w:p>
        </w:tc>
        <w:tc>
          <w:tcPr>
            <w:tcW w:w="0" w:type="dxa"/>
            <w:vAlign w:val="bottom"/>
          </w:tcPr>
          <w:p>
            <w:pPr>
              <w:spacing w:after="0"/>
              <w:rPr>
                <w:sz w:val="1"/>
                <w:szCs w:val="1"/>
                <w:color w:val="auto"/>
              </w:rPr>
            </w:pPr>
          </w:p>
        </w:tc>
      </w:tr>
      <w:tr>
        <w:trPr>
          <w:trHeight w:val="156"/>
        </w:trPr>
        <w:tc>
          <w:tcPr>
            <w:tcW w:w="720" w:type="dxa"/>
            <w:vAlign w:val="bottom"/>
          </w:tcPr>
          <w:p>
            <w:pPr>
              <w:ind w:left="120"/>
              <w:spacing w:after="0" w:line="157" w:lineRule="exact"/>
              <w:rPr>
                <w:sz w:val="20"/>
                <w:szCs w:val="20"/>
                <w:color w:val="auto"/>
              </w:rPr>
            </w:pPr>
            <w:r>
              <w:rPr>
                <w:rFonts w:ascii="Arial" w:cs="Arial" w:eastAsia="Arial" w:hAnsi="Arial"/>
                <w:sz w:val="14"/>
                <w:szCs w:val="14"/>
                <w:color w:val="auto"/>
              </w:rPr>
              <w:t>und der</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120"/>
              <w:spacing w:after="0" w:line="157" w:lineRule="exact"/>
              <w:rPr>
                <w:sz w:val="20"/>
                <w:szCs w:val="20"/>
                <w:color w:val="auto"/>
              </w:rPr>
            </w:pPr>
            <w:r>
              <w:rPr>
                <w:rFonts w:ascii="Arial" w:cs="Arial" w:eastAsia="Arial" w:hAnsi="Arial"/>
                <w:sz w:val="14"/>
                <w:szCs w:val="14"/>
                <w:color w:val="auto"/>
              </w:rPr>
              <w:t>Directors</w:t>
            </w:r>
          </w:p>
        </w:tc>
        <w:tc>
          <w:tcPr>
            <w:tcW w:w="400" w:type="dxa"/>
            <w:vAlign w:val="bottom"/>
          </w:tcPr>
          <w:p>
            <w:pPr>
              <w:spacing w:after="0"/>
              <w:rPr>
                <w:sz w:val="13"/>
                <w:szCs w:val="13"/>
                <w:color w:val="auto"/>
              </w:rPr>
            </w:pPr>
          </w:p>
        </w:tc>
        <w:tc>
          <w:tcPr>
            <w:tcW w:w="3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540" w:type="dxa"/>
            <w:vAlign w:val="bottom"/>
            <w:gridSpan w:val="3"/>
          </w:tcPr>
          <w:p>
            <w:pPr>
              <w:ind w:left="120"/>
              <w:spacing w:after="0"/>
              <w:rPr>
                <w:sz w:val="20"/>
                <w:szCs w:val="20"/>
                <w:color w:val="auto"/>
              </w:rPr>
            </w:pPr>
            <w:r>
              <w:rPr>
                <w:rFonts w:ascii="Arial" w:cs="Arial" w:eastAsia="Arial" w:hAnsi="Arial"/>
                <w:sz w:val="14"/>
                <w:szCs w:val="14"/>
                <w:color w:val="auto"/>
              </w:rPr>
              <w:t>Geschäftsleitung</w:t>
            </w:r>
          </w:p>
        </w:tc>
        <w:tc>
          <w:tcPr>
            <w:tcW w:w="3560" w:type="dxa"/>
            <w:vAlign w:val="bottom"/>
          </w:tcPr>
          <w:p>
            <w:pPr>
              <w:ind w:left="20"/>
              <w:spacing w:after="0" w:line="168" w:lineRule="exact"/>
              <w:rPr>
                <w:sz w:val="20"/>
                <w:szCs w:val="20"/>
                <w:color w:val="auto"/>
              </w:rPr>
            </w:pPr>
            <w:r>
              <w:rPr>
                <w:rFonts w:ascii="Arial" w:cs="Arial" w:eastAsia="Arial" w:hAnsi="Arial"/>
                <w:sz w:val="18"/>
                <w:szCs w:val="18"/>
                <w:color w:val="auto"/>
              </w:rPr>
              <w:t>Verträge über deren Mandat und Vergütung</w:t>
            </w:r>
          </w:p>
        </w:tc>
        <w:tc>
          <w:tcPr>
            <w:tcW w:w="28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color w:val="auto"/>
              </w:rPr>
              <w:t>and the</w:t>
            </w:r>
          </w:p>
        </w:tc>
        <w:tc>
          <w:tcPr>
            <w:tcW w:w="400" w:type="dxa"/>
            <w:vAlign w:val="bottom"/>
          </w:tcPr>
          <w:p>
            <w:pPr>
              <w:spacing w:after="0"/>
              <w:rPr>
                <w:sz w:val="14"/>
                <w:szCs w:val="14"/>
                <w:color w:val="auto"/>
              </w:rPr>
            </w:pPr>
          </w:p>
        </w:tc>
        <w:tc>
          <w:tcPr>
            <w:tcW w:w="3820" w:type="dxa"/>
            <w:vAlign w:val="bottom"/>
          </w:tcPr>
          <w:p>
            <w:pPr>
              <w:ind w:left="20"/>
              <w:spacing w:after="0" w:line="168" w:lineRule="exact"/>
              <w:rPr>
                <w:sz w:val="20"/>
                <w:szCs w:val="20"/>
                <w:color w:val="auto"/>
              </w:rPr>
            </w:pPr>
            <w:r>
              <w:rPr>
                <w:rFonts w:ascii="Arial" w:cs="Arial" w:eastAsia="Arial" w:hAnsi="Arial"/>
                <w:sz w:val="18"/>
                <w:szCs w:val="18"/>
                <w:color w:val="auto"/>
              </w:rPr>
              <w:t>regarding their compensation as directors for a</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40" w:type="dxa"/>
            <w:vAlign w:val="bottom"/>
            <w:gridSpan w:val="2"/>
            <w:vMerge w:val="restart"/>
          </w:tcPr>
          <w:p>
            <w:pPr>
              <w:ind w:left="20"/>
              <w:spacing w:after="0"/>
              <w:rPr>
                <w:sz w:val="20"/>
                <w:szCs w:val="20"/>
                <w:color w:val="auto"/>
              </w:rPr>
            </w:pPr>
            <w:r>
              <w:rPr>
                <w:rFonts w:ascii="Arial" w:cs="Arial" w:eastAsia="Arial" w:hAnsi="Arial"/>
                <w:sz w:val="18"/>
                <w:szCs w:val="18"/>
                <w:color w:val="auto"/>
              </w:rPr>
              <w:t>abschliessen. Dauer und Beendigung richten</w:t>
            </w:r>
          </w:p>
        </w:tc>
        <w:tc>
          <w:tcPr>
            <w:tcW w:w="920" w:type="dxa"/>
            <w:vAlign w:val="bottom"/>
          </w:tcPr>
          <w:p>
            <w:pPr>
              <w:ind w:left="120"/>
              <w:spacing w:after="0"/>
              <w:rPr>
                <w:sz w:val="20"/>
                <w:szCs w:val="20"/>
                <w:color w:val="auto"/>
              </w:rPr>
            </w:pPr>
            <w:r>
              <w:rPr>
                <w:rFonts w:ascii="Arial" w:cs="Arial" w:eastAsia="Arial" w:hAnsi="Arial"/>
                <w:sz w:val="14"/>
                <w:szCs w:val="14"/>
                <w:color w:val="auto"/>
              </w:rPr>
              <w:t>Executive</w:t>
            </w:r>
          </w:p>
        </w:tc>
        <w:tc>
          <w:tcPr>
            <w:tcW w:w="400" w:type="dxa"/>
            <w:vAlign w:val="bottom"/>
          </w:tcPr>
          <w:p>
            <w:pPr>
              <w:spacing w:after="0"/>
              <w:rPr>
                <w:sz w:val="14"/>
                <w:szCs w:val="14"/>
                <w:color w:val="auto"/>
              </w:rPr>
            </w:pPr>
          </w:p>
        </w:tc>
        <w:tc>
          <w:tcPr>
            <w:tcW w:w="3820" w:type="dxa"/>
            <w:vAlign w:val="bottom"/>
            <w:vMerge w:val="restart"/>
          </w:tcPr>
          <w:p>
            <w:pPr>
              <w:ind w:left="20"/>
              <w:spacing w:after="0"/>
              <w:rPr>
                <w:sz w:val="20"/>
                <w:szCs w:val="20"/>
                <w:color w:val="auto"/>
              </w:rPr>
            </w:pPr>
            <w:r>
              <w:rPr>
                <w:rFonts w:ascii="Arial" w:cs="Arial" w:eastAsia="Arial" w:hAnsi="Arial"/>
                <w:sz w:val="18"/>
                <w:szCs w:val="18"/>
                <w:color w:val="auto"/>
              </w:rPr>
              <w:t>fixed term or for an indefinite term. The</w:t>
            </w:r>
          </w:p>
        </w:tc>
        <w:tc>
          <w:tcPr>
            <w:tcW w:w="0" w:type="dxa"/>
            <w:vAlign w:val="bottom"/>
          </w:tcPr>
          <w:p>
            <w:pPr>
              <w:spacing w:after="0"/>
              <w:rPr>
                <w:sz w:val="1"/>
                <w:szCs w:val="1"/>
                <w:color w:val="auto"/>
              </w:rPr>
            </w:pPr>
          </w:p>
        </w:tc>
      </w:tr>
      <w:tr>
        <w:trPr>
          <w:trHeight w:val="102"/>
        </w:trPr>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40" w:type="dxa"/>
            <w:vAlign w:val="bottom"/>
            <w:gridSpan w:val="2"/>
            <w:vMerge w:val="continue"/>
          </w:tcPr>
          <w:p>
            <w:pPr>
              <w:spacing w:after="0"/>
              <w:rPr>
                <w:sz w:val="8"/>
                <w:szCs w:val="8"/>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color w:val="auto"/>
              </w:rPr>
              <w:t>Management</w:t>
            </w: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560" w:type="dxa"/>
            <w:vAlign w:val="bottom"/>
            <w:vMerge w:val="restart"/>
          </w:tcPr>
          <w:p>
            <w:pPr>
              <w:ind w:left="20"/>
              <w:spacing w:after="0"/>
              <w:rPr>
                <w:sz w:val="20"/>
                <w:szCs w:val="20"/>
                <w:color w:val="auto"/>
              </w:rPr>
            </w:pPr>
            <w:r>
              <w:rPr>
                <w:rFonts w:ascii="Arial" w:cs="Arial" w:eastAsia="Arial" w:hAnsi="Arial"/>
                <w:sz w:val="18"/>
                <w:szCs w:val="18"/>
                <w:color w:val="auto"/>
              </w:rPr>
              <w:t>sich nach Amtsdauer und Gesetz.</w:t>
            </w:r>
          </w:p>
        </w:tc>
        <w:tc>
          <w:tcPr>
            <w:tcW w:w="28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3820" w:type="dxa"/>
            <w:vAlign w:val="bottom"/>
            <w:vMerge w:val="restart"/>
          </w:tcPr>
          <w:p>
            <w:pPr>
              <w:ind w:left="20"/>
              <w:spacing w:after="0"/>
              <w:rPr>
                <w:sz w:val="20"/>
                <w:szCs w:val="20"/>
                <w:color w:val="auto"/>
              </w:rPr>
            </w:pPr>
            <w:r>
              <w:rPr>
                <w:rFonts w:ascii="Arial" w:cs="Arial" w:eastAsia="Arial" w:hAnsi="Arial"/>
                <w:sz w:val="18"/>
                <w:szCs w:val="18"/>
                <w:color w:val="auto"/>
              </w:rPr>
              <w:t>duration and termination are subject to term of</w:t>
            </w: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office and the law.</w:t>
            </w:r>
          </w:p>
        </w:tc>
        <w:tc>
          <w:tcPr>
            <w:tcW w:w="0" w:type="dxa"/>
            <w:vAlign w:val="bottom"/>
          </w:tcPr>
          <w:p>
            <w:pPr>
              <w:spacing w:after="0"/>
              <w:rPr>
                <w:sz w:val="1"/>
                <w:szCs w:val="1"/>
                <w:color w:val="auto"/>
              </w:rPr>
            </w:pPr>
          </w:p>
        </w:tc>
      </w:tr>
      <w:tr>
        <w:trPr>
          <w:trHeight w:val="269"/>
        </w:trPr>
        <w:tc>
          <w:tcPr>
            <w:tcW w:w="720" w:type="dxa"/>
            <w:vAlign w:val="bottom"/>
          </w:tcPr>
          <w:p>
            <w:pPr>
              <w:spacing w:after="0"/>
              <w:rPr>
                <w:sz w:val="23"/>
                <w:szCs w:val="23"/>
                <w:color w:val="auto"/>
              </w:rPr>
            </w:pP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3940" w:type="dxa"/>
            <w:vAlign w:val="bottom"/>
            <w:gridSpan w:val="2"/>
          </w:tcPr>
          <w:p>
            <w:pPr>
              <w:spacing w:after="0"/>
              <w:rPr>
                <w:sz w:val="20"/>
                <w:szCs w:val="20"/>
                <w:color w:val="auto"/>
              </w:rPr>
            </w:pPr>
            <w:r>
              <w:rPr>
                <w:rFonts w:ascii="Arial" w:cs="Arial" w:eastAsia="Arial" w:hAnsi="Arial"/>
                <w:sz w:val="18"/>
                <w:szCs w:val="18"/>
                <w:color w:val="auto"/>
              </w:rPr>
              <w:t>Die Gesellschaft oder von ihr kontrollierte</w:t>
            </w:r>
          </w:p>
        </w:tc>
        <w:tc>
          <w:tcPr>
            <w:tcW w:w="280" w:type="dxa"/>
            <w:vAlign w:val="bottom"/>
          </w:tcPr>
          <w:p>
            <w:pPr>
              <w:spacing w:after="0"/>
              <w:rPr>
                <w:sz w:val="23"/>
                <w:szCs w:val="23"/>
                <w:color w:val="auto"/>
              </w:rPr>
            </w:pPr>
          </w:p>
        </w:tc>
        <w:tc>
          <w:tcPr>
            <w:tcW w:w="920" w:type="dxa"/>
            <w:vAlign w:val="bottom"/>
          </w:tcPr>
          <w:p>
            <w:pPr>
              <w:ind w:left="600"/>
              <w:spacing w:after="0"/>
              <w:rPr>
                <w:sz w:val="20"/>
                <w:szCs w:val="20"/>
                <w:color w:val="auto"/>
              </w:rPr>
            </w:pPr>
            <w:r>
              <w:rPr>
                <w:rFonts w:ascii="Arial" w:cs="Arial" w:eastAsia="Arial" w:hAnsi="Arial"/>
                <w:sz w:val="14"/>
                <w:szCs w:val="14"/>
                <w:color w:val="auto"/>
              </w:rPr>
              <w:t>2</w:t>
            </w: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The Company or companies under its control may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Gesellschaften können mit Mitgliedern der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enter into employment agreements with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w w:val="99"/>
              </w:rPr>
              <w:t>Geschäftsleitung befristete oder unbefristete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members of the executive management for a</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Arbeitsverträge abschliessen. Befristete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fixed term or for an indefinite term.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Arbeitsverträge haben eine Höchstdauer von</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duration of fixed term agreements may not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einem Jahr. Eine Erneuerung ist zulässig.</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exceed one year. A renewal of a fixed term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Unbefristete Verträge haben eine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agreement is permissible. Agreements for an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Kündigungsfrist von maximal einem Jahr.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indefinite term may have a termination notice</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period of a maximum of one year.</w:t>
            </w:r>
          </w:p>
        </w:tc>
        <w:tc>
          <w:tcPr>
            <w:tcW w:w="0" w:type="dxa"/>
            <w:vAlign w:val="bottom"/>
          </w:tcPr>
          <w:p>
            <w:pPr>
              <w:spacing w:after="0"/>
              <w:rPr>
                <w:sz w:val="1"/>
                <w:szCs w:val="1"/>
                <w:color w:val="auto"/>
              </w:rPr>
            </w:pPr>
          </w:p>
        </w:tc>
      </w:tr>
      <w:tr>
        <w:trPr>
          <w:trHeight w:val="269"/>
        </w:trPr>
        <w:tc>
          <w:tcPr>
            <w:tcW w:w="720" w:type="dxa"/>
            <w:vAlign w:val="bottom"/>
          </w:tcPr>
          <w:p>
            <w:pPr>
              <w:spacing w:after="0"/>
              <w:rPr>
                <w:sz w:val="23"/>
                <w:szCs w:val="23"/>
                <w:color w:val="auto"/>
              </w:rPr>
            </w:pP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3940" w:type="dxa"/>
            <w:vAlign w:val="bottom"/>
            <w:gridSpan w:val="2"/>
          </w:tcPr>
          <w:p>
            <w:pPr>
              <w:spacing w:after="0"/>
              <w:rPr>
                <w:sz w:val="20"/>
                <w:szCs w:val="20"/>
                <w:color w:val="auto"/>
              </w:rPr>
            </w:pPr>
            <w:r>
              <w:rPr>
                <w:rFonts w:ascii="Arial" w:cs="Arial" w:eastAsia="Arial" w:hAnsi="Arial"/>
                <w:sz w:val="18"/>
                <w:szCs w:val="18"/>
                <w:color w:val="auto"/>
              </w:rPr>
              <w:t>Die Gesellschaft oder von ihr kontrollierte</w:t>
            </w:r>
          </w:p>
        </w:tc>
        <w:tc>
          <w:tcPr>
            <w:tcW w:w="280" w:type="dxa"/>
            <w:vAlign w:val="bottom"/>
          </w:tcPr>
          <w:p>
            <w:pPr>
              <w:spacing w:after="0"/>
              <w:rPr>
                <w:sz w:val="23"/>
                <w:szCs w:val="23"/>
                <w:color w:val="auto"/>
              </w:rPr>
            </w:pPr>
          </w:p>
        </w:tc>
        <w:tc>
          <w:tcPr>
            <w:tcW w:w="920" w:type="dxa"/>
            <w:vAlign w:val="bottom"/>
          </w:tcPr>
          <w:p>
            <w:pPr>
              <w:ind w:left="600"/>
              <w:spacing w:after="0"/>
              <w:rPr>
                <w:sz w:val="20"/>
                <w:szCs w:val="20"/>
                <w:color w:val="auto"/>
              </w:rPr>
            </w:pPr>
            <w:r>
              <w:rPr>
                <w:rFonts w:ascii="Arial" w:cs="Arial" w:eastAsia="Arial" w:hAnsi="Arial"/>
                <w:sz w:val="14"/>
                <w:szCs w:val="14"/>
                <w:color w:val="auto"/>
              </w:rPr>
              <w:t>3</w:t>
            </w:r>
          </w:p>
        </w:tc>
        <w:tc>
          <w:tcPr>
            <w:tcW w:w="4220" w:type="dxa"/>
            <w:vAlign w:val="bottom"/>
            <w:gridSpan w:val="2"/>
          </w:tcPr>
          <w:p>
            <w:pPr>
              <w:ind w:left="20"/>
              <w:spacing w:after="0"/>
              <w:rPr>
                <w:sz w:val="20"/>
                <w:szCs w:val="20"/>
                <w:color w:val="auto"/>
              </w:rPr>
            </w:pPr>
            <w:r>
              <w:rPr>
                <w:rFonts w:ascii="Arial" w:cs="Arial" w:eastAsia="Arial" w:hAnsi="Arial"/>
                <w:sz w:val="18"/>
                <w:szCs w:val="18"/>
                <w:color w:val="auto"/>
              </w:rPr>
              <w:t>The Company or companies under its control may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Gesellschaften können mit Mitgliedern der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enter into non-competition agreements with</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w w:val="99"/>
              </w:rPr>
              <w:t>Geschäftsleitung Konkurrenzverbote für die Zeit</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members of the executive management for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nach Beendigung des Arbeitsverhältnisses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period after the termination of the employment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vereinbaren. Deren Dauer soll zwei Jahre nicht</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agreement. The duration of any such non-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übersteigen. Zur Abgeltung eines solchen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competition undertaking by a member of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Konkurrenzverbots darf eine Entschädigung</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executive management shall not exceed two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ausgerichtet werden, deren Höhe die letzte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years, and the consideration paid for a non-</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color w:val="auto"/>
              </w:rPr>
              <w:t>Gesamtjahresvergütung des betreffenden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competition undertaking shall not exceed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Mitglieds der Geschäftsleitung nicht übersteigt.</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sum of the total annual compensation of the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respective member of the executive</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management last paid.</w:t>
            </w:r>
          </w:p>
        </w:tc>
        <w:tc>
          <w:tcPr>
            <w:tcW w:w="0" w:type="dxa"/>
            <w:vAlign w:val="bottom"/>
          </w:tcPr>
          <w:p>
            <w:pPr>
              <w:spacing w:after="0"/>
              <w:rPr>
                <w:sz w:val="1"/>
                <w:szCs w:val="1"/>
                <w:color w:val="auto"/>
              </w:rPr>
            </w:pPr>
          </w:p>
        </w:tc>
      </w:tr>
      <w:tr>
        <w:trPr>
          <w:trHeight w:val="297"/>
        </w:trPr>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Abschnitt 6:</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Section 6:</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i w:val="1"/>
                <w:iCs w:val="1"/>
                <w:color w:val="auto"/>
              </w:rPr>
              <w:t>Darlehen, Kredite und Vorsorgeleistungen an</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i w:val="1"/>
                <w:iCs w:val="1"/>
                <w:color w:val="auto"/>
              </w:rPr>
              <w:t>Loans, Credits, Post-Retirement Benefits to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8"/>
                <w:szCs w:val="18"/>
                <w:i w:val="1"/>
                <w:iCs w:val="1"/>
                <w:color w:val="auto"/>
              </w:rPr>
              <w:t>die Mitglieder des Verwaltungsrats und der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8"/>
                <w:szCs w:val="18"/>
                <w:i w:val="1"/>
                <w:iCs w:val="1"/>
                <w:color w:val="auto"/>
              </w:rPr>
              <w:t>members of the Board of Directors and the</w:t>
            </w:r>
          </w:p>
        </w:tc>
        <w:tc>
          <w:tcPr>
            <w:tcW w:w="0" w:type="dxa"/>
            <w:vAlign w:val="bottom"/>
          </w:tcPr>
          <w:p>
            <w:pPr>
              <w:spacing w:after="0"/>
              <w:rPr>
                <w:sz w:val="1"/>
                <w:szCs w:val="1"/>
                <w:color w:val="auto"/>
              </w:rPr>
            </w:pPr>
          </w:p>
        </w:tc>
      </w:tr>
      <w:tr>
        <w:trPr>
          <w:trHeight w:val="235"/>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Arial" w:cs="Arial" w:eastAsia="Arial" w:hAnsi="Arial"/>
                <w:sz w:val="18"/>
                <w:szCs w:val="18"/>
                <w:i w:val="1"/>
                <w:iCs w:val="1"/>
                <w:color w:val="auto"/>
              </w:rPr>
              <w:t>Geschäftsleitung</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i w:val="1"/>
                <w:iCs w:val="1"/>
                <w:color w:val="auto"/>
              </w:rPr>
              <w:t>Executive Management</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220" w:top="144" w:right="1159" w:bottom="1440" w:gutter="0" w:footer="0" w:header="0"/>
          <w:type w:val="continuous"/>
        </w:sectPr>
      </w:pPr>
    </w:p>
    <w:bookmarkStart w:id="323" w:name="page324"/>
    <w:bookmarkEnd w:id="323"/>
    <w:p>
      <w:pPr>
        <w:ind w:left="5560"/>
        <w:spacing w:after="0"/>
        <w:rPr>
          <w:sz w:val="20"/>
          <w:szCs w:val="20"/>
          <w:color w:val="auto"/>
        </w:rPr>
      </w:pPr>
      <w:r>
        <w:rPr>
          <w:rFonts w:ascii="Arial" w:cs="Arial" w:eastAsia="Arial" w:hAnsi="Arial"/>
          <w:sz w:val="14"/>
          <w:szCs w:val="14"/>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Arial" w:cs="Arial" w:eastAsia="Arial" w:hAnsi="Arial"/>
                <w:sz w:val="18"/>
                <w:szCs w:val="18"/>
                <w:b w:val="1"/>
                <w:bCs w:val="1"/>
                <w:color w:val="auto"/>
              </w:rPr>
              <w:t>Artikel 31</w:t>
            </w:r>
          </w:p>
        </w:tc>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Article 31</w:t>
            </w:r>
          </w:p>
        </w:tc>
        <w:tc>
          <w:tcPr>
            <w:tcW w:w="0" w:type="dxa"/>
            <w:vAlign w:val="bottom"/>
          </w:tcPr>
          <w:p>
            <w:pPr>
              <w:spacing w:after="0"/>
              <w:rPr>
                <w:sz w:val="1"/>
                <w:szCs w:val="1"/>
                <w:color w:val="auto"/>
              </w:rPr>
            </w:pPr>
          </w:p>
        </w:tc>
      </w:tr>
      <w:tr>
        <w:trPr>
          <w:trHeight w:val="59"/>
        </w:trPr>
        <w:tc>
          <w:tcPr>
            <w:tcW w:w="1200" w:type="dxa"/>
            <w:vAlign w:val="bottom"/>
            <w:vMerge w:val="restart"/>
          </w:tcPr>
          <w:p>
            <w:pPr>
              <w:spacing w:after="0"/>
              <w:rPr>
                <w:sz w:val="20"/>
                <w:szCs w:val="20"/>
                <w:color w:val="auto"/>
              </w:rPr>
            </w:pPr>
            <w:r>
              <w:rPr>
                <w:rFonts w:ascii="Arial" w:cs="Arial" w:eastAsia="Arial" w:hAnsi="Arial"/>
                <w:sz w:val="14"/>
                <w:szCs w:val="14"/>
                <w:color w:val="auto"/>
              </w:rPr>
              <w:t>ehen und Kredite</w:t>
            </w:r>
          </w:p>
        </w:tc>
        <w:tc>
          <w:tcPr>
            <w:tcW w:w="5200" w:type="dxa"/>
            <w:vAlign w:val="bottom"/>
          </w:tcPr>
          <w:p>
            <w:pPr>
              <w:ind w:left="100"/>
              <w:spacing w:after="0" w:line="59" w:lineRule="exact"/>
              <w:rPr>
                <w:sz w:val="20"/>
                <w:szCs w:val="20"/>
                <w:color w:val="auto"/>
              </w:rPr>
            </w:pPr>
            <w:r>
              <w:rPr>
                <w:rFonts w:ascii="Arial" w:cs="Arial" w:eastAsia="Arial" w:hAnsi="Arial"/>
                <w:sz w:val="6"/>
                <w:szCs w:val="6"/>
                <w:color w:val="auto"/>
              </w:rPr>
              <w:t>Kredite an Mitglieder des Verwaltungsrats und der</w:t>
            </w:r>
          </w:p>
        </w:tc>
        <w:tc>
          <w:tcPr>
            <w:tcW w:w="4080" w:type="dxa"/>
            <w:vAlign w:val="bottom"/>
          </w:tcPr>
          <w:p>
            <w:pPr>
              <w:ind w:left="20"/>
              <w:spacing w:after="0" w:line="59" w:lineRule="exact"/>
              <w:rPr>
                <w:sz w:val="20"/>
                <w:szCs w:val="20"/>
                <w:color w:val="auto"/>
              </w:rPr>
            </w:pPr>
            <w:r>
              <w:rPr>
                <w:rFonts w:ascii="Arial" w:cs="Arial" w:eastAsia="Arial" w:hAnsi="Arial"/>
                <w:sz w:val="6"/>
                <w:szCs w:val="6"/>
                <w:color w:val="auto"/>
              </w:rPr>
              <w:t>Credits to members of the board of directors and</w:t>
            </w:r>
          </w:p>
        </w:tc>
        <w:tc>
          <w:tcPr>
            <w:tcW w:w="0" w:type="dxa"/>
            <w:vAlign w:val="bottom"/>
          </w:tcPr>
          <w:p>
            <w:pPr>
              <w:spacing w:after="0"/>
              <w:rPr>
                <w:sz w:val="1"/>
                <w:szCs w:val="1"/>
                <w:color w:val="auto"/>
              </w:rPr>
            </w:pPr>
          </w:p>
        </w:tc>
      </w:tr>
      <w:tr>
        <w:trPr>
          <w:trHeight w:val="172"/>
        </w:trPr>
        <w:tc>
          <w:tcPr>
            <w:tcW w:w="1200" w:type="dxa"/>
            <w:vAlign w:val="bottom"/>
            <w:vMerge w:val="continue"/>
          </w:tcPr>
          <w:p>
            <w:pPr>
              <w:spacing w:after="0"/>
              <w:rPr>
                <w:sz w:val="14"/>
                <w:szCs w:val="14"/>
                <w:color w:val="auto"/>
              </w:rPr>
            </w:pPr>
          </w:p>
        </w:tc>
        <w:tc>
          <w:tcPr>
            <w:tcW w:w="5200" w:type="dxa"/>
            <w:vAlign w:val="bottom"/>
          </w:tcPr>
          <w:p>
            <w:pPr>
              <w:ind w:left="4000"/>
              <w:spacing w:after="0"/>
              <w:rPr>
                <w:sz w:val="20"/>
                <w:szCs w:val="20"/>
                <w:color w:val="auto"/>
              </w:rPr>
            </w:pPr>
            <w:r>
              <w:rPr>
                <w:rFonts w:ascii="Arial" w:cs="Arial" w:eastAsia="Arial" w:hAnsi="Arial"/>
                <w:sz w:val="14"/>
                <w:szCs w:val="14"/>
                <w:color w:val="auto"/>
              </w:rPr>
              <w:t>Loans and Credits</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1200" w:type="dxa"/>
            <w:vAlign w:val="bottom"/>
          </w:tcPr>
          <w:p>
            <w:pPr>
              <w:spacing w:after="0"/>
              <w:rPr>
                <w:sz w:val="22"/>
                <w:szCs w:val="22"/>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Geschäftsleitung dürfen von der Gesellschaft</w:t>
            </w:r>
          </w:p>
        </w:tc>
        <w:tc>
          <w:tcPr>
            <w:tcW w:w="4080" w:type="dxa"/>
            <w:vAlign w:val="bottom"/>
          </w:tcPr>
          <w:p>
            <w:pPr>
              <w:ind w:left="420"/>
              <w:spacing w:after="0"/>
              <w:rPr>
                <w:sz w:val="20"/>
                <w:szCs w:val="20"/>
                <w:color w:val="auto"/>
              </w:rPr>
            </w:pPr>
            <w:r>
              <w:rPr>
                <w:rFonts w:ascii="Arial" w:cs="Arial" w:eastAsia="Arial" w:hAnsi="Arial"/>
                <w:sz w:val="18"/>
                <w:szCs w:val="18"/>
                <w:color w:val="auto"/>
              </w:rPr>
              <w:t>the executive management can solely be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oder von ihr kontrollierten Gesellschaften nur</w:t>
            </w:r>
          </w:p>
        </w:tc>
        <w:tc>
          <w:tcPr>
            <w:tcW w:w="4080" w:type="dxa"/>
            <w:vAlign w:val="bottom"/>
          </w:tcPr>
          <w:p>
            <w:pPr>
              <w:ind w:left="420"/>
              <w:spacing w:after="0"/>
              <w:rPr>
                <w:sz w:val="20"/>
                <w:szCs w:val="20"/>
                <w:color w:val="auto"/>
              </w:rPr>
            </w:pPr>
            <w:r>
              <w:rPr>
                <w:rFonts w:ascii="Arial" w:cs="Arial" w:eastAsia="Arial" w:hAnsi="Arial"/>
                <w:sz w:val="18"/>
                <w:szCs w:val="18"/>
                <w:color w:val="auto"/>
              </w:rPr>
              <w:t>granted at standard market rates and the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zu Marktbedingungen und nur solange</w:t>
            </w:r>
          </w:p>
        </w:tc>
        <w:tc>
          <w:tcPr>
            <w:tcW w:w="4080" w:type="dxa"/>
            <w:vAlign w:val="bottom"/>
          </w:tcPr>
          <w:p>
            <w:pPr>
              <w:ind w:left="420"/>
              <w:spacing w:after="0"/>
              <w:rPr>
                <w:sz w:val="20"/>
                <w:szCs w:val="20"/>
                <w:color w:val="auto"/>
              </w:rPr>
            </w:pPr>
            <w:r>
              <w:rPr>
                <w:rFonts w:ascii="Arial" w:cs="Arial" w:eastAsia="Arial" w:hAnsi="Arial"/>
                <w:sz w:val="18"/>
                <w:szCs w:val="18"/>
                <w:color w:val="auto"/>
              </w:rPr>
              <w:t>aggregate amount of credit to the member of</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ausgerichtet werden, als die Gesamtsumme</w:t>
            </w:r>
          </w:p>
        </w:tc>
        <w:tc>
          <w:tcPr>
            <w:tcW w:w="4080" w:type="dxa"/>
            <w:vAlign w:val="bottom"/>
          </w:tcPr>
          <w:p>
            <w:pPr>
              <w:ind w:left="420"/>
              <w:spacing w:after="0"/>
              <w:rPr>
                <w:sz w:val="20"/>
                <w:szCs w:val="20"/>
                <w:color w:val="auto"/>
              </w:rPr>
            </w:pPr>
            <w:r>
              <w:rPr>
                <w:rFonts w:ascii="Arial" w:cs="Arial" w:eastAsia="Arial" w:hAnsi="Arial"/>
                <w:sz w:val="18"/>
                <w:szCs w:val="18"/>
                <w:color w:val="auto"/>
              </w:rPr>
              <w:t>the board of directors or executive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der insgesamt ausstehenden Kredite an dieses</w:t>
            </w:r>
          </w:p>
        </w:tc>
        <w:tc>
          <w:tcPr>
            <w:tcW w:w="4080" w:type="dxa"/>
            <w:vAlign w:val="bottom"/>
          </w:tcPr>
          <w:p>
            <w:pPr>
              <w:ind w:left="420"/>
              <w:spacing w:after="0"/>
              <w:rPr>
                <w:sz w:val="20"/>
                <w:szCs w:val="20"/>
                <w:color w:val="auto"/>
              </w:rPr>
            </w:pPr>
            <w:r>
              <w:rPr>
                <w:rFonts w:ascii="Arial" w:cs="Arial" w:eastAsia="Arial" w:hAnsi="Arial"/>
                <w:sz w:val="18"/>
                <w:szCs w:val="18"/>
                <w:color w:val="auto"/>
                <w:w w:val="99"/>
              </w:rPr>
              <w:t>management may not exceed double the total</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Mitglied des Verwaltungsrats oder der</w:t>
            </w:r>
          </w:p>
        </w:tc>
        <w:tc>
          <w:tcPr>
            <w:tcW w:w="4080" w:type="dxa"/>
            <w:vAlign w:val="bottom"/>
          </w:tcPr>
          <w:p>
            <w:pPr>
              <w:ind w:left="420"/>
              <w:spacing w:after="0"/>
              <w:rPr>
                <w:sz w:val="20"/>
                <w:szCs w:val="20"/>
                <w:color w:val="auto"/>
              </w:rPr>
            </w:pPr>
            <w:r>
              <w:rPr>
                <w:rFonts w:ascii="Arial" w:cs="Arial" w:eastAsia="Arial" w:hAnsi="Arial"/>
                <w:sz w:val="18"/>
                <w:szCs w:val="18"/>
                <w:color w:val="auto"/>
              </w:rPr>
              <w:t>annual compensation of the respective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Geschäftsleitung einschliesslich der zu</w:t>
            </w:r>
          </w:p>
        </w:tc>
        <w:tc>
          <w:tcPr>
            <w:tcW w:w="4080" w:type="dxa"/>
            <w:vAlign w:val="bottom"/>
          </w:tcPr>
          <w:p>
            <w:pPr>
              <w:ind w:left="420"/>
              <w:spacing w:after="0"/>
              <w:rPr>
                <w:sz w:val="20"/>
                <w:szCs w:val="20"/>
                <w:color w:val="auto"/>
              </w:rPr>
            </w:pPr>
            <w:r>
              <w:rPr>
                <w:rFonts w:ascii="Arial" w:cs="Arial" w:eastAsia="Arial" w:hAnsi="Arial"/>
                <w:sz w:val="18"/>
                <w:szCs w:val="18"/>
                <w:color w:val="auto"/>
              </w:rPr>
              <w:t>member of the executive management last</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gewährenden Kredite das Zweifache der</w:t>
            </w:r>
          </w:p>
        </w:tc>
        <w:tc>
          <w:tcPr>
            <w:tcW w:w="4080" w:type="dxa"/>
            <w:vAlign w:val="bottom"/>
          </w:tcPr>
          <w:p>
            <w:pPr>
              <w:ind w:left="420"/>
              <w:spacing w:after="0"/>
              <w:rPr>
                <w:sz w:val="20"/>
                <w:szCs w:val="20"/>
                <w:color w:val="auto"/>
              </w:rPr>
            </w:pPr>
            <w:r>
              <w:rPr>
                <w:rFonts w:ascii="Arial" w:cs="Arial" w:eastAsia="Arial" w:hAnsi="Arial"/>
                <w:sz w:val="18"/>
                <w:szCs w:val="18"/>
                <w:color w:val="auto"/>
              </w:rPr>
              <w:t>paid or payable for the first time.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letztmalig an dieses Mitglied bezahlten oder</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5200" w:type="dxa"/>
            <w:vAlign w:val="bottom"/>
          </w:tcPr>
          <w:p>
            <w:pPr>
              <w:ind w:left="500"/>
              <w:spacing w:after="0"/>
              <w:rPr>
                <w:sz w:val="20"/>
                <w:szCs w:val="20"/>
                <w:color w:val="auto"/>
              </w:rPr>
            </w:pPr>
            <w:r>
              <w:rPr>
                <w:rFonts w:ascii="Arial" w:cs="Arial" w:eastAsia="Arial" w:hAnsi="Arial"/>
                <w:sz w:val="18"/>
                <w:szCs w:val="18"/>
                <w:color w:val="auto"/>
              </w:rPr>
              <w:t>erstmaligen Jahresvergütung nicht übersteigt.</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20"/>
          </w:cols>
          <w:pgMar w:left="220" w:top="144" w:right="1159" w:bottom="1440" w:gutter="0" w:footer="0" w:header="0"/>
        </w:sectPr>
      </w:pPr>
    </w:p>
    <w:p>
      <w:pPr>
        <w:spacing w:after="0" w:line="399" w:lineRule="exact"/>
        <w:rPr>
          <w:sz w:val="20"/>
          <w:szCs w:val="20"/>
          <w:color w:val="auto"/>
        </w:rPr>
      </w:pPr>
    </w:p>
    <w:p>
      <w:pPr>
        <w:ind w:left="120" w:hanging="116"/>
        <w:spacing w:after="0" w:line="247" w:lineRule="auto"/>
        <w:rPr>
          <w:sz w:val="20"/>
          <w:szCs w:val="20"/>
          <w:color w:val="auto"/>
        </w:rPr>
      </w:pPr>
      <w:r>
        <w:rPr>
          <w:rFonts w:ascii="Arial" w:cs="Arial" w:eastAsia="Arial" w:hAnsi="Arial"/>
          <w:sz w:val="14"/>
          <w:szCs w:val="14"/>
          <w:color w:val="auto"/>
        </w:rPr>
        <w:t>orgeleistungen ausserhalb der beruflichen Vorsorge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880" w:type="dxa"/>
            <w:vAlign w:val="bottom"/>
          </w:tcPr>
          <w:p>
            <w:pPr>
              <w:spacing w:after="0"/>
              <w:rPr>
                <w:sz w:val="20"/>
                <w:szCs w:val="20"/>
                <w:color w:val="auto"/>
              </w:rPr>
            </w:pPr>
            <w:r>
              <w:rPr>
                <w:rFonts w:ascii="Arial" w:cs="Arial" w:eastAsia="Arial" w:hAnsi="Arial"/>
                <w:sz w:val="18"/>
                <w:szCs w:val="18"/>
                <w:b w:val="1"/>
                <w:bCs w:val="1"/>
                <w:color w:val="auto"/>
              </w:rPr>
              <w:t>Artikel 32</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160" w:type="dxa"/>
            <w:vAlign w:val="bottom"/>
            <w:gridSpan w:val="2"/>
          </w:tcPr>
          <w:p>
            <w:pPr>
              <w:ind w:left="80"/>
              <w:spacing w:after="0"/>
              <w:rPr>
                <w:sz w:val="20"/>
                <w:szCs w:val="20"/>
                <w:color w:val="auto"/>
              </w:rPr>
            </w:pPr>
            <w:r>
              <w:rPr>
                <w:rFonts w:ascii="Arial" w:cs="Arial" w:eastAsia="Arial" w:hAnsi="Arial"/>
                <w:sz w:val="18"/>
                <w:szCs w:val="18"/>
                <w:b w:val="1"/>
                <w:bCs w:val="1"/>
                <w:color w:val="auto"/>
              </w:rPr>
              <w:t>Article 32</w:t>
            </w:r>
          </w:p>
        </w:tc>
        <w:tc>
          <w:tcPr>
            <w:tcW w:w="0" w:type="dxa"/>
            <w:vAlign w:val="bottom"/>
          </w:tcPr>
          <w:p>
            <w:pPr>
              <w:spacing w:after="0"/>
              <w:rPr>
                <w:sz w:val="1"/>
                <w:szCs w:val="1"/>
                <w:color w:val="auto"/>
              </w:rPr>
            </w:pPr>
          </w:p>
        </w:tc>
      </w:tr>
      <w:tr>
        <w:trPr>
          <w:trHeight w:val="221"/>
        </w:trPr>
        <w:tc>
          <w:tcPr>
            <w:tcW w:w="3880" w:type="dxa"/>
            <w:vAlign w:val="bottom"/>
          </w:tcPr>
          <w:p>
            <w:pPr>
              <w:spacing w:after="0"/>
              <w:rPr>
                <w:sz w:val="20"/>
                <w:szCs w:val="20"/>
                <w:color w:val="auto"/>
              </w:rPr>
            </w:pPr>
            <w:r>
              <w:rPr>
                <w:rFonts w:ascii="Arial" w:cs="Arial" w:eastAsia="Arial" w:hAnsi="Arial"/>
                <w:sz w:val="18"/>
                <w:szCs w:val="18"/>
                <w:color w:val="auto"/>
              </w:rPr>
              <w:t>Vorbehältlich der Genehmigung durch die</w:t>
            </w:r>
          </w:p>
        </w:tc>
        <w:tc>
          <w:tcPr>
            <w:tcW w:w="1160" w:type="dxa"/>
            <w:vAlign w:val="bottom"/>
            <w:gridSpan w:val="2"/>
          </w:tcPr>
          <w:p>
            <w:pPr>
              <w:ind w:left="20"/>
              <w:spacing w:after="0"/>
              <w:rPr>
                <w:sz w:val="20"/>
                <w:szCs w:val="20"/>
                <w:color w:val="auto"/>
              </w:rPr>
            </w:pPr>
            <w:r>
              <w:rPr>
                <w:rFonts w:ascii="Arial" w:cs="Arial" w:eastAsia="Arial" w:hAnsi="Arial"/>
                <w:sz w:val="14"/>
                <w:szCs w:val="14"/>
                <w:color w:val="auto"/>
              </w:rPr>
              <w:t>Post-Retirement</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Subject to the approval by the meeting of</w:t>
            </w:r>
          </w:p>
        </w:tc>
        <w:tc>
          <w:tcPr>
            <w:tcW w:w="0" w:type="dxa"/>
            <w:vAlign w:val="bottom"/>
          </w:tcPr>
          <w:p>
            <w:pPr>
              <w:spacing w:after="0"/>
              <w:rPr>
                <w:sz w:val="1"/>
                <w:szCs w:val="1"/>
                <w:color w:val="auto"/>
              </w:rPr>
            </w:pPr>
          </w:p>
        </w:tc>
      </w:tr>
      <w:tr>
        <w:trPr>
          <w:trHeight w:val="211"/>
        </w:trPr>
        <w:tc>
          <w:tcPr>
            <w:tcW w:w="4220" w:type="dxa"/>
            <w:vAlign w:val="bottom"/>
            <w:gridSpan w:val="2"/>
          </w:tcPr>
          <w:p>
            <w:pPr>
              <w:ind w:left="400"/>
              <w:spacing w:after="0"/>
              <w:rPr>
                <w:sz w:val="20"/>
                <w:szCs w:val="20"/>
                <w:color w:val="auto"/>
              </w:rPr>
            </w:pPr>
            <w:r>
              <w:rPr>
                <w:rFonts w:ascii="Arial" w:cs="Arial" w:eastAsia="Arial" w:hAnsi="Arial"/>
                <w:sz w:val="18"/>
                <w:szCs w:val="18"/>
                <w:color w:val="auto"/>
              </w:rPr>
              <w:t>Generalversammlung gemäss Artikel 28 dieser</w:t>
            </w:r>
          </w:p>
        </w:tc>
        <w:tc>
          <w:tcPr>
            <w:tcW w:w="820" w:type="dxa"/>
            <w:vAlign w:val="bottom"/>
          </w:tcPr>
          <w:p>
            <w:pPr>
              <w:ind w:left="100"/>
              <w:spacing w:after="0"/>
              <w:rPr>
                <w:sz w:val="20"/>
                <w:szCs w:val="20"/>
                <w:color w:val="auto"/>
              </w:rPr>
            </w:pPr>
            <w:r>
              <w:rPr>
                <w:rFonts w:ascii="Arial" w:cs="Arial" w:eastAsia="Arial" w:hAnsi="Arial"/>
                <w:sz w:val="14"/>
                <w:szCs w:val="14"/>
                <w:color w:val="auto"/>
              </w:rPr>
              <w:t>Benefits</w:t>
            </w: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shareholders pursuant to Article 28 of these</w:t>
            </w:r>
          </w:p>
        </w:tc>
        <w:tc>
          <w:tcPr>
            <w:tcW w:w="0" w:type="dxa"/>
            <w:vAlign w:val="bottom"/>
          </w:tcPr>
          <w:p>
            <w:pPr>
              <w:spacing w:after="0"/>
              <w:rPr>
                <w:sz w:val="1"/>
                <w:szCs w:val="1"/>
                <w:color w:val="auto"/>
              </w:rPr>
            </w:pPr>
          </w:p>
        </w:tc>
      </w:tr>
      <w:tr>
        <w:trPr>
          <w:trHeight w:val="113"/>
        </w:trPr>
        <w:tc>
          <w:tcPr>
            <w:tcW w:w="4220" w:type="dxa"/>
            <w:vAlign w:val="bottom"/>
            <w:gridSpan w:val="2"/>
            <w:vMerge w:val="restart"/>
          </w:tcPr>
          <w:p>
            <w:pPr>
              <w:ind w:left="400"/>
              <w:spacing w:after="0"/>
              <w:rPr>
                <w:sz w:val="20"/>
                <w:szCs w:val="20"/>
                <w:color w:val="auto"/>
              </w:rPr>
            </w:pPr>
            <w:r>
              <w:rPr>
                <w:rFonts w:ascii="Arial" w:cs="Arial" w:eastAsia="Arial" w:hAnsi="Arial"/>
                <w:sz w:val="18"/>
                <w:szCs w:val="18"/>
                <w:color w:val="auto"/>
              </w:rPr>
              <w:t>Statuten können die Gesellschaft oder von ihr</w:t>
            </w:r>
          </w:p>
        </w:tc>
        <w:tc>
          <w:tcPr>
            <w:tcW w:w="820" w:type="dxa"/>
            <w:vAlign w:val="bottom"/>
          </w:tcPr>
          <w:p>
            <w:pPr>
              <w:ind w:left="100"/>
              <w:spacing w:after="0" w:line="113" w:lineRule="exact"/>
              <w:rPr>
                <w:sz w:val="20"/>
                <w:szCs w:val="20"/>
                <w:color w:val="auto"/>
              </w:rPr>
            </w:pPr>
            <w:r>
              <w:rPr>
                <w:rFonts w:ascii="Arial" w:cs="Arial" w:eastAsia="Arial" w:hAnsi="Arial"/>
                <w:sz w:val="13"/>
                <w:szCs w:val="13"/>
                <w:color w:val="auto"/>
              </w:rPr>
              <w:t>beyond</w:t>
            </w:r>
          </w:p>
        </w:tc>
        <w:tc>
          <w:tcPr>
            <w:tcW w:w="300" w:type="dxa"/>
            <w:vAlign w:val="bottom"/>
          </w:tcPr>
          <w:p>
            <w:pPr>
              <w:spacing w:after="0"/>
              <w:rPr>
                <w:sz w:val="9"/>
                <w:szCs w:val="9"/>
                <w:color w:val="auto"/>
              </w:rPr>
            </w:pPr>
          </w:p>
        </w:tc>
        <w:tc>
          <w:tcPr>
            <w:tcW w:w="3860" w:type="dxa"/>
            <w:vAlign w:val="bottom"/>
            <w:vMerge w:val="restart"/>
          </w:tcPr>
          <w:p>
            <w:pPr>
              <w:ind w:left="180"/>
              <w:spacing w:after="0"/>
              <w:rPr>
                <w:sz w:val="20"/>
                <w:szCs w:val="20"/>
                <w:color w:val="auto"/>
              </w:rPr>
            </w:pPr>
            <w:r>
              <w:rPr>
                <w:rFonts w:ascii="Arial" w:cs="Arial" w:eastAsia="Arial" w:hAnsi="Arial"/>
                <w:sz w:val="18"/>
                <w:szCs w:val="18"/>
                <w:color w:val="auto"/>
              </w:rPr>
              <w:t>Articles of Incorporation, the Company or</w:t>
            </w:r>
          </w:p>
        </w:tc>
        <w:tc>
          <w:tcPr>
            <w:tcW w:w="0" w:type="dxa"/>
            <w:vAlign w:val="bottom"/>
          </w:tcPr>
          <w:p>
            <w:pPr>
              <w:spacing w:after="0"/>
              <w:rPr>
                <w:sz w:val="1"/>
                <w:szCs w:val="1"/>
                <w:color w:val="auto"/>
              </w:rPr>
            </w:pPr>
          </w:p>
        </w:tc>
      </w:tr>
      <w:tr>
        <w:trPr>
          <w:trHeight w:val="156"/>
        </w:trPr>
        <w:tc>
          <w:tcPr>
            <w:tcW w:w="4220" w:type="dxa"/>
            <w:vAlign w:val="bottom"/>
            <w:gridSpan w:val="2"/>
            <w:vMerge w:val="continue"/>
          </w:tcPr>
          <w:p>
            <w:pPr>
              <w:spacing w:after="0"/>
              <w:rPr>
                <w:sz w:val="13"/>
                <w:szCs w:val="13"/>
                <w:color w:val="auto"/>
              </w:rPr>
            </w:pPr>
          </w:p>
        </w:tc>
        <w:tc>
          <w:tcPr>
            <w:tcW w:w="112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Occupational</w:t>
            </w:r>
          </w:p>
        </w:tc>
        <w:tc>
          <w:tcPr>
            <w:tcW w:w="3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20" w:type="dxa"/>
            <w:vAlign w:val="bottom"/>
            <w:gridSpan w:val="2"/>
          </w:tcPr>
          <w:p>
            <w:pPr>
              <w:ind w:left="400"/>
              <w:spacing w:after="0" w:line="168" w:lineRule="exact"/>
              <w:rPr>
                <w:sz w:val="20"/>
                <w:szCs w:val="20"/>
                <w:color w:val="auto"/>
              </w:rPr>
            </w:pPr>
            <w:r>
              <w:rPr>
                <w:rFonts w:ascii="Arial" w:cs="Arial" w:eastAsia="Arial" w:hAnsi="Arial"/>
                <w:sz w:val="18"/>
                <w:szCs w:val="18"/>
                <w:color w:val="auto"/>
              </w:rPr>
              <w:t>kontrollierte Gesellschaften an Mitglieder des</w:t>
            </w:r>
          </w:p>
        </w:tc>
        <w:tc>
          <w:tcPr>
            <w:tcW w:w="820" w:type="dxa"/>
            <w:vAlign w:val="bottom"/>
          </w:tcPr>
          <w:p>
            <w:pPr>
              <w:ind w:left="100"/>
              <w:spacing w:after="0"/>
              <w:rPr>
                <w:sz w:val="20"/>
                <w:szCs w:val="20"/>
                <w:color w:val="auto"/>
              </w:rPr>
            </w:pPr>
            <w:r>
              <w:rPr>
                <w:rFonts w:ascii="Arial" w:cs="Arial" w:eastAsia="Arial" w:hAnsi="Arial"/>
                <w:sz w:val="14"/>
                <w:szCs w:val="14"/>
                <w:color w:val="auto"/>
              </w:rPr>
              <w:t>Benefit</w:t>
            </w:r>
          </w:p>
        </w:tc>
        <w:tc>
          <w:tcPr>
            <w:tcW w:w="300" w:type="dxa"/>
            <w:vAlign w:val="bottom"/>
          </w:tcPr>
          <w:p>
            <w:pPr>
              <w:spacing w:after="0"/>
              <w:rPr>
                <w:sz w:val="14"/>
                <w:szCs w:val="14"/>
                <w:color w:val="auto"/>
              </w:rPr>
            </w:pPr>
          </w:p>
        </w:tc>
        <w:tc>
          <w:tcPr>
            <w:tcW w:w="3860" w:type="dxa"/>
            <w:vAlign w:val="bottom"/>
          </w:tcPr>
          <w:p>
            <w:pPr>
              <w:ind w:left="180"/>
              <w:spacing w:after="0" w:line="168" w:lineRule="exact"/>
              <w:rPr>
                <w:sz w:val="20"/>
                <w:szCs w:val="20"/>
                <w:color w:val="auto"/>
              </w:rPr>
            </w:pPr>
            <w:r>
              <w:rPr>
                <w:rFonts w:ascii="Arial" w:cs="Arial" w:eastAsia="Arial" w:hAnsi="Arial"/>
                <w:sz w:val="18"/>
                <w:szCs w:val="18"/>
                <w:color w:val="auto"/>
              </w:rPr>
              <w:t>companies under its control may grant to</w:t>
            </w:r>
          </w:p>
        </w:tc>
        <w:tc>
          <w:tcPr>
            <w:tcW w:w="0" w:type="dxa"/>
            <w:vAlign w:val="bottom"/>
          </w:tcPr>
          <w:p>
            <w:pPr>
              <w:spacing w:after="0"/>
              <w:rPr>
                <w:sz w:val="1"/>
                <w:szCs w:val="1"/>
                <w:color w:val="auto"/>
              </w:rPr>
            </w:pPr>
          </w:p>
        </w:tc>
      </w:tr>
      <w:tr>
        <w:trPr>
          <w:trHeight w:val="172"/>
        </w:trPr>
        <w:tc>
          <w:tcPr>
            <w:tcW w:w="3880" w:type="dxa"/>
            <w:vAlign w:val="bottom"/>
            <w:vMerge w:val="restart"/>
          </w:tcPr>
          <w:p>
            <w:pPr>
              <w:ind w:left="400"/>
              <w:spacing w:after="0"/>
              <w:rPr>
                <w:sz w:val="20"/>
                <w:szCs w:val="20"/>
                <w:color w:val="auto"/>
              </w:rPr>
            </w:pPr>
            <w:r>
              <w:rPr>
                <w:rFonts w:ascii="Arial" w:cs="Arial" w:eastAsia="Arial" w:hAnsi="Arial"/>
                <w:sz w:val="18"/>
                <w:szCs w:val="18"/>
                <w:color w:val="auto"/>
              </w:rPr>
              <w:t>Verwaltungsrates und der Geschäftsleitung</w:t>
            </w:r>
          </w:p>
        </w:tc>
        <w:tc>
          <w:tcPr>
            <w:tcW w:w="34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4"/>
                <w:szCs w:val="14"/>
                <w:color w:val="auto"/>
              </w:rPr>
              <w:t>Scheme</w:t>
            </w:r>
          </w:p>
        </w:tc>
        <w:tc>
          <w:tcPr>
            <w:tcW w:w="300" w:type="dxa"/>
            <w:vAlign w:val="bottom"/>
          </w:tcPr>
          <w:p>
            <w:pPr>
              <w:spacing w:after="0"/>
              <w:rPr>
                <w:sz w:val="14"/>
                <w:szCs w:val="14"/>
                <w:color w:val="auto"/>
              </w:rPr>
            </w:pPr>
          </w:p>
        </w:tc>
        <w:tc>
          <w:tcPr>
            <w:tcW w:w="3860" w:type="dxa"/>
            <w:vAlign w:val="bottom"/>
            <w:vMerge w:val="restart"/>
          </w:tcPr>
          <w:p>
            <w:pPr>
              <w:ind w:left="180"/>
              <w:spacing w:after="0"/>
              <w:rPr>
                <w:sz w:val="20"/>
                <w:szCs w:val="20"/>
                <w:color w:val="auto"/>
              </w:rPr>
            </w:pPr>
            <w:r>
              <w:rPr>
                <w:rFonts w:ascii="Arial" w:cs="Arial" w:eastAsia="Arial" w:hAnsi="Arial"/>
                <w:sz w:val="18"/>
                <w:szCs w:val="18"/>
                <w:color w:val="auto"/>
              </w:rPr>
              <w:t>members of the board of directors or the</w:t>
            </w:r>
          </w:p>
        </w:tc>
        <w:tc>
          <w:tcPr>
            <w:tcW w:w="0" w:type="dxa"/>
            <w:vAlign w:val="bottom"/>
          </w:tcPr>
          <w:p>
            <w:pPr>
              <w:spacing w:after="0"/>
              <w:rPr>
                <w:sz w:val="1"/>
                <w:szCs w:val="1"/>
                <w:color w:val="auto"/>
              </w:rPr>
            </w:pPr>
          </w:p>
        </w:tc>
      </w:tr>
      <w:tr>
        <w:trPr>
          <w:trHeight w:val="92"/>
        </w:trPr>
        <w:tc>
          <w:tcPr>
            <w:tcW w:w="38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400"/>
              <w:spacing w:after="0"/>
              <w:rPr>
                <w:sz w:val="20"/>
                <w:szCs w:val="20"/>
                <w:color w:val="auto"/>
              </w:rPr>
            </w:pPr>
            <w:r>
              <w:rPr>
                <w:rFonts w:ascii="Arial" w:cs="Arial" w:eastAsia="Arial" w:hAnsi="Arial"/>
                <w:sz w:val="18"/>
                <w:szCs w:val="18"/>
                <w:color w:val="auto"/>
              </w:rPr>
              <w:t>Vorsorgeleistungen ausserhalb der beruflichen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executive management post-retirement</w:t>
            </w:r>
          </w:p>
        </w:tc>
        <w:tc>
          <w:tcPr>
            <w:tcW w:w="0" w:type="dxa"/>
            <w:vAlign w:val="bottom"/>
          </w:tcPr>
          <w:p>
            <w:pPr>
              <w:spacing w:after="0"/>
              <w:rPr>
                <w:sz w:val="1"/>
                <w:szCs w:val="1"/>
                <w:color w:val="auto"/>
              </w:rPr>
            </w:pPr>
          </w:p>
        </w:tc>
      </w:tr>
      <w:tr>
        <w:trPr>
          <w:trHeight w:val="216"/>
        </w:trPr>
        <w:tc>
          <w:tcPr>
            <w:tcW w:w="3880" w:type="dxa"/>
            <w:vAlign w:val="bottom"/>
          </w:tcPr>
          <w:p>
            <w:pPr>
              <w:ind w:left="400"/>
              <w:spacing w:after="0"/>
              <w:rPr>
                <w:sz w:val="20"/>
                <w:szCs w:val="20"/>
                <w:color w:val="auto"/>
              </w:rPr>
            </w:pPr>
            <w:r>
              <w:rPr>
                <w:rFonts w:ascii="Arial" w:cs="Arial" w:eastAsia="Arial" w:hAnsi="Arial"/>
                <w:sz w:val="18"/>
                <w:szCs w:val="18"/>
                <w:color w:val="auto"/>
              </w:rPr>
              <w:t>Vorsorge ausrichten, soweit solche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benefits beyond the occupational benefit</w:t>
            </w:r>
          </w:p>
        </w:tc>
        <w:tc>
          <w:tcPr>
            <w:tcW w:w="0" w:type="dxa"/>
            <w:vAlign w:val="bottom"/>
          </w:tcPr>
          <w:p>
            <w:pPr>
              <w:spacing w:after="0"/>
              <w:rPr>
                <w:sz w:val="1"/>
                <w:szCs w:val="1"/>
                <w:color w:val="auto"/>
              </w:rPr>
            </w:pPr>
          </w:p>
        </w:tc>
      </w:tr>
      <w:tr>
        <w:trPr>
          <w:trHeight w:val="216"/>
        </w:trPr>
        <w:tc>
          <w:tcPr>
            <w:tcW w:w="3880" w:type="dxa"/>
            <w:vAlign w:val="bottom"/>
          </w:tcPr>
          <w:p>
            <w:pPr>
              <w:ind w:left="400"/>
              <w:spacing w:after="0"/>
              <w:rPr>
                <w:sz w:val="20"/>
                <w:szCs w:val="20"/>
                <w:color w:val="auto"/>
              </w:rPr>
            </w:pPr>
            <w:r>
              <w:rPr>
                <w:rFonts w:ascii="Arial" w:cs="Arial" w:eastAsia="Arial" w:hAnsi="Arial"/>
                <w:sz w:val="18"/>
                <w:szCs w:val="18"/>
                <w:color w:val="auto"/>
              </w:rPr>
              <w:t>Vorsorgeleistungen 100% der letztmalig an</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scheme, if such post-retirement benefits do</w:t>
            </w:r>
          </w:p>
        </w:tc>
        <w:tc>
          <w:tcPr>
            <w:tcW w:w="0" w:type="dxa"/>
            <w:vAlign w:val="bottom"/>
          </w:tcPr>
          <w:p>
            <w:pPr>
              <w:spacing w:after="0"/>
              <w:rPr>
                <w:sz w:val="1"/>
                <w:szCs w:val="1"/>
                <w:color w:val="auto"/>
              </w:rPr>
            </w:pPr>
          </w:p>
        </w:tc>
      </w:tr>
      <w:tr>
        <w:trPr>
          <w:trHeight w:val="216"/>
        </w:trPr>
        <w:tc>
          <w:tcPr>
            <w:tcW w:w="3880" w:type="dxa"/>
            <w:vAlign w:val="bottom"/>
          </w:tcPr>
          <w:p>
            <w:pPr>
              <w:ind w:left="400"/>
              <w:spacing w:after="0"/>
              <w:rPr>
                <w:sz w:val="20"/>
                <w:szCs w:val="20"/>
                <w:color w:val="auto"/>
              </w:rPr>
            </w:pPr>
            <w:r>
              <w:rPr>
                <w:rFonts w:ascii="Arial" w:cs="Arial" w:eastAsia="Arial" w:hAnsi="Arial"/>
                <w:sz w:val="18"/>
                <w:szCs w:val="18"/>
                <w:color w:val="auto"/>
              </w:rPr>
              <w:t>dieses Mitglied bezahlten Jahresvergütung</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not exceed 100% of the total annual</w:t>
            </w:r>
          </w:p>
        </w:tc>
        <w:tc>
          <w:tcPr>
            <w:tcW w:w="0" w:type="dxa"/>
            <w:vAlign w:val="bottom"/>
          </w:tcPr>
          <w:p>
            <w:pPr>
              <w:spacing w:after="0"/>
              <w:rPr>
                <w:sz w:val="1"/>
                <w:szCs w:val="1"/>
                <w:color w:val="auto"/>
              </w:rPr>
            </w:pPr>
          </w:p>
        </w:tc>
      </w:tr>
      <w:tr>
        <w:trPr>
          <w:trHeight w:val="216"/>
        </w:trPr>
        <w:tc>
          <w:tcPr>
            <w:tcW w:w="3880" w:type="dxa"/>
            <w:vAlign w:val="bottom"/>
          </w:tcPr>
          <w:p>
            <w:pPr>
              <w:ind w:left="400"/>
              <w:spacing w:after="0"/>
              <w:rPr>
                <w:sz w:val="20"/>
                <w:szCs w:val="20"/>
                <w:color w:val="auto"/>
              </w:rPr>
            </w:pPr>
            <w:r>
              <w:rPr>
                <w:rFonts w:ascii="Arial" w:cs="Arial" w:eastAsia="Arial" w:hAnsi="Arial"/>
                <w:sz w:val="18"/>
                <w:szCs w:val="18"/>
                <w:color w:val="auto"/>
              </w:rPr>
              <w:t>nicht übersteigen. Im Fall von</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compensation of the respective member last</w:t>
            </w:r>
          </w:p>
        </w:tc>
        <w:tc>
          <w:tcPr>
            <w:tcW w:w="0" w:type="dxa"/>
            <w:vAlign w:val="bottom"/>
          </w:tcPr>
          <w:p>
            <w:pPr>
              <w:spacing w:after="0"/>
              <w:rPr>
                <w:sz w:val="1"/>
                <w:szCs w:val="1"/>
                <w:color w:val="auto"/>
              </w:rPr>
            </w:pPr>
          </w:p>
        </w:tc>
      </w:tr>
      <w:tr>
        <w:trPr>
          <w:trHeight w:val="216"/>
        </w:trPr>
        <w:tc>
          <w:tcPr>
            <w:tcW w:w="3880" w:type="dxa"/>
            <w:vAlign w:val="bottom"/>
          </w:tcPr>
          <w:p>
            <w:pPr>
              <w:ind w:left="400"/>
              <w:spacing w:after="0"/>
              <w:rPr>
                <w:sz w:val="20"/>
                <w:szCs w:val="20"/>
                <w:color w:val="auto"/>
              </w:rPr>
            </w:pPr>
            <w:r>
              <w:rPr>
                <w:rFonts w:ascii="Arial" w:cs="Arial" w:eastAsia="Arial" w:hAnsi="Arial"/>
                <w:sz w:val="18"/>
                <w:szCs w:val="18"/>
                <w:color w:val="auto"/>
              </w:rPr>
              <w:t>Kapitalabfindungen wird der Wert aufgrund</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paid. In case of capital settlements, the value</w:t>
            </w:r>
          </w:p>
        </w:tc>
        <w:tc>
          <w:tcPr>
            <w:tcW w:w="0" w:type="dxa"/>
            <w:vAlign w:val="bottom"/>
          </w:tcPr>
          <w:p>
            <w:pPr>
              <w:spacing w:after="0"/>
              <w:rPr>
                <w:sz w:val="1"/>
                <w:szCs w:val="1"/>
                <w:color w:val="auto"/>
              </w:rPr>
            </w:pPr>
          </w:p>
        </w:tc>
      </w:tr>
      <w:tr>
        <w:trPr>
          <w:trHeight w:val="216"/>
        </w:trPr>
        <w:tc>
          <w:tcPr>
            <w:tcW w:w="3880" w:type="dxa"/>
            <w:vAlign w:val="bottom"/>
          </w:tcPr>
          <w:p>
            <w:pPr>
              <w:ind w:left="400"/>
              <w:spacing w:after="0"/>
              <w:rPr>
                <w:sz w:val="20"/>
                <w:szCs w:val="20"/>
                <w:color w:val="auto"/>
              </w:rPr>
            </w:pPr>
            <w:r>
              <w:rPr>
                <w:rFonts w:ascii="Arial" w:cs="Arial" w:eastAsia="Arial" w:hAnsi="Arial"/>
                <w:sz w:val="18"/>
                <w:szCs w:val="18"/>
                <w:color w:val="auto"/>
              </w:rPr>
              <w:t>anerkannter versicherungsmathematischer</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w w:val="99"/>
              </w:rPr>
              <w:t>is determined by recognized actuary methods.</w:t>
            </w:r>
          </w:p>
        </w:tc>
        <w:tc>
          <w:tcPr>
            <w:tcW w:w="0" w:type="dxa"/>
            <w:vAlign w:val="bottom"/>
          </w:tcPr>
          <w:p>
            <w:pPr>
              <w:spacing w:after="0"/>
              <w:rPr>
                <w:sz w:val="1"/>
                <w:szCs w:val="1"/>
                <w:color w:val="auto"/>
              </w:rPr>
            </w:pPr>
          </w:p>
        </w:tc>
      </w:tr>
      <w:tr>
        <w:trPr>
          <w:trHeight w:val="217"/>
        </w:trPr>
        <w:tc>
          <w:tcPr>
            <w:tcW w:w="3880" w:type="dxa"/>
            <w:vAlign w:val="bottom"/>
          </w:tcPr>
          <w:p>
            <w:pPr>
              <w:ind w:left="400"/>
              <w:spacing w:after="0"/>
              <w:rPr>
                <w:sz w:val="20"/>
                <w:szCs w:val="20"/>
                <w:color w:val="auto"/>
              </w:rPr>
            </w:pPr>
            <w:r>
              <w:rPr>
                <w:rFonts w:ascii="Arial" w:cs="Arial" w:eastAsia="Arial" w:hAnsi="Arial"/>
                <w:sz w:val="18"/>
                <w:szCs w:val="18"/>
                <w:color w:val="auto"/>
              </w:rPr>
              <w:t>Methoden ermittelt.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188595</wp:posOffset>
            </wp:positionV>
            <wp:extent cx="56146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14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220"/>
            <w:col w:w="9220"/>
          </w:cols>
          <w:pgMar w:left="220" w:top="144" w:right="1159" w:bottom="1440" w:gutter="0" w:footer="0" w:header="0"/>
          <w:type w:val="continuous"/>
        </w:sectPr>
      </w:pPr>
    </w:p>
    <w:p>
      <w:pPr>
        <w:spacing w:after="0" w:line="169"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Abschnitt 7:</w:t>
            </w:r>
          </w:p>
        </w:tc>
        <w:tc>
          <w:tcPr>
            <w:tcW w:w="5020" w:type="dxa"/>
            <w:vAlign w:val="bottom"/>
            <w:gridSpan w:val="2"/>
          </w:tcPr>
          <w:p>
            <w:pPr>
              <w:ind w:left="920"/>
              <w:spacing w:after="0"/>
              <w:rPr>
                <w:sz w:val="20"/>
                <w:szCs w:val="20"/>
                <w:color w:val="auto"/>
              </w:rPr>
            </w:pPr>
            <w:r>
              <w:rPr>
                <w:rFonts w:ascii="Arial" w:cs="Arial" w:eastAsia="Arial" w:hAnsi="Arial"/>
                <w:sz w:val="18"/>
                <w:szCs w:val="18"/>
                <w:b w:val="1"/>
                <w:bCs w:val="1"/>
                <w:color w:val="auto"/>
              </w:rPr>
              <w:t>Section 7:</w:t>
            </w:r>
          </w:p>
        </w:tc>
      </w:tr>
      <w:tr>
        <w:trPr>
          <w:trHeight w:val="235"/>
        </w:trPr>
        <w:tc>
          <w:tcPr>
            <w:tcW w:w="38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i w:val="1"/>
                <w:iCs w:val="1"/>
                <w:color w:val="auto"/>
              </w:rPr>
              <w:t>Mandate ausserhalb des Konzerns</w:t>
            </w:r>
          </w:p>
        </w:tc>
        <w:tc>
          <w:tcPr>
            <w:tcW w:w="13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i w:val="1"/>
                <w:iCs w:val="1"/>
                <w:color w:val="auto"/>
              </w:rPr>
              <w:t>Mandates Outside the Group</w:t>
            </w:r>
          </w:p>
        </w:tc>
      </w:tr>
      <w:tr>
        <w:trPr>
          <w:trHeight w:val="81"/>
        </w:trPr>
        <w:tc>
          <w:tcPr>
            <w:tcW w:w="3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r>
    </w:tbl>
    <w:p>
      <w:pPr>
        <w:sectPr>
          <w:pgSz w:w="11900" w:h="16838" w:orient="portrait"/>
          <w:cols w:equalWidth="0" w:num="1">
            <w:col w:w="10520"/>
          </w:cols>
          <w:pgMar w:left="220" w:top="144" w:right="1159" w:bottom="1440" w:gutter="0" w:footer="0" w:header="0"/>
          <w:type w:val="continuous"/>
        </w:sectPr>
      </w:pPr>
    </w:p>
    <w:bookmarkStart w:id="324" w:name="page325"/>
    <w:bookmarkEnd w:id="324"/>
    <w:p>
      <w:pPr>
        <w:ind w:left="5560"/>
        <w:spacing w:after="0"/>
        <w:rPr>
          <w:sz w:val="20"/>
          <w:szCs w:val="20"/>
          <w:color w:val="auto"/>
        </w:rPr>
      </w:pPr>
      <w:r>
        <w:rPr>
          <w:rFonts w:ascii="Arial" w:cs="Arial" w:eastAsia="Arial" w:hAnsi="Arial"/>
          <w:sz w:val="14"/>
          <w:szCs w:val="14"/>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2040" w:type="dxa"/>
            <w:vAlign w:val="bottom"/>
            <w:gridSpan w:val="2"/>
          </w:tcPr>
          <w:p>
            <w:pPr>
              <w:ind w:left="60"/>
              <w:spacing w:after="0"/>
              <w:rPr>
                <w:sz w:val="20"/>
                <w:szCs w:val="20"/>
                <w:color w:val="auto"/>
              </w:rPr>
            </w:pPr>
            <w:r>
              <w:rPr>
                <w:rFonts w:ascii="Arial" w:cs="Arial" w:eastAsia="Arial" w:hAnsi="Arial"/>
                <w:sz w:val="18"/>
                <w:szCs w:val="18"/>
                <w:b w:val="1"/>
                <w:bCs w:val="1"/>
                <w:color w:val="auto"/>
              </w:rPr>
              <w:t>Artikel 33</w:t>
            </w: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Article 33</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20"/>
                <w:szCs w:val="20"/>
                <w:color w:val="auto"/>
              </w:rPr>
            </w:pPr>
            <w:r>
              <w:rPr>
                <w:rFonts w:ascii="Arial" w:cs="Arial" w:eastAsia="Arial" w:hAnsi="Arial"/>
                <w:sz w:val="14"/>
                <w:szCs w:val="14"/>
                <w:color w:val="auto"/>
                <w:w w:val="98"/>
              </w:rPr>
              <w:t>date ausserhalb1</w:t>
            </w: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w w:val="93"/>
              </w:rPr>
              <w:t>Mandates Outside1</w:t>
            </w:r>
          </w:p>
        </w:tc>
        <w:tc>
          <w:tcPr>
            <w:tcW w:w="4240" w:type="dxa"/>
            <w:vAlign w:val="bottom"/>
            <w:gridSpan w:val="5"/>
            <w:vMerge w:val="restart"/>
          </w:tcPr>
          <w:p>
            <w:pPr>
              <w:jc w:val="right"/>
              <w:spacing w:after="0"/>
              <w:rPr>
                <w:sz w:val="20"/>
                <w:szCs w:val="20"/>
                <w:color w:val="auto"/>
              </w:rPr>
            </w:pPr>
            <w:r>
              <w:rPr>
                <w:rFonts w:ascii="Arial" w:cs="Arial" w:eastAsia="Arial" w:hAnsi="Arial"/>
                <w:sz w:val="18"/>
                <w:szCs w:val="18"/>
                <w:color w:val="auto"/>
              </w:rPr>
              <w:t>The number of mandates in the board of directors</w:t>
            </w:r>
          </w:p>
        </w:tc>
        <w:tc>
          <w:tcPr>
            <w:tcW w:w="0" w:type="dxa"/>
            <w:vAlign w:val="bottom"/>
          </w:tcPr>
          <w:p>
            <w:pPr>
              <w:spacing w:after="0"/>
              <w:rPr>
                <w:sz w:val="1"/>
                <w:szCs w:val="1"/>
                <w:color w:val="auto"/>
              </w:rPr>
            </w:pPr>
          </w:p>
        </w:tc>
      </w:tr>
      <w:tr>
        <w:trPr>
          <w:trHeight w:val="162"/>
        </w:trPr>
        <w:tc>
          <w:tcPr>
            <w:tcW w:w="1080" w:type="dxa"/>
            <w:vAlign w:val="bottom"/>
          </w:tcPr>
          <w:p>
            <w:pPr>
              <w:ind w:left="120"/>
              <w:spacing w:after="0"/>
              <w:rPr>
                <w:sz w:val="20"/>
                <w:szCs w:val="20"/>
                <w:color w:val="auto"/>
              </w:rPr>
            </w:pPr>
            <w:r>
              <w:rPr>
                <w:rFonts w:ascii="Arial" w:cs="Arial" w:eastAsia="Arial" w:hAnsi="Arial"/>
                <w:sz w:val="14"/>
                <w:szCs w:val="14"/>
                <w:color w:val="auto"/>
              </w:rPr>
              <w:t>des Konzerns</w:t>
            </w:r>
          </w:p>
        </w:tc>
        <w:tc>
          <w:tcPr>
            <w:tcW w:w="4360" w:type="dxa"/>
            <w:vAlign w:val="bottom"/>
            <w:gridSpan w:val="5"/>
          </w:tcPr>
          <w:p>
            <w:pPr>
              <w:ind w:left="60"/>
              <w:spacing w:after="0" w:line="162" w:lineRule="exact"/>
              <w:rPr>
                <w:sz w:val="20"/>
                <w:szCs w:val="20"/>
                <w:color w:val="auto"/>
              </w:rPr>
            </w:pPr>
            <w:r>
              <w:rPr>
                <w:rFonts w:ascii="Arial" w:cs="Arial" w:eastAsia="Arial" w:hAnsi="Arial"/>
                <w:sz w:val="18"/>
                <w:szCs w:val="18"/>
                <w:color w:val="auto"/>
              </w:rPr>
              <w:t>Die Anzahl der Mandate in den obersten Leitungs-</w:t>
            </w:r>
          </w:p>
        </w:tc>
        <w:tc>
          <w:tcPr>
            <w:tcW w:w="820" w:type="dxa"/>
            <w:vAlign w:val="bottom"/>
          </w:tcPr>
          <w:p>
            <w:pPr>
              <w:ind w:left="60"/>
              <w:spacing w:after="0"/>
              <w:rPr>
                <w:sz w:val="20"/>
                <w:szCs w:val="20"/>
                <w:color w:val="auto"/>
              </w:rPr>
            </w:pPr>
            <w:r>
              <w:rPr>
                <w:rFonts w:ascii="Arial" w:cs="Arial" w:eastAsia="Arial" w:hAnsi="Arial"/>
                <w:sz w:val="14"/>
                <w:szCs w:val="14"/>
                <w:color w:val="auto"/>
              </w:rPr>
              <w:t>the Group</w:t>
            </w:r>
          </w:p>
        </w:tc>
        <w:tc>
          <w:tcPr>
            <w:tcW w:w="42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820" w:type="dxa"/>
            <w:vAlign w:val="bottom"/>
          </w:tcPr>
          <w:p>
            <w:pPr>
              <w:ind w:left="460"/>
              <w:spacing w:after="0" w:line="189" w:lineRule="exact"/>
              <w:rPr>
                <w:sz w:val="20"/>
                <w:szCs w:val="20"/>
                <w:color w:val="auto"/>
              </w:rPr>
            </w:pPr>
            <w:r>
              <w:rPr>
                <w:rFonts w:ascii="Arial" w:cs="Arial" w:eastAsia="Arial" w:hAnsi="Arial"/>
                <w:sz w:val="18"/>
                <w:szCs w:val="18"/>
                <w:color w:val="auto"/>
              </w:rPr>
              <w:t>und</w:t>
            </w:r>
          </w:p>
        </w:tc>
        <w:tc>
          <w:tcPr>
            <w:tcW w:w="354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Verwaltungsorganen von Rechtseinheiten</w:t>
            </w:r>
          </w:p>
        </w:tc>
        <w:tc>
          <w:tcPr>
            <w:tcW w:w="820" w:type="dxa"/>
            <w:vAlign w:val="bottom"/>
          </w:tcPr>
          <w:p>
            <w:pPr>
              <w:spacing w:after="0"/>
              <w:rPr>
                <w:sz w:val="16"/>
                <w:szCs w:val="16"/>
                <w:color w:val="auto"/>
              </w:rPr>
            </w:pPr>
          </w:p>
        </w:tc>
        <w:tc>
          <w:tcPr>
            <w:tcW w:w="4240" w:type="dxa"/>
            <w:vAlign w:val="bottom"/>
            <w:gridSpan w:val="5"/>
          </w:tcPr>
          <w:p>
            <w:pPr>
              <w:jc w:val="right"/>
              <w:spacing w:after="0" w:line="189" w:lineRule="exact"/>
              <w:rPr>
                <w:sz w:val="20"/>
                <w:szCs w:val="20"/>
                <w:color w:val="auto"/>
              </w:rPr>
            </w:pPr>
            <w:r>
              <w:rPr>
                <w:rFonts w:ascii="Arial" w:cs="Arial" w:eastAsia="Arial" w:hAnsi="Arial"/>
                <w:sz w:val="18"/>
                <w:szCs w:val="18"/>
                <w:color w:val="auto"/>
              </w:rPr>
              <w:t>and the executive management of legal entities</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360" w:type="dxa"/>
            <w:vAlign w:val="bottom"/>
            <w:gridSpan w:val="5"/>
          </w:tcPr>
          <w:p>
            <w:pPr>
              <w:ind w:left="460"/>
              <w:spacing w:after="0"/>
              <w:rPr>
                <w:sz w:val="20"/>
                <w:szCs w:val="20"/>
                <w:color w:val="auto"/>
              </w:rPr>
            </w:pPr>
            <w:r>
              <w:rPr>
                <w:rFonts w:ascii="Arial" w:cs="Arial" w:eastAsia="Arial" w:hAnsi="Arial"/>
                <w:sz w:val="18"/>
                <w:szCs w:val="18"/>
                <w:color w:val="auto"/>
              </w:rPr>
              <w:t>ausserhalb   des   Konzerns,   die   in   das</w:t>
            </w:r>
          </w:p>
        </w:tc>
        <w:tc>
          <w:tcPr>
            <w:tcW w:w="820" w:type="dxa"/>
            <w:vAlign w:val="bottom"/>
          </w:tcPr>
          <w:p>
            <w:pPr>
              <w:spacing w:after="0"/>
              <w:rPr>
                <w:sz w:val="18"/>
                <w:szCs w:val="18"/>
                <w:color w:val="auto"/>
              </w:rPr>
            </w:pPr>
          </w:p>
        </w:tc>
        <w:tc>
          <w:tcPr>
            <w:tcW w:w="4240" w:type="dxa"/>
            <w:vAlign w:val="bottom"/>
            <w:gridSpan w:val="5"/>
          </w:tcPr>
          <w:p>
            <w:pPr>
              <w:jc w:val="right"/>
              <w:spacing w:after="0"/>
              <w:rPr>
                <w:sz w:val="20"/>
                <w:szCs w:val="20"/>
                <w:color w:val="auto"/>
              </w:rPr>
            </w:pPr>
            <w:r>
              <w:rPr>
                <w:rFonts w:ascii="Arial" w:cs="Arial" w:eastAsia="Arial" w:hAnsi="Arial"/>
                <w:sz w:val="18"/>
                <w:szCs w:val="18"/>
                <w:color w:val="auto"/>
              </w:rPr>
              <w:t>which are to register in the Swiss Commercial</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320" w:type="dxa"/>
            <w:vAlign w:val="bottom"/>
            <w:gridSpan w:val="3"/>
          </w:tcPr>
          <w:p>
            <w:pPr>
              <w:ind w:left="460"/>
              <w:spacing w:after="0"/>
              <w:rPr>
                <w:sz w:val="20"/>
                <w:szCs w:val="20"/>
                <w:color w:val="auto"/>
              </w:rPr>
            </w:pPr>
            <w:r>
              <w:rPr>
                <w:rFonts w:ascii="Arial" w:cs="Arial" w:eastAsia="Arial" w:hAnsi="Arial"/>
                <w:sz w:val="18"/>
                <w:szCs w:val="18"/>
                <w:color w:val="auto"/>
              </w:rPr>
              <w:t>schweizerische   Handelsregister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oder</w:t>
            </w:r>
          </w:p>
        </w:tc>
        <w:tc>
          <w:tcPr>
            <w:tcW w:w="400" w:type="dxa"/>
            <w:vAlign w:val="bottom"/>
          </w:tcPr>
          <w:p>
            <w:pPr>
              <w:jc w:val="right"/>
              <w:spacing w:after="0"/>
              <w:rPr>
                <w:sz w:val="20"/>
                <w:szCs w:val="20"/>
                <w:color w:val="auto"/>
              </w:rPr>
            </w:pPr>
            <w:r>
              <w:rPr>
                <w:rFonts w:ascii="Arial" w:cs="Arial" w:eastAsia="Arial" w:hAnsi="Arial"/>
                <w:sz w:val="18"/>
                <w:szCs w:val="18"/>
                <w:color w:val="auto"/>
              </w:rPr>
              <w:t>ein</w:t>
            </w:r>
          </w:p>
        </w:tc>
        <w:tc>
          <w:tcPr>
            <w:tcW w:w="820" w:type="dxa"/>
            <w:vAlign w:val="bottom"/>
          </w:tcPr>
          <w:p>
            <w:pPr>
              <w:spacing w:after="0"/>
              <w:rPr>
                <w:sz w:val="18"/>
                <w:szCs w:val="18"/>
                <w:color w:val="auto"/>
              </w:rPr>
            </w:pPr>
          </w:p>
        </w:tc>
        <w:tc>
          <w:tcPr>
            <w:tcW w:w="4240" w:type="dxa"/>
            <w:vAlign w:val="bottom"/>
            <w:gridSpan w:val="5"/>
          </w:tcPr>
          <w:p>
            <w:pPr>
              <w:jc w:val="right"/>
              <w:spacing w:after="0"/>
              <w:rPr>
                <w:sz w:val="20"/>
                <w:szCs w:val="20"/>
                <w:color w:val="auto"/>
              </w:rPr>
            </w:pPr>
            <w:r>
              <w:rPr>
                <w:rFonts w:ascii="Arial" w:cs="Arial" w:eastAsia="Arial" w:hAnsi="Arial"/>
                <w:sz w:val="18"/>
                <w:szCs w:val="18"/>
                <w:color w:val="auto"/>
              </w:rPr>
              <w:t>Register or a similar foreign register outside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040" w:type="dxa"/>
            <w:vAlign w:val="bottom"/>
            <w:gridSpan w:val="2"/>
          </w:tcPr>
          <w:p>
            <w:pPr>
              <w:ind w:left="460"/>
              <w:spacing w:after="0"/>
              <w:rPr>
                <w:sz w:val="20"/>
                <w:szCs w:val="20"/>
                <w:color w:val="auto"/>
              </w:rPr>
            </w:pPr>
            <w:r>
              <w:rPr>
                <w:rFonts w:ascii="Arial" w:cs="Arial" w:eastAsia="Arial" w:hAnsi="Arial"/>
                <w:sz w:val="18"/>
                <w:szCs w:val="18"/>
                <w:color w:val="auto"/>
              </w:rPr>
              <w:t>vergleichbares</w:t>
            </w:r>
          </w:p>
        </w:tc>
        <w:tc>
          <w:tcPr>
            <w:tcW w:w="1280" w:type="dxa"/>
            <w:vAlign w:val="bottom"/>
          </w:tcPr>
          <w:p>
            <w:pPr>
              <w:ind w:left="20"/>
              <w:spacing w:after="0"/>
              <w:rPr>
                <w:sz w:val="20"/>
                <w:szCs w:val="20"/>
                <w:color w:val="auto"/>
              </w:rPr>
            </w:pPr>
            <w:r>
              <w:rPr>
                <w:rFonts w:ascii="Arial" w:cs="Arial" w:eastAsia="Arial" w:hAnsi="Arial"/>
                <w:sz w:val="18"/>
                <w:szCs w:val="18"/>
                <w:color w:val="auto"/>
              </w:rPr>
              <w:t>ausländisches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Register</w:t>
            </w:r>
          </w:p>
        </w:tc>
        <w:tc>
          <w:tcPr>
            <w:tcW w:w="820" w:type="dxa"/>
            <w:vAlign w:val="bottom"/>
          </w:tcPr>
          <w:p>
            <w:pPr>
              <w:spacing w:after="0"/>
              <w:rPr>
                <w:sz w:val="18"/>
                <w:szCs w:val="18"/>
                <w:color w:val="auto"/>
              </w:rPr>
            </w:pPr>
          </w:p>
        </w:tc>
        <w:tc>
          <w:tcPr>
            <w:tcW w:w="2340" w:type="dxa"/>
            <w:vAlign w:val="bottom"/>
            <w:gridSpan w:val="2"/>
          </w:tcPr>
          <w:p>
            <w:pPr>
              <w:ind w:left="420"/>
              <w:spacing w:after="0"/>
              <w:rPr>
                <w:sz w:val="20"/>
                <w:szCs w:val="20"/>
                <w:color w:val="auto"/>
              </w:rPr>
            </w:pPr>
            <w:r>
              <w:rPr>
                <w:rFonts w:ascii="Arial" w:cs="Arial" w:eastAsia="Arial" w:hAnsi="Arial"/>
                <w:sz w:val="18"/>
                <w:szCs w:val="18"/>
                <w:color w:val="auto"/>
              </w:rPr>
              <w:t>group is limited to:</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3320" w:type="dxa"/>
            <w:vAlign w:val="bottom"/>
            <w:gridSpan w:val="3"/>
          </w:tcPr>
          <w:p>
            <w:pPr>
              <w:ind w:left="460"/>
              <w:spacing w:after="0"/>
              <w:rPr>
                <w:sz w:val="20"/>
                <w:szCs w:val="20"/>
                <w:color w:val="auto"/>
              </w:rPr>
            </w:pPr>
            <w:r>
              <w:rPr>
                <w:rFonts w:ascii="Arial" w:cs="Arial" w:eastAsia="Arial" w:hAnsi="Arial"/>
                <w:sz w:val="18"/>
                <w:szCs w:val="18"/>
                <w:color w:val="auto"/>
              </w:rPr>
              <w:t>einzutragen sind, ist beschränkt:</w:t>
            </w: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40" w:type="dxa"/>
            <w:vAlign w:val="bottom"/>
            <w:gridSpan w:val="5"/>
          </w:tcPr>
          <w:p>
            <w:pPr>
              <w:jc w:val="right"/>
              <w:spacing w:after="0"/>
              <w:rPr>
                <w:sz w:val="20"/>
                <w:szCs w:val="20"/>
                <w:color w:val="auto"/>
              </w:rPr>
            </w:pPr>
            <w:r>
              <w:rPr>
                <w:rFonts w:ascii="Arial" w:cs="Arial" w:eastAsia="Arial" w:hAnsi="Arial"/>
                <w:sz w:val="18"/>
                <w:szCs w:val="18"/>
                <w:color w:val="auto"/>
              </w:rPr>
              <w:t>(a)  for members of the board of directors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Arial" w:cs="Arial" w:eastAsia="Arial" w:hAnsi="Arial"/>
                <w:sz w:val="18"/>
                <w:szCs w:val="18"/>
                <w:color w:val="auto"/>
              </w:rPr>
              <w:t>(a)</w:t>
            </w:r>
          </w:p>
        </w:tc>
        <w:tc>
          <w:tcPr>
            <w:tcW w:w="1220" w:type="dxa"/>
            <w:vAlign w:val="bottom"/>
          </w:tcPr>
          <w:p>
            <w:pPr>
              <w:ind w:left="80"/>
              <w:spacing w:after="0"/>
              <w:rPr>
                <w:sz w:val="20"/>
                <w:szCs w:val="20"/>
                <w:color w:val="auto"/>
              </w:rPr>
            </w:pPr>
            <w:r>
              <w:rPr>
                <w:rFonts w:ascii="Arial" w:cs="Arial" w:eastAsia="Arial" w:hAnsi="Arial"/>
                <w:sz w:val="18"/>
                <w:szCs w:val="18"/>
                <w:color w:val="auto"/>
              </w:rPr>
              <w:t>für  Mitglieder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des  Verwaltungsrats</w:t>
            </w:r>
          </w:p>
        </w:tc>
        <w:tc>
          <w:tcPr>
            <w:tcW w:w="400" w:type="dxa"/>
            <w:vAlign w:val="bottom"/>
          </w:tcPr>
          <w:p>
            <w:pPr>
              <w:jc w:val="right"/>
              <w:spacing w:after="0"/>
              <w:rPr>
                <w:sz w:val="20"/>
                <w:szCs w:val="20"/>
                <w:color w:val="auto"/>
              </w:rPr>
            </w:pPr>
            <w:r>
              <w:rPr>
                <w:rFonts w:ascii="Arial" w:cs="Arial" w:eastAsia="Arial" w:hAnsi="Arial"/>
                <w:sz w:val="18"/>
                <w:szCs w:val="18"/>
                <w:color w:val="auto"/>
              </w:rPr>
              <w:t>auf</w:t>
            </w:r>
          </w:p>
        </w:tc>
        <w:tc>
          <w:tcPr>
            <w:tcW w:w="820" w:type="dxa"/>
            <w:vAlign w:val="bottom"/>
          </w:tcPr>
          <w:p>
            <w:pPr>
              <w:spacing w:after="0"/>
              <w:rPr>
                <w:sz w:val="18"/>
                <w:szCs w:val="18"/>
                <w:color w:val="auto"/>
              </w:rPr>
            </w:pPr>
          </w:p>
        </w:tc>
        <w:tc>
          <w:tcPr>
            <w:tcW w:w="2340" w:type="dxa"/>
            <w:vAlign w:val="bottom"/>
            <w:gridSpan w:val="2"/>
          </w:tcPr>
          <w:p>
            <w:pPr>
              <w:ind w:left="860"/>
              <w:spacing w:after="0"/>
              <w:rPr>
                <w:sz w:val="20"/>
                <w:szCs w:val="20"/>
                <w:color w:val="auto"/>
              </w:rPr>
            </w:pPr>
            <w:r>
              <w:rPr>
                <w:rFonts w:ascii="Arial" w:cs="Arial" w:eastAsia="Arial" w:hAnsi="Arial"/>
                <w:sz w:val="18"/>
                <w:szCs w:val="18"/>
                <w:color w:val="auto"/>
              </w:rPr>
              <w:t>fifteen mandates;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40" w:type="dxa"/>
            <w:vAlign w:val="bottom"/>
            <w:gridSpan w:val="4"/>
          </w:tcPr>
          <w:p>
            <w:pPr>
              <w:jc w:val="right"/>
              <w:spacing w:after="0"/>
              <w:rPr>
                <w:sz w:val="20"/>
                <w:szCs w:val="20"/>
                <w:color w:val="auto"/>
              </w:rPr>
            </w:pPr>
            <w:r>
              <w:rPr>
                <w:rFonts w:ascii="Arial" w:cs="Arial" w:eastAsia="Arial" w:hAnsi="Arial"/>
                <w:sz w:val="18"/>
                <w:szCs w:val="18"/>
                <w:color w:val="auto"/>
              </w:rPr>
              <w:t>nicht  mehr  als  fünfzehn  zusätzliche</w:t>
            </w:r>
          </w:p>
        </w:tc>
        <w:tc>
          <w:tcPr>
            <w:tcW w:w="820" w:type="dxa"/>
            <w:vAlign w:val="bottom"/>
          </w:tcPr>
          <w:p>
            <w:pPr>
              <w:spacing w:after="0"/>
              <w:rPr>
                <w:sz w:val="18"/>
                <w:szCs w:val="18"/>
                <w:color w:val="auto"/>
              </w:rPr>
            </w:pPr>
          </w:p>
        </w:tc>
        <w:tc>
          <w:tcPr>
            <w:tcW w:w="1220" w:type="dxa"/>
            <w:vAlign w:val="bottom"/>
          </w:tcPr>
          <w:p>
            <w:pPr>
              <w:ind w:left="420"/>
              <w:spacing w:after="0"/>
              <w:rPr>
                <w:sz w:val="20"/>
                <w:szCs w:val="20"/>
                <w:color w:val="auto"/>
              </w:rPr>
            </w:pPr>
            <w:r>
              <w:rPr>
                <w:rFonts w:ascii="Arial" w:cs="Arial" w:eastAsia="Arial" w:hAnsi="Arial"/>
                <w:sz w:val="18"/>
                <w:szCs w:val="18"/>
                <w:color w:val="auto"/>
              </w:rPr>
              <w:t>(b)  for</w:t>
            </w:r>
          </w:p>
        </w:tc>
        <w:tc>
          <w:tcPr>
            <w:tcW w:w="1120" w:type="dxa"/>
            <w:vAlign w:val="bottom"/>
          </w:tcPr>
          <w:p>
            <w:pPr>
              <w:ind w:left="160"/>
              <w:spacing w:after="0"/>
              <w:rPr>
                <w:sz w:val="20"/>
                <w:szCs w:val="20"/>
                <w:color w:val="auto"/>
              </w:rPr>
            </w:pPr>
            <w:r>
              <w:rPr>
                <w:rFonts w:ascii="Arial" w:cs="Arial" w:eastAsia="Arial" w:hAnsi="Arial"/>
                <w:sz w:val="18"/>
                <w:szCs w:val="18"/>
                <w:color w:val="auto"/>
              </w:rPr>
              <w:t>members</w:t>
            </w:r>
          </w:p>
        </w:tc>
        <w:tc>
          <w:tcPr>
            <w:tcW w:w="420" w:type="dxa"/>
            <w:vAlign w:val="bottom"/>
          </w:tcPr>
          <w:p>
            <w:pPr>
              <w:ind w:left="100"/>
              <w:spacing w:after="0"/>
              <w:rPr>
                <w:sz w:val="20"/>
                <w:szCs w:val="20"/>
                <w:color w:val="auto"/>
              </w:rPr>
            </w:pPr>
            <w:r>
              <w:rPr>
                <w:rFonts w:ascii="Arial" w:cs="Arial" w:eastAsia="Arial" w:hAnsi="Arial"/>
                <w:sz w:val="18"/>
                <w:szCs w:val="18"/>
                <w:color w:val="auto"/>
              </w:rPr>
              <w:t>of</w:t>
            </w:r>
          </w:p>
        </w:tc>
        <w:tc>
          <w:tcPr>
            <w:tcW w:w="640" w:type="dxa"/>
            <w:vAlign w:val="bottom"/>
          </w:tcPr>
          <w:p>
            <w:pPr>
              <w:ind w:left="160"/>
              <w:spacing w:after="0"/>
              <w:rPr>
                <w:sz w:val="20"/>
                <w:szCs w:val="20"/>
                <w:color w:val="auto"/>
              </w:rPr>
            </w:pPr>
            <w:r>
              <w:rPr>
                <w:rFonts w:ascii="Arial" w:cs="Arial" w:eastAsia="Arial" w:hAnsi="Arial"/>
                <w:sz w:val="18"/>
                <w:szCs w:val="18"/>
                <w:color w:val="auto"/>
              </w:rPr>
              <w:t>the</w:t>
            </w:r>
          </w:p>
        </w:tc>
        <w:tc>
          <w:tcPr>
            <w:tcW w:w="840" w:type="dxa"/>
            <w:vAlign w:val="bottom"/>
          </w:tcPr>
          <w:p>
            <w:pPr>
              <w:jc w:val="right"/>
              <w:spacing w:after="0"/>
              <w:rPr>
                <w:sz w:val="20"/>
                <w:szCs w:val="20"/>
                <w:color w:val="auto"/>
              </w:rPr>
            </w:pPr>
            <w:r>
              <w:rPr>
                <w:rFonts w:ascii="Arial" w:cs="Arial" w:eastAsia="Arial" w:hAnsi="Arial"/>
                <w:sz w:val="18"/>
                <w:szCs w:val="18"/>
                <w:color w:val="auto"/>
              </w:rPr>
              <w:t>executive</w:t>
            </w:r>
          </w:p>
        </w:tc>
        <w:tc>
          <w:tcPr>
            <w:tcW w:w="0" w:type="dxa"/>
            <w:vAlign w:val="bottom"/>
          </w:tcPr>
          <w:p>
            <w:pPr>
              <w:spacing w:after="0"/>
              <w:rPr>
                <w:sz w:val="1"/>
                <w:szCs w:val="1"/>
                <w:color w:val="auto"/>
              </w:rPr>
            </w:pPr>
          </w:p>
        </w:tc>
      </w:tr>
      <w:tr>
        <w:trPr>
          <w:trHeight w:val="269"/>
        </w:trPr>
        <w:tc>
          <w:tcPr>
            <w:tcW w:w="10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Mandate;</w:t>
            </w:r>
          </w:p>
        </w:tc>
        <w:tc>
          <w:tcPr>
            <w:tcW w:w="1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0" w:type="dxa"/>
            <w:vAlign w:val="bottom"/>
            <w:gridSpan w:val="4"/>
          </w:tcPr>
          <w:p>
            <w:pPr>
              <w:ind w:left="860"/>
              <w:spacing w:after="0"/>
              <w:rPr>
                <w:sz w:val="20"/>
                <w:szCs w:val="20"/>
                <w:color w:val="auto"/>
              </w:rPr>
            </w:pPr>
            <w:r>
              <w:rPr>
                <w:rFonts w:ascii="Arial" w:cs="Arial" w:eastAsia="Arial" w:hAnsi="Arial"/>
                <w:sz w:val="18"/>
                <w:szCs w:val="18"/>
                <w:color w:val="auto"/>
              </w:rPr>
              <w:t>management to five mandates.</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20" w:type="dxa"/>
            <w:vAlign w:val="bottom"/>
          </w:tcPr>
          <w:p>
            <w:pPr>
              <w:ind w:left="460"/>
              <w:spacing w:after="0"/>
              <w:rPr>
                <w:sz w:val="20"/>
                <w:szCs w:val="20"/>
                <w:color w:val="auto"/>
              </w:rPr>
            </w:pPr>
            <w:r>
              <w:rPr>
                <w:rFonts w:ascii="Arial" w:cs="Arial" w:eastAsia="Arial" w:hAnsi="Arial"/>
                <w:sz w:val="18"/>
                <w:szCs w:val="18"/>
                <w:color w:val="auto"/>
              </w:rPr>
              <w:t>(b)</w:t>
            </w:r>
          </w:p>
        </w:tc>
        <w:tc>
          <w:tcPr>
            <w:tcW w:w="1220" w:type="dxa"/>
            <w:vAlign w:val="bottom"/>
          </w:tcPr>
          <w:p>
            <w:pPr>
              <w:ind w:left="80"/>
              <w:spacing w:after="0"/>
              <w:rPr>
                <w:sz w:val="20"/>
                <w:szCs w:val="20"/>
                <w:color w:val="auto"/>
              </w:rPr>
            </w:pPr>
            <w:r>
              <w:rPr>
                <w:rFonts w:ascii="Arial" w:cs="Arial" w:eastAsia="Arial" w:hAnsi="Arial"/>
                <w:sz w:val="18"/>
                <w:szCs w:val="18"/>
                <w:color w:val="auto"/>
              </w:rPr>
              <w:t>für  Mitglieder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der  Geschäftsleitung</w:t>
            </w:r>
          </w:p>
        </w:tc>
        <w:tc>
          <w:tcPr>
            <w:tcW w:w="400" w:type="dxa"/>
            <w:vAlign w:val="bottom"/>
          </w:tcPr>
          <w:p>
            <w:pPr>
              <w:jc w:val="right"/>
              <w:spacing w:after="0"/>
              <w:rPr>
                <w:sz w:val="20"/>
                <w:szCs w:val="20"/>
                <w:color w:val="auto"/>
              </w:rPr>
            </w:pPr>
            <w:r>
              <w:rPr>
                <w:rFonts w:ascii="Arial" w:cs="Arial" w:eastAsia="Arial" w:hAnsi="Arial"/>
                <w:sz w:val="18"/>
                <w:szCs w:val="18"/>
                <w:color w:val="auto"/>
              </w:rPr>
              <w:t>auf</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980"/>
        <w:spacing w:after="0"/>
        <w:rPr>
          <w:sz w:val="20"/>
          <w:szCs w:val="20"/>
          <w:color w:val="auto"/>
        </w:rPr>
      </w:pPr>
      <w:r>
        <w:rPr>
          <w:rFonts w:ascii="Arial" w:cs="Arial" w:eastAsia="Arial" w:hAnsi="Arial"/>
          <w:sz w:val="18"/>
          <w:szCs w:val="18"/>
          <w:color w:val="auto"/>
        </w:rPr>
        <w:t>nicht mehr als fünf zusätzliche Mandate.</w:t>
      </w:r>
    </w:p>
    <w:p>
      <w:pPr>
        <w:sectPr>
          <w:pgSz w:w="11900" w:h="16838" w:orient="portrait"/>
          <w:cols w:equalWidth="0" w:num="1">
            <w:col w:w="10500"/>
          </w:cols>
          <w:pgMar w:left="220" w:top="144" w:right="1179" w:bottom="1440" w:gutter="0" w:footer="0" w:header="0"/>
        </w:sectPr>
      </w:pP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4840" w:type="dxa"/>
            <w:vAlign w:val="bottom"/>
            <w:gridSpan w:val="4"/>
          </w:tcPr>
          <w:p>
            <w:pPr>
              <w:ind w:left="120"/>
              <w:spacing w:after="0"/>
              <w:rPr>
                <w:sz w:val="20"/>
                <w:szCs w:val="20"/>
                <w:color w:val="auto"/>
              </w:rPr>
            </w:pPr>
            <w:r>
              <w:rPr>
                <w:rFonts w:ascii="Arial" w:cs="Arial" w:eastAsia="Arial" w:hAnsi="Arial"/>
                <w:sz w:val="18"/>
                <w:szCs w:val="18"/>
                <w:color w:val="auto"/>
              </w:rPr>
              <w:t>Werden Mandate in verschiedenen Rechtseinheiten</w:t>
            </w:r>
          </w:p>
        </w:tc>
        <w:tc>
          <w:tcPr>
            <w:tcW w:w="1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desselben Konzerns oder im Auftrag dieses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Konzerns respektive einer Rechtseinheit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40" w:type="dxa"/>
            <w:vAlign w:val="bottom"/>
            <w:gridSpan w:val="3"/>
          </w:tcPr>
          <w:p>
            <w:pPr>
              <w:ind w:left="20"/>
              <w:spacing w:after="0"/>
              <w:rPr>
                <w:sz w:val="20"/>
                <w:szCs w:val="20"/>
                <w:color w:val="auto"/>
              </w:rPr>
            </w:pPr>
            <w:r>
              <w:rPr>
                <w:rFonts w:ascii="Arial" w:cs="Arial" w:eastAsia="Arial" w:hAnsi="Arial"/>
                <w:sz w:val="18"/>
                <w:szCs w:val="18"/>
                <w:color w:val="auto"/>
              </w:rPr>
              <w:t>ausgeübt, werden diese jeweils als ein Mandat</w:t>
            </w:r>
          </w:p>
        </w:tc>
        <w:tc>
          <w:tcPr>
            <w:tcW w:w="160" w:type="dxa"/>
            <w:vAlign w:val="bottom"/>
          </w:tcPr>
          <w:p>
            <w:pPr>
              <w:spacing w:after="0"/>
              <w:rPr>
                <w:sz w:val="18"/>
                <w:szCs w:val="18"/>
                <w:color w:val="auto"/>
              </w:rPr>
            </w:pPr>
          </w:p>
        </w:tc>
      </w:tr>
      <w:tr>
        <w:trPr>
          <w:trHeight w:val="217"/>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gezählt.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9"/>
        </w:trPr>
        <w:tc>
          <w:tcPr>
            <w:tcW w:w="10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4840" w:type="dxa"/>
            <w:vAlign w:val="bottom"/>
            <w:gridSpan w:val="4"/>
          </w:tcPr>
          <w:p>
            <w:pPr>
              <w:ind w:left="120"/>
              <w:spacing w:after="0"/>
              <w:rPr>
                <w:sz w:val="20"/>
                <w:szCs w:val="20"/>
                <w:color w:val="auto"/>
              </w:rPr>
            </w:pPr>
            <w:r>
              <w:rPr>
                <w:rFonts w:ascii="Arial" w:cs="Arial" w:eastAsia="Arial" w:hAnsi="Arial"/>
                <w:sz w:val="18"/>
                <w:szCs w:val="18"/>
                <w:color w:val="auto"/>
              </w:rPr>
              <w:t>Nicht unter diese Beschränkung fallen Mandate in</w:t>
            </w:r>
          </w:p>
        </w:tc>
        <w:tc>
          <w:tcPr>
            <w:tcW w:w="1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Vereinen, gemeinnützigen Stiftungen,</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Familienstiftungen und Einrichtungen der</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beruflichen Vorsorge. Die Anzahl dieser</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Mandate darf insgesamt zehn nicht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übersteigen.</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97"/>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2"/>
        </w:trPr>
        <w:tc>
          <w:tcPr>
            <w:tcW w:w="1020" w:type="dxa"/>
            <w:vAlign w:val="bottom"/>
          </w:tcPr>
          <w:p>
            <w:pPr>
              <w:spacing w:after="0"/>
              <w:rPr>
                <w:sz w:val="23"/>
                <w:szCs w:val="23"/>
                <w:color w:val="auto"/>
              </w:rPr>
            </w:pPr>
          </w:p>
        </w:tc>
        <w:tc>
          <w:tcPr>
            <w:tcW w:w="4040" w:type="dxa"/>
            <w:vAlign w:val="bottom"/>
            <w:gridSpan w:val="2"/>
          </w:tcPr>
          <w:p>
            <w:pPr>
              <w:ind w:left="120"/>
              <w:spacing w:after="0"/>
              <w:rPr>
                <w:sz w:val="20"/>
                <w:szCs w:val="20"/>
                <w:color w:val="auto"/>
              </w:rPr>
            </w:pPr>
            <w:r>
              <w:rPr>
                <w:rFonts w:ascii="Arial" w:cs="Arial" w:eastAsia="Arial" w:hAnsi="Arial"/>
                <w:sz w:val="18"/>
                <w:szCs w:val="18"/>
                <w:b w:val="1"/>
                <w:bCs w:val="1"/>
                <w:color w:val="auto"/>
              </w:rPr>
              <w:t>Abschnitt 8:</w:t>
            </w: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5"/>
        </w:trPr>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8"/>
                <w:szCs w:val="18"/>
                <w:i w:val="1"/>
                <w:iCs w:val="1"/>
                <w:color w:val="auto"/>
              </w:rPr>
              <w:t>Geschäftsjahr, Gewinnverteilung</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81"/>
        </w:trPr>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93"/>
        </w:trPr>
        <w:tc>
          <w:tcPr>
            <w:tcW w:w="1020" w:type="dxa"/>
            <w:vAlign w:val="bottom"/>
          </w:tcPr>
          <w:p>
            <w:pPr>
              <w:spacing w:after="0"/>
              <w:rPr>
                <w:sz w:val="24"/>
                <w:szCs w:val="24"/>
                <w:color w:val="auto"/>
              </w:rPr>
            </w:pPr>
          </w:p>
        </w:tc>
        <w:tc>
          <w:tcPr>
            <w:tcW w:w="404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Artikel 34</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9"/>
        </w:trPr>
        <w:tc>
          <w:tcPr>
            <w:tcW w:w="1020" w:type="dxa"/>
            <w:vAlign w:val="bottom"/>
          </w:tcPr>
          <w:p>
            <w:pPr>
              <w:jc w:val="right"/>
              <w:ind w:right="348"/>
              <w:spacing w:after="0"/>
              <w:rPr>
                <w:sz w:val="20"/>
                <w:szCs w:val="20"/>
                <w:color w:val="auto"/>
              </w:rPr>
            </w:pPr>
            <w:r>
              <w:rPr>
                <w:rFonts w:ascii="Arial" w:cs="Arial" w:eastAsia="Arial" w:hAnsi="Arial"/>
                <w:sz w:val="14"/>
                <w:szCs w:val="14"/>
                <w:color w:val="auto"/>
                <w:w w:val="95"/>
              </w:rPr>
              <w:t>chäftsjahr</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Das Geschäftsjahr der Gesellschaft wird vom</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Fiscal Year</w:t>
            </w:r>
          </w:p>
        </w:tc>
        <w:tc>
          <w:tcPr>
            <w:tcW w:w="160" w:type="dxa"/>
            <w:vAlign w:val="bottom"/>
          </w:tcPr>
          <w:p>
            <w:pPr>
              <w:spacing w:after="0"/>
              <w:rPr>
                <w:sz w:val="23"/>
                <w:szCs w:val="23"/>
                <w:color w:val="auto"/>
              </w:rPr>
            </w:pPr>
          </w:p>
        </w:tc>
      </w:tr>
      <w:tr>
        <w:trPr>
          <w:trHeight w:val="217"/>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Verwaltungsrat festgesetzt.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540"/>
        </w:trPr>
        <w:tc>
          <w:tcPr>
            <w:tcW w:w="1020" w:type="dxa"/>
            <w:vAlign w:val="bottom"/>
          </w:tcPr>
          <w:p>
            <w:pPr>
              <w:spacing w:after="0"/>
              <w:rPr>
                <w:sz w:val="24"/>
                <w:szCs w:val="24"/>
                <w:color w:val="auto"/>
              </w:rPr>
            </w:pPr>
          </w:p>
        </w:tc>
        <w:tc>
          <w:tcPr>
            <w:tcW w:w="4040" w:type="dxa"/>
            <w:vAlign w:val="bottom"/>
            <w:gridSpan w:val="2"/>
          </w:tcPr>
          <w:p>
            <w:pPr>
              <w:ind w:left="120"/>
              <w:spacing w:after="0"/>
              <w:rPr>
                <w:sz w:val="20"/>
                <w:szCs w:val="20"/>
                <w:color w:val="auto"/>
              </w:rPr>
            </w:pPr>
            <w:r>
              <w:rPr>
                <w:rFonts w:ascii="Arial" w:cs="Arial" w:eastAsia="Arial" w:hAnsi="Arial"/>
                <w:sz w:val="18"/>
                <w:szCs w:val="18"/>
                <w:b w:val="1"/>
                <w:bCs w:val="1"/>
                <w:color w:val="auto"/>
              </w:rPr>
              <w:t>Artikel 35</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1"/>
        </w:trPr>
        <w:tc>
          <w:tcPr>
            <w:tcW w:w="1020" w:type="dxa"/>
            <w:vAlign w:val="bottom"/>
          </w:tcPr>
          <w:p>
            <w:pPr>
              <w:jc w:val="right"/>
              <w:ind w:right="48"/>
              <w:spacing w:after="0"/>
              <w:rPr>
                <w:sz w:val="20"/>
                <w:szCs w:val="20"/>
                <w:color w:val="auto"/>
              </w:rPr>
            </w:pPr>
            <w:r>
              <w:rPr>
                <w:rFonts w:ascii="Arial" w:cs="Arial" w:eastAsia="Arial" w:hAnsi="Arial"/>
                <w:sz w:val="14"/>
                <w:szCs w:val="14"/>
                <w:color w:val="auto"/>
              </w:rPr>
              <w:t>eilung des   1</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Über den Bilanzgewinn verfügt die</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Allocation of 1</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40" w:type="dxa"/>
            <w:vAlign w:val="bottom"/>
          </w:tcPr>
          <w:p>
            <w:pPr>
              <w:spacing w:after="0"/>
              <w:rPr>
                <w:sz w:val="20"/>
                <w:szCs w:val="20"/>
                <w:color w:val="auto"/>
              </w:rPr>
            </w:pPr>
            <w:r>
              <w:rPr>
                <w:rFonts w:ascii="Arial" w:cs="Arial" w:eastAsia="Arial" w:hAnsi="Arial"/>
                <w:sz w:val="14"/>
                <w:szCs w:val="14"/>
                <w:color w:val="auto"/>
              </w:rPr>
              <w:t>Bilanzgewinnes,</w:t>
            </w:r>
          </w:p>
        </w:tc>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Generalversammlung im Rahmen der</w:t>
            </w:r>
          </w:p>
        </w:tc>
        <w:tc>
          <w:tcPr>
            <w:tcW w:w="780" w:type="dxa"/>
            <w:vAlign w:val="bottom"/>
          </w:tcPr>
          <w:p>
            <w:pPr>
              <w:ind w:left="160"/>
              <w:spacing w:after="0"/>
              <w:rPr>
                <w:sz w:val="20"/>
                <w:szCs w:val="20"/>
                <w:color w:val="auto"/>
              </w:rPr>
            </w:pPr>
            <w:r>
              <w:rPr>
                <w:rFonts w:ascii="Arial" w:cs="Arial" w:eastAsia="Arial" w:hAnsi="Arial"/>
                <w:sz w:val="14"/>
                <w:szCs w:val="14"/>
                <w:color w:val="auto"/>
              </w:rPr>
              <w:t>Profits,</w:t>
            </w:r>
          </w:p>
        </w:tc>
        <w:tc>
          <w:tcPr>
            <w:tcW w:w="0" w:type="dxa"/>
            <w:vAlign w:val="bottom"/>
          </w:tcPr>
          <w:p>
            <w:pPr>
              <w:spacing w:after="0"/>
              <w:rPr>
                <w:sz w:val="1"/>
                <w:szCs w:val="1"/>
                <w:color w:val="auto"/>
              </w:rPr>
            </w:pPr>
          </w:p>
        </w:tc>
      </w:tr>
      <w:tr>
        <w:trPr>
          <w:trHeight w:val="102"/>
        </w:trPr>
        <w:tc>
          <w:tcPr>
            <w:tcW w:w="1240" w:type="dxa"/>
            <w:vAlign w:val="bottom"/>
            <w:vMerge w:val="restart"/>
          </w:tcPr>
          <w:p>
            <w:pPr>
              <w:spacing w:after="0"/>
              <w:rPr>
                <w:sz w:val="20"/>
                <w:szCs w:val="20"/>
                <w:color w:val="auto"/>
              </w:rPr>
            </w:pPr>
            <w:r>
              <w:rPr>
                <w:rFonts w:ascii="Arial" w:cs="Arial" w:eastAsia="Arial" w:hAnsi="Arial"/>
                <w:sz w:val="14"/>
                <w:szCs w:val="14"/>
                <w:color w:val="auto"/>
              </w:rPr>
              <w:t>Reserven</w:t>
            </w:r>
          </w:p>
        </w:tc>
        <w:tc>
          <w:tcPr>
            <w:tcW w:w="3980" w:type="dxa"/>
            <w:vAlign w:val="bottom"/>
            <w:vMerge w:val="continue"/>
          </w:tcPr>
          <w:p>
            <w:pPr>
              <w:spacing w:after="0"/>
              <w:rPr>
                <w:sz w:val="8"/>
                <w:szCs w:val="8"/>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color w:val="auto"/>
              </w:rPr>
              <w:t>Reserves</w:t>
            </w:r>
          </w:p>
        </w:tc>
        <w:tc>
          <w:tcPr>
            <w:tcW w:w="0" w:type="dxa"/>
            <w:vAlign w:val="bottom"/>
          </w:tcPr>
          <w:p>
            <w:pPr>
              <w:spacing w:after="0"/>
              <w:rPr>
                <w:sz w:val="1"/>
                <w:szCs w:val="1"/>
                <w:color w:val="auto"/>
              </w:rPr>
            </w:pPr>
          </w:p>
        </w:tc>
      </w:tr>
      <w:tr>
        <w:trPr>
          <w:trHeight w:val="70"/>
        </w:trPr>
        <w:tc>
          <w:tcPr>
            <w:tcW w:w="1240" w:type="dxa"/>
            <w:vAlign w:val="bottom"/>
            <w:vMerge w:val="continue"/>
          </w:tcPr>
          <w:p>
            <w:pPr>
              <w:spacing w:after="0"/>
              <w:rPr>
                <w:sz w:val="6"/>
                <w:szCs w:val="6"/>
                <w:color w:val="auto"/>
              </w:rPr>
            </w:pPr>
          </w:p>
        </w:tc>
        <w:tc>
          <w:tcPr>
            <w:tcW w:w="3980" w:type="dxa"/>
            <w:vAlign w:val="bottom"/>
            <w:vMerge w:val="restart"/>
          </w:tcPr>
          <w:p>
            <w:pPr>
              <w:ind w:left="180"/>
              <w:spacing w:after="0"/>
              <w:rPr>
                <w:sz w:val="20"/>
                <w:szCs w:val="20"/>
                <w:color w:val="auto"/>
              </w:rPr>
            </w:pPr>
            <w:r>
              <w:rPr>
                <w:rFonts w:ascii="Arial" w:cs="Arial" w:eastAsia="Arial" w:hAnsi="Arial"/>
                <w:sz w:val="18"/>
                <w:szCs w:val="18"/>
                <w:color w:val="auto"/>
              </w:rPr>
              <w:t>gesetzlichen Vorschriften. Der Verwaltungsrat</w:t>
            </w: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39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unterbreitet ihr seine Anträge.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left="420" w:right="100" w:hanging="404"/>
        <w:spacing w:after="0" w:line="256" w:lineRule="auto"/>
        <w:rPr>
          <w:sz w:val="20"/>
          <w:szCs w:val="20"/>
          <w:color w:val="auto"/>
        </w:rPr>
      </w:pPr>
      <w:r>
        <w:rPr>
          <w:rFonts w:ascii="Arial" w:cs="Arial" w:eastAsia="Arial" w:hAnsi="Arial"/>
          <w:sz w:val="18"/>
          <w:szCs w:val="18"/>
          <w:color w:val="auto"/>
        </w:rPr>
        <w:t>Mandates in different legal entities being part of the same group or for the same group are deemed to be one mandate.</w:t>
      </w:r>
    </w:p>
    <w:p>
      <w:pPr>
        <w:spacing w:after="0" w:line="200" w:lineRule="exact"/>
        <w:rPr>
          <w:sz w:val="20"/>
          <w:szCs w:val="20"/>
          <w:color w:val="auto"/>
        </w:rPr>
      </w:pPr>
    </w:p>
    <w:p>
      <w:pPr>
        <w:spacing w:after="0" w:line="272" w:lineRule="exact"/>
        <w:rPr>
          <w:sz w:val="20"/>
          <w:szCs w:val="20"/>
          <w:color w:val="auto"/>
        </w:rPr>
      </w:pPr>
    </w:p>
    <w:p>
      <w:pPr>
        <w:ind w:left="420" w:right="40" w:hanging="404"/>
        <w:spacing w:after="0" w:line="252" w:lineRule="auto"/>
        <w:rPr>
          <w:sz w:val="20"/>
          <w:szCs w:val="20"/>
          <w:color w:val="auto"/>
        </w:rPr>
      </w:pPr>
      <w:r>
        <w:rPr>
          <w:rFonts w:ascii="Arial" w:cs="Arial" w:eastAsia="Arial" w:hAnsi="Arial"/>
          <w:sz w:val="18"/>
          <w:szCs w:val="18"/>
          <w:color w:val="auto"/>
        </w:rPr>
        <w:t>Mandates in associations, charitable organizations, family trusts and foundations relating to post-retirement benefits are not subject to the above limitations. No member of the board of directors or the executive management shall hold more than ten such mandates.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184150</wp:posOffset>
            </wp:positionV>
            <wp:extent cx="24599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Fiscal Year, Profit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57785</wp:posOffset>
            </wp:positionV>
            <wp:extent cx="24599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determines the fiscal year.</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35</w:t>
      </w:r>
    </w:p>
    <w:p>
      <w:pPr>
        <w:spacing w:after="0" w:line="85" w:lineRule="exact"/>
        <w:rPr>
          <w:sz w:val="20"/>
          <w:szCs w:val="20"/>
          <w:color w:val="auto"/>
        </w:rPr>
      </w:pPr>
    </w:p>
    <w:p>
      <w:pPr>
        <w:ind w:left="420" w:right="60" w:hanging="404"/>
        <w:spacing w:after="0" w:line="252" w:lineRule="auto"/>
        <w:rPr>
          <w:sz w:val="20"/>
          <w:szCs w:val="20"/>
          <w:color w:val="auto"/>
        </w:rPr>
      </w:pPr>
      <w:r>
        <w:rPr>
          <w:rFonts w:ascii="Arial" w:cs="Arial" w:eastAsia="Arial" w:hAnsi="Arial"/>
          <w:sz w:val="18"/>
          <w:szCs w:val="18"/>
          <w:color w:val="auto"/>
        </w:rPr>
        <w:t>The profit shown on the annual statutory balance sheet shall be allocated by the general meeting of shareholders in accordance with applicable law. The board of directors shall submit its proposals to the general meeting of shareholders.</w:t>
      </w:r>
    </w:p>
    <w:p>
      <w:pPr>
        <w:sectPr>
          <w:pgSz w:w="11900" w:h="16838" w:orient="portrait"/>
          <w:cols w:equalWidth="0" w:num="2">
            <w:col w:w="6120" w:space="140"/>
            <w:col w:w="4240"/>
          </w:cols>
          <w:pgMar w:left="220" w:top="144" w:right="1179" w:bottom="1440" w:gutter="0" w:footer="0" w:header="0"/>
          <w:type w:val="continuous"/>
        </w:sectPr>
      </w:pPr>
    </w:p>
    <w:bookmarkStart w:id="325" w:name="page326"/>
    <w:bookmarkEnd w:id="325"/>
    <w:p>
      <w:pPr>
        <w:ind w:left="5560"/>
        <w:spacing w:after="0"/>
        <w:rPr>
          <w:sz w:val="20"/>
          <w:szCs w:val="20"/>
          <w:color w:val="auto"/>
        </w:rPr>
      </w:pPr>
      <w:r>
        <w:rPr>
          <w:rFonts w:ascii="Arial" w:cs="Arial" w:eastAsia="Arial" w:hAnsi="Arial"/>
          <w:sz w:val="14"/>
          <w:szCs w:val="14"/>
          <w:color w:val="auto"/>
        </w:rPr>
        <w:t>- 28 -</w:t>
      </w:r>
    </w:p>
    <w:p>
      <w:pPr>
        <w:sectPr>
          <w:pgSz w:w="11900" w:h="16838" w:orient="portrait"/>
          <w:cols w:equalWidth="0" w:num="1">
            <w:col w:w="10520"/>
          </w:cols>
          <w:pgMar w:left="220" w:top="14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20" w:right="660" w:hanging="711"/>
        <w:spacing w:after="0" w:line="208" w:lineRule="auto"/>
        <w:tabs>
          <w:tab w:leader="none" w:pos="1215" w:val="left"/>
        </w:tabs>
        <w:numPr>
          <w:ilvl w:val="0"/>
          <w:numId w:val="234"/>
        </w:numPr>
        <w:rPr>
          <w:rFonts w:ascii="Arial" w:cs="Arial" w:eastAsia="Arial" w:hAnsi="Arial"/>
          <w:sz w:val="29"/>
          <w:szCs w:val="29"/>
          <w:color w:val="auto"/>
          <w:vertAlign w:val="superscript"/>
        </w:rPr>
      </w:pPr>
      <w:r>
        <w:rPr>
          <w:rFonts w:ascii="Arial" w:cs="Arial" w:eastAsia="Arial" w:hAnsi="Arial"/>
          <w:sz w:val="18"/>
          <w:szCs w:val="18"/>
          <w:color w:val="auto"/>
        </w:rPr>
        <w:t>Neben der gesetzlichen Reserve kann die Generalversammlung weitere Reserven schaffen.</w:t>
      </w:r>
    </w:p>
    <w:p>
      <w:pPr>
        <w:spacing w:after="0" w:line="54" w:lineRule="exact"/>
        <w:rPr>
          <w:sz w:val="20"/>
          <w:szCs w:val="20"/>
          <w:color w:val="auto"/>
        </w:rPr>
      </w:pPr>
    </w:p>
    <w:p>
      <w:pPr>
        <w:ind w:left="1620" w:right="460" w:hanging="711"/>
        <w:spacing w:after="0" w:line="228" w:lineRule="auto"/>
        <w:tabs>
          <w:tab w:leader="none" w:pos="1215" w:val="left"/>
        </w:tabs>
        <w:numPr>
          <w:ilvl w:val="0"/>
          <w:numId w:val="235"/>
        </w:numPr>
        <w:rPr>
          <w:rFonts w:ascii="Arial" w:cs="Arial" w:eastAsia="Arial" w:hAnsi="Arial"/>
          <w:sz w:val="28"/>
          <w:szCs w:val="28"/>
          <w:color w:val="auto"/>
          <w:vertAlign w:val="superscript"/>
        </w:rPr>
      </w:pPr>
      <w:r>
        <w:rPr>
          <w:rFonts w:ascii="Arial" w:cs="Arial" w:eastAsia="Arial" w:hAnsi="Arial"/>
          <w:sz w:val="17"/>
          <w:szCs w:val="17"/>
          <w:color w:val="auto"/>
        </w:rPr>
        <w:t>Dividenden, die während fünf Jahren von ihrem Verfalltag an nicht bezogen worden sind, fallen der Gesellschaft zu und werden der allgemeinen Reserve zugeteilt.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189865</wp:posOffset>
            </wp:positionV>
            <wp:extent cx="23488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right="220" w:hanging="720"/>
        <w:spacing w:after="0" w:line="208" w:lineRule="auto"/>
        <w:tabs>
          <w:tab w:leader="none" w:pos="315" w:val="left"/>
        </w:tabs>
        <w:numPr>
          <w:ilvl w:val="0"/>
          <w:numId w:val="236"/>
        </w:numPr>
        <w:rPr>
          <w:rFonts w:ascii="Arial" w:cs="Arial" w:eastAsia="Arial" w:hAnsi="Arial"/>
          <w:sz w:val="29"/>
          <w:szCs w:val="29"/>
          <w:color w:val="auto"/>
          <w:vertAlign w:val="superscript"/>
        </w:rPr>
      </w:pPr>
      <w:r>
        <w:rPr>
          <w:rFonts w:ascii="Arial" w:cs="Arial" w:eastAsia="Arial" w:hAnsi="Arial"/>
          <w:sz w:val="18"/>
          <w:szCs w:val="18"/>
          <w:color w:val="auto"/>
        </w:rPr>
        <w:t>Further reserves may be taken in addition to the reserves required by law by the general meeting of shareholders.</w:t>
      </w:r>
    </w:p>
    <w:p>
      <w:pPr>
        <w:spacing w:after="0" w:line="54" w:lineRule="exact"/>
        <w:rPr>
          <w:sz w:val="20"/>
          <w:szCs w:val="20"/>
          <w:color w:val="auto"/>
        </w:rPr>
      </w:pPr>
    </w:p>
    <w:p>
      <w:pPr>
        <w:ind w:left="720" w:right="60" w:hanging="720"/>
        <w:spacing w:after="0" w:line="217" w:lineRule="auto"/>
        <w:tabs>
          <w:tab w:leader="none" w:pos="315" w:val="left"/>
        </w:tabs>
        <w:numPr>
          <w:ilvl w:val="0"/>
          <w:numId w:val="237"/>
        </w:numPr>
        <w:rPr>
          <w:rFonts w:ascii="Arial" w:cs="Arial" w:eastAsia="Arial" w:hAnsi="Arial"/>
          <w:sz w:val="29"/>
          <w:szCs w:val="29"/>
          <w:color w:val="auto"/>
          <w:vertAlign w:val="superscript"/>
        </w:rPr>
      </w:pPr>
      <w:r>
        <w:rPr>
          <w:rFonts w:ascii="Arial" w:cs="Arial" w:eastAsia="Arial" w:hAnsi="Arial"/>
          <w:sz w:val="18"/>
          <w:szCs w:val="18"/>
          <w:color w:val="auto"/>
        </w:rPr>
        <w:t>Dividends that have not been collected within five years after their payment date shall enure to the Company and be allocated to the general statutory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189865</wp:posOffset>
            </wp:positionV>
            <wp:extent cx="23317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720"/>
            <w:col w:w="4360"/>
          </w:cols>
          <w:pgMar w:left="220" w:top="144" w:right="1159" w:bottom="1440" w:gutter="0" w:footer="0" w:header="0"/>
          <w:type w:val="continuous"/>
        </w:sectPr>
      </w:pPr>
    </w:p>
    <w:p>
      <w:pPr>
        <w:spacing w:after="0" w:line="171" w:lineRule="exact"/>
        <w:rPr>
          <w:sz w:val="20"/>
          <w:szCs w:val="20"/>
          <w:color w:val="auto"/>
        </w:rPr>
      </w:pPr>
    </w:p>
    <w:tbl>
      <w:tblPr>
        <w:tblLayout w:type="fixed"/>
        <w:tblInd w:w="1200" w:type="dxa"/>
        <w:tblCellMar>
          <w:top w:w="0" w:type="dxa"/>
          <w:left w:w="0" w:type="dxa"/>
          <w:bottom w:w="0" w:type="dxa"/>
          <w:right w:w="0" w:type="dxa"/>
        </w:tblCellMar>
      </w:tblPr>
      <w:tr>
        <w:trPr>
          <w:trHeight w:val="22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Abschnitt 9:</w:t>
            </w:r>
          </w:p>
        </w:tc>
        <w:tc>
          <w:tcPr>
            <w:tcW w:w="5220" w:type="dxa"/>
            <w:vAlign w:val="bottom"/>
            <w:gridSpan w:val="2"/>
          </w:tcPr>
          <w:p>
            <w:pPr>
              <w:ind w:left="1180"/>
              <w:spacing w:after="0"/>
              <w:rPr>
                <w:sz w:val="20"/>
                <w:szCs w:val="20"/>
                <w:color w:val="auto"/>
              </w:rPr>
            </w:pPr>
            <w:r>
              <w:rPr>
                <w:rFonts w:ascii="Arial" w:cs="Arial" w:eastAsia="Arial" w:hAnsi="Arial"/>
                <w:sz w:val="18"/>
                <w:szCs w:val="18"/>
                <w:b w:val="1"/>
                <w:bCs w:val="1"/>
                <w:color w:val="auto"/>
              </w:rPr>
              <w:t>Section 9:</w:t>
            </w:r>
          </w:p>
        </w:tc>
      </w:tr>
      <w:tr>
        <w:trPr>
          <w:trHeight w:val="235"/>
        </w:trPr>
        <w:tc>
          <w:tcPr>
            <w:tcW w:w="40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i w:val="1"/>
                <w:iCs w:val="1"/>
                <w:color w:val="auto"/>
              </w:rPr>
              <w:t>Auflösung, Liquidation</w:t>
            </w:r>
          </w:p>
        </w:tc>
        <w:tc>
          <w:tcPr>
            <w:tcW w:w="156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Winding-Up and Liquidation</w:t>
            </w:r>
          </w:p>
        </w:tc>
      </w:tr>
      <w:tr>
        <w:trPr>
          <w:trHeight w:val="81"/>
        </w:trPr>
        <w:tc>
          <w:tcPr>
            <w:tcW w:w="40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r>
      <w:tr>
        <w:trPr>
          <w:trHeight w:val="49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Artikel 36</w:t>
            </w:r>
          </w:p>
        </w:tc>
        <w:tc>
          <w:tcPr>
            <w:tcW w:w="5220" w:type="dxa"/>
            <w:vAlign w:val="bottom"/>
            <w:gridSpan w:val="2"/>
          </w:tcPr>
          <w:p>
            <w:pPr>
              <w:ind w:left="1180"/>
              <w:spacing w:after="0"/>
              <w:rPr>
                <w:sz w:val="20"/>
                <w:szCs w:val="20"/>
                <w:color w:val="auto"/>
              </w:rPr>
            </w:pPr>
            <w:r>
              <w:rPr>
                <w:rFonts w:ascii="Arial" w:cs="Arial" w:eastAsia="Arial" w:hAnsi="Arial"/>
                <w:sz w:val="18"/>
                <w:szCs w:val="18"/>
                <w:b w:val="1"/>
                <w:bCs w:val="1"/>
                <w:color w:val="auto"/>
              </w:rPr>
              <w:t>Article 36</w:t>
            </w:r>
          </w:p>
        </w:tc>
      </w:tr>
    </w:tbl>
    <w:p>
      <w:pPr>
        <w:spacing w:after="0" w:line="1" w:lineRule="exact"/>
        <w:rPr>
          <w:sz w:val="20"/>
          <w:szCs w:val="20"/>
          <w:color w:val="auto"/>
        </w:rPr>
      </w:pPr>
    </w:p>
    <w:p>
      <w:pPr>
        <w:sectPr>
          <w:pgSz w:w="11900" w:h="16838" w:orient="portrait"/>
          <w:cols w:equalWidth="0" w:num="1">
            <w:col w:w="10520"/>
          </w:cols>
          <w:pgMar w:left="220" w:top="144" w:right="1159" w:bottom="1440" w:gutter="0" w:footer="0" w:header="0"/>
          <w:type w:val="continuous"/>
        </w:sectPr>
      </w:pPr>
    </w:p>
    <w:p>
      <w:pPr>
        <w:spacing w:after="0" w:line="213" w:lineRule="auto"/>
        <w:tabs>
          <w:tab w:leader="none" w:pos="1180" w:val="left"/>
          <w:tab w:leader="none" w:pos="4980" w:val="left"/>
        </w:tabs>
        <w:rPr>
          <w:sz w:val="20"/>
          <w:szCs w:val="20"/>
          <w:color w:val="auto"/>
        </w:rPr>
      </w:pPr>
      <w:r>
        <w:rPr>
          <w:rFonts w:ascii="Arial" w:cs="Arial" w:eastAsia="Arial" w:hAnsi="Arial"/>
          <w:sz w:val="24"/>
          <w:szCs w:val="24"/>
          <w:color w:val="auto"/>
          <w:vertAlign w:val="superscript"/>
        </w:rPr>
        <w:t>ösung, Liquidation1</w:t>
      </w:r>
      <w:r>
        <w:rPr>
          <w:sz w:val="20"/>
          <w:szCs w:val="20"/>
          <w:color w:val="auto"/>
        </w:rPr>
        <w:tab/>
      </w:r>
      <w:r>
        <w:rPr>
          <w:rFonts w:ascii="Arial" w:cs="Arial" w:eastAsia="Arial" w:hAnsi="Arial"/>
          <w:sz w:val="18"/>
          <w:szCs w:val="18"/>
          <w:color w:val="auto"/>
        </w:rPr>
        <w:t>Die Generalversammlung kann jederzeit die</w:t>
      </w:r>
      <w:r>
        <w:rPr>
          <w:sz w:val="20"/>
          <w:szCs w:val="20"/>
          <w:color w:val="auto"/>
        </w:rPr>
        <w:tab/>
      </w:r>
      <w:r>
        <w:rPr>
          <w:rFonts w:ascii="Arial" w:cs="Arial" w:eastAsia="Arial" w:hAnsi="Arial"/>
          <w:sz w:val="21"/>
          <w:szCs w:val="21"/>
          <w:color w:val="auto"/>
          <w:vertAlign w:val="superscript"/>
        </w:rPr>
        <w:t>Winding-Up,</w:t>
      </w:r>
    </w:p>
    <w:tbl>
      <w:tblPr>
        <w:tblLayout w:type="fixed"/>
        <w:tblInd w:w="1620" w:type="dxa"/>
        <w:tblCellMar>
          <w:top w:w="0" w:type="dxa"/>
          <w:left w:w="0" w:type="dxa"/>
          <w:bottom w:w="0" w:type="dxa"/>
          <w:right w:w="0" w:type="dxa"/>
        </w:tblCellMar>
      </w:tblPr>
      <w:tr>
        <w:trPr>
          <w:trHeight w:val="172"/>
        </w:trPr>
        <w:tc>
          <w:tcPr>
            <w:tcW w:w="3600" w:type="dxa"/>
            <w:vAlign w:val="bottom"/>
            <w:vMerge w:val="restart"/>
          </w:tcPr>
          <w:p>
            <w:pPr>
              <w:spacing w:after="0"/>
              <w:rPr>
                <w:sz w:val="20"/>
                <w:szCs w:val="20"/>
                <w:color w:val="auto"/>
              </w:rPr>
            </w:pPr>
            <w:r>
              <w:rPr>
                <w:rFonts w:ascii="Arial" w:cs="Arial" w:eastAsia="Arial" w:hAnsi="Arial"/>
                <w:sz w:val="18"/>
                <w:szCs w:val="18"/>
                <w:color w:val="auto"/>
              </w:rPr>
              <w:t>Auflösung und Liquidation der Gesellschaft</w:t>
            </w:r>
          </w:p>
        </w:tc>
        <w:tc>
          <w:tcPr>
            <w:tcW w:w="880" w:type="dxa"/>
            <w:vAlign w:val="bottom"/>
          </w:tcPr>
          <w:p>
            <w:pPr>
              <w:ind w:left="200"/>
              <w:spacing w:after="0"/>
              <w:rPr>
                <w:sz w:val="20"/>
                <w:szCs w:val="20"/>
                <w:color w:val="auto"/>
              </w:rPr>
            </w:pPr>
            <w:r>
              <w:rPr>
                <w:rFonts w:ascii="Arial" w:cs="Arial" w:eastAsia="Arial" w:hAnsi="Arial"/>
                <w:sz w:val="14"/>
                <w:szCs w:val="14"/>
                <w:color w:val="auto"/>
                <w:w w:val="97"/>
              </w:rPr>
              <w:t>Liquidation</w:t>
            </w:r>
          </w:p>
        </w:tc>
        <w:tc>
          <w:tcPr>
            <w:tcW w:w="0" w:type="dxa"/>
            <w:vAlign w:val="bottom"/>
          </w:tcPr>
          <w:p>
            <w:pPr>
              <w:spacing w:after="0"/>
              <w:rPr>
                <w:sz w:val="1"/>
                <w:szCs w:val="1"/>
                <w:color w:val="auto"/>
              </w:rPr>
            </w:pPr>
          </w:p>
        </w:tc>
      </w:tr>
      <w:tr>
        <w:trPr>
          <w:trHeight w:val="92"/>
        </w:trPr>
        <w:tc>
          <w:tcPr>
            <w:tcW w:w="360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nach Massgabe der gesetzlichen und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0" w:type="dxa"/>
            <w:vAlign w:val="bottom"/>
          </w:tcPr>
          <w:p>
            <w:pPr>
              <w:spacing w:after="0"/>
              <w:rPr>
                <w:sz w:val="20"/>
                <w:szCs w:val="20"/>
                <w:color w:val="auto"/>
              </w:rPr>
            </w:pPr>
            <w:r>
              <w:rPr>
                <w:rFonts w:ascii="Arial" w:cs="Arial" w:eastAsia="Arial" w:hAnsi="Arial"/>
                <w:sz w:val="18"/>
                <w:szCs w:val="18"/>
                <w:color w:val="auto"/>
              </w:rPr>
              <w:t>statutarischen Vorschriften beschliessen.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720" w:right="120" w:hanging="720"/>
        <w:spacing w:after="0" w:line="223" w:lineRule="auto"/>
        <w:tabs>
          <w:tab w:leader="none" w:pos="315" w:val="left"/>
        </w:tabs>
        <w:numPr>
          <w:ilvl w:val="0"/>
          <w:numId w:val="238"/>
        </w:numPr>
        <w:rPr>
          <w:rFonts w:ascii="Arial" w:cs="Arial" w:eastAsia="Arial" w:hAnsi="Arial"/>
          <w:sz w:val="29"/>
          <w:szCs w:val="29"/>
          <w:color w:val="auto"/>
          <w:vertAlign w:val="superscript"/>
        </w:rPr>
      </w:pPr>
      <w:r>
        <w:rPr>
          <w:rFonts w:ascii="Arial" w:cs="Arial" w:eastAsia="Arial" w:hAnsi="Arial"/>
          <w:sz w:val="18"/>
          <w:szCs w:val="18"/>
          <w:color w:val="auto"/>
        </w:rPr>
        <w:t>The general meeting of shareholders may at any time resolve on the winding-up and liquidation of the Company pursuant to applicable law and the provisions set forth in these Articles of Incorporation.</w:t>
      </w:r>
    </w:p>
    <w:p>
      <w:pPr>
        <w:spacing w:after="0" w:line="55" w:lineRule="exact"/>
        <w:rPr>
          <w:sz w:val="20"/>
          <w:szCs w:val="20"/>
          <w:color w:val="auto"/>
        </w:rPr>
      </w:pPr>
    </w:p>
    <w:p>
      <w:pPr>
        <w:sectPr>
          <w:pgSz w:w="11900" w:h="16838" w:orient="portrait"/>
          <w:cols w:equalWidth="0" w:num="2">
            <w:col w:w="6100" w:space="60"/>
            <w:col w:w="4360"/>
          </w:cols>
          <w:pgMar w:left="220" w:top="144" w:right="1159" w:bottom="1440" w:gutter="0" w:footer="0" w:header="0"/>
          <w:type w:val="continuous"/>
        </w:sectPr>
      </w:pPr>
    </w:p>
    <w:p>
      <w:pPr>
        <w:ind w:left="1620" w:right="580" w:hanging="711"/>
        <w:spacing w:after="0" w:line="217" w:lineRule="auto"/>
        <w:tabs>
          <w:tab w:leader="none" w:pos="1215" w:val="left"/>
        </w:tabs>
        <w:numPr>
          <w:ilvl w:val="0"/>
          <w:numId w:val="239"/>
        </w:numPr>
        <w:rPr>
          <w:rFonts w:ascii="Arial" w:cs="Arial" w:eastAsia="Arial" w:hAnsi="Arial"/>
          <w:sz w:val="29"/>
          <w:szCs w:val="29"/>
          <w:color w:val="auto"/>
          <w:vertAlign w:val="superscript"/>
        </w:rPr>
      </w:pPr>
      <w:r>
        <w:rPr>
          <w:rFonts w:ascii="Arial" w:cs="Arial" w:eastAsia="Arial" w:hAnsi="Arial"/>
          <w:sz w:val="18"/>
          <w:szCs w:val="18"/>
          <w:color w:val="auto"/>
        </w:rPr>
        <w:t>Die Liquidation wird durch den Verwaltungsrat durchgeführt, sofern sie nicht durch die Generalversammlung anderen Personen übertragen wird.</w:t>
      </w:r>
    </w:p>
    <w:p>
      <w:pPr>
        <w:ind w:left="1200" w:hanging="291"/>
        <w:spacing w:after="0" w:line="195" w:lineRule="auto"/>
        <w:tabs>
          <w:tab w:leader="none" w:pos="1200" w:val="left"/>
        </w:tabs>
        <w:numPr>
          <w:ilvl w:val="0"/>
          <w:numId w:val="240"/>
        </w:numPr>
        <w:rPr>
          <w:rFonts w:ascii="Arial" w:cs="Arial" w:eastAsia="Arial" w:hAnsi="Arial"/>
          <w:sz w:val="29"/>
          <w:szCs w:val="29"/>
          <w:color w:val="auto"/>
          <w:vertAlign w:val="superscript"/>
        </w:rPr>
      </w:pPr>
      <w:r>
        <w:rPr>
          <w:rFonts w:ascii="Arial" w:cs="Arial" w:eastAsia="Arial" w:hAnsi="Arial"/>
          <w:sz w:val="18"/>
          <w:szCs w:val="18"/>
          <w:color w:val="auto"/>
        </w:rPr>
        <w:t>Die Liquidation der Gesellschaft erfolgt nach</w:t>
      </w:r>
    </w:p>
    <w:p>
      <w:pPr>
        <w:ind w:left="1620" w:right="880"/>
        <w:spacing w:after="0" w:line="273" w:lineRule="auto"/>
        <w:rPr>
          <w:rFonts w:ascii="Arial" w:cs="Arial" w:eastAsia="Arial" w:hAnsi="Arial"/>
          <w:sz w:val="29"/>
          <w:szCs w:val="29"/>
          <w:color w:val="auto"/>
          <w:vertAlign w:val="superscript"/>
        </w:rPr>
      </w:pPr>
      <w:r>
        <w:rPr>
          <w:rFonts w:ascii="Arial" w:cs="Arial" w:eastAsia="Arial" w:hAnsi="Arial"/>
          <w:sz w:val="17"/>
          <w:szCs w:val="17"/>
          <w:color w:val="auto"/>
        </w:rPr>
        <w:t>Massgabe der Art. 742 ff. OR. Die Liquidatoren sind ermächtigt, Aktiven (Grundstücke eingeschlossen) auch freihändig zu verkaufen.</w:t>
      </w:r>
    </w:p>
    <w:p>
      <w:pPr>
        <w:spacing w:after="0" w:line="29" w:lineRule="exact"/>
        <w:rPr>
          <w:sz w:val="20"/>
          <w:szCs w:val="20"/>
          <w:color w:val="auto"/>
        </w:rPr>
      </w:pPr>
    </w:p>
    <w:p>
      <w:pPr>
        <w:ind w:left="1620" w:right="300" w:hanging="711"/>
        <w:spacing w:after="0" w:line="218" w:lineRule="auto"/>
        <w:tabs>
          <w:tab w:leader="none" w:pos="1215" w:val="left"/>
        </w:tabs>
        <w:numPr>
          <w:ilvl w:val="0"/>
          <w:numId w:val="241"/>
        </w:numPr>
        <w:rPr>
          <w:rFonts w:ascii="Arial" w:cs="Arial" w:eastAsia="Arial" w:hAnsi="Arial"/>
          <w:sz w:val="28"/>
          <w:szCs w:val="28"/>
          <w:color w:val="auto"/>
          <w:vertAlign w:val="superscript"/>
        </w:rPr>
      </w:pPr>
      <w:r>
        <w:rPr>
          <w:rFonts w:ascii="Arial" w:cs="Arial" w:eastAsia="Arial" w:hAnsi="Arial"/>
          <w:sz w:val="17"/>
          <w:szCs w:val="17"/>
          <w:color w:val="auto"/>
        </w:rPr>
        <w:t>Nach erfolgter Tilgung der Schulden wird das Vermögen unter den Aktionären nach Massgabe der einbezahlten Beträge verteilt.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326390</wp:posOffset>
            </wp:positionV>
            <wp:extent cx="23488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20" w:right="160" w:hanging="720"/>
        <w:spacing w:after="0" w:line="217" w:lineRule="auto"/>
        <w:tabs>
          <w:tab w:leader="none" w:pos="315" w:val="left"/>
        </w:tabs>
        <w:numPr>
          <w:ilvl w:val="0"/>
          <w:numId w:val="242"/>
        </w:numPr>
        <w:rPr>
          <w:rFonts w:ascii="Arial" w:cs="Arial" w:eastAsia="Arial" w:hAnsi="Arial"/>
          <w:sz w:val="29"/>
          <w:szCs w:val="29"/>
          <w:color w:val="auto"/>
          <w:vertAlign w:val="superscript"/>
        </w:rPr>
      </w:pPr>
      <w:r>
        <w:rPr>
          <w:rFonts w:ascii="Arial" w:cs="Arial" w:eastAsia="Arial" w:hAnsi="Arial"/>
          <w:sz w:val="18"/>
          <w:szCs w:val="18"/>
          <w:color w:val="auto"/>
        </w:rPr>
        <w:t>The liquidation shall be effected by the board of directors, unless the general meeting of shareholders shall appoint other persons as liquidators.</w:t>
      </w:r>
    </w:p>
    <w:p>
      <w:pPr>
        <w:spacing w:after="0" w:line="61" w:lineRule="exact"/>
        <w:rPr>
          <w:sz w:val="20"/>
          <w:szCs w:val="20"/>
          <w:color w:val="auto"/>
        </w:rPr>
      </w:pPr>
    </w:p>
    <w:p>
      <w:pPr>
        <w:jc w:val="both"/>
        <w:ind w:left="320" w:right="20" w:hanging="715"/>
        <w:spacing w:after="0" w:line="254" w:lineRule="auto"/>
        <w:tabs>
          <w:tab w:leader="none" w:pos="299" w:val="left"/>
        </w:tabs>
        <w:rPr>
          <w:sz w:val="20"/>
          <w:szCs w:val="20"/>
          <w:color w:val="auto"/>
        </w:rPr>
      </w:pPr>
      <w:r>
        <w:rPr>
          <w:rFonts w:ascii="Arial" w:cs="Arial" w:eastAsia="Arial" w:hAnsi="Arial"/>
          <w:sz w:val="28"/>
          <w:szCs w:val="28"/>
          <w:color w:val="auto"/>
          <w:vertAlign w:val="superscript"/>
        </w:rPr>
        <w:t>3</w:t>
      </w:r>
      <w:r>
        <w:rPr>
          <w:rFonts w:ascii="Arial" w:cs="Arial" w:eastAsia="Arial" w:hAnsi="Arial"/>
          <w:sz w:val="18"/>
          <w:szCs w:val="18"/>
          <w:color w:val="auto"/>
        </w:rPr>
        <w:tab/>
        <w:t>The liquidation of the Company shall be effectuated pursuant to art. 742 et seq. CO. The liquidators are authorized to sell assets (including real estate) in the open market.</w:t>
      </w:r>
    </w:p>
    <w:p>
      <w:pPr>
        <w:spacing w:after="0" w:line="252" w:lineRule="exact"/>
        <w:rPr>
          <w:sz w:val="20"/>
          <w:szCs w:val="20"/>
          <w:color w:val="auto"/>
        </w:rPr>
      </w:pPr>
    </w:p>
    <w:p>
      <w:pPr>
        <w:ind w:left="720" w:right="200" w:hanging="720"/>
        <w:spacing w:after="0" w:line="217" w:lineRule="auto"/>
        <w:tabs>
          <w:tab w:leader="none" w:pos="315" w:val="left"/>
        </w:tabs>
        <w:numPr>
          <w:ilvl w:val="0"/>
          <w:numId w:val="243"/>
        </w:numPr>
        <w:rPr>
          <w:rFonts w:ascii="Arial" w:cs="Arial" w:eastAsia="Arial" w:hAnsi="Arial"/>
          <w:sz w:val="29"/>
          <w:szCs w:val="29"/>
          <w:color w:val="auto"/>
          <w:vertAlign w:val="superscript"/>
        </w:rPr>
      </w:pPr>
      <w:r>
        <w:rPr>
          <w:rFonts w:ascii="Arial" w:cs="Arial" w:eastAsia="Arial" w:hAnsi="Arial"/>
          <w:sz w:val="18"/>
          <w:szCs w:val="18"/>
          <w:color w:val="auto"/>
        </w:rPr>
        <w:t>Upon discharge of all liabilities, the assets of the Company shall be distributed to the shareholders pursuant to the amounts paid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189865</wp:posOffset>
            </wp:positionV>
            <wp:extent cx="23317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720"/>
            <w:col w:w="4360"/>
          </w:cols>
          <w:pgMar w:left="220" w:top="144" w:right="1159" w:bottom="1440" w:gutter="0" w:footer="0" w:header="0"/>
          <w:type w:val="continuous"/>
        </w:sectPr>
      </w:pPr>
    </w:p>
    <w:p>
      <w:pPr>
        <w:spacing w:after="0" w:line="171" w:lineRule="exact"/>
        <w:rPr>
          <w:sz w:val="20"/>
          <w:szCs w:val="20"/>
          <w:color w:val="auto"/>
        </w:rPr>
      </w:pPr>
    </w:p>
    <w:tbl>
      <w:tblPr>
        <w:tblLayout w:type="fixed"/>
        <w:tblInd w:w="1200" w:type="dxa"/>
        <w:tblCellMar>
          <w:top w:w="0" w:type="dxa"/>
          <w:left w:w="0" w:type="dxa"/>
          <w:bottom w:w="0" w:type="dxa"/>
          <w:right w:w="0" w:type="dxa"/>
        </w:tblCellMar>
      </w:tblPr>
      <w:tr>
        <w:trPr>
          <w:trHeight w:val="22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Abschnitt 10:</w:t>
            </w:r>
          </w:p>
        </w:tc>
        <w:tc>
          <w:tcPr>
            <w:tcW w:w="5220" w:type="dxa"/>
            <w:vAlign w:val="bottom"/>
            <w:gridSpan w:val="2"/>
          </w:tcPr>
          <w:p>
            <w:pPr>
              <w:ind w:left="1180"/>
              <w:spacing w:after="0"/>
              <w:rPr>
                <w:sz w:val="20"/>
                <w:szCs w:val="20"/>
                <w:color w:val="auto"/>
              </w:rPr>
            </w:pPr>
            <w:r>
              <w:rPr>
                <w:rFonts w:ascii="Arial" w:cs="Arial" w:eastAsia="Arial" w:hAnsi="Arial"/>
                <w:sz w:val="18"/>
                <w:szCs w:val="18"/>
                <w:b w:val="1"/>
                <w:bCs w:val="1"/>
                <w:color w:val="auto"/>
              </w:rPr>
              <w:t>Section 10:</w:t>
            </w:r>
          </w:p>
        </w:tc>
      </w:tr>
      <w:tr>
        <w:trPr>
          <w:trHeight w:val="235"/>
        </w:trPr>
        <w:tc>
          <w:tcPr>
            <w:tcW w:w="40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i w:val="1"/>
                <w:iCs w:val="1"/>
                <w:color w:val="auto"/>
              </w:rPr>
              <w:t>Mitteilungen, Bekanntmachungen</w:t>
            </w:r>
          </w:p>
        </w:tc>
        <w:tc>
          <w:tcPr>
            <w:tcW w:w="156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Communications, Announcements</w:t>
            </w:r>
          </w:p>
        </w:tc>
      </w:tr>
      <w:tr>
        <w:trPr>
          <w:trHeight w:val="81"/>
        </w:trPr>
        <w:tc>
          <w:tcPr>
            <w:tcW w:w="40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0520"/>
          </w:cols>
          <w:pgMar w:left="220" w:top="144" w:right="1159" w:bottom="1440" w:gutter="0" w:footer="0" w:header="0"/>
          <w:type w:val="continuous"/>
        </w:sectPr>
      </w:pPr>
    </w:p>
    <w:p>
      <w:pPr>
        <w:spacing w:after="0" w:line="61"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Artikel 37</w:t>
      </w:r>
    </w:p>
    <w:p>
      <w:pPr>
        <w:ind w:left="40"/>
        <w:spacing w:after="0" w:line="181" w:lineRule="auto"/>
        <w:tabs>
          <w:tab w:leader="none" w:pos="1180" w:val="left"/>
        </w:tabs>
        <w:rPr>
          <w:sz w:val="20"/>
          <w:szCs w:val="20"/>
          <w:color w:val="auto"/>
        </w:rPr>
      </w:pPr>
      <w:r>
        <w:rPr>
          <w:rFonts w:ascii="Arial" w:cs="Arial" w:eastAsia="Arial" w:hAnsi="Arial"/>
          <w:sz w:val="29"/>
          <w:szCs w:val="29"/>
          <w:color w:val="auto"/>
          <w:vertAlign w:val="superscript"/>
        </w:rPr>
        <w:t>ilungen,</w:t>
      </w:r>
      <w:r>
        <w:rPr>
          <w:sz w:val="20"/>
          <w:szCs w:val="20"/>
          <w:color w:val="auto"/>
        </w:rPr>
        <w:tab/>
      </w:r>
      <w:r>
        <w:rPr>
          <w:rFonts w:ascii="Arial" w:cs="Arial" w:eastAsia="Arial" w:hAnsi="Arial"/>
          <w:sz w:val="18"/>
          <w:szCs w:val="18"/>
          <w:color w:val="auto"/>
        </w:rPr>
        <w:t>Publikationsorgan der Gesellschaft ist das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320" w:type="dxa"/>
            <w:vAlign w:val="bottom"/>
          </w:tcPr>
          <w:p>
            <w:pPr>
              <w:spacing w:after="0"/>
              <w:rPr>
                <w:sz w:val="20"/>
                <w:szCs w:val="20"/>
                <w:color w:val="auto"/>
              </w:rPr>
            </w:pPr>
            <w:r>
              <w:rPr>
                <w:rFonts w:ascii="Arial" w:cs="Arial" w:eastAsia="Arial" w:hAnsi="Arial"/>
                <w:sz w:val="14"/>
                <w:szCs w:val="14"/>
                <w:color w:val="auto"/>
              </w:rPr>
              <w:t>Publikationsorgan</w:t>
            </w:r>
          </w:p>
        </w:tc>
        <w:tc>
          <w:tcPr>
            <w:tcW w:w="3260" w:type="dxa"/>
            <w:vAlign w:val="bottom"/>
            <w:vMerge w:val="restart"/>
          </w:tcPr>
          <w:p>
            <w:pPr>
              <w:ind w:left="180"/>
              <w:spacing w:after="0"/>
              <w:rPr>
                <w:sz w:val="20"/>
                <w:szCs w:val="20"/>
                <w:color w:val="auto"/>
              </w:rPr>
            </w:pPr>
            <w:r>
              <w:rPr>
                <w:rFonts w:ascii="Arial" w:cs="Arial" w:eastAsia="Arial" w:hAnsi="Arial"/>
                <w:sz w:val="18"/>
                <w:szCs w:val="18"/>
                <w:color w:val="auto"/>
                <w:w w:val="99"/>
              </w:rPr>
              <w:t>Schweizerische Handelsamtsblatt. Der</w:t>
            </w:r>
          </w:p>
        </w:tc>
        <w:tc>
          <w:tcPr>
            <w:tcW w:w="0" w:type="dxa"/>
            <w:vAlign w:val="bottom"/>
          </w:tcPr>
          <w:p>
            <w:pPr>
              <w:spacing w:after="0"/>
              <w:rPr>
                <w:sz w:val="1"/>
                <w:szCs w:val="1"/>
                <w:color w:val="auto"/>
              </w:rPr>
            </w:pPr>
          </w:p>
        </w:tc>
      </w:tr>
      <w:tr>
        <w:trPr>
          <w:trHeight w:val="92"/>
        </w:trPr>
        <w:tc>
          <w:tcPr>
            <w:tcW w:w="1320" w:type="dxa"/>
            <w:vAlign w:val="bottom"/>
          </w:tcPr>
          <w:p>
            <w:pPr>
              <w:spacing w:after="0"/>
              <w:rPr>
                <w:sz w:val="8"/>
                <w:szCs w:val="8"/>
                <w:color w:val="auto"/>
              </w:rPr>
            </w:pPr>
          </w:p>
        </w:tc>
        <w:tc>
          <w:tcPr>
            <w:tcW w:w="3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Verwaltungsrat kann weitere</w:t>
            </w:r>
          </w:p>
        </w:tc>
        <w:tc>
          <w:tcPr>
            <w:tcW w:w="0" w:type="dxa"/>
            <w:vAlign w:val="bottom"/>
          </w:tcPr>
          <w:p>
            <w:pPr>
              <w:spacing w:after="0"/>
              <w:rPr>
                <w:sz w:val="1"/>
                <w:szCs w:val="1"/>
                <w:color w:val="auto"/>
              </w:rPr>
            </w:pPr>
          </w:p>
        </w:tc>
      </w:tr>
      <w:tr>
        <w:trPr>
          <w:trHeight w:val="217"/>
        </w:trPr>
        <w:tc>
          <w:tcPr>
            <w:tcW w:w="1320" w:type="dxa"/>
            <w:vAlign w:val="bottom"/>
          </w:tcPr>
          <w:p>
            <w:pPr>
              <w:spacing w:after="0"/>
              <w:rPr>
                <w:sz w:val="18"/>
                <w:szCs w:val="18"/>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Publikationsorgane bezeichnen.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Article 37</w:t>
      </w:r>
    </w:p>
    <w:p>
      <w:pPr>
        <w:spacing w:after="0" w:line="188" w:lineRule="auto"/>
        <w:tabs>
          <w:tab w:leader="none" w:pos="1460" w:val="left"/>
        </w:tabs>
        <w:rPr>
          <w:sz w:val="20"/>
          <w:szCs w:val="20"/>
          <w:color w:val="auto"/>
        </w:rPr>
      </w:pPr>
      <w:r>
        <w:rPr>
          <w:rFonts w:ascii="Arial" w:cs="Arial" w:eastAsia="Arial" w:hAnsi="Arial"/>
          <w:sz w:val="28"/>
          <w:szCs w:val="28"/>
          <w:color w:val="auto"/>
          <w:vertAlign w:val="superscript"/>
        </w:rPr>
        <w:t>Communications,</w:t>
      </w:r>
      <w:r>
        <w:rPr>
          <w:sz w:val="20"/>
          <w:szCs w:val="20"/>
          <w:color w:val="auto"/>
        </w:rPr>
        <w:tab/>
      </w:r>
      <w:r>
        <w:rPr>
          <w:rFonts w:ascii="Arial" w:cs="Arial" w:eastAsia="Arial" w:hAnsi="Arial"/>
          <w:sz w:val="17"/>
          <w:szCs w:val="17"/>
          <w:color w:val="auto"/>
        </w:rPr>
        <w:t>The official means of publication of the Company</w:t>
      </w:r>
    </w:p>
    <w:tbl>
      <w:tblPr>
        <w:tblLayout w:type="fixed"/>
        <w:tblInd w:w="42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Arial" w:cs="Arial" w:eastAsia="Arial" w:hAnsi="Arial"/>
                <w:sz w:val="14"/>
                <w:szCs w:val="14"/>
                <w:color w:val="auto"/>
              </w:rPr>
              <w:t>Official Means of</w:t>
            </w:r>
          </w:p>
        </w:tc>
        <w:tc>
          <w:tcPr>
            <w:tcW w:w="3540" w:type="dxa"/>
            <w:vAlign w:val="bottom"/>
            <w:vMerge w:val="restart"/>
          </w:tcPr>
          <w:p>
            <w:pPr>
              <w:ind w:left="200"/>
              <w:spacing w:after="0"/>
              <w:rPr>
                <w:sz w:val="20"/>
                <w:szCs w:val="20"/>
                <w:color w:val="auto"/>
              </w:rPr>
            </w:pPr>
            <w:r>
              <w:rPr>
                <w:rFonts w:ascii="Arial" w:cs="Arial" w:eastAsia="Arial" w:hAnsi="Arial"/>
                <w:sz w:val="18"/>
                <w:szCs w:val="18"/>
                <w:color w:val="auto"/>
              </w:rPr>
              <w:t>shall be the Swiss Official Gazette of</w:t>
            </w:r>
          </w:p>
        </w:tc>
        <w:tc>
          <w:tcPr>
            <w:tcW w:w="0" w:type="dxa"/>
            <w:vAlign w:val="bottom"/>
          </w:tcPr>
          <w:p>
            <w:pPr>
              <w:spacing w:after="0"/>
              <w:rPr>
                <w:sz w:val="1"/>
                <w:szCs w:val="1"/>
                <w:color w:val="auto"/>
              </w:rPr>
            </w:pPr>
          </w:p>
        </w:tc>
      </w:tr>
      <w:tr>
        <w:trPr>
          <w:trHeight w:val="102"/>
        </w:trPr>
        <w:tc>
          <w:tcPr>
            <w:tcW w:w="1260" w:type="dxa"/>
            <w:vAlign w:val="bottom"/>
            <w:vMerge w:val="restart"/>
          </w:tcPr>
          <w:p>
            <w:pPr>
              <w:spacing w:after="0"/>
              <w:rPr>
                <w:sz w:val="20"/>
                <w:szCs w:val="20"/>
                <w:color w:val="auto"/>
              </w:rPr>
            </w:pPr>
            <w:r>
              <w:rPr>
                <w:rFonts w:ascii="Arial" w:cs="Arial" w:eastAsia="Arial" w:hAnsi="Arial"/>
                <w:sz w:val="14"/>
                <w:szCs w:val="14"/>
                <w:color w:val="auto"/>
              </w:rPr>
              <w:t>Publication</w:t>
            </w: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260" w:type="dxa"/>
            <w:vAlign w:val="bottom"/>
            <w:vMerge w:val="continue"/>
          </w:tcPr>
          <w:p>
            <w:pPr>
              <w:spacing w:after="0"/>
              <w:rPr>
                <w:sz w:val="6"/>
                <w:szCs w:val="6"/>
                <w:color w:val="auto"/>
              </w:rPr>
            </w:pPr>
          </w:p>
        </w:tc>
        <w:tc>
          <w:tcPr>
            <w:tcW w:w="3540" w:type="dxa"/>
            <w:vAlign w:val="bottom"/>
            <w:vMerge w:val="restart"/>
          </w:tcPr>
          <w:p>
            <w:pPr>
              <w:ind w:left="200"/>
              <w:spacing w:after="0"/>
              <w:rPr>
                <w:sz w:val="20"/>
                <w:szCs w:val="20"/>
                <w:color w:val="auto"/>
              </w:rPr>
            </w:pPr>
            <w:r>
              <w:rPr>
                <w:rFonts w:ascii="Arial" w:cs="Arial" w:eastAsia="Arial" w:hAnsi="Arial"/>
                <w:sz w:val="18"/>
                <w:szCs w:val="18"/>
                <w:color w:val="auto"/>
              </w:rPr>
              <w:t>Commerce. The board of directors may</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w w:val="99"/>
              </w:rPr>
              <w:t>designate additional means of publication.</w:t>
            </w:r>
          </w:p>
        </w:tc>
        <w:tc>
          <w:tcPr>
            <w:tcW w:w="0" w:type="dxa"/>
            <w:vAlign w:val="bottom"/>
          </w:tcPr>
          <w:p>
            <w:pPr>
              <w:spacing w:after="0"/>
              <w:rPr>
                <w:sz w:val="1"/>
                <w:szCs w:val="1"/>
                <w:color w:val="auto"/>
              </w:rPr>
            </w:pPr>
          </w:p>
        </w:tc>
      </w:tr>
    </w:tbl>
    <w:p>
      <w:pPr>
        <w:sectPr>
          <w:pgSz w:w="11900" w:h="16838" w:orient="portrait"/>
          <w:cols w:equalWidth="0" w:num="2">
            <w:col w:w="4700" w:space="300"/>
            <w:col w:w="5520"/>
          </w:cols>
          <w:pgMar w:left="220" w:top="144" w:right="1159" w:bottom="1440" w:gutter="0" w:footer="0" w:header="0"/>
          <w:type w:val="continuous"/>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20"/>
        <w:spacing w:after="0"/>
        <w:rPr>
          <w:sz w:val="20"/>
          <w:szCs w:val="20"/>
          <w:color w:val="auto"/>
        </w:rPr>
      </w:pPr>
      <w:r>
        <w:rPr>
          <w:rFonts w:ascii="Arial" w:cs="Arial" w:eastAsia="Arial" w:hAnsi="Arial"/>
          <w:sz w:val="40"/>
          <w:szCs w:val="40"/>
          <w:b w:val="1"/>
          <w:bCs w:val="1"/>
          <w:color w:val="auto"/>
        </w:rPr>
        <w:t>ORGANIZATIONAL RULES</w:t>
      </w:r>
    </w:p>
    <w:p>
      <w:pPr>
        <w:spacing w:after="0" w:line="229" w:lineRule="exact"/>
        <w:rPr>
          <w:sz w:val="20"/>
          <w:szCs w:val="20"/>
          <w:color w:val="auto"/>
        </w:rPr>
      </w:pPr>
    </w:p>
    <w:p>
      <w:pPr>
        <w:jc w:val="center"/>
        <w:ind w:right="1620"/>
        <w:spacing w:after="0"/>
        <w:rPr>
          <w:sz w:val="20"/>
          <w:szCs w:val="20"/>
          <w:color w:val="auto"/>
        </w:rPr>
      </w:pPr>
      <w:r>
        <w:rPr>
          <w:rFonts w:ascii="Arial" w:cs="Arial" w:eastAsia="Arial" w:hAnsi="Arial"/>
          <w:sz w:val="40"/>
          <w:szCs w:val="40"/>
          <w:b w:val="1"/>
          <w:bCs w:val="1"/>
          <w:color w:val="auto"/>
        </w:rPr>
        <w:t>OF</w:t>
      </w:r>
    </w:p>
    <w:p>
      <w:pPr>
        <w:spacing w:after="0" w:line="229" w:lineRule="exact"/>
        <w:rPr>
          <w:sz w:val="20"/>
          <w:szCs w:val="20"/>
          <w:color w:val="auto"/>
        </w:rPr>
      </w:pPr>
    </w:p>
    <w:p>
      <w:pPr>
        <w:jc w:val="center"/>
        <w:ind w:right="1620"/>
        <w:spacing w:after="0"/>
        <w:rPr>
          <w:sz w:val="20"/>
          <w:szCs w:val="20"/>
          <w:color w:val="auto"/>
        </w:rPr>
      </w:pPr>
      <w:r>
        <w:rPr>
          <w:rFonts w:ascii="Arial" w:cs="Arial" w:eastAsia="Arial" w:hAnsi="Arial"/>
          <w:sz w:val="40"/>
          <w:szCs w:val="40"/>
          <w:b w:val="1"/>
          <w:bCs w:val="1"/>
          <w:color w:val="auto"/>
        </w:rPr>
        <w:t>MOLECULAR PARTNERS AG</w:t>
      </w:r>
    </w:p>
    <w:p>
      <w:pPr>
        <w:spacing w:after="0" w:line="200" w:lineRule="exact"/>
        <w:rPr>
          <w:sz w:val="20"/>
          <w:szCs w:val="20"/>
          <w:color w:val="auto"/>
        </w:rPr>
      </w:pPr>
    </w:p>
    <w:p>
      <w:pPr>
        <w:spacing w:after="0" w:line="238" w:lineRule="exact"/>
        <w:rPr>
          <w:sz w:val="20"/>
          <w:szCs w:val="20"/>
          <w:color w:val="auto"/>
        </w:rPr>
      </w:pPr>
    </w:p>
    <w:p>
      <w:pPr>
        <w:jc w:val="center"/>
        <w:ind w:right="1620"/>
        <w:spacing w:after="0"/>
        <w:rPr>
          <w:sz w:val="20"/>
          <w:szCs w:val="20"/>
          <w:color w:val="auto"/>
        </w:rPr>
      </w:pPr>
      <w:r>
        <w:rPr>
          <w:rFonts w:ascii="Arial" w:cs="Arial" w:eastAsia="Arial" w:hAnsi="Arial"/>
          <w:sz w:val="23"/>
          <w:szCs w:val="23"/>
          <w:b w:val="1"/>
          <w:bCs w:val="1"/>
          <w:color w:val="auto"/>
        </w:rPr>
        <w:t>Approved by the Board of Directors</w:t>
      </w:r>
    </w:p>
    <w:p>
      <w:pPr>
        <w:spacing w:after="0" w:line="141" w:lineRule="exact"/>
        <w:rPr>
          <w:sz w:val="20"/>
          <w:szCs w:val="20"/>
          <w:color w:val="auto"/>
        </w:rPr>
      </w:pPr>
    </w:p>
    <w:p>
      <w:pPr>
        <w:jc w:val="center"/>
        <w:ind w:right="1620"/>
        <w:spacing w:after="0"/>
        <w:rPr>
          <w:sz w:val="20"/>
          <w:szCs w:val="20"/>
          <w:color w:val="auto"/>
        </w:rPr>
      </w:pPr>
      <w:r>
        <w:rPr>
          <w:rFonts w:ascii="Arial" w:cs="Arial" w:eastAsia="Arial" w:hAnsi="Arial"/>
          <w:sz w:val="23"/>
          <w:szCs w:val="23"/>
          <w:b w:val="1"/>
          <w:bCs w:val="1"/>
          <w:color w:val="auto"/>
        </w:rPr>
        <w:t>October 6, 2014</w:t>
      </w:r>
    </w:p>
    <w:p>
      <w:pPr>
        <w:spacing w:after="0" w:line="141" w:lineRule="exact"/>
        <w:rPr>
          <w:sz w:val="20"/>
          <w:szCs w:val="20"/>
          <w:color w:val="auto"/>
        </w:rPr>
      </w:pPr>
    </w:p>
    <w:p>
      <w:pPr>
        <w:ind w:left="2520" w:right="2940" w:hanging="1255"/>
        <w:spacing w:after="0" w:line="408" w:lineRule="auto"/>
        <w:rPr>
          <w:sz w:val="20"/>
          <w:szCs w:val="20"/>
          <w:color w:val="auto"/>
        </w:rPr>
      </w:pPr>
      <w:r>
        <w:rPr>
          <w:rFonts w:ascii="Arial" w:cs="Arial" w:eastAsia="Arial" w:hAnsi="Arial"/>
          <w:sz w:val="23"/>
          <w:szCs w:val="23"/>
          <w:b w:val="1"/>
          <w:bCs w:val="1"/>
          <w:color w:val="auto"/>
        </w:rPr>
        <w:t>(as amended as of May 12, 2017, September 20, 2017, February 5, 2019 and April 29, 2020)</w:t>
      </w:r>
    </w:p>
    <w:p>
      <w:pPr>
        <w:sectPr>
          <w:pgSz w:w="11900" w:h="16838" w:orient="portrait"/>
          <w:cols w:equalWidth="0" w:num="1">
            <w:col w:w="10120"/>
          </w:cols>
          <w:pgMar w:left="1440" w:top="135" w:right="339" w:bottom="1440" w:gutter="0" w:footer="0" w:header="0"/>
        </w:sectPr>
      </w:pPr>
    </w:p>
    <w:bookmarkStart w:id="327" w:name="page328"/>
    <w:bookmarkEnd w:id="32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tcPr>
          <w:p>
            <w:pPr>
              <w:ind w:left="4240"/>
              <w:spacing w:after="0"/>
              <w:rPr>
                <w:sz w:val="20"/>
                <w:szCs w:val="20"/>
                <w:color w:val="auto"/>
              </w:rPr>
            </w:pPr>
            <w:r>
              <w:rPr>
                <w:rFonts w:ascii="Arial" w:cs="Arial" w:eastAsia="Arial" w:hAnsi="Arial"/>
                <w:sz w:val="20"/>
                <w:szCs w:val="20"/>
                <w:b w:val="1"/>
                <w:bCs w:val="1"/>
                <w:color w:val="auto"/>
              </w:rPr>
              <w:t>Table of Contents</w:t>
            </w:r>
          </w:p>
        </w:tc>
        <w:tc>
          <w:tcPr>
            <w:tcW w:w="340" w:type="dxa"/>
            <w:vAlign w:val="bottom"/>
          </w:tcPr>
          <w:p>
            <w:pPr>
              <w:spacing w:after="0"/>
              <w:rPr>
                <w:sz w:val="22"/>
                <w:szCs w:val="22"/>
                <w:color w:val="auto"/>
              </w:rPr>
            </w:pPr>
          </w:p>
        </w:tc>
      </w:tr>
      <w:tr>
        <w:trPr>
          <w:trHeight w:val="617"/>
        </w:trPr>
        <w:tc>
          <w:tcPr>
            <w:tcW w:w="260" w:type="dxa"/>
            <w:vAlign w:val="bottom"/>
          </w:tcPr>
          <w:p>
            <w:pPr>
              <w:spacing w:after="0"/>
              <w:rPr>
                <w:sz w:val="20"/>
                <w:szCs w:val="20"/>
                <w:color w:val="auto"/>
              </w:rPr>
            </w:pPr>
            <w:r>
              <w:rPr>
                <w:rFonts w:ascii="Arial" w:cs="Arial" w:eastAsia="Arial" w:hAnsi="Arial"/>
                <w:sz w:val="18"/>
                <w:szCs w:val="18"/>
                <w:b w:val="1"/>
                <w:bCs w:val="1"/>
                <w:color w:val="auto"/>
              </w:rPr>
              <w:t>I.</w:t>
            </w:r>
          </w:p>
        </w:tc>
        <w:tc>
          <w:tcPr>
            <w:tcW w:w="20" w:type="dxa"/>
            <w:vAlign w:val="bottom"/>
          </w:tcPr>
          <w:p>
            <w:pPr>
              <w:spacing w:after="0"/>
              <w:rPr>
                <w:sz w:val="24"/>
                <w:szCs w:val="24"/>
                <w:color w:val="auto"/>
              </w:rPr>
            </w:pPr>
          </w:p>
        </w:tc>
        <w:tc>
          <w:tcPr>
            <w:tcW w:w="10220" w:type="dxa"/>
            <w:vAlign w:val="bottom"/>
          </w:tcPr>
          <w:p>
            <w:pPr>
              <w:ind w:left="20"/>
              <w:spacing w:after="0"/>
              <w:rPr>
                <w:sz w:val="20"/>
                <w:szCs w:val="20"/>
                <w:color w:val="auto"/>
              </w:rPr>
            </w:pPr>
            <w:r>
              <w:rPr>
                <w:rFonts w:ascii="Arial" w:cs="Arial" w:eastAsia="Arial" w:hAnsi="Arial"/>
                <w:sz w:val="18"/>
                <w:szCs w:val="18"/>
                <w:b w:val="1"/>
                <w:bCs w:val="1"/>
                <w:color w:val="auto"/>
              </w:rPr>
              <w:t>GENERAL PROVISIONS</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3</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Arial" w:cs="Arial" w:eastAsia="Arial" w:hAnsi="Arial"/>
                <w:sz w:val="18"/>
                <w:szCs w:val="18"/>
                <w:color w:val="auto"/>
              </w:rPr>
              <w:t>BASIS</w:t>
            </w:r>
          </w:p>
        </w:tc>
        <w:tc>
          <w:tcPr>
            <w:tcW w:w="340" w:type="dxa"/>
            <w:vAlign w:val="bottom"/>
          </w:tcPr>
          <w:p>
            <w:pPr>
              <w:ind w:left="140"/>
              <w:spacing w:after="0"/>
              <w:rPr>
                <w:sz w:val="20"/>
                <w:szCs w:val="20"/>
                <w:color w:val="auto"/>
              </w:rPr>
            </w:pPr>
            <w:r>
              <w:rPr>
                <w:rFonts w:ascii="Arial" w:cs="Arial" w:eastAsia="Arial" w:hAnsi="Arial"/>
                <w:sz w:val="18"/>
                <w:szCs w:val="18"/>
                <w:color w:val="auto"/>
              </w:rPr>
              <w:t>3</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Arial" w:cs="Arial" w:eastAsia="Arial" w:hAnsi="Arial"/>
                <w:sz w:val="18"/>
                <w:szCs w:val="18"/>
                <w:color w:val="auto"/>
              </w:rPr>
              <w:t>SCOPE</w:t>
            </w:r>
          </w:p>
        </w:tc>
        <w:tc>
          <w:tcPr>
            <w:tcW w:w="340" w:type="dxa"/>
            <w:vAlign w:val="bottom"/>
          </w:tcPr>
          <w:p>
            <w:pPr>
              <w:ind w:left="140"/>
              <w:spacing w:after="0"/>
              <w:rPr>
                <w:sz w:val="20"/>
                <w:szCs w:val="20"/>
                <w:color w:val="auto"/>
              </w:rPr>
            </w:pPr>
            <w:r>
              <w:rPr>
                <w:rFonts w:ascii="Arial" w:cs="Arial" w:eastAsia="Arial" w:hAnsi="Arial"/>
                <w:sz w:val="18"/>
                <w:szCs w:val="18"/>
                <w:color w:val="auto"/>
              </w:rPr>
              <w:t>3</w:t>
            </w:r>
          </w:p>
        </w:tc>
      </w:tr>
      <w:tr>
        <w:trPr>
          <w:trHeight w:val="297"/>
        </w:trPr>
        <w:tc>
          <w:tcPr>
            <w:tcW w:w="260" w:type="dxa"/>
            <w:vAlign w:val="bottom"/>
          </w:tcPr>
          <w:p>
            <w:pPr>
              <w:spacing w:after="0"/>
              <w:rPr>
                <w:sz w:val="20"/>
                <w:szCs w:val="20"/>
                <w:color w:val="auto"/>
              </w:rPr>
            </w:pPr>
            <w:r>
              <w:rPr>
                <w:rFonts w:ascii="Arial" w:cs="Arial" w:eastAsia="Arial" w:hAnsi="Arial"/>
                <w:sz w:val="18"/>
                <w:szCs w:val="18"/>
                <w:b w:val="1"/>
                <w:bCs w:val="1"/>
                <w:color w:val="auto"/>
              </w:rPr>
              <w:t>II.</w:t>
            </w:r>
          </w:p>
        </w:tc>
        <w:tc>
          <w:tcPr>
            <w:tcW w:w="2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Arial" w:cs="Arial" w:eastAsia="Arial" w:hAnsi="Arial"/>
                <w:sz w:val="18"/>
                <w:szCs w:val="18"/>
                <w:b w:val="1"/>
                <w:bCs w:val="1"/>
                <w:color w:val="auto"/>
              </w:rPr>
              <w:t>BOARD OF DIRECTORS</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3</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Arial" w:cs="Arial" w:eastAsia="Arial" w:hAnsi="Arial"/>
                <w:sz w:val="18"/>
                <w:szCs w:val="18"/>
                <w:color w:val="auto"/>
              </w:rPr>
              <w:t>ORGANIZATION</w:t>
            </w:r>
          </w:p>
        </w:tc>
        <w:tc>
          <w:tcPr>
            <w:tcW w:w="340" w:type="dxa"/>
            <w:vAlign w:val="bottom"/>
          </w:tcPr>
          <w:p>
            <w:pPr>
              <w:ind w:left="140"/>
              <w:spacing w:after="0"/>
              <w:rPr>
                <w:sz w:val="20"/>
                <w:szCs w:val="20"/>
                <w:color w:val="auto"/>
              </w:rPr>
            </w:pPr>
            <w:r>
              <w:rPr>
                <w:rFonts w:ascii="Arial" w:cs="Arial" w:eastAsia="Arial" w:hAnsi="Arial"/>
                <w:sz w:val="18"/>
                <w:szCs w:val="18"/>
                <w:color w:val="auto"/>
              </w:rPr>
              <w:t>3</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Arial" w:cs="Arial" w:eastAsia="Arial" w:hAnsi="Arial"/>
                <w:sz w:val="18"/>
                <w:szCs w:val="18"/>
                <w:color w:val="auto"/>
              </w:rPr>
              <w:t>FUNCTION AND POWERS</w:t>
            </w:r>
          </w:p>
        </w:tc>
        <w:tc>
          <w:tcPr>
            <w:tcW w:w="340" w:type="dxa"/>
            <w:vAlign w:val="bottom"/>
          </w:tcPr>
          <w:p>
            <w:pPr>
              <w:ind w:left="140"/>
              <w:spacing w:after="0"/>
              <w:rPr>
                <w:sz w:val="20"/>
                <w:szCs w:val="20"/>
                <w:color w:val="auto"/>
              </w:rPr>
            </w:pPr>
            <w:r>
              <w:rPr>
                <w:rFonts w:ascii="Arial" w:cs="Arial" w:eastAsia="Arial" w:hAnsi="Arial"/>
                <w:sz w:val="18"/>
                <w:szCs w:val="18"/>
                <w:color w:val="auto"/>
              </w:rPr>
              <w:t>4</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Arial" w:cs="Arial" w:eastAsia="Arial" w:hAnsi="Arial"/>
                <w:sz w:val="18"/>
                <w:szCs w:val="18"/>
                <w:color w:val="auto"/>
              </w:rPr>
              <w:t>DUTIES</w:t>
            </w:r>
          </w:p>
        </w:tc>
        <w:tc>
          <w:tcPr>
            <w:tcW w:w="340" w:type="dxa"/>
            <w:vAlign w:val="bottom"/>
          </w:tcPr>
          <w:p>
            <w:pPr>
              <w:ind w:left="140"/>
              <w:spacing w:after="0"/>
              <w:rPr>
                <w:sz w:val="20"/>
                <w:szCs w:val="20"/>
                <w:color w:val="auto"/>
              </w:rPr>
            </w:pPr>
            <w:r>
              <w:rPr>
                <w:rFonts w:ascii="Arial" w:cs="Arial" w:eastAsia="Arial" w:hAnsi="Arial"/>
                <w:sz w:val="18"/>
                <w:szCs w:val="18"/>
                <w:color w:val="auto"/>
              </w:rPr>
              <w:t>4</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10240" w:type="dxa"/>
            <w:vAlign w:val="bottom"/>
            <w:gridSpan w:val="2"/>
          </w:tcPr>
          <w:p>
            <w:pPr>
              <w:ind w:left="100"/>
              <w:spacing w:after="0"/>
              <w:rPr>
                <w:sz w:val="20"/>
                <w:szCs w:val="20"/>
                <w:color w:val="auto"/>
              </w:rPr>
            </w:pPr>
            <w:r>
              <w:rPr>
                <w:rFonts w:ascii="Arial" w:cs="Arial" w:eastAsia="Arial" w:hAnsi="Arial"/>
                <w:sz w:val="18"/>
                <w:szCs w:val="18"/>
                <w:color w:val="auto"/>
              </w:rPr>
              <w:t>DELEGATION AND SIGNING AUTHORITY</w:t>
            </w:r>
          </w:p>
        </w:tc>
        <w:tc>
          <w:tcPr>
            <w:tcW w:w="340" w:type="dxa"/>
            <w:vAlign w:val="bottom"/>
          </w:tcPr>
          <w:p>
            <w:pPr>
              <w:ind w:left="140"/>
              <w:spacing w:after="0"/>
              <w:rPr>
                <w:sz w:val="20"/>
                <w:szCs w:val="20"/>
                <w:color w:val="auto"/>
              </w:rPr>
            </w:pPr>
            <w:r>
              <w:rPr>
                <w:rFonts w:ascii="Arial" w:cs="Arial" w:eastAsia="Arial" w:hAnsi="Arial"/>
                <w:sz w:val="18"/>
                <w:szCs w:val="18"/>
                <w:color w:val="auto"/>
              </w:rPr>
              <w:t>6</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Arial" w:cs="Arial" w:eastAsia="Arial" w:hAnsi="Arial"/>
                <w:sz w:val="18"/>
                <w:szCs w:val="18"/>
                <w:color w:val="auto"/>
              </w:rPr>
              <w:t>MEETINGS</w:t>
            </w:r>
          </w:p>
        </w:tc>
        <w:tc>
          <w:tcPr>
            <w:tcW w:w="340" w:type="dxa"/>
            <w:vAlign w:val="bottom"/>
          </w:tcPr>
          <w:p>
            <w:pPr>
              <w:ind w:left="140"/>
              <w:spacing w:after="0"/>
              <w:rPr>
                <w:sz w:val="20"/>
                <w:szCs w:val="20"/>
                <w:color w:val="auto"/>
              </w:rPr>
            </w:pPr>
            <w:r>
              <w:rPr>
                <w:rFonts w:ascii="Arial" w:cs="Arial" w:eastAsia="Arial" w:hAnsi="Arial"/>
                <w:sz w:val="18"/>
                <w:szCs w:val="18"/>
                <w:color w:val="auto"/>
              </w:rPr>
              <w:t>6</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10220" w:type="dxa"/>
            <w:vAlign w:val="bottom"/>
          </w:tcPr>
          <w:p>
            <w:pPr>
              <w:ind w:left="60"/>
              <w:spacing w:after="0"/>
              <w:rPr>
                <w:sz w:val="20"/>
                <w:szCs w:val="20"/>
                <w:color w:val="auto"/>
              </w:rPr>
            </w:pPr>
            <w:r>
              <w:rPr>
                <w:rFonts w:ascii="Arial" w:cs="Arial" w:eastAsia="Arial" w:hAnsi="Arial"/>
                <w:sz w:val="18"/>
                <w:szCs w:val="18"/>
                <w:color w:val="auto"/>
              </w:rPr>
              <w:t>AGENDA</w:t>
            </w:r>
          </w:p>
        </w:tc>
        <w:tc>
          <w:tcPr>
            <w:tcW w:w="340" w:type="dxa"/>
            <w:vAlign w:val="bottom"/>
          </w:tcPr>
          <w:p>
            <w:pPr>
              <w:ind w:left="140"/>
              <w:spacing w:after="0"/>
              <w:rPr>
                <w:sz w:val="20"/>
                <w:szCs w:val="20"/>
                <w:color w:val="auto"/>
              </w:rPr>
            </w:pPr>
            <w:r>
              <w:rPr>
                <w:rFonts w:ascii="Arial" w:cs="Arial" w:eastAsia="Arial" w:hAnsi="Arial"/>
                <w:sz w:val="18"/>
                <w:szCs w:val="18"/>
                <w:color w:val="auto"/>
              </w:rPr>
              <w:t>7</w:t>
            </w:r>
          </w:p>
        </w:tc>
      </w:tr>
      <w:tr>
        <w:trPr>
          <w:trHeight w:val="297"/>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10220" w:type="dxa"/>
            <w:vAlign w:val="bottom"/>
          </w:tcPr>
          <w:p>
            <w:pPr>
              <w:ind w:left="80"/>
              <w:spacing w:after="0"/>
              <w:rPr>
                <w:sz w:val="20"/>
                <w:szCs w:val="20"/>
                <w:color w:val="auto"/>
              </w:rPr>
            </w:pPr>
            <w:r>
              <w:rPr>
                <w:rFonts w:ascii="Arial" w:cs="Arial" w:eastAsia="Arial" w:hAnsi="Arial"/>
                <w:sz w:val="18"/>
                <w:szCs w:val="18"/>
                <w:color w:val="auto"/>
              </w:rPr>
              <w:t>PRESENCE AND QUORUM</w:t>
            </w:r>
          </w:p>
        </w:tc>
        <w:tc>
          <w:tcPr>
            <w:tcW w:w="340" w:type="dxa"/>
            <w:vAlign w:val="bottom"/>
          </w:tcPr>
          <w:p>
            <w:pPr>
              <w:ind w:left="140"/>
              <w:spacing w:after="0"/>
              <w:rPr>
                <w:sz w:val="20"/>
                <w:szCs w:val="20"/>
                <w:color w:val="auto"/>
              </w:rPr>
            </w:pPr>
            <w:r>
              <w:rPr>
                <w:rFonts w:ascii="Arial" w:cs="Arial" w:eastAsia="Arial" w:hAnsi="Arial"/>
                <w:sz w:val="18"/>
                <w:szCs w:val="18"/>
                <w:color w:val="auto"/>
              </w:rPr>
              <w:t>7</w:t>
            </w:r>
          </w:p>
        </w:tc>
      </w:tr>
      <w:tr>
        <w:trPr>
          <w:trHeight w:val="297"/>
        </w:trPr>
        <w:tc>
          <w:tcPr>
            <w:tcW w:w="280" w:type="dxa"/>
            <w:vAlign w:val="bottom"/>
            <w:gridSpan w:val="2"/>
          </w:tcPr>
          <w:p>
            <w:pPr>
              <w:spacing w:after="0"/>
              <w:rPr>
                <w:sz w:val="20"/>
                <w:szCs w:val="20"/>
                <w:color w:val="auto"/>
              </w:rPr>
            </w:pPr>
            <w:r>
              <w:rPr>
                <w:rFonts w:ascii="Arial" w:cs="Arial" w:eastAsia="Arial" w:hAnsi="Arial"/>
                <w:sz w:val="18"/>
                <w:szCs w:val="18"/>
                <w:color w:val="auto"/>
              </w:rPr>
              <w:t>10.</w:t>
            </w:r>
          </w:p>
        </w:tc>
        <w:tc>
          <w:tcPr>
            <w:tcW w:w="10220" w:type="dxa"/>
            <w:vAlign w:val="bottom"/>
          </w:tcPr>
          <w:p>
            <w:pPr>
              <w:ind w:left="180"/>
              <w:spacing w:after="0"/>
              <w:rPr>
                <w:sz w:val="20"/>
                <w:szCs w:val="20"/>
                <w:color w:val="auto"/>
              </w:rPr>
            </w:pPr>
            <w:r>
              <w:rPr>
                <w:rFonts w:ascii="Arial" w:cs="Arial" w:eastAsia="Arial" w:hAnsi="Arial"/>
                <w:sz w:val="18"/>
                <w:szCs w:val="18"/>
                <w:color w:val="auto"/>
              </w:rPr>
              <w:t>RESOLUTIONS</w:t>
            </w:r>
          </w:p>
        </w:tc>
        <w:tc>
          <w:tcPr>
            <w:tcW w:w="340" w:type="dxa"/>
            <w:vAlign w:val="bottom"/>
          </w:tcPr>
          <w:p>
            <w:pPr>
              <w:ind w:left="140"/>
              <w:spacing w:after="0"/>
              <w:rPr>
                <w:sz w:val="20"/>
                <w:szCs w:val="20"/>
                <w:color w:val="auto"/>
              </w:rPr>
            </w:pPr>
            <w:r>
              <w:rPr>
                <w:rFonts w:ascii="Arial" w:cs="Arial" w:eastAsia="Arial" w:hAnsi="Arial"/>
                <w:sz w:val="18"/>
                <w:szCs w:val="18"/>
                <w:color w:val="auto"/>
              </w:rPr>
              <w:t>7</w:t>
            </w:r>
          </w:p>
        </w:tc>
      </w:tr>
      <w:tr>
        <w:trPr>
          <w:trHeight w:val="283"/>
        </w:trPr>
        <w:tc>
          <w:tcPr>
            <w:tcW w:w="280" w:type="dxa"/>
            <w:vAlign w:val="bottom"/>
            <w:gridSpan w:val="2"/>
          </w:tcPr>
          <w:p>
            <w:pPr>
              <w:spacing w:after="0"/>
              <w:rPr>
                <w:sz w:val="20"/>
                <w:szCs w:val="20"/>
                <w:color w:val="auto"/>
              </w:rPr>
            </w:pPr>
            <w:r>
              <w:rPr>
                <w:rFonts w:ascii="Arial" w:cs="Arial" w:eastAsia="Arial" w:hAnsi="Arial"/>
                <w:sz w:val="18"/>
                <w:szCs w:val="18"/>
                <w:color w:val="auto"/>
              </w:rPr>
              <w:t>11.</w:t>
            </w:r>
          </w:p>
        </w:tc>
        <w:tc>
          <w:tcPr>
            <w:tcW w:w="10220" w:type="dxa"/>
            <w:vAlign w:val="bottom"/>
          </w:tcPr>
          <w:p>
            <w:pPr>
              <w:ind w:left="180"/>
              <w:spacing w:after="0"/>
              <w:rPr>
                <w:sz w:val="20"/>
                <w:szCs w:val="20"/>
                <w:color w:val="auto"/>
              </w:rPr>
            </w:pPr>
            <w:r>
              <w:rPr>
                <w:rFonts w:ascii="Arial" w:cs="Arial" w:eastAsia="Arial" w:hAnsi="Arial"/>
                <w:sz w:val="18"/>
                <w:szCs w:val="18"/>
                <w:color w:val="auto"/>
              </w:rPr>
              <w:t>INFORMATION AND REPORTING</w:t>
            </w:r>
          </w:p>
        </w:tc>
        <w:tc>
          <w:tcPr>
            <w:tcW w:w="340" w:type="dxa"/>
            <w:vAlign w:val="bottom"/>
          </w:tcPr>
          <w:p>
            <w:pPr>
              <w:ind w:left="140"/>
              <w:spacing w:after="0"/>
              <w:rPr>
                <w:sz w:val="20"/>
                <w:szCs w:val="20"/>
                <w:color w:val="auto"/>
              </w:rPr>
            </w:pPr>
            <w:r>
              <w:rPr>
                <w:rFonts w:ascii="Arial" w:cs="Arial" w:eastAsia="Arial" w:hAnsi="Arial"/>
                <w:sz w:val="18"/>
                <w:szCs w:val="18"/>
                <w:color w:val="auto"/>
              </w:rPr>
              <w:t>7</w:t>
            </w:r>
          </w:p>
        </w:tc>
      </w:tr>
      <w:tr>
        <w:trPr>
          <w:trHeight w:val="203"/>
        </w:trPr>
        <w:tc>
          <w:tcPr>
            <w:tcW w:w="10500" w:type="dxa"/>
            <w:vAlign w:val="bottom"/>
            <w:gridSpan w:val="3"/>
          </w:tcPr>
          <w:p>
            <w:pPr>
              <w:spacing w:after="0" w:line="203" w:lineRule="exact"/>
              <w:rPr>
                <w:sz w:val="20"/>
                <w:szCs w:val="20"/>
                <w:color w:val="auto"/>
              </w:rPr>
            </w:pPr>
            <w:r>
              <w:rPr>
                <w:rFonts w:ascii="Arial" w:cs="Arial" w:eastAsia="Arial" w:hAnsi="Arial"/>
                <w:sz w:val="20"/>
                <w:szCs w:val="20"/>
                <w:b w:val="1"/>
                <w:bCs w:val="1"/>
                <w:color w:val="auto"/>
              </w:rPr>
              <w:t>III.  CHAIRPERSON, VICE-CHAIRPERSON AND SECRETARY OF THE BOARD OF THE BOARD OF DIRECTORS</w:t>
            </w:r>
          </w:p>
        </w:tc>
        <w:tc>
          <w:tcPr>
            <w:tcW w:w="340" w:type="dxa"/>
            <w:vAlign w:val="bottom"/>
          </w:tcPr>
          <w:p>
            <w:pPr>
              <w:ind w:left="140"/>
              <w:spacing w:after="0" w:line="203" w:lineRule="exact"/>
              <w:rPr>
                <w:sz w:val="20"/>
                <w:szCs w:val="20"/>
                <w:color w:val="auto"/>
              </w:rPr>
            </w:pPr>
            <w:r>
              <w:rPr>
                <w:rFonts w:ascii="Arial" w:cs="Arial" w:eastAsia="Arial" w:hAnsi="Arial"/>
                <w:sz w:val="18"/>
                <w:szCs w:val="18"/>
                <w:b w:val="1"/>
                <w:bCs w:val="1"/>
                <w:color w:val="auto"/>
              </w:rPr>
              <w:t>8</w:t>
            </w:r>
          </w:p>
        </w:tc>
      </w:tr>
      <w:tr>
        <w:trPr>
          <w:trHeight w:val="256"/>
        </w:trPr>
        <w:tc>
          <w:tcPr>
            <w:tcW w:w="10500" w:type="dxa"/>
            <w:vAlign w:val="bottom"/>
            <w:gridSpan w:val="3"/>
          </w:tcPr>
          <w:p>
            <w:pPr>
              <w:spacing w:after="0"/>
              <w:rPr>
                <w:sz w:val="20"/>
                <w:szCs w:val="20"/>
                <w:color w:val="auto"/>
              </w:rPr>
            </w:pPr>
            <w:r>
              <w:rPr>
                <w:rFonts w:ascii="Arial" w:cs="Arial" w:eastAsia="Arial" w:hAnsi="Arial"/>
                <w:sz w:val="20"/>
                <w:szCs w:val="20"/>
                <w:b w:val="1"/>
                <w:bCs w:val="1"/>
                <w:color w:val="auto"/>
              </w:rPr>
              <w:t>AND BOARD COMMITTEES</w:t>
            </w:r>
          </w:p>
        </w:tc>
        <w:tc>
          <w:tcPr>
            <w:tcW w:w="340" w:type="dxa"/>
            <w:vAlign w:val="bottom"/>
          </w:tcPr>
          <w:p>
            <w:pPr>
              <w:spacing w:after="0"/>
              <w:rPr>
                <w:sz w:val="22"/>
                <w:szCs w:val="22"/>
                <w:color w:val="auto"/>
              </w:rPr>
            </w:pPr>
          </w:p>
        </w:tc>
      </w:tr>
      <w:tr>
        <w:trPr>
          <w:trHeight w:val="217"/>
        </w:trPr>
        <w:tc>
          <w:tcPr>
            <w:tcW w:w="280" w:type="dxa"/>
            <w:vAlign w:val="bottom"/>
            <w:gridSpan w:val="2"/>
          </w:tcPr>
          <w:p>
            <w:pPr>
              <w:spacing w:after="0"/>
              <w:rPr>
                <w:sz w:val="20"/>
                <w:szCs w:val="20"/>
                <w:color w:val="auto"/>
              </w:rPr>
            </w:pPr>
            <w:r>
              <w:rPr>
                <w:rFonts w:ascii="Arial" w:cs="Arial" w:eastAsia="Arial" w:hAnsi="Arial"/>
                <w:sz w:val="18"/>
                <w:szCs w:val="18"/>
                <w:color w:val="auto"/>
              </w:rPr>
              <w:t>12.</w:t>
            </w:r>
          </w:p>
        </w:tc>
        <w:tc>
          <w:tcPr>
            <w:tcW w:w="10220" w:type="dxa"/>
            <w:vAlign w:val="bottom"/>
          </w:tcPr>
          <w:p>
            <w:pPr>
              <w:ind w:left="180"/>
              <w:spacing w:after="0"/>
              <w:rPr>
                <w:sz w:val="20"/>
                <w:szCs w:val="20"/>
                <w:color w:val="auto"/>
              </w:rPr>
            </w:pPr>
            <w:r>
              <w:rPr>
                <w:rFonts w:ascii="Arial" w:cs="Arial" w:eastAsia="Arial" w:hAnsi="Arial"/>
                <w:sz w:val="18"/>
                <w:szCs w:val="18"/>
                <w:color w:val="auto"/>
              </w:rPr>
              <w:t>CHAIRPERSON AND VICE-CHAIRPERSON</w:t>
            </w:r>
          </w:p>
        </w:tc>
        <w:tc>
          <w:tcPr>
            <w:tcW w:w="340" w:type="dxa"/>
            <w:vAlign w:val="bottom"/>
          </w:tcPr>
          <w:p>
            <w:pPr>
              <w:ind w:left="140"/>
              <w:spacing w:after="0"/>
              <w:rPr>
                <w:sz w:val="20"/>
                <w:szCs w:val="20"/>
                <w:color w:val="auto"/>
              </w:rPr>
            </w:pPr>
            <w:r>
              <w:rPr>
                <w:rFonts w:ascii="Arial" w:cs="Arial" w:eastAsia="Arial" w:hAnsi="Arial"/>
                <w:sz w:val="18"/>
                <w:szCs w:val="18"/>
                <w:color w:val="auto"/>
              </w:rPr>
              <w:t>8</w:t>
            </w:r>
          </w:p>
        </w:tc>
      </w:tr>
      <w:tr>
        <w:trPr>
          <w:trHeight w:val="229"/>
        </w:trPr>
        <w:tc>
          <w:tcPr>
            <w:tcW w:w="280" w:type="dxa"/>
            <w:vAlign w:val="bottom"/>
            <w:gridSpan w:val="2"/>
          </w:tcPr>
          <w:p>
            <w:pPr>
              <w:spacing w:after="0"/>
              <w:rPr>
                <w:sz w:val="20"/>
                <w:szCs w:val="20"/>
                <w:color w:val="auto"/>
              </w:rPr>
            </w:pPr>
            <w:r>
              <w:rPr>
                <w:rFonts w:ascii="Arial" w:cs="Arial" w:eastAsia="Arial" w:hAnsi="Arial"/>
                <w:sz w:val="18"/>
                <w:szCs w:val="18"/>
                <w:color w:val="auto"/>
              </w:rPr>
              <w:t>13.</w:t>
            </w:r>
          </w:p>
        </w:tc>
        <w:tc>
          <w:tcPr>
            <w:tcW w:w="10220" w:type="dxa"/>
            <w:vAlign w:val="bottom"/>
          </w:tcPr>
          <w:p>
            <w:pPr>
              <w:ind w:left="180"/>
              <w:spacing w:after="0"/>
              <w:rPr>
                <w:sz w:val="20"/>
                <w:szCs w:val="20"/>
                <w:color w:val="auto"/>
              </w:rPr>
            </w:pPr>
            <w:r>
              <w:rPr>
                <w:rFonts w:ascii="Arial" w:cs="Arial" w:eastAsia="Arial" w:hAnsi="Arial"/>
                <w:sz w:val="18"/>
                <w:szCs w:val="18"/>
                <w:color w:val="auto"/>
              </w:rPr>
              <w:t>SECRETARY</w:t>
            </w:r>
          </w:p>
        </w:tc>
        <w:tc>
          <w:tcPr>
            <w:tcW w:w="340" w:type="dxa"/>
            <w:vAlign w:val="bottom"/>
          </w:tcPr>
          <w:p>
            <w:pPr>
              <w:ind w:left="140"/>
              <w:spacing w:after="0"/>
              <w:rPr>
                <w:sz w:val="20"/>
                <w:szCs w:val="20"/>
                <w:color w:val="auto"/>
              </w:rPr>
            </w:pPr>
            <w:r>
              <w:rPr>
                <w:rFonts w:ascii="Arial" w:cs="Arial" w:eastAsia="Arial" w:hAnsi="Arial"/>
                <w:sz w:val="18"/>
                <w:szCs w:val="18"/>
                <w:color w:val="auto"/>
              </w:rPr>
              <w:t>8</w:t>
            </w:r>
          </w:p>
        </w:tc>
      </w:tr>
      <w:tr>
        <w:trPr>
          <w:trHeight w:val="220"/>
        </w:trPr>
        <w:tc>
          <w:tcPr>
            <w:tcW w:w="280" w:type="dxa"/>
            <w:vAlign w:val="bottom"/>
            <w:gridSpan w:val="2"/>
          </w:tcPr>
          <w:p>
            <w:pPr>
              <w:spacing w:after="0"/>
              <w:rPr>
                <w:sz w:val="20"/>
                <w:szCs w:val="20"/>
                <w:color w:val="auto"/>
              </w:rPr>
            </w:pPr>
            <w:r>
              <w:rPr>
                <w:rFonts w:ascii="Arial" w:cs="Arial" w:eastAsia="Arial" w:hAnsi="Arial"/>
                <w:sz w:val="18"/>
                <w:szCs w:val="18"/>
                <w:color w:val="auto"/>
              </w:rPr>
              <w:t>14.</w:t>
            </w:r>
          </w:p>
        </w:tc>
        <w:tc>
          <w:tcPr>
            <w:tcW w:w="10220" w:type="dxa"/>
            <w:vAlign w:val="bottom"/>
          </w:tcPr>
          <w:p>
            <w:pPr>
              <w:ind w:left="180"/>
              <w:spacing w:after="0"/>
              <w:rPr>
                <w:sz w:val="20"/>
                <w:szCs w:val="20"/>
                <w:color w:val="auto"/>
              </w:rPr>
            </w:pPr>
            <w:r>
              <w:rPr>
                <w:rFonts w:ascii="Arial" w:cs="Arial" w:eastAsia="Arial" w:hAnsi="Arial"/>
                <w:sz w:val="18"/>
                <w:szCs w:val="18"/>
                <w:color w:val="auto"/>
              </w:rPr>
              <w:t>BOARD COMMITTEES</w:t>
            </w:r>
          </w:p>
        </w:tc>
        <w:tc>
          <w:tcPr>
            <w:tcW w:w="340" w:type="dxa"/>
            <w:vAlign w:val="bottom"/>
          </w:tcPr>
          <w:p>
            <w:pPr>
              <w:ind w:left="140"/>
              <w:spacing w:after="0"/>
              <w:rPr>
                <w:sz w:val="20"/>
                <w:szCs w:val="20"/>
                <w:color w:val="auto"/>
              </w:rPr>
            </w:pPr>
            <w:r>
              <w:rPr>
                <w:rFonts w:ascii="Arial" w:cs="Arial" w:eastAsia="Arial" w:hAnsi="Arial"/>
                <w:sz w:val="18"/>
                <w:szCs w:val="18"/>
                <w:color w:val="auto"/>
              </w:rPr>
              <w:t>8</w:t>
            </w:r>
          </w:p>
        </w:tc>
      </w:tr>
      <w:tr>
        <w:trPr>
          <w:trHeight w:val="239"/>
        </w:trPr>
        <w:tc>
          <w:tcPr>
            <w:tcW w:w="10500" w:type="dxa"/>
            <w:vAlign w:val="bottom"/>
            <w:gridSpan w:val="3"/>
          </w:tcPr>
          <w:p>
            <w:pPr>
              <w:spacing w:after="0"/>
              <w:rPr>
                <w:sz w:val="20"/>
                <w:szCs w:val="20"/>
                <w:color w:val="auto"/>
              </w:rPr>
            </w:pPr>
            <w:r>
              <w:rPr>
                <w:rFonts w:ascii="Arial" w:cs="Arial" w:eastAsia="Arial" w:hAnsi="Arial"/>
                <w:sz w:val="18"/>
                <w:szCs w:val="18"/>
                <w:b w:val="1"/>
                <w:bCs w:val="1"/>
                <w:color w:val="auto"/>
              </w:rPr>
              <w:t>IV. MANAGEMENT</w:t>
            </w:r>
          </w:p>
        </w:tc>
        <w:tc>
          <w:tcPr>
            <w:tcW w:w="340" w:type="dxa"/>
            <w:vAlign w:val="bottom"/>
          </w:tcPr>
          <w:p>
            <w:pPr>
              <w:ind w:left="140"/>
              <w:spacing w:after="0"/>
              <w:rPr>
                <w:sz w:val="20"/>
                <w:szCs w:val="20"/>
                <w:color w:val="auto"/>
              </w:rPr>
            </w:pPr>
            <w:r>
              <w:rPr>
                <w:rFonts w:ascii="Arial" w:cs="Arial" w:eastAsia="Arial" w:hAnsi="Arial"/>
                <w:sz w:val="18"/>
                <w:szCs w:val="18"/>
                <w:color w:val="auto"/>
              </w:rPr>
              <w:t>9</w:t>
            </w: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15.</w:t>
            </w:r>
          </w:p>
        </w:tc>
        <w:tc>
          <w:tcPr>
            <w:tcW w:w="1022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ind w:left="140"/>
              <w:spacing w:after="0"/>
              <w:rPr>
                <w:sz w:val="20"/>
                <w:szCs w:val="20"/>
                <w:color w:val="auto"/>
              </w:rPr>
            </w:pPr>
            <w:r>
              <w:rPr>
                <w:rFonts w:ascii="Arial" w:cs="Arial" w:eastAsia="Arial" w:hAnsi="Arial"/>
                <w:sz w:val="18"/>
                <w:szCs w:val="18"/>
                <w:color w:val="auto"/>
              </w:rPr>
              <w:t>9</w:t>
            </w: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16.</w:t>
            </w:r>
          </w:p>
        </w:tc>
        <w:tc>
          <w:tcPr>
            <w:tcW w:w="10220" w:type="dxa"/>
            <w:vAlign w:val="bottom"/>
          </w:tcPr>
          <w:p>
            <w:pPr>
              <w:ind w:left="18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10</w:t>
            </w:r>
          </w:p>
        </w:tc>
      </w:tr>
      <w:tr>
        <w:trPr>
          <w:trHeight w:val="220"/>
        </w:trPr>
        <w:tc>
          <w:tcPr>
            <w:tcW w:w="280" w:type="dxa"/>
            <w:vAlign w:val="bottom"/>
            <w:gridSpan w:val="2"/>
          </w:tcPr>
          <w:p>
            <w:pPr>
              <w:spacing w:after="0"/>
              <w:rPr>
                <w:sz w:val="20"/>
                <w:szCs w:val="20"/>
                <w:color w:val="auto"/>
              </w:rPr>
            </w:pPr>
            <w:r>
              <w:rPr>
                <w:rFonts w:ascii="Arial" w:cs="Arial" w:eastAsia="Arial" w:hAnsi="Arial"/>
                <w:sz w:val="18"/>
                <w:szCs w:val="18"/>
                <w:color w:val="auto"/>
              </w:rPr>
              <w:t>17.</w:t>
            </w:r>
          </w:p>
        </w:tc>
        <w:tc>
          <w:tcPr>
            <w:tcW w:w="10220" w:type="dxa"/>
            <w:vAlign w:val="bottom"/>
          </w:tcPr>
          <w:p>
            <w:pPr>
              <w:ind w:left="180"/>
              <w:spacing w:after="0"/>
              <w:rPr>
                <w:sz w:val="20"/>
                <w:szCs w:val="20"/>
                <w:color w:val="auto"/>
              </w:rPr>
            </w:pPr>
            <w:r>
              <w:rPr>
                <w:rFonts w:ascii="Arial" w:cs="Arial" w:eastAsia="Arial" w:hAnsi="Arial"/>
                <w:sz w:val="18"/>
                <w:szCs w:val="18"/>
                <w:color w:val="auto"/>
              </w:rPr>
              <w:t>MANAGEMENT BOARD</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11</w:t>
            </w:r>
          </w:p>
        </w:tc>
      </w:tr>
      <w:tr>
        <w:trPr>
          <w:trHeight w:val="239"/>
        </w:trPr>
        <w:tc>
          <w:tcPr>
            <w:tcW w:w="260" w:type="dxa"/>
            <w:vAlign w:val="bottom"/>
          </w:tcPr>
          <w:p>
            <w:pPr>
              <w:spacing w:after="0"/>
              <w:rPr>
                <w:sz w:val="20"/>
                <w:szCs w:val="20"/>
                <w:color w:val="auto"/>
              </w:rPr>
            </w:pPr>
            <w:r>
              <w:rPr>
                <w:rFonts w:ascii="Arial" w:cs="Arial" w:eastAsia="Arial" w:hAnsi="Arial"/>
                <w:sz w:val="18"/>
                <w:szCs w:val="18"/>
                <w:b w:val="1"/>
                <w:bCs w:val="1"/>
                <w:color w:val="auto"/>
              </w:rPr>
              <w:t>V.</w:t>
            </w:r>
          </w:p>
        </w:tc>
        <w:tc>
          <w:tcPr>
            <w:tcW w:w="20" w:type="dxa"/>
            <w:vAlign w:val="bottom"/>
          </w:tcPr>
          <w:p>
            <w:pPr>
              <w:spacing w:after="0"/>
              <w:rPr>
                <w:sz w:val="20"/>
                <w:szCs w:val="20"/>
                <w:color w:val="auto"/>
              </w:rPr>
            </w:pPr>
          </w:p>
        </w:tc>
        <w:tc>
          <w:tcPr>
            <w:tcW w:w="10220" w:type="dxa"/>
            <w:vAlign w:val="bottom"/>
          </w:tcPr>
          <w:p>
            <w:pPr>
              <w:ind w:left="80"/>
              <w:spacing w:after="0"/>
              <w:rPr>
                <w:sz w:val="20"/>
                <w:szCs w:val="20"/>
                <w:color w:val="auto"/>
              </w:rPr>
            </w:pPr>
            <w:r>
              <w:rPr>
                <w:rFonts w:ascii="Arial" w:cs="Arial" w:eastAsia="Arial" w:hAnsi="Arial"/>
                <w:sz w:val="18"/>
                <w:szCs w:val="18"/>
                <w:b w:val="1"/>
                <w:bCs w:val="1"/>
                <w:color w:val="auto"/>
              </w:rPr>
              <w:t>MISCELLANEOUS</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w w:val="89"/>
              </w:rPr>
              <w:t>12</w:t>
            </w: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18.</w:t>
            </w:r>
          </w:p>
        </w:tc>
        <w:tc>
          <w:tcPr>
            <w:tcW w:w="10220" w:type="dxa"/>
            <w:vAlign w:val="bottom"/>
          </w:tcPr>
          <w:p>
            <w:pPr>
              <w:ind w:left="180"/>
              <w:spacing w:after="0"/>
              <w:rPr>
                <w:sz w:val="20"/>
                <w:szCs w:val="20"/>
                <w:color w:val="auto"/>
              </w:rPr>
            </w:pPr>
            <w:r>
              <w:rPr>
                <w:rFonts w:ascii="Arial" w:cs="Arial" w:eastAsia="Arial" w:hAnsi="Arial"/>
                <w:sz w:val="18"/>
                <w:szCs w:val="18"/>
                <w:color w:val="auto"/>
              </w:rPr>
              <w:t>CONFLICTS OF INTERESTS</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12</w:t>
            </w: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19.</w:t>
            </w:r>
          </w:p>
        </w:tc>
        <w:tc>
          <w:tcPr>
            <w:tcW w:w="1022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12</w:t>
            </w: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20.</w:t>
            </w:r>
          </w:p>
        </w:tc>
        <w:tc>
          <w:tcPr>
            <w:tcW w:w="10220" w:type="dxa"/>
            <w:vAlign w:val="bottom"/>
          </w:tcPr>
          <w:p>
            <w:pPr>
              <w:ind w:left="180"/>
              <w:spacing w:after="0"/>
              <w:rPr>
                <w:sz w:val="20"/>
                <w:szCs w:val="20"/>
                <w:color w:val="auto"/>
              </w:rPr>
            </w:pPr>
            <w:r>
              <w:rPr>
                <w:rFonts w:ascii="Arial" w:cs="Arial" w:eastAsia="Arial" w:hAnsi="Arial"/>
                <w:sz w:val="18"/>
                <w:szCs w:val="18"/>
                <w:color w:val="auto"/>
              </w:rPr>
              <w:t>SIGNATORY POWER</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13</w:t>
            </w:r>
          </w:p>
        </w:tc>
      </w:tr>
      <w:tr>
        <w:trPr>
          <w:trHeight w:val="229"/>
        </w:trPr>
        <w:tc>
          <w:tcPr>
            <w:tcW w:w="280" w:type="dxa"/>
            <w:vAlign w:val="bottom"/>
            <w:gridSpan w:val="2"/>
          </w:tcPr>
          <w:p>
            <w:pPr>
              <w:spacing w:after="0"/>
              <w:rPr>
                <w:sz w:val="20"/>
                <w:szCs w:val="20"/>
                <w:color w:val="auto"/>
              </w:rPr>
            </w:pPr>
            <w:r>
              <w:rPr>
                <w:rFonts w:ascii="Arial" w:cs="Arial" w:eastAsia="Arial" w:hAnsi="Arial"/>
                <w:sz w:val="18"/>
                <w:szCs w:val="18"/>
                <w:color w:val="auto"/>
              </w:rPr>
              <w:t>21.</w:t>
            </w:r>
          </w:p>
        </w:tc>
        <w:tc>
          <w:tcPr>
            <w:tcW w:w="10220" w:type="dxa"/>
            <w:vAlign w:val="bottom"/>
          </w:tcPr>
          <w:p>
            <w:pPr>
              <w:ind w:left="180"/>
              <w:spacing w:after="0"/>
              <w:rPr>
                <w:sz w:val="20"/>
                <w:szCs w:val="20"/>
                <w:color w:val="auto"/>
              </w:rPr>
            </w:pPr>
            <w:r>
              <w:rPr>
                <w:rFonts w:ascii="Arial" w:cs="Arial" w:eastAsia="Arial" w:hAnsi="Arial"/>
                <w:sz w:val="18"/>
                <w:szCs w:val="18"/>
                <w:color w:val="auto"/>
              </w:rPr>
              <w:t>FINANCIAL YEAR AND ACCOUNTING</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13</w:t>
            </w: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22.</w:t>
            </w:r>
          </w:p>
        </w:tc>
        <w:tc>
          <w:tcPr>
            <w:tcW w:w="1022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13</w:t>
            </w:r>
          </w:p>
        </w:tc>
      </w:t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23.</w:t>
            </w:r>
          </w:p>
        </w:tc>
        <w:tc>
          <w:tcPr>
            <w:tcW w:w="10220" w:type="dxa"/>
            <w:vAlign w:val="bottom"/>
          </w:tcPr>
          <w:p>
            <w:pPr>
              <w:ind w:left="180"/>
              <w:spacing w:after="0"/>
              <w:rPr>
                <w:sz w:val="20"/>
                <w:szCs w:val="20"/>
                <w:color w:val="auto"/>
              </w:rPr>
            </w:pPr>
            <w:r>
              <w:rPr>
                <w:rFonts w:ascii="Arial" w:cs="Arial" w:eastAsia="Arial" w:hAnsi="Arial"/>
                <w:sz w:val="18"/>
                <w:szCs w:val="18"/>
                <w:color w:val="auto"/>
              </w:rPr>
              <w:t>FINAL PROVISIONS</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2 / 14</w:t>
      </w:r>
    </w:p>
    <w:p>
      <w:pPr>
        <w:sectPr>
          <w:pgSz w:w="11900" w:h="16838" w:orient="portrait"/>
          <w:cols w:equalWidth="0" w:num="1">
            <w:col w:w="10840"/>
          </w:cols>
          <w:pgMar w:left="340" w:top="1440" w:right="719" w:bottom="1440" w:gutter="0" w:footer="0" w:header="0"/>
        </w:sectPr>
      </w:pPr>
    </w:p>
    <w:bookmarkStart w:id="328" w:name="page329"/>
    <w:bookmarkEnd w:id="328"/>
    <w:p>
      <w:pPr>
        <w:ind w:left="4320" w:hanging="385"/>
        <w:spacing w:after="0"/>
        <w:tabs>
          <w:tab w:leader="none" w:pos="4320" w:val="left"/>
        </w:tabs>
        <w:numPr>
          <w:ilvl w:val="0"/>
          <w:numId w:val="244"/>
        </w:numPr>
        <w:rPr>
          <w:rFonts w:ascii="Arial" w:cs="Arial" w:eastAsia="Arial" w:hAnsi="Arial"/>
          <w:sz w:val="23"/>
          <w:szCs w:val="23"/>
          <w:b w:val="1"/>
          <w:bCs w:val="1"/>
          <w:color w:val="auto"/>
        </w:rPr>
      </w:pPr>
      <w:r>
        <w:rPr>
          <w:rFonts w:ascii="Arial" w:cs="Arial" w:eastAsia="Arial" w:hAnsi="Arial"/>
          <w:sz w:val="23"/>
          <w:szCs w:val="23"/>
          <w:b w:val="1"/>
          <w:bCs w:val="1"/>
          <w:color w:val="auto"/>
        </w:rPr>
        <w:t>GENERAL PROVISIONS</w:t>
      </w:r>
    </w:p>
    <w:p>
      <w:pPr>
        <w:spacing w:after="0" w:line="245" w:lineRule="exact"/>
        <w:rPr>
          <w:sz w:val="20"/>
          <w:szCs w:val="20"/>
          <w:color w:val="auto"/>
        </w:rPr>
      </w:pPr>
    </w:p>
    <w:p>
      <w:pPr>
        <w:ind w:left="400" w:hanging="392"/>
        <w:spacing w:after="0"/>
        <w:tabs>
          <w:tab w:leader="none" w:pos="400" w:val="left"/>
        </w:tabs>
        <w:numPr>
          <w:ilvl w:val="0"/>
          <w:numId w:val="245"/>
        </w:numPr>
        <w:rPr>
          <w:rFonts w:ascii="Arial" w:cs="Arial" w:eastAsia="Arial" w:hAnsi="Arial"/>
          <w:sz w:val="20"/>
          <w:szCs w:val="20"/>
          <w:b w:val="1"/>
          <w:bCs w:val="1"/>
          <w:color w:val="auto"/>
        </w:rPr>
      </w:pPr>
      <w:r>
        <w:rPr>
          <w:rFonts w:ascii="Arial" w:cs="Arial" w:eastAsia="Arial" w:hAnsi="Arial"/>
          <w:sz w:val="20"/>
          <w:szCs w:val="20"/>
          <w:b w:val="1"/>
          <w:bCs w:val="1"/>
          <w:color w:val="auto"/>
        </w:rPr>
        <w:t>BASIS</w:t>
      </w:r>
    </w:p>
    <w:p>
      <w:pPr>
        <w:spacing w:after="0" w:line="334"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1.1.</w:t>
        <w:tab/>
        <w:t>These organizational rules (the "Rules") are adopted by the board of directors (the "Board of Directors") of Molecular Partners AG (the "Company") pursuant to article 716b of the Swiss Code of Obligations ("CO") and article 17 of its articles of association (the "Articles of Association").</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1.2.</w:t>
        <w:tab/>
        <w:t>These Rules govern the internal organisation as well as functions, powers and duties of the following corporate bodies and persons:</w:t>
      </w:r>
    </w:p>
    <w:p>
      <w:pPr>
        <w:ind w:left="920" w:hanging="402"/>
        <w:spacing w:after="0"/>
        <w:tabs>
          <w:tab w:leader="none" w:pos="920"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Board of Directors and the members of the Board of Directors (the "Directors");</w:t>
      </w:r>
    </w:p>
    <w:p>
      <w:pPr>
        <w:spacing w:after="0" w:line="107" w:lineRule="exact"/>
        <w:rPr>
          <w:rFonts w:ascii="Arial" w:cs="Arial" w:eastAsia="Arial" w:hAnsi="Arial"/>
          <w:sz w:val="20"/>
          <w:szCs w:val="20"/>
          <w:color w:val="auto"/>
        </w:rPr>
      </w:pPr>
    </w:p>
    <w:p>
      <w:pPr>
        <w:ind w:left="1020" w:right="20" w:hanging="502"/>
        <w:spacing w:after="0" w:line="352" w:lineRule="auto"/>
        <w:tabs>
          <w:tab w:leader="none" w:pos="985"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chairperson (the "Chairperson"), the vice-chairperson (the "Vice-Chairperson") and the secretary of the Board of Directors (the "Secretary");</w:t>
      </w:r>
    </w:p>
    <w:p>
      <w:pPr>
        <w:ind w:left="1020" w:hanging="502"/>
        <w:spacing w:after="0" w:line="352" w:lineRule="auto"/>
        <w:tabs>
          <w:tab w:leader="none" w:pos="1009"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board committees (the "Board Committees") established from time to time pursuant to the Articles of Association and these Rules;</w:t>
      </w:r>
    </w:p>
    <w:p>
      <w:pPr>
        <w:ind w:left="1020" w:hanging="502"/>
        <w:spacing w:after="0"/>
        <w:tabs>
          <w:tab w:leader="none" w:pos="1020"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chief executive officer (the "Chief Executive Officer");</w:t>
      </w:r>
    </w:p>
    <w:p>
      <w:pPr>
        <w:spacing w:after="0" w:line="107" w:lineRule="exact"/>
        <w:rPr>
          <w:rFonts w:ascii="Arial" w:cs="Arial" w:eastAsia="Arial" w:hAnsi="Arial"/>
          <w:sz w:val="20"/>
          <w:szCs w:val="20"/>
          <w:color w:val="auto"/>
        </w:rPr>
      </w:pPr>
    </w:p>
    <w:p>
      <w:pPr>
        <w:ind w:left="960" w:hanging="442"/>
        <w:spacing w:after="0"/>
        <w:tabs>
          <w:tab w:leader="none" w:pos="960"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chief financial officer (the "Chief Financial Officer");</w:t>
      </w:r>
    </w:p>
    <w:p>
      <w:pPr>
        <w:spacing w:after="0" w:line="107" w:lineRule="exact"/>
        <w:rPr>
          <w:rFonts w:ascii="Arial" w:cs="Arial" w:eastAsia="Arial" w:hAnsi="Arial"/>
          <w:sz w:val="20"/>
          <w:szCs w:val="20"/>
          <w:color w:val="auto"/>
        </w:rPr>
      </w:pPr>
    </w:p>
    <w:p>
      <w:pPr>
        <w:ind w:left="1020" w:hanging="502"/>
        <w:spacing w:after="0"/>
        <w:tabs>
          <w:tab w:leader="none" w:pos="1020" w:val="left"/>
        </w:tabs>
        <w:numPr>
          <w:ilvl w:val="1"/>
          <w:numId w:val="246"/>
        </w:numPr>
        <w:rPr>
          <w:rFonts w:ascii="Arial" w:cs="Arial" w:eastAsia="Arial" w:hAnsi="Arial"/>
          <w:sz w:val="20"/>
          <w:szCs w:val="20"/>
          <w:color w:val="auto"/>
        </w:rPr>
      </w:pPr>
      <w:r>
        <w:rPr>
          <w:rFonts w:ascii="Arial" w:cs="Arial" w:eastAsia="Arial" w:hAnsi="Arial"/>
          <w:sz w:val="20"/>
          <w:szCs w:val="20"/>
          <w:color w:val="auto"/>
        </w:rPr>
        <w:t>the management board of the Company (the "Management Board").</w:t>
      </w:r>
    </w:p>
    <w:p>
      <w:pPr>
        <w:spacing w:after="0" w:line="286" w:lineRule="exact"/>
        <w:rPr>
          <w:rFonts w:ascii="Arial" w:cs="Arial" w:eastAsia="Arial" w:hAnsi="Arial"/>
          <w:sz w:val="20"/>
          <w:szCs w:val="20"/>
          <w:color w:val="auto"/>
        </w:rPr>
      </w:pPr>
    </w:p>
    <w:p>
      <w:pPr>
        <w:ind w:left="400" w:hanging="392"/>
        <w:spacing w:after="0"/>
        <w:tabs>
          <w:tab w:leader="none" w:pos="400" w:val="left"/>
        </w:tabs>
        <w:numPr>
          <w:ilvl w:val="0"/>
          <w:numId w:val="247"/>
        </w:numPr>
        <w:rPr>
          <w:rFonts w:ascii="Arial" w:cs="Arial" w:eastAsia="Arial" w:hAnsi="Arial"/>
          <w:sz w:val="20"/>
          <w:szCs w:val="20"/>
          <w:b w:val="1"/>
          <w:bCs w:val="1"/>
          <w:color w:val="auto"/>
        </w:rPr>
      </w:pPr>
      <w:r>
        <w:rPr>
          <w:rFonts w:ascii="Arial" w:cs="Arial" w:eastAsia="Arial" w:hAnsi="Arial"/>
          <w:sz w:val="20"/>
          <w:szCs w:val="20"/>
          <w:b w:val="1"/>
          <w:bCs w:val="1"/>
          <w:color w:val="auto"/>
        </w:rPr>
        <w:t>SCOPE</w:t>
      </w:r>
    </w:p>
    <w:p>
      <w:pPr>
        <w:spacing w:after="0" w:line="334" w:lineRule="exact"/>
        <w:rPr>
          <w:sz w:val="20"/>
          <w:szCs w:val="20"/>
          <w:color w:val="auto"/>
        </w:rPr>
      </w:pPr>
    </w:p>
    <w:p>
      <w:pPr>
        <w:ind w:right="20"/>
        <w:spacing w:after="0" w:line="359" w:lineRule="auto"/>
        <w:rPr>
          <w:sz w:val="20"/>
          <w:szCs w:val="20"/>
          <w:color w:val="auto"/>
        </w:rPr>
      </w:pPr>
      <w:r>
        <w:rPr>
          <w:rFonts w:ascii="Arial" w:cs="Arial" w:eastAsia="Arial" w:hAnsi="Arial"/>
          <w:sz w:val="20"/>
          <w:szCs w:val="20"/>
          <w:color w:val="auto"/>
        </w:rPr>
        <w:t>These Rules shall ensure that the Company's business is guided, directed and managed according to clear and uniform principles.</w:t>
      </w:r>
    </w:p>
    <w:p>
      <w:pPr>
        <w:spacing w:after="0" w:line="142" w:lineRule="exact"/>
        <w:rPr>
          <w:sz w:val="20"/>
          <w:szCs w:val="20"/>
          <w:color w:val="auto"/>
        </w:rPr>
      </w:pPr>
    </w:p>
    <w:p>
      <w:pPr>
        <w:ind w:left="4340" w:hanging="448"/>
        <w:spacing w:after="0"/>
        <w:tabs>
          <w:tab w:leader="none" w:pos="4340" w:val="left"/>
        </w:tabs>
        <w:numPr>
          <w:ilvl w:val="0"/>
          <w:numId w:val="248"/>
        </w:numPr>
        <w:rPr>
          <w:rFonts w:ascii="Arial" w:cs="Arial" w:eastAsia="Arial" w:hAnsi="Arial"/>
          <w:sz w:val="23"/>
          <w:szCs w:val="23"/>
          <w:b w:val="1"/>
          <w:bCs w:val="1"/>
          <w:color w:val="auto"/>
        </w:rPr>
      </w:pPr>
      <w:r>
        <w:rPr>
          <w:rFonts w:ascii="Arial" w:cs="Arial" w:eastAsia="Arial" w:hAnsi="Arial"/>
          <w:sz w:val="23"/>
          <w:szCs w:val="23"/>
          <w:b w:val="1"/>
          <w:bCs w:val="1"/>
          <w:color w:val="auto"/>
        </w:rPr>
        <w:t>BOARD OF DIRECTORS</w:t>
      </w:r>
    </w:p>
    <w:p>
      <w:pPr>
        <w:spacing w:after="0" w:line="245" w:lineRule="exact"/>
        <w:rPr>
          <w:sz w:val="20"/>
          <w:szCs w:val="20"/>
          <w:color w:val="auto"/>
        </w:rPr>
      </w:pPr>
    </w:p>
    <w:p>
      <w:pPr>
        <w:ind w:left="400" w:hanging="392"/>
        <w:spacing w:after="0"/>
        <w:tabs>
          <w:tab w:leader="none" w:pos="400" w:val="left"/>
        </w:tabs>
        <w:numPr>
          <w:ilvl w:val="0"/>
          <w:numId w:val="249"/>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w:t>
      </w:r>
    </w:p>
    <w:p>
      <w:pPr>
        <w:spacing w:after="0" w:line="334" w:lineRule="exact"/>
        <w:rPr>
          <w:sz w:val="20"/>
          <w:szCs w:val="20"/>
          <w:color w:val="auto"/>
        </w:rPr>
      </w:pPr>
    </w:p>
    <w:p>
      <w:pPr>
        <w:jc w:val="both"/>
        <w:ind w:left="520" w:hanging="509"/>
        <w:spacing w:after="0" w:line="370" w:lineRule="auto"/>
        <w:tabs>
          <w:tab w:leader="none" w:pos="5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The Board of Directors shall consist of not less than 3 and not more than 11 members (including the Chairperson). The shareholders' meeting of the Company (the "Shareholders' Meeting") shall elect the members of the Board of Directors and the Chairperson of the Board of Directors individually for a term of office extending until completion of the next annual Shareholders' Meeting. Members of the Board of Directors may be re-elected at any time. If the office of the Chairperson is vacant, the Board of Directors shall appoint a new Chairperson from its members for the remaining term of office.</w:t>
      </w:r>
    </w:p>
    <w:p>
      <w:pPr>
        <w:spacing w:after="0" w:line="3" w:lineRule="exact"/>
        <w:rPr>
          <w:sz w:val="20"/>
          <w:szCs w:val="20"/>
          <w:color w:val="auto"/>
        </w:rPr>
      </w:pPr>
    </w:p>
    <w:p>
      <w:pPr>
        <w:jc w:val="both"/>
        <w:ind w:left="520" w:hanging="509"/>
        <w:spacing w:after="0" w:line="355" w:lineRule="auto"/>
        <w:tabs>
          <w:tab w:leader="none" w:pos="500" w:val="left"/>
        </w:tabs>
        <w:rPr>
          <w:sz w:val="20"/>
          <w:szCs w:val="20"/>
          <w:color w:val="auto"/>
        </w:rPr>
      </w:pPr>
      <w:r>
        <w:rPr>
          <w:rFonts w:ascii="Arial" w:cs="Arial" w:eastAsia="Arial" w:hAnsi="Arial"/>
          <w:sz w:val="20"/>
          <w:szCs w:val="20"/>
          <w:color w:val="auto"/>
        </w:rPr>
        <w:t>3.2</w:t>
        <w:tab/>
        <w:t>The Board of Directors may elect a Vice-Chairperson from its members each year immediately following the annual Shareholders' Meeting for a term ending at the closing of the following annual Shareholders' Meeting. The Board of Directors shall</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 / 14</w:t>
      </w:r>
    </w:p>
    <w:p>
      <w:pPr>
        <w:sectPr>
          <w:pgSz w:w="11900" w:h="16838" w:orient="portrait"/>
          <w:cols w:equalWidth="0" w:num="1">
            <w:col w:w="11240"/>
          </w:cols>
          <w:pgMar w:left="320" w:top="1385" w:right="339" w:bottom="1440" w:gutter="0" w:footer="0" w:header="0"/>
        </w:sectPr>
      </w:pPr>
    </w:p>
    <w:bookmarkStart w:id="329" w:name="page330"/>
    <w:bookmarkEnd w:id="329"/>
    <w:p>
      <w:pPr>
        <w:spacing w:after="0" w:line="33" w:lineRule="exact"/>
        <w:rPr>
          <w:sz w:val="20"/>
          <w:szCs w:val="20"/>
          <w:color w:val="auto"/>
        </w:rPr>
      </w:pPr>
    </w:p>
    <w:p>
      <w:pPr>
        <w:jc w:val="both"/>
        <w:ind w:left="520"/>
        <w:spacing w:after="0" w:line="355" w:lineRule="auto"/>
        <w:rPr>
          <w:sz w:val="20"/>
          <w:szCs w:val="20"/>
          <w:color w:val="auto"/>
        </w:rPr>
      </w:pPr>
      <w:r>
        <w:rPr>
          <w:rFonts w:ascii="Arial" w:cs="Arial" w:eastAsia="Arial" w:hAnsi="Arial"/>
          <w:sz w:val="20"/>
          <w:szCs w:val="20"/>
          <w:color w:val="auto"/>
        </w:rPr>
        <w:t>further appoint the Secretary, who need not be a member of the Board of Directors. The Secretary shall be entitled to participate in the deliberations and discussions of the Board of Directors, but shall not vote, unless he or she is a member of the Board of Directors.</w:t>
      </w:r>
    </w:p>
    <w:p>
      <w:pPr>
        <w:spacing w:after="0" w:line="170" w:lineRule="exact"/>
        <w:rPr>
          <w:sz w:val="20"/>
          <w:szCs w:val="20"/>
          <w:color w:val="auto"/>
        </w:rPr>
      </w:pPr>
    </w:p>
    <w:p>
      <w:pPr>
        <w:ind w:left="400" w:hanging="392"/>
        <w:spacing w:after="0"/>
        <w:tabs>
          <w:tab w:leader="none" w:pos="400" w:val="left"/>
        </w:tabs>
        <w:numPr>
          <w:ilvl w:val="0"/>
          <w:numId w:val="250"/>
        </w:numPr>
        <w:rPr>
          <w:rFonts w:ascii="Arial" w:cs="Arial" w:eastAsia="Arial" w:hAnsi="Arial"/>
          <w:sz w:val="20"/>
          <w:szCs w:val="20"/>
          <w:b w:val="1"/>
          <w:bCs w:val="1"/>
          <w:color w:val="auto"/>
        </w:rPr>
      </w:pPr>
      <w:r>
        <w:rPr>
          <w:rFonts w:ascii="Arial" w:cs="Arial" w:eastAsia="Arial" w:hAnsi="Arial"/>
          <w:sz w:val="20"/>
          <w:szCs w:val="20"/>
          <w:b w:val="1"/>
          <w:bCs w:val="1"/>
          <w:color w:val="auto"/>
        </w:rPr>
        <w:t>FUNCTION AND POWERS</w:t>
      </w:r>
    </w:p>
    <w:p>
      <w:pPr>
        <w:spacing w:after="0" w:line="321" w:lineRule="exact"/>
        <w:rPr>
          <w:sz w:val="20"/>
          <w:szCs w:val="20"/>
          <w:color w:val="auto"/>
        </w:rPr>
      </w:pPr>
    </w:p>
    <w:p>
      <w:pPr>
        <w:ind w:left="520" w:hanging="509"/>
        <w:spacing w:after="0" w:line="352" w:lineRule="auto"/>
        <w:tabs>
          <w:tab w:leader="none" w:pos="500" w:val="left"/>
        </w:tabs>
        <w:rPr>
          <w:sz w:val="20"/>
          <w:szCs w:val="20"/>
          <w:color w:val="auto"/>
        </w:rPr>
      </w:pPr>
      <w:r>
        <w:rPr>
          <w:rFonts w:ascii="Arial" w:cs="Arial" w:eastAsia="Arial" w:hAnsi="Arial"/>
          <w:sz w:val="20"/>
          <w:szCs w:val="20"/>
          <w:color w:val="auto"/>
        </w:rPr>
        <w:t>4.1</w:t>
        <w:tab/>
        <w:t>Subject to the legal and statutory powers and duties of the Shareholders' Meeting and the statutory auditors, the Board of Directors shall be the ultimate executive body of the Company.</w:t>
      </w:r>
    </w:p>
    <w:p>
      <w:pPr>
        <w:ind w:left="520" w:right="20" w:hanging="509"/>
        <w:spacing w:after="0" w:line="352" w:lineRule="auto"/>
        <w:tabs>
          <w:tab w:leader="none" w:pos="500" w:val="left"/>
        </w:tabs>
        <w:rPr>
          <w:sz w:val="20"/>
          <w:szCs w:val="20"/>
          <w:color w:val="auto"/>
        </w:rPr>
      </w:pPr>
      <w:r>
        <w:rPr>
          <w:rFonts w:ascii="Arial" w:cs="Arial" w:eastAsia="Arial" w:hAnsi="Arial"/>
          <w:sz w:val="20"/>
          <w:szCs w:val="20"/>
          <w:color w:val="auto"/>
        </w:rPr>
        <w:t>4.2</w:t>
        <w:tab/>
        <w:t>The Board of Directors shall have the authority to pass resolutions in all matters of the Company that are not reserved to the Shareholders' Meeting or to another corporate body by law, the Articles of Association or these Rules.</w:t>
      </w:r>
    </w:p>
    <w:p>
      <w:pPr>
        <w:ind w:left="520" w:hanging="509"/>
        <w:spacing w:after="0" w:line="359" w:lineRule="auto"/>
        <w:tabs>
          <w:tab w:leader="none" w:pos="500" w:val="left"/>
        </w:tabs>
        <w:rPr>
          <w:sz w:val="20"/>
          <w:szCs w:val="20"/>
          <w:color w:val="auto"/>
        </w:rPr>
      </w:pPr>
      <w:r>
        <w:rPr>
          <w:rFonts w:ascii="Arial" w:cs="Arial" w:eastAsia="Arial" w:hAnsi="Arial"/>
          <w:sz w:val="20"/>
          <w:szCs w:val="20"/>
          <w:color w:val="auto"/>
        </w:rPr>
        <w:t>4.3</w:t>
        <w:tab/>
        <w:t>Subject to the limitations set out in this section 4, the Board of Directors shall have the authority to perform all acts that the business objectives of the Company may entail.</w:t>
      </w:r>
    </w:p>
    <w:p>
      <w:pPr>
        <w:spacing w:after="0" w:line="165" w:lineRule="exact"/>
        <w:rPr>
          <w:sz w:val="20"/>
          <w:szCs w:val="20"/>
          <w:color w:val="auto"/>
        </w:rPr>
      </w:pPr>
    </w:p>
    <w:p>
      <w:pPr>
        <w:ind w:left="400" w:hanging="392"/>
        <w:spacing w:after="0"/>
        <w:tabs>
          <w:tab w:leader="none" w:pos="400" w:val="left"/>
        </w:tabs>
        <w:numPr>
          <w:ilvl w:val="0"/>
          <w:numId w:val="251"/>
        </w:numPr>
        <w:rPr>
          <w:rFonts w:ascii="Arial" w:cs="Arial" w:eastAsia="Arial" w:hAnsi="Arial"/>
          <w:sz w:val="20"/>
          <w:szCs w:val="20"/>
          <w:b w:val="1"/>
          <w:bCs w:val="1"/>
          <w:color w:val="auto"/>
        </w:rPr>
      </w:pPr>
      <w:r>
        <w:rPr>
          <w:rFonts w:ascii="Arial" w:cs="Arial" w:eastAsia="Arial" w:hAnsi="Arial"/>
          <w:sz w:val="20"/>
          <w:szCs w:val="20"/>
          <w:b w:val="1"/>
          <w:bCs w:val="1"/>
          <w:color w:val="auto"/>
        </w:rPr>
        <w:t>DUTIES</w:t>
      </w:r>
    </w:p>
    <w:p>
      <w:pPr>
        <w:spacing w:after="0" w:line="334"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5.1</w:t>
        <w:tab/>
        <w:t>The Board of Directors shall have, in particular, the following non-delegable and inalienable powers and duties (articles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716a and 716b CO and article 19 of the Articles of Association):</w:t>
      </w:r>
    </w:p>
    <w:p>
      <w:pPr>
        <w:spacing w:after="0" w:line="108" w:lineRule="exact"/>
        <w:rPr>
          <w:sz w:val="20"/>
          <w:szCs w:val="20"/>
          <w:color w:val="auto"/>
        </w:rPr>
      </w:pPr>
    </w:p>
    <w:p>
      <w:pPr>
        <w:ind w:left="920" w:hanging="402"/>
        <w:spacing w:after="0"/>
        <w:tabs>
          <w:tab w:leader="none" w:pos="92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ultimate direction of the business of the Company and the issuance of the necessary instructions;</w:t>
      </w:r>
    </w:p>
    <w:p>
      <w:pPr>
        <w:spacing w:after="0" w:line="107" w:lineRule="exact"/>
        <w:rPr>
          <w:rFonts w:ascii="Arial" w:cs="Arial" w:eastAsia="Arial" w:hAnsi="Arial"/>
          <w:sz w:val="20"/>
          <w:szCs w:val="20"/>
          <w:color w:val="auto"/>
        </w:rPr>
      </w:pPr>
    </w:p>
    <w:p>
      <w:pPr>
        <w:ind w:left="960" w:hanging="442"/>
        <w:spacing w:after="0"/>
        <w:tabs>
          <w:tab w:leader="none" w:pos="96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determination of the organisation of the Company, including the adoption and revision of these Rules;</w:t>
      </w:r>
    </w:p>
    <w:p>
      <w:pPr>
        <w:spacing w:after="0" w:line="107" w:lineRule="exact"/>
        <w:rPr>
          <w:rFonts w:ascii="Arial" w:cs="Arial" w:eastAsia="Arial" w:hAnsi="Arial"/>
          <w:sz w:val="20"/>
          <w:szCs w:val="20"/>
          <w:color w:val="auto"/>
        </w:rPr>
      </w:pPr>
    </w:p>
    <w:p>
      <w:pPr>
        <w:ind w:left="1000" w:hanging="482"/>
        <w:spacing w:after="0"/>
        <w:tabs>
          <w:tab w:leader="none" w:pos="100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organization of accounting, financial control and financial planning of the Company;</w:t>
      </w:r>
    </w:p>
    <w:p>
      <w:pPr>
        <w:spacing w:after="0" w:line="107" w:lineRule="exact"/>
        <w:rPr>
          <w:rFonts w:ascii="Arial" w:cs="Arial" w:eastAsia="Arial" w:hAnsi="Arial"/>
          <w:sz w:val="20"/>
          <w:szCs w:val="20"/>
          <w:color w:val="auto"/>
        </w:rPr>
      </w:pPr>
    </w:p>
    <w:p>
      <w:pPr>
        <w:ind w:left="1020" w:hanging="502"/>
        <w:spacing w:after="0" w:line="352" w:lineRule="auto"/>
        <w:tabs>
          <w:tab w:leader="none" w:pos="1061"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appointment and removal of the persons entrusted with the executive management and their representation of the Company;</w:t>
      </w:r>
    </w:p>
    <w:p>
      <w:pPr>
        <w:ind w:left="1020" w:hanging="502"/>
        <w:spacing w:after="0" w:line="352" w:lineRule="auto"/>
        <w:tabs>
          <w:tab w:leader="none" w:pos="1004"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ultimate supervision of the persons entrusted with the management of the Company, specifically in view of their compliance with the law, the Articles of Association, these Rules and the directives of the Board of Directors;</w:t>
      </w:r>
    </w:p>
    <w:p>
      <w:pPr>
        <w:ind w:left="1020" w:hanging="502"/>
        <w:spacing w:after="0" w:line="352" w:lineRule="auto"/>
        <w:tabs>
          <w:tab w:leader="none" w:pos="1123"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preparation of the business report, the compensation report and the Shareholders' Meetings as well as the implementation of the resolutions adopted by the Shareholders' Meeting;</w:t>
      </w:r>
    </w:p>
    <w:p>
      <w:pPr>
        <w:ind w:left="1020" w:hanging="502"/>
        <w:spacing w:after="0" w:line="359" w:lineRule="auto"/>
        <w:tabs>
          <w:tab w:leader="none" w:pos="1053" w:val="left"/>
        </w:tabs>
        <w:numPr>
          <w:ilvl w:val="0"/>
          <w:numId w:val="252"/>
        </w:numPr>
        <w:rPr>
          <w:rFonts w:ascii="Arial" w:cs="Arial" w:eastAsia="Arial" w:hAnsi="Arial"/>
          <w:sz w:val="20"/>
          <w:szCs w:val="20"/>
          <w:color w:val="auto"/>
        </w:rPr>
      </w:pPr>
      <w:r>
        <w:rPr>
          <w:rFonts w:ascii="Arial" w:cs="Arial" w:eastAsia="Arial" w:hAnsi="Arial"/>
          <w:sz w:val="20"/>
          <w:szCs w:val="20"/>
          <w:color w:val="auto"/>
        </w:rPr>
        <w:t>the adoption of resolutions regarding the subsequent payment of capital with respect to non-fully paid up shares and the amendments to the Articles of Association related thereto;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 / 14</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33" w:lineRule="exact"/>
        <w:rPr>
          <w:sz w:val="20"/>
          <w:szCs w:val="20"/>
          <w:color w:val="auto"/>
        </w:rPr>
      </w:pPr>
    </w:p>
    <w:p>
      <w:pPr>
        <w:jc w:val="both"/>
        <w:ind w:left="1020" w:hanging="502"/>
        <w:spacing w:after="0" w:line="352" w:lineRule="auto"/>
        <w:tabs>
          <w:tab w:leader="none" w:pos="1094"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adoption of resolutions concerning an increase of the share capital to the extent that such power is vested in the Board of Directors (article 651 paragraph 4 CO) and of resolutions concerning the confirmation of capital increases and corresponding amendments to the Articles of Association, as well as the preparation of the required report on the capital increase;</w:t>
      </w:r>
    </w:p>
    <w:p>
      <w:pPr>
        <w:ind w:left="1020" w:hanging="502"/>
        <w:spacing w:after="0" w:line="352" w:lineRule="auto"/>
        <w:tabs>
          <w:tab w:leader="none" w:pos="1012"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non-delegable and inalienable duties and powers of the Board of Directors pursuant to the Swiss Merger Act and any other law;</w:t>
      </w:r>
    </w:p>
    <w:p>
      <w:pPr>
        <w:ind w:left="960" w:hanging="442"/>
        <w:spacing w:after="0"/>
        <w:tabs>
          <w:tab w:leader="none" w:pos="96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the notification of the court if liabilities exceed assets; and</w:t>
      </w:r>
    </w:p>
    <w:p>
      <w:pPr>
        <w:spacing w:after="0" w:line="107" w:lineRule="exact"/>
        <w:rPr>
          <w:rFonts w:ascii="Arial" w:cs="Arial" w:eastAsia="Arial" w:hAnsi="Arial"/>
          <w:sz w:val="20"/>
          <w:szCs w:val="20"/>
          <w:color w:val="auto"/>
        </w:rPr>
      </w:pPr>
    </w:p>
    <w:p>
      <w:pPr>
        <w:ind w:left="1020" w:hanging="502"/>
        <w:spacing w:after="0"/>
        <w:tabs>
          <w:tab w:leader="none" w:pos="1020" w:val="left"/>
        </w:tabs>
        <w:numPr>
          <w:ilvl w:val="0"/>
          <w:numId w:val="253"/>
        </w:numPr>
        <w:rPr>
          <w:rFonts w:ascii="Arial" w:cs="Arial" w:eastAsia="Arial" w:hAnsi="Arial"/>
          <w:sz w:val="20"/>
          <w:szCs w:val="20"/>
          <w:color w:val="auto"/>
        </w:rPr>
      </w:pPr>
      <w:r>
        <w:rPr>
          <w:rFonts w:ascii="Arial" w:cs="Arial" w:eastAsia="Arial" w:hAnsi="Arial"/>
          <w:sz w:val="20"/>
          <w:szCs w:val="20"/>
          <w:color w:val="auto"/>
        </w:rPr>
        <w:t>any other matter reserved to the Board of Directors by the law or the Articles of Association.</w:t>
      </w:r>
    </w:p>
    <w:p>
      <w:pPr>
        <w:spacing w:after="0" w:line="10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In addition, the Board of Directors shall have the following powers and duties:</w:t>
      </w:r>
    </w:p>
    <w:p>
      <w:pPr>
        <w:spacing w:after="0" w:line="108" w:lineRule="exact"/>
        <w:rPr>
          <w:sz w:val="20"/>
          <w:szCs w:val="20"/>
          <w:color w:val="auto"/>
        </w:rPr>
      </w:pPr>
    </w:p>
    <w:p>
      <w:pPr>
        <w:ind w:left="920" w:hanging="402"/>
        <w:spacing w:after="0"/>
        <w:tabs>
          <w:tab w:leader="none" w:pos="92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approve or make any material change to the business plan, the operational plan or the annual budget;</w:t>
      </w:r>
    </w:p>
    <w:p>
      <w:pPr>
        <w:spacing w:after="0" w:line="107" w:lineRule="exact"/>
        <w:rPr>
          <w:rFonts w:ascii="Arial" w:cs="Arial" w:eastAsia="Arial" w:hAnsi="Arial"/>
          <w:sz w:val="20"/>
          <w:szCs w:val="20"/>
          <w:color w:val="auto"/>
        </w:rPr>
      </w:pPr>
    </w:p>
    <w:p>
      <w:pPr>
        <w:ind w:left="1020" w:right="20" w:hanging="502"/>
        <w:spacing w:after="0" w:line="352" w:lineRule="auto"/>
        <w:tabs>
          <w:tab w:leader="none" w:pos="983" w:val="left"/>
        </w:tabs>
        <w:numPr>
          <w:ilvl w:val="0"/>
          <w:numId w:val="254"/>
        </w:numPr>
        <w:rPr>
          <w:rFonts w:ascii="Arial" w:cs="Arial" w:eastAsia="Arial" w:hAnsi="Arial"/>
          <w:sz w:val="20"/>
          <w:szCs w:val="20"/>
          <w:color w:val="auto"/>
        </w:rPr>
      </w:pPr>
      <w:r>
        <w:rPr>
          <w:rFonts w:ascii="Arial" w:cs="Arial" w:eastAsia="Arial" w:hAnsi="Arial"/>
          <w:sz w:val="20"/>
          <w:szCs w:val="20"/>
          <w:color w:val="auto"/>
        </w:rPr>
        <w:t>approve individual expenditure (including capital expenditure) in excess of CHF 1,000,000 if such expenditure is not included in the approved annual budget;</w:t>
      </w:r>
    </w:p>
    <w:p>
      <w:pPr>
        <w:ind w:left="1000" w:hanging="482"/>
        <w:spacing w:after="0"/>
        <w:tabs>
          <w:tab w:leader="none" w:pos="100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agree to credit lines, other financial indebtedness or leases exceeding CHF 1,000,000;</w:t>
      </w:r>
    </w:p>
    <w:p>
      <w:pPr>
        <w:spacing w:after="0" w:line="107" w:lineRule="exact"/>
        <w:rPr>
          <w:rFonts w:ascii="Arial" w:cs="Arial" w:eastAsia="Arial" w:hAnsi="Arial"/>
          <w:sz w:val="20"/>
          <w:szCs w:val="20"/>
          <w:color w:val="auto"/>
        </w:rPr>
      </w:pPr>
    </w:p>
    <w:p>
      <w:pPr>
        <w:ind w:left="1020" w:hanging="502"/>
        <w:spacing w:after="0"/>
        <w:tabs>
          <w:tab w:leader="none" w:pos="102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create any liens or encumbrances of assets outside the normal and ordinary course of business;</w:t>
      </w:r>
    </w:p>
    <w:p>
      <w:pPr>
        <w:spacing w:after="0" w:line="107" w:lineRule="exact"/>
        <w:rPr>
          <w:rFonts w:ascii="Arial" w:cs="Arial" w:eastAsia="Arial" w:hAnsi="Arial"/>
          <w:sz w:val="20"/>
          <w:szCs w:val="20"/>
          <w:color w:val="auto"/>
        </w:rPr>
      </w:pPr>
    </w:p>
    <w:p>
      <w:pPr>
        <w:ind w:left="960" w:hanging="442"/>
        <w:spacing w:after="0"/>
        <w:tabs>
          <w:tab w:leader="none" w:pos="96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establish the Company's dividend policy;</w:t>
      </w:r>
    </w:p>
    <w:p>
      <w:pPr>
        <w:spacing w:after="0" w:line="107" w:lineRule="exact"/>
        <w:rPr>
          <w:rFonts w:ascii="Arial" w:cs="Arial" w:eastAsia="Arial" w:hAnsi="Arial"/>
          <w:sz w:val="20"/>
          <w:szCs w:val="20"/>
          <w:color w:val="auto"/>
        </w:rPr>
      </w:pPr>
    </w:p>
    <w:p>
      <w:pPr>
        <w:ind w:left="1020" w:hanging="502"/>
        <w:spacing w:after="0"/>
        <w:tabs>
          <w:tab w:leader="none" w:pos="102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establish a directive and procedure on public disclosure, reporting and securities trading;</w:t>
      </w:r>
    </w:p>
    <w:p>
      <w:pPr>
        <w:spacing w:after="0" w:line="107" w:lineRule="exact"/>
        <w:rPr>
          <w:rFonts w:ascii="Arial" w:cs="Arial" w:eastAsia="Arial" w:hAnsi="Arial"/>
          <w:sz w:val="20"/>
          <w:szCs w:val="20"/>
          <w:color w:val="auto"/>
        </w:rPr>
      </w:pPr>
    </w:p>
    <w:p>
      <w:pPr>
        <w:ind w:left="1060" w:hanging="542"/>
        <w:spacing w:after="0"/>
        <w:tabs>
          <w:tab w:leader="none" w:pos="106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review and approve the recommendations of the Board Committees;</w:t>
      </w:r>
    </w:p>
    <w:p>
      <w:pPr>
        <w:spacing w:after="0" w:line="107" w:lineRule="exact"/>
        <w:rPr>
          <w:rFonts w:ascii="Arial" w:cs="Arial" w:eastAsia="Arial" w:hAnsi="Arial"/>
          <w:sz w:val="20"/>
          <w:szCs w:val="20"/>
          <w:color w:val="auto"/>
        </w:rPr>
      </w:pPr>
    </w:p>
    <w:p>
      <w:pPr>
        <w:ind w:left="1020" w:hanging="502"/>
        <w:spacing w:after="0" w:line="352" w:lineRule="auto"/>
        <w:tabs>
          <w:tab w:leader="none" w:pos="1148" w:val="left"/>
        </w:tabs>
        <w:numPr>
          <w:ilvl w:val="0"/>
          <w:numId w:val="254"/>
        </w:numPr>
        <w:rPr>
          <w:rFonts w:ascii="Arial" w:cs="Arial" w:eastAsia="Arial" w:hAnsi="Arial"/>
          <w:sz w:val="20"/>
          <w:szCs w:val="20"/>
          <w:color w:val="auto"/>
        </w:rPr>
      </w:pPr>
      <w:r>
        <w:rPr>
          <w:rFonts w:ascii="Arial" w:cs="Arial" w:eastAsia="Arial" w:hAnsi="Arial"/>
          <w:sz w:val="20"/>
          <w:szCs w:val="20"/>
          <w:color w:val="auto"/>
        </w:rPr>
        <w:t>adopt or amend any equity incentive plan, such as a stock option plan and the related documentation, as well as grant or delegate the grant of shares, stock options or other rights under any equity incentive plan;</w:t>
      </w:r>
    </w:p>
    <w:p>
      <w:pPr>
        <w:ind w:left="1020" w:hanging="502"/>
        <w:spacing w:after="0"/>
        <w:tabs>
          <w:tab w:leader="none" w:pos="1020" w:val="left"/>
        </w:tabs>
        <w:numPr>
          <w:ilvl w:val="0"/>
          <w:numId w:val="254"/>
        </w:numPr>
        <w:rPr>
          <w:rFonts w:ascii="Arial" w:cs="Arial" w:eastAsia="Arial" w:hAnsi="Arial"/>
          <w:sz w:val="20"/>
          <w:szCs w:val="20"/>
          <w:color w:val="auto"/>
        </w:rPr>
      </w:pPr>
      <w:r>
        <w:rPr>
          <w:rFonts w:ascii="Arial" w:cs="Arial" w:eastAsia="Arial" w:hAnsi="Arial"/>
          <w:sz w:val="20"/>
          <w:szCs w:val="20"/>
          <w:color w:val="auto"/>
        </w:rPr>
        <w:t>create or close a subsidiary or any joint venture partnership or similar business association of the Company;</w:t>
      </w:r>
    </w:p>
    <w:p>
      <w:pPr>
        <w:spacing w:after="0" w:line="107" w:lineRule="exact"/>
        <w:rPr>
          <w:rFonts w:ascii="Arial" w:cs="Arial" w:eastAsia="Arial" w:hAnsi="Arial"/>
          <w:sz w:val="20"/>
          <w:szCs w:val="20"/>
          <w:color w:val="auto"/>
        </w:rPr>
      </w:pPr>
    </w:p>
    <w:p>
      <w:pPr>
        <w:ind w:left="1020" w:hanging="502"/>
        <w:spacing w:after="0" w:line="352" w:lineRule="auto"/>
        <w:tabs>
          <w:tab w:leader="none" w:pos="985"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transfer or license any material intellectual property right, other than by entering into material transfer agreements or similar agreements under the strategy agreed by the Board of Directors;</w:t>
      </w:r>
    </w:p>
    <w:p>
      <w:pPr>
        <w:ind w:left="1020" w:hanging="502"/>
        <w:spacing w:after="0" w:line="352" w:lineRule="auto"/>
        <w:tabs>
          <w:tab w:leader="none" w:pos="1009" w:val="left"/>
        </w:tabs>
        <w:numPr>
          <w:ilvl w:val="0"/>
          <w:numId w:val="254"/>
        </w:numPr>
        <w:rPr>
          <w:rFonts w:ascii="Arial" w:cs="Arial" w:eastAsia="Arial" w:hAnsi="Arial"/>
          <w:sz w:val="20"/>
          <w:szCs w:val="20"/>
          <w:color w:val="auto"/>
        </w:rPr>
      </w:pPr>
      <w:r>
        <w:rPr>
          <w:rFonts w:ascii="Arial" w:cs="Arial" w:eastAsia="Arial" w:hAnsi="Arial"/>
          <w:sz w:val="20"/>
          <w:szCs w:val="20"/>
          <w:color w:val="auto"/>
        </w:rPr>
        <w:t>enter into any transaction between the Company and any member of the Board of Directors (a "Director") or member of the Management Board, except for ordinary course compensation and expense; and</w:t>
      </w:r>
    </w:p>
    <w:p>
      <w:pPr>
        <w:ind w:left="1020" w:hanging="502"/>
        <w:spacing w:after="0" w:line="359" w:lineRule="auto"/>
        <w:tabs>
          <w:tab w:leader="none" w:pos="1069" w:val="left"/>
        </w:tabs>
        <w:numPr>
          <w:ilvl w:val="0"/>
          <w:numId w:val="254"/>
        </w:numPr>
        <w:rPr>
          <w:rFonts w:ascii="Arial" w:cs="Arial" w:eastAsia="Arial" w:hAnsi="Arial"/>
          <w:sz w:val="20"/>
          <w:szCs w:val="20"/>
          <w:color w:val="auto"/>
        </w:rPr>
      </w:pPr>
      <w:r>
        <w:rPr>
          <w:rFonts w:ascii="Arial" w:cs="Arial" w:eastAsia="Arial" w:hAnsi="Arial"/>
          <w:sz w:val="20"/>
          <w:szCs w:val="20"/>
          <w:color w:val="auto"/>
        </w:rPr>
        <w:t>enter into any transaction which would result in a direct or indirect acquisition of, or entering into any legally binding agreement or commitment to acquire, the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 / 14</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33" w:lineRule="exact"/>
        <w:rPr>
          <w:sz w:val="20"/>
          <w:szCs w:val="20"/>
          <w:color w:val="auto"/>
        </w:rPr>
      </w:pPr>
    </w:p>
    <w:p>
      <w:pPr>
        <w:ind w:left="1020"/>
        <w:spacing w:after="0" w:line="359" w:lineRule="auto"/>
        <w:rPr>
          <w:sz w:val="20"/>
          <w:szCs w:val="20"/>
          <w:color w:val="auto"/>
        </w:rPr>
      </w:pPr>
      <w:r>
        <w:rPr>
          <w:rFonts w:ascii="Arial" w:cs="Arial" w:eastAsia="Arial" w:hAnsi="Arial"/>
          <w:sz w:val="20"/>
          <w:szCs w:val="20"/>
          <w:color w:val="auto"/>
        </w:rPr>
        <w:t>assets of, or effective voting or contractual control over (whether resulting from a purchase of shares, by merger, by consolidation, or otherwise), any other entity.</w:t>
      </w:r>
    </w:p>
    <w:p>
      <w:pPr>
        <w:spacing w:after="0" w:line="165" w:lineRule="exact"/>
        <w:rPr>
          <w:sz w:val="20"/>
          <w:szCs w:val="20"/>
          <w:color w:val="auto"/>
        </w:rPr>
      </w:pPr>
    </w:p>
    <w:p>
      <w:pPr>
        <w:ind w:left="400" w:hanging="392"/>
        <w:spacing w:after="0"/>
        <w:tabs>
          <w:tab w:leader="none" w:pos="400" w:val="left"/>
        </w:tabs>
        <w:numPr>
          <w:ilvl w:val="0"/>
          <w:numId w:val="255"/>
        </w:numPr>
        <w:rPr>
          <w:rFonts w:ascii="Arial" w:cs="Arial" w:eastAsia="Arial" w:hAnsi="Arial"/>
          <w:sz w:val="20"/>
          <w:szCs w:val="20"/>
          <w:b w:val="1"/>
          <w:bCs w:val="1"/>
          <w:color w:val="auto"/>
        </w:rPr>
      </w:pPr>
      <w:r>
        <w:rPr>
          <w:rFonts w:ascii="Arial" w:cs="Arial" w:eastAsia="Arial" w:hAnsi="Arial"/>
          <w:sz w:val="20"/>
          <w:szCs w:val="20"/>
          <w:b w:val="1"/>
          <w:bCs w:val="1"/>
          <w:color w:val="auto"/>
        </w:rPr>
        <w:t>DELEGATION AND SIGNING AUTHORITY</w:t>
      </w:r>
    </w:p>
    <w:p>
      <w:pPr>
        <w:spacing w:after="0" w:line="321" w:lineRule="exact"/>
        <w:rPr>
          <w:sz w:val="20"/>
          <w:szCs w:val="20"/>
          <w:color w:val="auto"/>
        </w:rPr>
      </w:pPr>
    </w:p>
    <w:p>
      <w:pPr>
        <w:spacing w:after="0" w:line="352" w:lineRule="auto"/>
        <w:rPr>
          <w:sz w:val="20"/>
          <w:szCs w:val="20"/>
          <w:color w:val="auto"/>
        </w:rPr>
      </w:pPr>
      <w:r>
        <w:rPr>
          <w:rFonts w:ascii="Arial" w:cs="Arial" w:eastAsia="Arial" w:hAnsi="Arial"/>
          <w:sz w:val="20"/>
          <w:szCs w:val="20"/>
          <w:color w:val="auto"/>
        </w:rPr>
        <w:t>Subject to the terms of these Rules, the Board of Directors hereby delegates all other duties as well as the day-to-day and operational management of the Company's business to.</w:t>
      </w:r>
    </w:p>
    <w:p>
      <w:pPr>
        <w:spacing w:after="0"/>
        <w:tabs>
          <w:tab w:leader="none" w:pos="48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the Chairperson and Vice-Chairperson (article 12)</w:t>
      </w:r>
    </w:p>
    <w:p>
      <w:pPr>
        <w:spacing w:after="0" w:line="10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color w:val="auto"/>
        </w:rPr>
        <w:t>the Secretary (article 13);</w:t>
      </w:r>
    </w:p>
    <w:p>
      <w:pPr>
        <w:spacing w:after="0" w:line="10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color w:val="auto"/>
        </w:rPr>
        <w:t>the Board Committees (article 14);</w:t>
      </w:r>
    </w:p>
    <w:p>
      <w:pPr>
        <w:spacing w:after="0" w:line="10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color w:val="auto"/>
        </w:rPr>
        <w:t>the Chief Executive Officer (article 15),</w:t>
      </w:r>
    </w:p>
    <w:p>
      <w:pPr>
        <w:spacing w:after="0" w:line="10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9"/>
          <w:szCs w:val="19"/>
          <w:color w:val="auto"/>
        </w:rPr>
        <w:t>the Chief Financial Officer (article 16); and</w:t>
      </w:r>
    </w:p>
    <w:p>
      <w:pPr>
        <w:spacing w:after="0" w:line="10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9"/>
          <w:szCs w:val="19"/>
          <w:color w:val="auto"/>
        </w:rPr>
        <w:t>the Management Board (article 17).</w:t>
      </w:r>
    </w:p>
    <w:p>
      <w:pPr>
        <w:spacing w:after="0" w:line="286" w:lineRule="exact"/>
        <w:rPr>
          <w:sz w:val="20"/>
          <w:szCs w:val="20"/>
          <w:color w:val="auto"/>
        </w:rPr>
      </w:pPr>
    </w:p>
    <w:p>
      <w:pPr>
        <w:ind w:left="400" w:hanging="392"/>
        <w:spacing w:after="0"/>
        <w:tabs>
          <w:tab w:leader="none" w:pos="400" w:val="left"/>
        </w:tabs>
        <w:numPr>
          <w:ilvl w:val="0"/>
          <w:numId w:val="256"/>
        </w:numPr>
        <w:rPr>
          <w:rFonts w:ascii="Arial" w:cs="Arial" w:eastAsia="Arial" w:hAnsi="Arial"/>
          <w:sz w:val="20"/>
          <w:szCs w:val="20"/>
          <w:b w:val="1"/>
          <w:bCs w:val="1"/>
          <w:color w:val="auto"/>
        </w:rPr>
      </w:pPr>
      <w:r>
        <w:rPr>
          <w:rFonts w:ascii="Arial" w:cs="Arial" w:eastAsia="Arial" w:hAnsi="Arial"/>
          <w:sz w:val="20"/>
          <w:szCs w:val="20"/>
          <w:b w:val="1"/>
          <w:bCs w:val="1"/>
          <w:color w:val="auto"/>
        </w:rPr>
        <w:t>MEETINGS</w:t>
      </w:r>
    </w:p>
    <w:p>
      <w:pPr>
        <w:spacing w:after="0" w:line="334"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7.1</w:t>
        <w:tab/>
        <w:t>The Chairperson or, should he or she be unable to do so, the Vice-Chairperson or any other Director shall convene meetings of the Board of Directors if and when the need arises or whenever a Director indicating the reasons so requests in writing. Meetings may also be held by telephone or video conference.</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7.2</w:t>
        <w:tab/>
        <w:t>Notice of meetings shall be given at least 10 days prior to the meeting and the notice shall set forth the agenda. In urgent cases, a meeting may be held on appropriate shorter notice. Any Director who is unable to attend a meeting in person shall have the right to attend the meeting by means of telephone or video conference so that all persons participating and attending such meeting can hear and be heard by all others participating and attending the meeting.</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7.3</w:t>
        <w:tab/>
        <w:t>If a Director requests that a meeting be called, he or she shall submit the respective demand to the Chairperson and indicate the grounds for such a request and the agenda of the meeting. In such an event, the Chairperson shall convene the meeting within 10 days after receipt of the respective demand.</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7.4</w:t>
        <w:tab/>
        <w:t>In the event that the Board of Directors is to resolve on an increase of the share capital (article 651 paragraph 4 CO) and on resolutions concerning the confirmation of capital increases and corresponding amendments to the Articles of Association as well as the preparation of the required report on the capital increase, no invitations to the Directors shall have to be sent out.</w:t>
      </w:r>
    </w:p>
    <w:p>
      <w:pPr>
        <w:spacing w:after="0" w:line="1" w:lineRule="exact"/>
        <w:rPr>
          <w:sz w:val="20"/>
          <w:szCs w:val="20"/>
          <w:color w:val="auto"/>
        </w:rPr>
      </w:pPr>
    </w:p>
    <w:p>
      <w:pPr>
        <w:jc w:val="both"/>
        <w:ind w:left="520" w:hanging="509"/>
        <w:spacing w:after="0" w:line="359" w:lineRule="auto"/>
        <w:tabs>
          <w:tab w:leader="none" w:pos="500" w:val="left"/>
        </w:tabs>
        <w:rPr>
          <w:sz w:val="20"/>
          <w:szCs w:val="20"/>
          <w:color w:val="auto"/>
        </w:rPr>
      </w:pPr>
      <w:r>
        <w:rPr>
          <w:rFonts w:ascii="Arial" w:cs="Arial" w:eastAsia="Arial" w:hAnsi="Arial"/>
          <w:sz w:val="20"/>
          <w:szCs w:val="20"/>
          <w:color w:val="auto"/>
        </w:rPr>
        <w:t>7.5</w:t>
        <w:tab/>
        <w:t>Any meeting of the Board of Directors shall be held in English and all written communications and minutes shall be in English, other than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14</w:t>
      </w:r>
    </w:p>
    <w:p>
      <w:pPr>
        <w:sectPr>
          <w:pgSz w:w="11900" w:h="16838" w:orient="portrait"/>
          <w:cols w:equalWidth="0" w:num="1">
            <w:col w:w="11240"/>
          </w:cols>
          <w:pgMar w:left="320" w:top="1440" w:right="339" w:bottom="1440" w:gutter="0" w:footer="0" w:header="0"/>
        </w:sectPr>
      </w:pPr>
    </w:p>
    <w:bookmarkStart w:id="332" w:name="page333"/>
    <w:bookmarkEnd w:id="332"/>
    <w:p>
      <w:pPr>
        <w:ind w:left="380" w:hanging="372"/>
        <w:spacing w:after="0"/>
        <w:tabs>
          <w:tab w:leader="none" w:pos="380" w:val="left"/>
        </w:tabs>
        <w:numPr>
          <w:ilvl w:val="0"/>
          <w:numId w:val="257"/>
        </w:numPr>
        <w:rPr>
          <w:rFonts w:ascii="Arial" w:cs="Arial" w:eastAsia="Arial" w:hAnsi="Arial"/>
          <w:sz w:val="20"/>
          <w:szCs w:val="20"/>
          <w:b w:val="1"/>
          <w:bCs w:val="1"/>
          <w:color w:val="auto"/>
        </w:rPr>
      </w:pPr>
      <w:r>
        <w:rPr>
          <w:rFonts w:ascii="Arial" w:cs="Arial" w:eastAsia="Arial" w:hAnsi="Arial"/>
          <w:sz w:val="20"/>
          <w:szCs w:val="20"/>
          <w:b w:val="1"/>
          <w:bCs w:val="1"/>
          <w:color w:val="auto"/>
        </w:rPr>
        <w:t>AGENDA</w:t>
      </w:r>
    </w:p>
    <w:p>
      <w:pPr>
        <w:spacing w:after="0" w:line="32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The items on the agenda of the meetings of the Board of Directors shall be determined by the Chairperson.</w:t>
      </w:r>
    </w:p>
    <w:p>
      <w:pPr>
        <w:spacing w:after="0" w:line="108"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8.2</w:t>
        <w:tab/>
        <w:t>Each Director may request an item to be put on the agenda. Such a request shall, if reasonably possible, be sent to the Chairperson in writing at least 5 days prior to the meeting. In such event, the Chairperson shall immediately communicate the additional items on the agenda to the other Directors before the beginning of the meeting.</w:t>
      </w:r>
    </w:p>
    <w:p>
      <w:pPr>
        <w:spacing w:after="0" w:line="1" w:lineRule="exact"/>
        <w:rPr>
          <w:sz w:val="20"/>
          <w:szCs w:val="20"/>
          <w:color w:val="auto"/>
        </w:rPr>
      </w:pPr>
    </w:p>
    <w:p>
      <w:pPr>
        <w:jc w:val="both"/>
        <w:ind w:left="520" w:hanging="509"/>
        <w:spacing w:after="0" w:line="359" w:lineRule="auto"/>
        <w:tabs>
          <w:tab w:leader="none" w:pos="500" w:val="left"/>
        </w:tabs>
        <w:rPr>
          <w:sz w:val="20"/>
          <w:szCs w:val="20"/>
          <w:color w:val="auto"/>
        </w:rPr>
      </w:pPr>
      <w:r>
        <w:rPr>
          <w:rFonts w:ascii="Arial" w:cs="Arial" w:eastAsia="Arial" w:hAnsi="Arial"/>
          <w:sz w:val="20"/>
          <w:szCs w:val="20"/>
          <w:color w:val="auto"/>
        </w:rPr>
        <w:t>8.3</w:t>
        <w:tab/>
        <w:t>No resolution shall be taken on items that were not on the agenda of the meeting unless all Directors are attending the meeting and agree that such resolution be taken or in case of urgency.</w:t>
      </w:r>
    </w:p>
    <w:p>
      <w:pPr>
        <w:spacing w:after="0" w:line="165" w:lineRule="exact"/>
        <w:rPr>
          <w:sz w:val="20"/>
          <w:szCs w:val="20"/>
          <w:color w:val="auto"/>
        </w:rPr>
      </w:pPr>
    </w:p>
    <w:p>
      <w:pPr>
        <w:ind w:left="400" w:hanging="392"/>
        <w:spacing w:after="0"/>
        <w:tabs>
          <w:tab w:leader="none" w:pos="400" w:val="left"/>
        </w:tabs>
        <w:numPr>
          <w:ilvl w:val="0"/>
          <w:numId w:val="258"/>
        </w:numPr>
        <w:rPr>
          <w:rFonts w:ascii="Arial" w:cs="Arial" w:eastAsia="Arial" w:hAnsi="Arial"/>
          <w:sz w:val="20"/>
          <w:szCs w:val="20"/>
          <w:b w:val="1"/>
          <w:bCs w:val="1"/>
          <w:color w:val="auto"/>
        </w:rPr>
      </w:pPr>
      <w:r>
        <w:rPr>
          <w:rFonts w:ascii="Arial" w:cs="Arial" w:eastAsia="Arial" w:hAnsi="Arial"/>
          <w:sz w:val="20"/>
          <w:szCs w:val="20"/>
          <w:b w:val="1"/>
          <w:bCs w:val="1"/>
          <w:color w:val="auto"/>
        </w:rPr>
        <w:t>PRESENCE AND QUORUM</w:t>
      </w:r>
    </w:p>
    <w:p>
      <w:pPr>
        <w:spacing w:after="0" w:line="334" w:lineRule="exact"/>
        <w:rPr>
          <w:sz w:val="20"/>
          <w:szCs w:val="20"/>
          <w:color w:val="auto"/>
        </w:rPr>
      </w:pPr>
    </w:p>
    <w:p>
      <w:pPr>
        <w:ind w:left="520" w:hanging="509"/>
        <w:spacing w:after="0" w:line="352" w:lineRule="auto"/>
        <w:tabs>
          <w:tab w:leader="none" w:pos="500" w:val="left"/>
        </w:tabs>
        <w:rPr>
          <w:sz w:val="20"/>
          <w:szCs w:val="20"/>
          <w:color w:val="auto"/>
        </w:rPr>
      </w:pPr>
      <w:r>
        <w:rPr>
          <w:rFonts w:ascii="Arial" w:cs="Arial" w:eastAsia="Arial" w:hAnsi="Arial"/>
          <w:sz w:val="20"/>
          <w:szCs w:val="20"/>
          <w:color w:val="auto"/>
        </w:rPr>
        <w:t>9.1</w:t>
        <w:tab/>
        <w:t>In order to pass resolutions, at least a majority of the Directors must be present. No attendance quorum shall be required for confirmation or amendment resolutions of the Board of Directors in connection with capital increases.</w:t>
      </w:r>
    </w:p>
    <w:p>
      <w:pPr>
        <w:ind w:left="520" w:hanging="509"/>
        <w:spacing w:after="0" w:line="359" w:lineRule="auto"/>
        <w:tabs>
          <w:tab w:leader="none" w:pos="500" w:val="left"/>
        </w:tabs>
        <w:rPr>
          <w:sz w:val="20"/>
          <w:szCs w:val="20"/>
          <w:color w:val="auto"/>
        </w:rPr>
      </w:pPr>
      <w:r>
        <w:rPr>
          <w:rFonts w:ascii="Arial" w:cs="Arial" w:eastAsia="Arial" w:hAnsi="Arial"/>
          <w:sz w:val="20"/>
          <w:szCs w:val="20"/>
          <w:color w:val="auto"/>
        </w:rPr>
        <w:t>9.2</w:t>
        <w:tab/>
        <w:t>The Chairperson, or in his absence another Director specifically designated by the majority of the other Directors present at the meeting, shall determine the non-members who may attend the meetings as guests.</w:t>
      </w:r>
    </w:p>
    <w:p>
      <w:pPr>
        <w:spacing w:after="0" w:line="165" w:lineRule="exact"/>
        <w:rPr>
          <w:sz w:val="20"/>
          <w:szCs w:val="20"/>
          <w:color w:val="auto"/>
        </w:rPr>
      </w:pPr>
    </w:p>
    <w:p>
      <w:pPr>
        <w:ind w:left="500" w:hanging="492"/>
        <w:spacing w:after="0"/>
        <w:tabs>
          <w:tab w:leader="none" w:pos="500" w:val="left"/>
        </w:tabs>
        <w:numPr>
          <w:ilvl w:val="0"/>
          <w:numId w:val="259"/>
        </w:numPr>
        <w:rPr>
          <w:rFonts w:ascii="Arial" w:cs="Arial" w:eastAsia="Arial" w:hAnsi="Arial"/>
          <w:sz w:val="20"/>
          <w:szCs w:val="20"/>
          <w:b w:val="1"/>
          <w:bCs w:val="1"/>
          <w:color w:val="auto"/>
        </w:rPr>
      </w:pPr>
      <w:r>
        <w:rPr>
          <w:rFonts w:ascii="Arial" w:cs="Arial" w:eastAsia="Arial" w:hAnsi="Arial"/>
          <w:sz w:val="20"/>
          <w:szCs w:val="20"/>
          <w:b w:val="1"/>
          <w:bCs w:val="1"/>
          <w:color w:val="auto"/>
        </w:rPr>
        <w:t>RESOLUTIONS</w:t>
      </w:r>
    </w:p>
    <w:p>
      <w:pPr>
        <w:spacing w:after="0" w:line="334" w:lineRule="exact"/>
        <w:rPr>
          <w:sz w:val="20"/>
          <w:szCs w:val="20"/>
          <w:color w:val="auto"/>
        </w:rPr>
      </w:pPr>
    </w:p>
    <w:p>
      <w:pPr>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10.1</w:t>
        <w:tab/>
        <w:t>The adoption of resolutions of the Board of Directors requires a simple majority of the votes cast. Each Director shall have one vote. In the event of a tie, the Chairperson shall have the casting vote.</w:t>
      </w:r>
    </w:p>
    <w:p>
      <w:pPr>
        <w:ind w:left="520" w:right="20" w:hanging="509"/>
        <w:spacing w:after="0" w:line="352" w:lineRule="auto"/>
        <w:tabs>
          <w:tab w:leader="none" w:pos="500" w:val="left"/>
        </w:tabs>
        <w:rPr>
          <w:sz w:val="20"/>
          <w:szCs w:val="20"/>
          <w:color w:val="auto"/>
        </w:rPr>
      </w:pPr>
      <w:r>
        <w:rPr>
          <w:rFonts w:ascii="Arial" w:cs="Arial" w:eastAsia="Arial" w:hAnsi="Arial"/>
          <w:sz w:val="20"/>
          <w:szCs w:val="20"/>
          <w:color w:val="auto"/>
        </w:rPr>
        <w:t>10.2</w:t>
        <w:tab/>
        <w:t>Resolutions may be passed by way of circulation (in writing, including by PDF sent by e-mail, or through electronic board tool), provided that no Director requests oral deliberation.</w:t>
      </w:r>
    </w:p>
    <w:p>
      <w:pPr>
        <w:spacing w:after="0"/>
        <w:tabs>
          <w:tab w:leader="none" w:pos="58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color w:val="auto"/>
        </w:rPr>
        <w:t>The resolutions shall be confirmed in the minutes, which are to be signed by the acting chairperson and the Secretary.</w:t>
      </w:r>
    </w:p>
    <w:p>
      <w:pPr>
        <w:spacing w:after="0" w:line="286" w:lineRule="exact"/>
        <w:rPr>
          <w:sz w:val="20"/>
          <w:szCs w:val="20"/>
          <w:color w:val="auto"/>
        </w:rPr>
      </w:pPr>
    </w:p>
    <w:p>
      <w:pPr>
        <w:ind w:left="500" w:hanging="492"/>
        <w:spacing w:after="0"/>
        <w:tabs>
          <w:tab w:leader="none" w:pos="500" w:val="left"/>
        </w:tabs>
        <w:numPr>
          <w:ilvl w:val="0"/>
          <w:numId w:val="260"/>
        </w:numPr>
        <w:rPr>
          <w:rFonts w:ascii="Arial" w:cs="Arial" w:eastAsia="Arial" w:hAnsi="Arial"/>
          <w:sz w:val="20"/>
          <w:szCs w:val="20"/>
          <w:b w:val="1"/>
          <w:bCs w:val="1"/>
          <w:color w:val="auto"/>
        </w:rPr>
      </w:pPr>
      <w:r>
        <w:rPr>
          <w:rFonts w:ascii="Arial" w:cs="Arial" w:eastAsia="Arial" w:hAnsi="Arial"/>
          <w:sz w:val="20"/>
          <w:szCs w:val="20"/>
          <w:b w:val="1"/>
          <w:bCs w:val="1"/>
          <w:color w:val="auto"/>
        </w:rPr>
        <w:t>INFORMATION AND REPORTING</w:t>
      </w:r>
    </w:p>
    <w:p>
      <w:pPr>
        <w:spacing w:after="0" w:line="32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11.1</w:t>
        <w:tab/>
        <w:t>Each Director shall be entitled to request information concerning all affairs of the Company. In the meetings of the Board of Directors, all Directors and all persons entrusted with the management of the Company's business shall furnish the requested information.</w:t>
      </w:r>
    </w:p>
    <w:p>
      <w:pPr>
        <w:spacing w:after="0" w:line="1" w:lineRule="exact"/>
        <w:rPr>
          <w:sz w:val="20"/>
          <w:szCs w:val="20"/>
          <w:color w:val="auto"/>
        </w:rPr>
      </w:pPr>
    </w:p>
    <w:p>
      <w:pPr>
        <w:jc w:val="both"/>
        <w:ind w:left="520" w:right="20" w:hanging="509"/>
        <w:spacing w:after="0" w:line="359" w:lineRule="auto"/>
        <w:tabs>
          <w:tab w:leader="none" w:pos="500" w:val="left"/>
        </w:tabs>
        <w:rPr>
          <w:sz w:val="20"/>
          <w:szCs w:val="20"/>
          <w:color w:val="auto"/>
        </w:rPr>
      </w:pPr>
      <w:r>
        <w:rPr>
          <w:rFonts w:ascii="Arial" w:cs="Arial" w:eastAsia="Arial" w:hAnsi="Arial"/>
          <w:sz w:val="20"/>
          <w:szCs w:val="20"/>
          <w:color w:val="auto"/>
        </w:rPr>
        <w:t>11.2</w:t>
        <w:tab/>
        <w:t>Outside the meetings of the Board of Directors, each Director may request information from the persons entrusted with the management of the Company's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14</w:t>
      </w:r>
    </w:p>
    <w:p>
      <w:pPr>
        <w:sectPr>
          <w:pgSz w:w="11900" w:h="16838" w:orient="portrait"/>
          <w:cols w:equalWidth="0" w:num="1">
            <w:col w:w="11240"/>
          </w:cols>
          <w:pgMar w:left="320" w:top="1408" w:right="339" w:bottom="1440" w:gutter="0" w:footer="0" w:header="0"/>
        </w:sectPr>
      </w:pPr>
    </w:p>
    <w:bookmarkStart w:id="333" w:name="page334"/>
    <w:bookmarkEnd w:id="333"/>
    <w:p>
      <w:pPr>
        <w:spacing w:after="0" w:line="33" w:lineRule="exact"/>
        <w:rPr>
          <w:sz w:val="20"/>
          <w:szCs w:val="20"/>
          <w:color w:val="auto"/>
        </w:rPr>
      </w:pPr>
    </w:p>
    <w:p>
      <w:pPr>
        <w:ind w:left="520"/>
        <w:spacing w:after="0"/>
        <w:rPr>
          <w:sz w:val="20"/>
          <w:szCs w:val="20"/>
          <w:color w:val="auto"/>
        </w:rPr>
      </w:pPr>
      <w:r>
        <w:rPr>
          <w:rFonts w:ascii="Arial" w:cs="Arial" w:eastAsia="Arial" w:hAnsi="Arial"/>
          <w:sz w:val="20"/>
          <w:szCs w:val="20"/>
          <w:color w:val="auto"/>
        </w:rPr>
        <w:t>concerning the course of business and, upon authorization by the Chairperson, concerning particular aspects thereof.</w:t>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To the extent necessary to fulfil his or her duties, each Director may request that the Chairperson authorizes the</w:t>
      </w:r>
    </w:p>
    <w:p>
      <w:pPr>
        <w:spacing w:after="0" w:line="108" w:lineRule="exact"/>
        <w:rPr>
          <w:sz w:val="20"/>
          <w:szCs w:val="20"/>
          <w:color w:val="auto"/>
        </w:rPr>
      </w:pPr>
    </w:p>
    <w:p>
      <w:pPr>
        <w:ind w:left="520"/>
        <w:spacing w:after="0" w:line="352" w:lineRule="auto"/>
        <w:rPr>
          <w:sz w:val="20"/>
          <w:szCs w:val="20"/>
          <w:color w:val="auto"/>
        </w:rPr>
      </w:pPr>
      <w:r>
        <w:rPr>
          <w:rFonts w:ascii="Arial" w:cs="Arial" w:eastAsia="Arial" w:hAnsi="Arial"/>
          <w:sz w:val="20"/>
          <w:szCs w:val="20"/>
          <w:color w:val="auto"/>
        </w:rPr>
        <w:t>inspection of the books and records of the Company. If the Chairperson rejects a request for information, hearing or inspection, the Board of Directors shall decide whether to grant such request.</w:t>
      </w:r>
    </w:p>
    <w:p>
      <w:pPr>
        <w:ind w:left="520" w:hanging="509"/>
        <w:spacing w:after="0" w:line="359" w:lineRule="auto"/>
        <w:tabs>
          <w:tab w:leader="none" w:pos="500" w:val="left"/>
        </w:tabs>
        <w:rPr>
          <w:sz w:val="20"/>
          <w:szCs w:val="20"/>
          <w:color w:val="auto"/>
        </w:rPr>
      </w:pPr>
      <w:r>
        <w:rPr>
          <w:rFonts w:ascii="Arial" w:cs="Arial" w:eastAsia="Arial" w:hAnsi="Arial"/>
          <w:sz w:val="20"/>
          <w:szCs w:val="20"/>
          <w:color w:val="auto"/>
        </w:rPr>
        <w:t>11.4</w:t>
        <w:tab/>
        <w:t>Notwithstanding the foregoing, individual resolutions of the Board of Directors may confer upon the Directors' additional rights to request information, hearing or inspection.</w:t>
      </w:r>
    </w:p>
    <w:p>
      <w:pPr>
        <w:spacing w:after="0" w:line="142" w:lineRule="exact"/>
        <w:rPr>
          <w:sz w:val="20"/>
          <w:szCs w:val="20"/>
          <w:color w:val="auto"/>
        </w:rPr>
      </w:pPr>
    </w:p>
    <w:p>
      <w:pPr>
        <w:jc w:val="center"/>
        <w:ind w:left="4180" w:right="540" w:hanging="3947"/>
        <w:spacing w:after="0" w:line="261" w:lineRule="auto"/>
        <w:tabs>
          <w:tab w:leader="none" w:pos="745" w:val="left"/>
        </w:tabs>
        <w:numPr>
          <w:ilvl w:val="1"/>
          <w:numId w:val="261"/>
        </w:numPr>
        <w:rPr>
          <w:rFonts w:ascii="Arial" w:cs="Arial" w:eastAsia="Arial" w:hAnsi="Arial"/>
          <w:sz w:val="23"/>
          <w:szCs w:val="23"/>
          <w:b w:val="1"/>
          <w:bCs w:val="1"/>
          <w:color w:val="auto"/>
        </w:rPr>
      </w:pPr>
      <w:r>
        <w:rPr>
          <w:rFonts w:ascii="Arial" w:cs="Arial" w:eastAsia="Arial" w:hAnsi="Arial"/>
          <w:sz w:val="23"/>
          <w:szCs w:val="23"/>
          <w:b w:val="1"/>
          <w:bCs w:val="1"/>
          <w:color w:val="auto"/>
        </w:rPr>
        <w:t>CHAIRPERSON, VICE-CHAIRPERSON AND SECRETARY OF THE BOARD OF DIRECTORS AND Board COMMITTEES</w:t>
      </w:r>
    </w:p>
    <w:p>
      <w:pPr>
        <w:spacing w:after="0" w:line="176" w:lineRule="exact"/>
        <w:rPr>
          <w:rFonts w:ascii="Arial" w:cs="Arial" w:eastAsia="Arial" w:hAnsi="Arial"/>
          <w:sz w:val="23"/>
          <w:szCs w:val="23"/>
          <w:b w:val="1"/>
          <w:bCs w:val="1"/>
          <w:color w:val="auto"/>
        </w:rPr>
      </w:pPr>
    </w:p>
    <w:p>
      <w:pPr>
        <w:ind w:left="500" w:hanging="492"/>
        <w:spacing w:after="0"/>
        <w:tabs>
          <w:tab w:leader="none" w:pos="500" w:val="left"/>
        </w:tabs>
        <w:numPr>
          <w:ilvl w:val="0"/>
          <w:numId w:val="262"/>
        </w:numPr>
        <w:rPr>
          <w:rFonts w:ascii="Arial" w:cs="Arial" w:eastAsia="Arial" w:hAnsi="Arial"/>
          <w:sz w:val="20"/>
          <w:szCs w:val="20"/>
          <w:b w:val="1"/>
          <w:bCs w:val="1"/>
          <w:color w:val="auto"/>
        </w:rPr>
      </w:pPr>
      <w:r>
        <w:rPr>
          <w:rFonts w:ascii="Arial" w:cs="Arial" w:eastAsia="Arial" w:hAnsi="Arial"/>
          <w:sz w:val="20"/>
          <w:szCs w:val="20"/>
          <w:b w:val="1"/>
          <w:bCs w:val="1"/>
          <w:color w:val="auto"/>
        </w:rPr>
        <w:t>CHAIRPERSON AND VICE-CHAIRPERSON</w:t>
      </w:r>
    </w:p>
    <w:p>
      <w:pPr>
        <w:spacing w:after="0" w:line="33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9"/>
          <w:szCs w:val="19"/>
          <w:color w:val="auto"/>
        </w:rPr>
        <w:t>The Chairperson shall chair the meetings of the Board of Directors and the Shareholders' Meeting.</w:t>
      </w:r>
    </w:p>
    <w:p>
      <w:pPr>
        <w:spacing w:after="0" w:line="108" w:lineRule="exact"/>
        <w:rPr>
          <w:sz w:val="20"/>
          <w:szCs w:val="20"/>
          <w:color w:val="auto"/>
        </w:rPr>
      </w:pPr>
    </w:p>
    <w:p>
      <w:pPr>
        <w:jc w:val="both"/>
        <w:ind w:left="520" w:hanging="509"/>
        <w:spacing w:after="0" w:line="355" w:lineRule="auto"/>
        <w:tabs>
          <w:tab w:leader="none" w:pos="500" w:val="left"/>
        </w:tabs>
        <w:rPr>
          <w:sz w:val="20"/>
          <w:szCs w:val="20"/>
          <w:color w:val="auto"/>
        </w:rPr>
      </w:pPr>
      <w:r>
        <w:rPr>
          <w:rFonts w:ascii="Arial" w:cs="Arial" w:eastAsia="Arial" w:hAnsi="Arial"/>
          <w:sz w:val="20"/>
          <w:szCs w:val="20"/>
          <w:color w:val="auto"/>
        </w:rPr>
        <w:t>12.2</w:t>
        <w:tab/>
        <w:t>Should the Chairperson be temporarily unable or unavailable to exercise his or her functions, his or her functions shall be assumed by the Vice-Chairperson, or if the latter should also be temporarily unable or unavailable, another Director appointed by the Chairperson, the Vice-Chairperson or the Board of Directors.</w:t>
      </w:r>
    </w:p>
    <w:p>
      <w:pPr>
        <w:spacing w:after="0" w:line="170" w:lineRule="exact"/>
        <w:rPr>
          <w:sz w:val="20"/>
          <w:szCs w:val="20"/>
          <w:color w:val="auto"/>
        </w:rPr>
      </w:pPr>
    </w:p>
    <w:p>
      <w:pPr>
        <w:ind w:left="500" w:hanging="492"/>
        <w:spacing w:after="0"/>
        <w:tabs>
          <w:tab w:leader="none" w:pos="500" w:val="left"/>
        </w:tabs>
        <w:numPr>
          <w:ilvl w:val="0"/>
          <w:numId w:val="263"/>
        </w:numPr>
        <w:rPr>
          <w:rFonts w:ascii="Arial" w:cs="Arial" w:eastAsia="Arial" w:hAnsi="Arial"/>
          <w:sz w:val="20"/>
          <w:szCs w:val="20"/>
          <w:b w:val="1"/>
          <w:bCs w:val="1"/>
          <w:color w:val="auto"/>
        </w:rPr>
      </w:pPr>
      <w:r>
        <w:rPr>
          <w:rFonts w:ascii="Arial" w:cs="Arial" w:eastAsia="Arial" w:hAnsi="Arial"/>
          <w:sz w:val="20"/>
          <w:szCs w:val="20"/>
          <w:b w:val="1"/>
          <w:bCs w:val="1"/>
          <w:color w:val="auto"/>
        </w:rPr>
        <w:t>SECRETARY</w:t>
      </w:r>
    </w:p>
    <w:p>
      <w:pPr>
        <w:spacing w:after="0" w:line="33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color w:val="auto"/>
        </w:rPr>
        <w:t>The Secretary shall keep the minutes of the meetings of the Board of Directors.</w:t>
      </w:r>
    </w:p>
    <w:p>
      <w:pPr>
        <w:spacing w:after="0" w:line="10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The Secretary shall also be responsible for the correct management of the share register.</w:t>
      </w:r>
    </w:p>
    <w:p>
      <w:pPr>
        <w:spacing w:after="0" w:line="286" w:lineRule="exact"/>
        <w:rPr>
          <w:sz w:val="20"/>
          <w:szCs w:val="20"/>
          <w:color w:val="auto"/>
        </w:rPr>
      </w:pPr>
    </w:p>
    <w:p>
      <w:pPr>
        <w:ind w:left="500" w:hanging="492"/>
        <w:spacing w:after="0"/>
        <w:tabs>
          <w:tab w:leader="none" w:pos="500" w:val="left"/>
        </w:tabs>
        <w:numPr>
          <w:ilvl w:val="0"/>
          <w:numId w:val="264"/>
        </w:numPr>
        <w:rPr>
          <w:rFonts w:ascii="Arial" w:cs="Arial" w:eastAsia="Arial" w:hAnsi="Arial"/>
          <w:sz w:val="20"/>
          <w:szCs w:val="20"/>
          <w:b w:val="1"/>
          <w:bCs w:val="1"/>
          <w:color w:val="auto"/>
        </w:rPr>
      </w:pPr>
      <w:r>
        <w:rPr>
          <w:rFonts w:ascii="Arial" w:cs="Arial" w:eastAsia="Arial" w:hAnsi="Arial"/>
          <w:sz w:val="20"/>
          <w:szCs w:val="20"/>
          <w:b w:val="1"/>
          <w:bCs w:val="1"/>
          <w:color w:val="auto"/>
        </w:rPr>
        <w:t>BOARD COMMITTEES</w:t>
      </w:r>
    </w:p>
    <w:p>
      <w:pPr>
        <w:spacing w:after="0" w:line="32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14.1</w:t>
        <w:tab/>
        <w:t>Subject to the powers of the Shareholders' Meeting, the Board of Directors may appoint from among its members Board Committees for specific areas. Together with the appointment of a Board Committee, the Board of Directors shall establish the appropriate rules with respect to the mission, the authority and the reporting of the Board Committee. Notwithstanding the generality of the above, the following Board Committees shall be appointed:</w:t>
      </w:r>
    </w:p>
    <w:p>
      <w:pPr>
        <w:spacing w:after="0" w:line="1" w:lineRule="exact"/>
        <w:rPr>
          <w:sz w:val="20"/>
          <w:szCs w:val="20"/>
          <w:color w:val="auto"/>
        </w:rPr>
      </w:pPr>
    </w:p>
    <w:p>
      <w:pPr>
        <w:ind w:left="920" w:hanging="402"/>
        <w:spacing w:after="0"/>
        <w:tabs>
          <w:tab w:leader="none" w:pos="92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 nomination and compensation committee (the "Nomination and Compensation Committee");</w:t>
      </w:r>
    </w:p>
    <w:p>
      <w:pPr>
        <w:spacing w:after="0" w:line="107" w:lineRule="exact"/>
        <w:rPr>
          <w:rFonts w:ascii="Arial" w:cs="Arial" w:eastAsia="Arial" w:hAnsi="Arial"/>
          <w:sz w:val="20"/>
          <w:szCs w:val="20"/>
          <w:color w:val="auto"/>
        </w:rPr>
      </w:pPr>
    </w:p>
    <w:p>
      <w:pPr>
        <w:ind w:left="960" w:hanging="442"/>
        <w:spacing w:after="0"/>
        <w:tabs>
          <w:tab w:leader="none" w:pos="960" w:val="left"/>
        </w:tabs>
        <w:numPr>
          <w:ilvl w:val="0"/>
          <w:numId w:val="265"/>
        </w:numPr>
        <w:rPr>
          <w:rFonts w:ascii="Arial" w:cs="Arial" w:eastAsia="Arial" w:hAnsi="Arial"/>
          <w:sz w:val="20"/>
          <w:szCs w:val="20"/>
          <w:color w:val="auto"/>
        </w:rPr>
      </w:pPr>
      <w:r>
        <w:rPr>
          <w:rFonts w:ascii="Arial" w:cs="Arial" w:eastAsia="Arial" w:hAnsi="Arial"/>
          <w:sz w:val="20"/>
          <w:szCs w:val="20"/>
          <w:color w:val="auto"/>
        </w:rPr>
        <w:t>an audit and finance committee (the "Audit and Finance Committee");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14</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33" w:lineRule="exact"/>
        <w:rPr>
          <w:sz w:val="20"/>
          <w:szCs w:val="20"/>
          <w:color w:val="auto"/>
        </w:rPr>
      </w:pPr>
    </w:p>
    <w:p>
      <w:pPr>
        <w:ind w:left="1000" w:hanging="482"/>
        <w:spacing w:after="0"/>
        <w:tabs>
          <w:tab w:leader="none" w:pos="10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 research and development committee (the “Research and Development Committee”).</w:t>
      </w:r>
    </w:p>
    <w:p>
      <w:pPr>
        <w:spacing w:after="0" w:line="108"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14.2</w:t>
        <w:tab/>
        <w:t>The Shareholder's Meeting shall elect the members of the Nomination and Compensation Committee individually for a term of office extending until completion of the next annual Shareholders' Meeting. The members of the Audit and Finance Committee and of the Research and Development Committee shall be appointed by the Board of Directors for a term of office extending until completion of the next annual Shareholders' Meeting.</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14.3</w:t>
        <w:tab/>
        <w:t>Members of the Board Committees may be re-elected at any time. If there are vacancies on the Board Committees, the Board of Directors shall appoint from its members suitable substitutes for a term of office extending until completion of the next annual Shareholders' Meeting.</w:t>
      </w:r>
    </w:p>
    <w:p>
      <w:pPr>
        <w:spacing w:after="0" w:line="1" w:lineRule="exact"/>
        <w:rPr>
          <w:sz w:val="20"/>
          <w:szCs w:val="20"/>
          <w:color w:val="auto"/>
        </w:rPr>
      </w:pPr>
    </w:p>
    <w:p>
      <w:pPr>
        <w:jc w:val="both"/>
        <w:ind w:left="520" w:hanging="509"/>
        <w:spacing w:after="0" w:line="354" w:lineRule="auto"/>
        <w:tabs>
          <w:tab w:leader="none" w:pos="500" w:val="left"/>
        </w:tabs>
        <w:rPr>
          <w:sz w:val="20"/>
          <w:szCs w:val="20"/>
          <w:color w:val="auto"/>
        </w:rPr>
      </w:pPr>
      <w:r>
        <w:rPr>
          <w:rFonts w:ascii="Arial" w:cs="Arial" w:eastAsia="Arial" w:hAnsi="Arial"/>
          <w:sz w:val="20"/>
          <w:szCs w:val="20"/>
          <w:color w:val="auto"/>
        </w:rPr>
        <w:t>14.4</w:t>
        <w:tab/>
        <w:t>Further to the principle powers of the Compensation Committee set forth in Article 23 of the Articles of Association, the duties and responsibilities of the Nomination and Compensation Committee, the Audit and Finance Committee and the Research and Development Committee are attached to these Rules (Annexes 1, 2 and 3) and shall be incorporated herein by reference.</w:t>
      </w:r>
    </w:p>
    <w:p>
      <w:pPr>
        <w:spacing w:after="0" w:line="149" w:lineRule="exact"/>
        <w:rPr>
          <w:sz w:val="20"/>
          <w:szCs w:val="20"/>
          <w:color w:val="auto"/>
        </w:rPr>
      </w:pPr>
    </w:p>
    <w:p>
      <w:pPr>
        <w:jc w:val="center"/>
        <w:ind w:right="320"/>
        <w:spacing w:after="0"/>
        <w:tabs>
          <w:tab w:leader="none" w:pos="240" w:val="left"/>
        </w:tabs>
        <w:rPr>
          <w:sz w:val="20"/>
          <w:szCs w:val="20"/>
          <w:color w:val="auto"/>
        </w:rPr>
      </w:pPr>
      <w:r>
        <w:rPr>
          <w:rFonts w:ascii="Arial" w:cs="Arial" w:eastAsia="Arial" w:hAnsi="Arial"/>
          <w:sz w:val="23"/>
          <w:szCs w:val="23"/>
          <w:b w:val="1"/>
          <w:bCs w:val="1"/>
          <w:color w:val="auto"/>
        </w:rPr>
        <w:t>IV.</w:t>
        <w:tab/>
        <w:t>MANAGEMENT</w:t>
      </w:r>
    </w:p>
    <w:p>
      <w:pPr>
        <w:spacing w:after="0" w:line="245" w:lineRule="exact"/>
        <w:rPr>
          <w:sz w:val="20"/>
          <w:szCs w:val="20"/>
          <w:color w:val="auto"/>
        </w:rPr>
      </w:pPr>
    </w:p>
    <w:p>
      <w:pPr>
        <w:ind w:left="500" w:hanging="492"/>
        <w:spacing w:after="0"/>
        <w:tabs>
          <w:tab w:leader="none" w:pos="500" w:val="left"/>
        </w:tabs>
        <w:numPr>
          <w:ilvl w:val="0"/>
          <w:numId w:val="267"/>
        </w:numPr>
        <w:rPr>
          <w:rFonts w:ascii="Arial" w:cs="Arial" w:eastAsia="Arial" w:hAnsi="Arial"/>
          <w:sz w:val="20"/>
          <w:szCs w:val="20"/>
          <w:b w:val="1"/>
          <w:bCs w:val="1"/>
          <w:color w:val="auto"/>
        </w:rPr>
      </w:pPr>
      <w:r>
        <w:rPr>
          <w:rFonts w:ascii="Arial" w:cs="Arial" w:eastAsia="Arial" w:hAnsi="Arial"/>
          <w:sz w:val="20"/>
          <w:szCs w:val="20"/>
          <w:b w:val="1"/>
          <w:bCs w:val="1"/>
          <w:color w:val="auto"/>
        </w:rPr>
        <w:t>CHIEF EXECUTIVE OFFICER</w:t>
      </w:r>
    </w:p>
    <w:p>
      <w:pPr>
        <w:spacing w:after="0" w:line="33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The Chief Executive Officer shall be appointed by the Board of Directors for an indeterminate term of office.</w:t>
      </w:r>
    </w:p>
    <w:p>
      <w:pPr>
        <w:spacing w:after="0" w:line="108"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15.2</w:t>
        <w:tab/>
        <w:t>Subject to these Rules and the mandatory provisions of Swiss law, the Board of Directors hereby delegates the executive management of the Company to the Chief Executive Officer. Accordingly, the Chief Executive Officer shall be responsible for the executive management of the Company and its supporting functions. In particular, the Chief Executive Officer shall have the following powers and duties:</w:t>
      </w:r>
    </w:p>
    <w:p>
      <w:pPr>
        <w:spacing w:after="0" w:line="1" w:lineRule="exact"/>
        <w:rPr>
          <w:sz w:val="20"/>
          <w:szCs w:val="20"/>
          <w:color w:val="auto"/>
        </w:rPr>
      </w:pPr>
    </w:p>
    <w:p>
      <w:pPr>
        <w:ind w:left="1020" w:hanging="502"/>
        <w:spacing w:after="0" w:line="352" w:lineRule="auto"/>
        <w:tabs>
          <w:tab w:leader="none" w:pos="108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implementing the strategy of the Company and the decisions taken by the Board of Directors and the Board Committees;</w:t>
      </w:r>
    </w:p>
    <w:p>
      <w:pPr>
        <w:ind w:left="960" w:hanging="442"/>
        <w:spacing w:after="0"/>
        <w:tabs>
          <w:tab w:leader="none" w:pos="96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monitoring and assessing progress against the Company's target and budget;</w:t>
      </w:r>
    </w:p>
    <w:p>
      <w:pPr>
        <w:spacing w:after="0" w:line="107" w:lineRule="exact"/>
        <w:rPr>
          <w:rFonts w:ascii="Arial" w:cs="Arial" w:eastAsia="Arial" w:hAnsi="Arial"/>
          <w:sz w:val="20"/>
          <w:szCs w:val="20"/>
          <w:color w:val="auto"/>
        </w:rPr>
      </w:pPr>
    </w:p>
    <w:p>
      <w:pPr>
        <w:ind w:left="1000" w:hanging="482"/>
        <w:spacing w:after="0"/>
        <w:tabs>
          <w:tab w:leader="none" w:pos="100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preparing and submitting to the Board of Directors for approval the following matters:</w:t>
      </w:r>
    </w:p>
    <w:p>
      <w:pPr>
        <w:spacing w:after="0" w:line="107" w:lineRule="exact"/>
        <w:rPr>
          <w:rFonts w:ascii="Arial" w:cs="Arial" w:eastAsia="Arial" w:hAnsi="Arial"/>
          <w:sz w:val="20"/>
          <w:szCs w:val="20"/>
          <w:color w:val="auto"/>
        </w:rPr>
      </w:pPr>
    </w:p>
    <w:p>
      <w:pPr>
        <w:ind w:left="1300" w:hanging="271"/>
        <w:spacing w:after="0"/>
        <w:tabs>
          <w:tab w:leader="none" w:pos="130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the Company's strategy;</w:t>
      </w:r>
    </w:p>
    <w:p>
      <w:pPr>
        <w:spacing w:after="0" w:line="107" w:lineRule="exact"/>
        <w:rPr>
          <w:rFonts w:ascii="Arial" w:cs="Arial" w:eastAsia="Arial" w:hAnsi="Arial"/>
          <w:sz w:val="20"/>
          <w:szCs w:val="20"/>
          <w:color w:val="auto"/>
        </w:rPr>
      </w:pPr>
    </w:p>
    <w:p>
      <w:pPr>
        <w:ind w:left="1300" w:hanging="271"/>
        <w:spacing w:after="0"/>
        <w:tabs>
          <w:tab w:leader="none" w:pos="130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subject to the powers and duties of the Board Committees, proposals to the Shareholders' Meeting;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14</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2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  amendments to the Articles of Association, these Rules and signatory authorities of the Company.</w:t>
      </w:r>
    </w:p>
    <w:p>
      <w:pPr>
        <w:spacing w:after="0" w:line="120" w:lineRule="exact"/>
        <w:rPr>
          <w:sz w:val="20"/>
          <w:szCs w:val="20"/>
          <w:color w:val="auto"/>
        </w:rPr>
      </w:pPr>
    </w:p>
    <w:p>
      <w:pPr>
        <w:ind w:left="1020" w:hanging="502"/>
        <w:spacing w:after="0"/>
        <w:tabs>
          <w:tab w:leader="none" w:pos="102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managing, supervising and coordinating the ongoing business operations of the Company; and</w:t>
      </w:r>
    </w:p>
    <w:p>
      <w:pPr>
        <w:spacing w:after="0" w:line="107" w:lineRule="exact"/>
        <w:rPr>
          <w:rFonts w:ascii="Arial" w:cs="Arial" w:eastAsia="Arial" w:hAnsi="Arial"/>
          <w:sz w:val="20"/>
          <w:szCs w:val="20"/>
          <w:color w:val="auto"/>
        </w:rPr>
      </w:pPr>
    </w:p>
    <w:p>
      <w:pPr>
        <w:ind w:left="1020" w:hanging="502"/>
        <w:spacing w:after="0" w:line="352" w:lineRule="auto"/>
        <w:tabs>
          <w:tab w:leader="none" w:pos="98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determining the communication policy of the Company and representing the overall interest of the Company towards its shareholders and third parties and the promotion of investor relations.</w:t>
      </w: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15.3</w:t>
        <w:tab/>
        <w:t>The Chief Executive Officer shall involve the Management Board in all relevant matters and resolutions pertaining to his powers and duties. He or she shall be entitled to delegate some of his or her duties to other members of the Management Board or to third parties. The tasks according to article 16 shall be delegated to the Chief Financial Officer.</w:t>
      </w:r>
    </w:p>
    <w:p>
      <w:pPr>
        <w:spacing w:after="0" w:line="1" w:lineRule="exact"/>
        <w:rPr>
          <w:sz w:val="20"/>
          <w:szCs w:val="20"/>
          <w:color w:val="auto"/>
        </w:rPr>
      </w:pPr>
    </w:p>
    <w:p>
      <w:pPr>
        <w:jc w:val="both"/>
        <w:ind w:left="520" w:hanging="509"/>
        <w:spacing w:after="0" w:line="355" w:lineRule="auto"/>
        <w:tabs>
          <w:tab w:leader="none" w:pos="500" w:val="left"/>
        </w:tabs>
        <w:rPr>
          <w:sz w:val="20"/>
          <w:szCs w:val="20"/>
          <w:color w:val="auto"/>
        </w:rPr>
      </w:pPr>
      <w:r>
        <w:rPr>
          <w:rFonts w:ascii="Arial" w:cs="Arial" w:eastAsia="Arial" w:hAnsi="Arial"/>
          <w:sz w:val="20"/>
          <w:szCs w:val="20"/>
          <w:color w:val="auto"/>
        </w:rPr>
        <w:t>15.4</w:t>
        <w:tab/>
        <w:t>The Chief Executive Officer shall regularly inform the Board of Directors at the meeting of the Board of Directors on the current course of business and all major business matters of the Company including anticipated opportunities and risks. Extraordinary matters including significant unanticipated developments shall immediately be reported to the Chairperson.</w:t>
      </w:r>
    </w:p>
    <w:p>
      <w:pPr>
        <w:spacing w:after="0" w:line="200" w:lineRule="exact"/>
        <w:rPr>
          <w:sz w:val="20"/>
          <w:szCs w:val="20"/>
          <w:color w:val="auto"/>
        </w:rPr>
      </w:pPr>
    </w:p>
    <w:p>
      <w:pPr>
        <w:spacing w:after="0" w:line="213" w:lineRule="exact"/>
        <w:rPr>
          <w:sz w:val="20"/>
          <w:szCs w:val="20"/>
          <w:color w:val="auto"/>
        </w:rPr>
      </w:pPr>
    </w:p>
    <w:p>
      <w:pPr>
        <w:ind w:left="500" w:hanging="492"/>
        <w:spacing w:after="0"/>
        <w:tabs>
          <w:tab w:leader="none" w:pos="500" w:val="left"/>
        </w:tabs>
        <w:numPr>
          <w:ilvl w:val="0"/>
          <w:numId w:val="270"/>
        </w:numPr>
        <w:rPr>
          <w:rFonts w:ascii="Arial" w:cs="Arial" w:eastAsia="Arial" w:hAnsi="Arial"/>
          <w:sz w:val="20"/>
          <w:szCs w:val="20"/>
          <w:b w:val="1"/>
          <w:bCs w:val="1"/>
          <w:color w:val="auto"/>
        </w:rPr>
      </w:pPr>
      <w:r>
        <w:rPr>
          <w:rFonts w:ascii="Arial" w:cs="Arial" w:eastAsia="Arial" w:hAnsi="Arial"/>
          <w:sz w:val="20"/>
          <w:szCs w:val="20"/>
          <w:b w:val="1"/>
          <w:bCs w:val="1"/>
          <w:color w:val="auto"/>
        </w:rPr>
        <w:t>CHIEF FINANCIAL OFFICER</w:t>
      </w:r>
    </w:p>
    <w:p>
      <w:pPr>
        <w:spacing w:after="0" w:line="334"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Subject to the Rules and the mandatory provisions of Swiss law, the Chief Financial Officer shall be responsible for financial matters of the Company and shall report directly to the Chief Executive Officer. In particular, the Chief Financial Officer shall have the following powers and duties:</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16.1</w:t>
        <w:tab/>
        <w:t>preparing and submitting to the Board of Directors and the Chief Executive Officer for approval the annual budgets, including statements of income, cash-flow statements and balance sheets, and the annual financial statements and statutory accounts for the Company, including statements of income, cash-flow statements, and balance sheets;</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16.2</w:t>
        <w:tab/>
        <w:t>organizing and managing the accounting system as well as the financial control, financial planning and financial reporting of the Company;</w:t>
      </w:r>
    </w:p>
    <w:p>
      <w:pPr>
        <w:spacing w:after="0"/>
        <w:tabs>
          <w:tab w:leader="none" w:pos="60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operating and continuously improving the internal control system;</w:t>
      </w:r>
    </w:p>
    <w:p>
      <w:pPr>
        <w:spacing w:after="0" w:line="108"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16.4</w:t>
        <w:tab/>
        <w:t>monthly information and reporting of the financial situation of the Company (with comparison to the preceding financial year and the budget) to the Board of Directors;</w:t>
      </w:r>
    </w:p>
    <w:p>
      <w:pPr>
        <w:jc w:val="both"/>
        <w:ind w:left="520" w:right="20" w:hanging="509"/>
        <w:spacing w:after="0" w:line="359" w:lineRule="auto"/>
        <w:tabs>
          <w:tab w:leader="none" w:pos="500" w:val="left"/>
        </w:tabs>
        <w:rPr>
          <w:sz w:val="20"/>
          <w:szCs w:val="20"/>
          <w:color w:val="auto"/>
        </w:rPr>
      </w:pPr>
      <w:r>
        <w:rPr>
          <w:rFonts w:ascii="Arial" w:cs="Arial" w:eastAsia="Arial" w:hAnsi="Arial"/>
          <w:sz w:val="20"/>
          <w:szCs w:val="20"/>
          <w:color w:val="auto"/>
        </w:rPr>
        <w:t>16.5</w:t>
        <w:tab/>
        <w:t>immediate reporting of extraordinary business developments and matters of urgent nature to the chairperson of the Audit and Finance Committee and to the Chief Executive Officer;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14</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3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9"/>
          <w:szCs w:val="19"/>
          <w:color w:val="auto"/>
        </w:rPr>
        <w:t>organizing, supervising and coordinating pension, insurance and risk management matters of the Company;</w:t>
      </w:r>
    </w:p>
    <w:p>
      <w:pPr>
        <w:spacing w:after="0" w:line="1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16.7</w:t>
      </w:r>
      <w:r>
        <w:rPr>
          <w:sz w:val="20"/>
          <w:szCs w:val="20"/>
          <w:color w:val="auto"/>
        </w:rPr>
        <w:tab/>
      </w:r>
      <w:r>
        <w:rPr>
          <w:rFonts w:ascii="Arial" w:cs="Arial" w:eastAsia="Arial" w:hAnsi="Arial"/>
          <w:sz w:val="19"/>
          <w:szCs w:val="19"/>
          <w:color w:val="auto"/>
        </w:rPr>
        <w:t>monitoring the optimal financing of the Company;</w:t>
      </w:r>
    </w:p>
    <w:p>
      <w:pPr>
        <w:spacing w:after="0" w:line="1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16.8</w:t>
      </w:r>
      <w:r>
        <w:rPr>
          <w:sz w:val="20"/>
          <w:szCs w:val="20"/>
          <w:color w:val="auto"/>
        </w:rPr>
        <w:tab/>
      </w:r>
      <w:r>
        <w:rPr>
          <w:rFonts w:ascii="Arial" w:cs="Arial" w:eastAsia="Arial" w:hAnsi="Arial"/>
          <w:sz w:val="19"/>
          <w:szCs w:val="19"/>
          <w:color w:val="auto"/>
        </w:rPr>
        <w:t>ensuring compliance with all applicable tax laws and optimizing the Company's effective tax rate;</w:t>
      </w:r>
    </w:p>
    <w:p>
      <w:pPr>
        <w:spacing w:after="0" w:line="1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16.9</w:t>
      </w:r>
      <w:r>
        <w:rPr>
          <w:sz w:val="20"/>
          <w:szCs w:val="20"/>
          <w:color w:val="auto"/>
        </w:rPr>
        <w:tab/>
      </w:r>
      <w:r>
        <w:rPr>
          <w:rFonts w:ascii="Arial" w:cs="Arial" w:eastAsia="Arial" w:hAnsi="Arial"/>
          <w:sz w:val="19"/>
          <w:szCs w:val="19"/>
          <w:color w:val="auto"/>
        </w:rPr>
        <w:t>managing and maintaining investor relations, in consultation with the Chief Executive Officer;</w:t>
      </w:r>
    </w:p>
    <w:p>
      <w:pPr>
        <w:spacing w:after="0" w:line="108" w:lineRule="exact"/>
        <w:rPr>
          <w:sz w:val="20"/>
          <w:szCs w:val="20"/>
          <w:color w:val="auto"/>
        </w:rPr>
      </w:pPr>
    </w:p>
    <w:p>
      <w:pPr>
        <w:jc w:val="both"/>
        <w:ind w:left="520" w:hanging="509"/>
        <w:spacing w:after="0" w:line="345" w:lineRule="auto"/>
        <w:tabs>
          <w:tab w:leader="none" w:pos="500" w:val="left"/>
        </w:tabs>
        <w:rPr>
          <w:sz w:val="20"/>
          <w:szCs w:val="20"/>
          <w:color w:val="auto"/>
        </w:rPr>
      </w:pPr>
      <w:r>
        <w:rPr>
          <w:rFonts w:ascii="Arial" w:cs="Arial" w:eastAsia="Arial" w:hAnsi="Arial"/>
          <w:sz w:val="20"/>
          <w:szCs w:val="20"/>
          <w:color w:val="auto"/>
        </w:rPr>
        <w:t>16.10</w:t>
        <w:tab/>
        <w:t>supervising compliance with the formal requirements of the capital markets, in particular ongoing reporting obligations with respect to the listing, disclosure and notification obligation according to the Swiss Stock Exchange Act and the Company's policies; and</w:t>
      </w:r>
    </w:p>
    <w:p>
      <w:pPr>
        <w:spacing w:after="0" w:line="1" w:lineRule="exact"/>
        <w:rPr>
          <w:sz w:val="20"/>
          <w:szCs w:val="20"/>
          <w:color w:val="auto"/>
        </w:rPr>
      </w:pPr>
    </w:p>
    <w:p>
      <w:pPr>
        <w:jc w:val="both"/>
        <w:ind w:left="520" w:hanging="509"/>
        <w:spacing w:after="0" w:line="380" w:lineRule="auto"/>
        <w:tabs>
          <w:tab w:leader="none" w:pos="500" w:val="left"/>
        </w:tabs>
        <w:rPr>
          <w:sz w:val="20"/>
          <w:szCs w:val="20"/>
          <w:color w:val="auto"/>
        </w:rPr>
      </w:pPr>
      <w:r>
        <w:rPr>
          <w:rFonts w:ascii="Arial" w:cs="Arial" w:eastAsia="Arial" w:hAnsi="Arial"/>
          <w:sz w:val="20"/>
          <w:szCs w:val="20"/>
          <w:color w:val="auto"/>
        </w:rPr>
        <w:t>16.11</w:t>
        <w:tab/>
        <w:t>participate in the decisions with respect to disclosure of price sensitive facts (</w:t>
      </w:r>
      <w:r>
        <w:rPr>
          <w:rFonts w:ascii="Arial" w:cs="Arial" w:eastAsia="Arial" w:hAnsi="Arial"/>
          <w:sz w:val="20"/>
          <w:szCs w:val="20"/>
          <w:i w:val="1"/>
          <w:iCs w:val="1"/>
          <w:color w:val="auto"/>
        </w:rPr>
        <w:t>ad hoc</w:t>
      </w:r>
      <w:r>
        <w:rPr>
          <w:rFonts w:ascii="Arial" w:cs="Arial" w:eastAsia="Arial" w:hAnsi="Arial"/>
          <w:sz w:val="20"/>
          <w:szCs w:val="20"/>
          <w:color w:val="auto"/>
        </w:rPr>
        <w:t xml:space="preserve"> publicity) and prohibition of trading in any securities relating to the Company in accordance with the laws and the Company's policies.</w:t>
      </w:r>
    </w:p>
    <w:p>
      <w:pPr>
        <w:spacing w:after="0" w:line="145" w:lineRule="exact"/>
        <w:rPr>
          <w:sz w:val="20"/>
          <w:szCs w:val="20"/>
          <w:color w:val="auto"/>
        </w:rPr>
      </w:pPr>
    </w:p>
    <w:p>
      <w:pPr>
        <w:ind w:left="500" w:hanging="492"/>
        <w:spacing w:after="0"/>
        <w:tabs>
          <w:tab w:leader="none" w:pos="500" w:val="left"/>
        </w:tabs>
        <w:numPr>
          <w:ilvl w:val="0"/>
          <w:numId w:val="271"/>
        </w:numPr>
        <w:rPr>
          <w:rFonts w:ascii="Arial" w:cs="Arial" w:eastAsia="Arial" w:hAnsi="Arial"/>
          <w:sz w:val="20"/>
          <w:szCs w:val="20"/>
          <w:b w:val="1"/>
          <w:bCs w:val="1"/>
          <w:color w:val="auto"/>
        </w:rPr>
      </w:pPr>
      <w:r>
        <w:rPr>
          <w:rFonts w:ascii="Arial" w:cs="Arial" w:eastAsia="Arial" w:hAnsi="Arial"/>
          <w:sz w:val="20"/>
          <w:szCs w:val="20"/>
          <w:b w:val="1"/>
          <w:bCs w:val="1"/>
          <w:color w:val="auto"/>
        </w:rPr>
        <w:t>MANAGEMENT BOARD</w:t>
      </w:r>
    </w:p>
    <w:p>
      <w:pPr>
        <w:spacing w:after="0" w:line="32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17.1</w:t>
        <w:tab/>
        <w:t>The Management Board shall include as a minimum the Chief Executive Officer, the Chief Financial Officer, the chief operating officer and the chief scientific officer. Other members may be appointed by the Board of Directors from time to time. Except in the case of the Chief Executive Officer and the Chief Financial Officer, a member of the Management Board may assume more than one of the mentioned offices. The Management Board shall be chaired by the Chief Executive Officer.</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17.2</w:t>
        <w:tab/>
        <w:t>All members of the Management Board shall be proposed by the Chief Executive Officer and the Board of Directors shall approve their appointments.</w:t>
      </w: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17.3</w:t>
        <w:tab/>
        <w:t>The Management Board shall be responsible for the management of the Company. It shall implement the strategy of the Company decided by the Board of Directors and shall ensure the execution of the decisions of the Board of Directors in accordance with the law, the Articles of Association, these Rules and the resolutions by the Shareholders' Meeting.</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17.4</w:t>
        <w:tab/>
        <w:t>Meetings of the Management Board shall generally take place at least every four weeks and shall be called by the Chief Executive Officer or his or her delegate or by another member of the Management Board. Every member shall be entitled to ask the Chief Executive Officer to call a meeting by indicating the items to be discussed.</w:t>
      </w:r>
    </w:p>
    <w:p>
      <w:pPr>
        <w:spacing w:after="0" w:line="1" w:lineRule="exact"/>
        <w:rPr>
          <w:sz w:val="20"/>
          <w:szCs w:val="20"/>
          <w:color w:val="auto"/>
        </w:rPr>
      </w:pPr>
    </w:p>
    <w:p>
      <w:pPr>
        <w:jc w:val="both"/>
        <w:ind w:left="520" w:hanging="509"/>
        <w:spacing w:after="0" w:line="355" w:lineRule="auto"/>
        <w:tabs>
          <w:tab w:leader="none" w:pos="500" w:val="left"/>
        </w:tabs>
        <w:rPr>
          <w:sz w:val="20"/>
          <w:szCs w:val="20"/>
          <w:color w:val="auto"/>
        </w:rPr>
      </w:pPr>
      <w:r>
        <w:rPr>
          <w:rFonts w:ascii="Arial" w:cs="Arial" w:eastAsia="Arial" w:hAnsi="Arial"/>
          <w:sz w:val="20"/>
          <w:szCs w:val="20"/>
          <w:color w:val="auto"/>
        </w:rPr>
        <w:t>17.5</w:t>
        <w:tab/>
        <w:t>Notice of meetings shall be given within a reasonable time period in advance in writing or by another suitable means indicating the agenda. Every member of the Management Board may request an item to be put on the agenda and other employees of the Company to participate in the meeting.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14</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33"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17.6</w:t>
        <w:tab/>
        <w:t>In order to pass resolutions, at least a majority of the members of the Management Board, and amongst them the Chief Executive Officer or, in his or her absence, his or her delegate, must be present. Resolutions shall be taken with the absolute majority of the votes represented. In the event of a tie, the Chief Executive Officer shall have the casting vote.</w:t>
      </w:r>
    </w:p>
    <w:p>
      <w:pPr>
        <w:spacing w:after="0" w:line="1"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17.7</w:t>
      </w:r>
      <w:r>
        <w:rPr>
          <w:sz w:val="20"/>
          <w:szCs w:val="20"/>
          <w:color w:val="auto"/>
        </w:rPr>
        <w:tab/>
      </w:r>
      <w:r>
        <w:rPr>
          <w:rFonts w:ascii="Arial" w:cs="Arial" w:eastAsia="Arial" w:hAnsi="Arial"/>
          <w:sz w:val="19"/>
          <w:szCs w:val="19"/>
          <w:color w:val="auto"/>
        </w:rPr>
        <w:t>The Chief Executive Officer shall appoint the secretary of the Management Board who shall keep the minutes.</w:t>
      </w:r>
    </w:p>
    <w:p>
      <w:pPr>
        <w:spacing w:after="0" w:line="108"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17.8</w:t>
        <w:tab/>
        <w:t>Every member of the Management Board may request from the Chief Executive Officer and the other members of the Management Board, at any time in and outside of the meetings of the Management Board, to receive information about the Company's affairs and to inspect business documents.</w:t>
      </w:r>
    </w:p>
    <w:p>
      <w:pPr>
        <w:spacing w:after="0" w:line="1" w:lineRule="exact"/>
        <w:rPr>
          <w:sz w:val="20"/>
          <w:szCs w:val="20"/>
          <w:color w:val="auto"/>
        </w:rPr>
      </w:pPr>
    </w:p>
    <w:p>
      <w:pPr>
        <w:jc w:val="both"/>
        <w:ind w:left="520" w:hanging="509"/>
        <w:spacing w:after="0" w:line="355" w:lineRule="auto"/>
        <w:tabs>
          <w:tab w:leader="none" w:pos="500" w:val="left"/>
        </w:tabs>
        <w:rPr>
          <w:sz w:val="20"/>
          <w:szCs w:val="20"/>
          <w:color w:val="auto"/>
        </w:rPr>
      </w:pPr>
      <w:r>
        <w:rPr>
          <w:rFonts w:ascii="Arial" w:cs="Arial" w:eastAsia="Arial" w:hAnsi="Arial"/>
          <w:sz w:val="20"/>
          <w:szCs w:val="20"/>
          <w:color w:val="auto"/>
        </w:rPr>
        <w:t>17.9</w:t>
        <w:tab/>
        <w:t>The Management Board shall take note, generally on a monthly basis, of the reports of the Chief Financial Officer regarding the financial situation of the Company as well as of the other members' reports in the meetings of the Management Board.</w:t>
      </w:r>
    </w:p>
    <w:p>
      <w:pPr>
        <w:spacing w:after="0" w:line="147" w:lineRule="exact"/>
        <w:rPr>
          <w:sz w:val="20"/>
          <w:szCs w:val="20"/>
          <w:color w:val="auto"/>
        </w:rPr>
      </w:pPr>
    </w:p>
    <w:p>
      <w:pPr>
        <w:ind w:left="4680" w:hanging="461"/>
        <w:spacing w:after="0"/>
        <w:tabs>
          <w:tab w:leader="none" w:pos="4680" w:val="left"/>
        </w:tabs>
        <w:numPr>
          <w:ilvl w:val="0"/>
          <w:numId w:val="272"/>
        </w:numPr>
        <w:rPr>
          <w:rFonts w:ascii="Arial" w:cs="Arial" w:eastAsia="Arial" w:hAnsi="Arial"/>
          <w:sz w:val="23"/>
          <w:szCs w:val="23"/>
          <w:b w:val="1"/>
          <w:bCs w:val="1"/>
          <w:color w:val="auto"/>
        </w:rPr>
      </w:pPr>
      <w:r>
        <w:rPr>
          <w:rFonts w:ascii="Arial" w:cs="Arial" w:eastAsia="Arial" w:hAnsi="Arial"/>
          <w:sz w:val="23"/>
          <w:szCs w:val="23"/>
          <w:b w:val="1"/>
          <w:bCs w:val="1"/>
          <w:color w:val="auto"/>
        </w:rPr>
        <w:t>MISCELLANEOUS</w:t>
      </w:r>
    </w:p>
    <w:p>
      <w:pPr>
        <w:spacing w:after="0" w:line="245" w:lineRule="exact"/>
        <w:rPr>
          <w:sz w:val="20"/>
          <w:szCs w:val="20"/>
          <w:color w:val="auto"/>
        </w:rPr>
      </w:pPr>
    </w:p>
    <w:p>
      <w:pPr>
        <w:ind w:left="500" w:hanging="492"/>
        <w:spacing w:after="0"/>
        <w:tabs>
          <w:tab w:leader="none" w:pos="500" w:val="left"/>
        </w:tabs>
        <w:numPr>
          <w:ilvl w:val="0"/>
          <w:numId w:val="273"/>
        </w:numPr>
        <w:rPr>
          <w:rFonts w:ascii="Arial" w:cs="Arial" w:eastAsia="Arial" w:hAnsi="Arial"/>
          <w:sz w:val="20"/>
          <w:szCs w:val="20"/>
          <w:b w:val="1"/>
          <w:bCs w:val="1"/>
          <w:color w:val="auto"/>
        </w:rPr>
      </w:pPr>
      <w:r>
        <w:rPr>
          <w:rFonts w:ascii="Arial" w:cs="Arial" w:eastAsia="Arial" w:hAnsi="Arial"/>
          <w:sz w:val="20"/>
          <w:szCs w:val="20"/>
          <w:b w:val="1"/>
          <w:bCs w:val="1"/>
          <w:color w:val="auto"/>
        </w:rPr>
        <w:t>DUTY OF CARE AND LOYALTY</w:t>
      </w:r>
    </w:p>
    <w:p>
      <w:pPr>
        <w:spacing w:after="0" w:line="334" w:lineRule="exact"/>
        <w:rPr>
          <w:sz w:val="20"/>
          <w:szCs w:val="20"/>
          <w:color w:val="auto"/>
        </w:rPr>
      </w:pPr>
    </w:p>
    <w:p>
      <w:pPr>
        <w:ind w:right="20"/>
        <w:spacing w:after="0" w:line="359" w:lineRule="auto"/>
        <w:rPr>
          <w:sz w:val="20"/>
          <w:szCs w:val="20"/>
          <w:color w:val="auto"/>
        </w:rPr>
      </w:pPr>
      <w:r>
        <w:rPr>
          <w:rFonts w:ascii="Arial" w:cs="Arial" w:eastAsia="Arial" w:hAnsi="Arial"/>
          <w:sz w:val="20"/>
          <w:szCs w:val="20"/>
          <w:color w:val="auto"/>
        </w:rPr>
        <w:t>Each Director and each member of the Management Board shall be under a duty to carry out his or her responsibilities with due care and to safeguard and further the best interests of the Company.</w:t>
      </w:r>
    </w:p>
    <w:p>
      <w:pPr>
        <w:spacing w:after="0" w:line="165" w:lineRule="exact"/>
        <w:rPr>
          <w:sz w:val="20"/>
          <w:szCs w:val="20"/>
          <w:color w:val="auto"/>
        </w:rPr>
      </w:pPr>
    </w:p>
    <w:p>
      <w:pPr>
        <w:ind w:left="500" w:hanging="492"/>
        <w:spacing w:after="0"/>
        <w:tabs>
          <w:tab w:leader="none" w:pos="500" w:val="left"/>
        </w:tabs>
        <w:numPr>
          <w:ilvl w:val="0"/>
          <w:numId w:val="274"/>
        </w:numPr>
        <w:rPr>
          <w:rFonts w:ascii="Arial" w:cs="Arial" w:eastAsia="Arial" w:hAnsi="Arial"/>
          <w:sz w:val="20"/>
          <w:szCs w:val="20"/>
          <w:b w:val="1"/>
          <w:bCs w:val="1"/>
          <w:color w:val="auto"/>
        </w:rPr>
      </w:pPr>
      <w:r>
        <w:rPr>
          <w:rFonts w:ascii="Arial" w:cs="Arial" w:eastAsia="Arial" w:hAnsi="Arial"/>
          <w:sz w:val="20"/>
          <w:szCs w:val="20"/>
          <w:b w:val="1"/>
          <w:bCs w:val="1"/>
          <w:color w:val="auto"/>
        </w:rPr>
        <w:t>CONFLICTS OF INTERESTS</w:t>
      </w:r>
    </w:p>
    <w:p>
      <w:pPr>
        <w:spacing w:after="0" w:line="334"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19.1</w:t>
        <w:tab/>
        <w:t>The Directors and the members of the Management Board shall arrange their personal and business affairs so as to avoid, as much as possible, a conflict of interest.</w:t>
      </w: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19.2</w:t>
        <w:tab/>
        <w:t>Each Director and each member of the Management Board shall disclose to the Chairman and the Chief Executive Officer, respectively, any conflict of interest generally arising or relating to any matter to be discussed at a meeting, as soon as the Director and member of the Management Board becomes aware of its potential existence.</w:t>
      </w:r>
    </w:p>
    <w:p>
      <w:pPr>
        <w:spacing w:after="0" w:line="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19.3</w:t>
        <w:tab/>
        <w:t>The Chairman and the Chief Executive Officer, respectively, shall decide upon appropriate measures to avoid any interference of such conflict of interests with the forming of will and decisions of the Company. In the event of doubt, the Chairman and the Chief Executive Officer, respectively, shall request the respective corporate body to determine whether a conflict of interest exists and to decide upon appropriate measures.</w:t>
      </w:r>
    </w:p>
    <w:p>
      <w:pPr>
        <w:spacing w:after="0" w:line="1" w:lineRule="exact"/>
        <w:rPr>
          <w:sz w:val="20"/>
          <w:szCs w:val="20"/>
          <w:color w:val="auto"/>
        </w:rPr>
      </w:pPr>
    </w:p>
    <w:p>
      <w:pPr>
        <w:jc w:val="both"/>
        <w:ind w:left="520" w:hanging="509"/>
        <w:spacing w:after="0" w:line="359" w:lineRule="auto"/>
        <w:tabs>
          <w:tab w:leader="none" w:pos="500" w:val="left"/>
        </w:tabs>
        <w:rPr>
          <w:sz w:val="20"/>
          <w:szCs w:val="20"/>
          <w:color w:val="auto"/>
        </w:rPr>
      </w:pPr>
      <w:r>
        <w:rPr>
          <w:rFonts w:ascii="Arial" w:cs="Arial" w:eastAsia="Arial" w:hAnsi="Arial"/>
          <w:sz w:val="20"/>
          <w:szCs w:val="20"/>
          <w:color w:val="auto"/>
        </w:rPr>
        <w:t>19.4</w:t>
        <w:tab/>
        <w:t>As a rule, subject to exceptional circumstances in which the best interests of the Company dictate otherwise, the Director or member of the Management Board shall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14</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33" w:lineRule="exact"/>
        <w:rPr>
          <w:sz w:val="20"/>
          <w:szCs w:val="20"/>
          <w:color w:val="auto"/>
        </w:rPr>
      </w:pPr>
    </w:p>
    <w:p>
      <w:pPr>
        <w:jc w:val="both"/>
        <w:ind w:left="520" w:right="20"/>
        <w:spacing w:after="0" w:line="352" w:lineRule="auto"/>
        <w:rPr>
          <w:sz w:val="20"/>
          <w:szCs w:val="20"/>
          <w:color w:val="auto"/>
        </w:rPr>
      </w:pPr>
      <w:r>
        <w:rPr>
          <w:rFonts w:ascii="Arial" w:cs="Arial" w:eastAsia="Arial" w:hAnsi="Arial"/>
          <w:sz w:val="20"/>
          <w:szCs w:val="20"/>
          <w:color w:val="auto"/>
        </w:rPr>
        <w:t>not participate in discussions and decision-making involving the matter at stake. The person with a conflict shall have the right to, or may be required by the Chairman and the Chief Executive Officer, respectively, to provide a statement of his or her view of the matter before leaving the discussion.</w:t>
      </w:r>
    </w:p>
    <w:p>
      <w:pPr>
        <w:spacing w:after="0" w:line="1" w:lineRule="exact"/>
        <w:rPr>
          <w:sz w:val="20"/>
          <w:szCs w:val="20"/>
          <w:color w:val="auto"/>
        </w:rPr>
      </w:pPr>
    </w:p>
    <w:p>
      <w:pPr>
        <w:jc w:val="both"/>
        <w:ind w:left="520" w:hanging="509"/>
        <w:spacing w:after="0" w:line="354" w:lineRule="auto"/>
        <w:tabs>
          <w:tab w:leader="none" w:pos="500" w:val="left"/>
        </w:tabs>
        <w:rPr>
          <w:sz w:val="20"/>
          <w:szCs w:val="20"/>
          <w:color w:val="auto"/>
        </w:rPr>
      </w:pPr>
      <w:r>
        <w:rPr>
          <w:rFonts w:ascii="Arial" w:cs="Arial" w:eastAsia="Arial" w:hAnsi="Arial"/>
          <w:sz w:val="20"/>
          <w:szCs w:val="20"/>
          <w:color w:val="auto"/>
        </w:rPr>
        <w:t>19.5</w:t>
        <w:tab/>
        <w:t>While, in minor cases, the information flow may not be affected by the conflict of interest, the Chairman and the Chief Executive Officer, respectively, may decide to limit the information flow to the relevant Director or member of the Management Board or to keep the matter entirely secret with respect to the relevant Director or member of the Management Board. The Chairman and the Chief Executive Officer, respectively, shall advise the respective corporate body of the conflict of interest.</w:t>
      </w:r>
    </w:p>
    <w:p>
      <w:pPr>
        <w:spacing w:after="0" w:line="170" w:lineRule="exact"/>
        <w:rPr>
          <w:sz w:val="20"/>
          <w:szCs w:val="20"/>
          <w:color w:val="auto"/>
        </w:rPr>
      </w:pPr>
    </w:p>
    <w:p>
      <w:pPr>
        <w:ind w:left="500" w:hanging="492"/>
        <w:spacing w:after="0"/>
        <w:tabs>
          <w:tab w:leader="none" w:pos="500" w:val="left"/>
        </w:tabs>
        <w:numPr>
          <w:ilvl w:val="0"/>
          <w:numId w:val="275"/>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321" w:lineRule="exact"/>
        <w:rPr>
          <w:sz w:val="20"/>
          <w:szCs w:val="20"/>
          <w:color w:val="auto"/>
        </w:rPr>
      </w:pPr>
    </w:p>
    <w:p>
      <w:pPr>
        <w:jc w:val="both"/>
        <w:ind w:left="520" w:hanging="509"/>
        <w:spacing w:after="0" w:line="352" w:lineRule="auto"/>
        <w:tabs>
          <w:tab w:leader="none" w:pos="500" w:val="left"/>
        </w:tabs>
        <w:rPr>
          <w:sz w:val="20"/>
          <w:szCs w:val="20"/>
          <w:color w:val="auto"/>
        </w:rPr>
      </w:pPr>
      <w:r>
        <w:rPr>
          <w:rFonts w:ascii="Arial" w:cs="Arial" w:eastAsia="Arial" w:hAnsi="Arial"/>
          <w:sz w:val="20"/>
          <w:szCs w:val="20"/>
          <w:color w:val="auto"/>
        </w:rPr>
        <w:t>20.1</w:t>
        <w:tab/>
        <w:t>The members of the Board of Directors and the Management Board shall keep confidential and shall not disclose to any third party information and documents obtained or inspected in connection with the exercise of their function or with the performance of their duties on behalf of the Company. They shall be bound by the obligation of confidentiality even after the termination of their mandate.</w:t>
      </w:r>
    </w:p>
    <w:p>
      <w:pPr>
        <w:spacing w:after="0" w:line="1" w:lineRule="exact"/>
        <w:rPr>
          <w:sz w:val="20"/>
          <w:szCs w:val="20"/>
          <w:color w:val="auto"/>
        </w:rPr>
      </w:pPr>
    </w:p>
    <w:p>
      <w:pPr>
        <w:jc w:val="both"/>
        <w:ind w:left="520" w:hanging="509"/>
        <w:spacing w:after="0" w:line="359" w:lineRule="auto"/>
        <w:tabs>
          <w:tab w:leader="none" w:pos="500" w:val="left"/>
        </w:tabs>
        <w:rPr>
          <w:sz w:val="20"/>
          <w:szCs w:val="20"/>
          <w:color w:val="auto"/>
        </w:rPr>
      </w:pPr>
      <w:r>
        <w:rPr>
          <w:rFonts w:ascii="Arial" w:cs="Arial" w:eastAsia="Arial" w:hAnsi="Arial"/>
          <w:sz w:val="20"/>
          <w:szCs w:val="20"/>
          <w:color w:val="auto"/>
        </w:rPr>
        <w:t>20.2</w:t>
        <w:tab/>
        <w:t>Upon termination of their function, the members of the Board of Directors and the Management Board shall return all documents and data storage media related to the Company.</w:t>
      </w:r>
    </w:p>
    <w:p>
      <w:pPr>
        <w:spacing w:after="0" w:line="165" w:lineRule="exact"/>
        <w:rPr>
          <w:sz w:val="20"/>
          <w:szCs w:val="20"/>
          <w:color w:val="auto"/>
        </w:rPr>
      </w:pPr>
    </w:p>
    <w:p>
      <w:pPr>
        <w:ind w:left="500" w:hanging="492"/>
        <w:spacing w:after="0"/>
        <w:tabs>
          <w:tab w:leader="none" w:pos="500" w:val="left"/>
        </w:tabs>
        <w:numPr>
          <w:ilvl w:val="0"/>
          <w:numId w:val="276"/>
        </w:numPr>
        <w:rPr>
          <w:rFonts w:ascii="Arial" w:cs="Arial" w:eastAsia="Arial" w:hAnsi="Arial"/>
          <w:sz w:val="20"/>
          <w:szCs w:val="20"/>
          <w:b w:val="1"/>
          <w:bCs w:val="1"/>
          <w:color w:val="auto"/>
        </w:rPr>
      </w:pPr>
      <w:r>
        <w:rPr>
          <w:rFonts w:ascii="Arial" w:cs="Arial" w:eastAsia="Arial" w:hAnsi="Arial"/>
          <w:sz w:val="20"/>
          <w:szCs w:val="20"/>
          <w:b w:val="1"/>
          <w:bCs w:val="1"/>
          <w:color w:val="auto"/>
        </w:rPr>
        <w:t>SIGNATORY POWER</w:t>
      </w:r>
    </w:p>
    <w:p>
      <w:pPr>
        <w:spacing w:after="0" w:line="334" w:lineRule="exact"/>
        <w:rPr>
          <w:sz w:val="20"/>
          <w:szCs w:val="20"/>
          <w:color w:val="auto"/>
        </w:rPr>
      </w:pPr>
    </w:p>
    <w:p>
      <w:pPr>
        <w:spacing w:after="0" w:line="359" w:lineRule="auto"/>
        <w:rPr>
          <w:sz w:val="20"/>
          <w:szCs w:val="20"/>
          <w:color w:val="auto"/>
        </w:rPr>
      </w:pPr>
      <w:r>
        <w:rPr>
          <w:rFonts w:ascii="Arial" w:cs="Arial" w:eastAsia="Arial" w:hAnsi="Arial"/>
          <w:sz w:val="20"/>
          <w:szCs w:val="20"/>
          <w:color w:val="auto"/>
        </w:rPr>
        <w:t>Each Director shall be entitled to sign jointly together with another Director. All other persons entrusted by the Board of Directors with the representation of the Company shall also be entitled to sign jointly together with another person.</w:t>
      </w:r>
    </w:p>
    <w:p>
      <w:pPr>
        <w:spacing w:after="0" w:line="165" w:lineRule="exact"/>
        <w:rPr>
          <w:sz w:val="20"/>
          <w:szCs w:val="20"/>
          <w:color w:val="auto"/>
        </w:rPr>
      </w:pPr>
    </w:p>
    <w:p>
      <w:pPr>
        <w:ind w:left="500" w:hanging="492"/>
        <w:spacing w:after="0"/>
        <w:tabs>
          <w:tab w:leader="none" w:pos="500" w:val="left"/>
        </w:tabs>
        <w:numPr>
          <w:ilvl w:val="0"/>
          <w:numId w:val="277"/>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YEAR AND ACCOUNTING</w:t>
      </w:r>
    </w:p>
    <w:p>
      <w:pPr>
        <w:spacing w:after="0" w:line="33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9"/>
          <w:szCs w:val="19"/>
          <w:color w:val="auto"/>
        </w:rPr>
        <w:t>The Company's financial year shall correspond to the calendar year.</w:t>
      </w:r>
    </w:p>
    <w:p>
      <w:pPr>
        <w:spacing w:after="0" w:line="108" w:lineRule="exact"/>
        <w:rPr>
          <w:sz w:val="20"/>
          <w:szCs w:val="20"/>
          <w:color w:val="auto"/>
        </w:rPr>
      </w:pPr>
    </w:p>
    <w:p>
      <w:pPr>
        <w:ind w:left="520" w:hanging="509"/>
        <w:spacing w:after="0" w:line="352" w:lineRule="auto"/>
        <w:tabs>
          <w:tab w:leader="none" w:pos="500" w:val="left"/>
        </w:tabs>
        <w:rPr>
          <w:sz w:val="20"/>
          <w:szCs w:val="20"/>
          <w:color w:val="auto"/>
        </w:rPr>
      </w:pPr>
      <w:r>
        <w:rPr>
          <w:rFonts w:ascii="Arial" w:cs="Arial" w:eastAsia="Arial" w:hAnsi="Arial"/>
          <w:sz w:val="20"/>
          <w:szCs w:val="20"/>
          <w:color w:val="auto"/>
        </w:rPr>
        <w:t>22.2</w:t>
        <w:tab/>
        <w:t>The Company's accounting policies shall be determined by the Chief Financial Officer in consultation with the Audit and Finance Committee.</w:t>
      </w:r>
    </w:p>
    <w:p>
      <w:pPr>
        <w:spacing w:after="0"/>
        <w:tabs>
          <w:tab w:leader="none" w:pos="58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color w:val="auto"/>
        </w:rPr>
        <w:t>The Company shall establish its annual financial statements as at December 31.</w:t>
      </w:r>
    </w:p>
    <w:p>
      <w:pPr>
        <w:spacing w:after="0" w:line="10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9"/>
          <w:szCs w:val="19"/>
          <w:color w:val="auto"/>
        </w:rPr>
        <w:t>The Company shall establish semi-annual financial statements to be published to investors.</w:t>
      </w:r>
    </w:p>
    <w:p>
      <w:pPr>
        <w:spacing w:after="0" w:line="10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9"/>
          <w:szCs w:val="19"/>
          <w:color w:val="auto"/>
        </w:rPr>
        <w:t>The Company shall establish monthly interim financial statements for internal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14</w:t>
      </w:r>
    </w:p>
    <w:p>
      <w:pPr>
        <w:sectPr>
          <w:pgSz w:w="11900" w:h="16838" w:orient="portrait"/>
          <w:cols w:equalWidth="0" w:num="1">
            <w:col w:w="11240"/>
          </w:cols>
          <w:pgMar w:left="320" w:top="1440" w:right="339" w:bottom="1440" w:gutter="0" w:footer="0" w:header="0"/>
        </w:sectPr>
      </w:pPr>
    </w:p>
    <w:bookmarkStart w:id="339" w:name="page340"/>
    <w:bookmarkEnd w:id="339"/>
    <w:p>
      <w:pPr>
        <w:ind w:left="500" w:hanging="492"/>
        <w:spacing w:after="0"/>
        <w:tabs>
          <w:tab w:leader="none" w:pos="500" w:val="left"/>
        </w:tabs>
        <w:numPr>
          <w:ilvl w:val="0"/>
          <w:numId w:val="278"/>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p>
    <w:p>
      <w:pPr>
        <w:spacing w:after="0" w:line="321" w:lineRule="exact"/>
        <w:rPr>
          <w:sz w:val="20"/>
          <w:szCs w:val="20"/>
          <w:color w:val="auto"/>
        </w:rPr>
      </w:pPr>
    </w:p>
    <w:p>
      <w:pPr>
        <w:spacing w:after="0" w:line="359" w:lineRule="auto"/>
        <w:rPr>
          <w:sz w:val="20"/>
          <w:szCs w:val="20"/>
          <w:color w:val="auto"/>
        </w:rPr>
      </w:pPr>
      <w:r>
        <w:rPr>
          <w:rFonts w:ascii="Arial" w:cs="Arial" w:eastAsia="Arial" w:hAnsi="Arial"/>
          <w:sz w:val="20"/>
          <w:szCs w:val="20"/>
          <w:color w:val="auto"/>
        </w:rPr>
        <w:t>The Company may procure directors' and officers' liability insurance for the members of the Board of Directors and the Management Board in line with best practice for Swiss listed companies.</w:t>
      </w:r>
    </w:p>
    <w:p>
      <w:pPr>
        <w:spacing w:after="0" w:line="165" w:lineRule="exact"/>
        <w:rPr>
          <w:sz w:val="20"/>
          <w:szCs w:val="20"/>
          <w:color w:val="auto"/>
        </w:rPr>
      </w:pPr>
    </w:p>
    <w:p>
      <w:pPr>
        <w:ind w:left="500" w:hanging="492"/>
        <w:spacing w:after="0"/>
        <w:tabs>
          <w:tab w:leader="none" w:pos="500" w:val="left"/>
        </w:tabs>
        <w:numPr>
          <w:ilvl w:val="0"/>
          <w:numId w:val="279"/>
        </w:numPr>
        <w:rPr>
          <w:rFonts w:ascii="Arial" w:cs="Arial" w:eastAsia="Arial" w:hAnsi="Arial"/>
          <w:sz w:val="20"/>
          <w:szCs w:val="20"/>
          <w:b w:val="1"/>
          <w:bCs w:val="1"/>
          <w:color w:val="auto"/>
        </w:rPr>
      </w:pPr>
      <w:r>
        <w:rPr>
          <w:rFonts w:ascii="Arial" w:cs="Arial" w:eastAsia="Arial" w:hAnsi="Arial"/>
          <w:sz w:val="20"/>
          <w:szCs w:val="20"/>
          <w:b w:val="1"/>
          <w:bCs w:val="1"/>
          <w:color w:val="auto"/>
        </w:rPr>
        <w:t>FINAL PROVISIONS</w:t>
      </w:r>
    </w:p>
    <w:p>
      <w:pPr>
        <w:spacing w:after="0" w:line="334" w:lineRule="exact"/>
        <w:rPr>
          <w:sz w:val="20"/>
          <w:szCs w:val="20"/>
          <w:color w:val="auto"/>
        </w:rPr>
      </w:pPr>
    </w:p>
    <w:p>
      <w:pPr>
        <w:ind w:left="520" w:right="20" w:hanging="509"/>
        <w:spacing w:after="0" w:line="352" w:lineRule="auto"/>
        <w:tabs>
          <w:tab w:leader="none" w:pos="500" w:val="left"/>
        </w:tabs>
        <w:rPr>
          <w:sz w:val="20"/>
          <w:szCs w:val="20"/>
          <w:color w:val="auto"/>
        </w:rPr>
      </w:pPr>
      <w:r>
        <w:rPr>
          <w:rFonts w:ascii="Arial" w:cs="Arial" w:eastAsia="Arial" w:hAnsi="Arial"/>
          <w:sz w:val="20"/>
          <w:szCs w:val="20"/>
          <w:color w:val="auto"/>
        </w:rPr>
        <w:t>24.1</w:t>
        <w:tab/>
        <w:t>These Rules shall enter into force as of the first day of trading of the shares of the Company on the SIX Swiss Exchange Ltd.</w:t>
      </w:r>
    </w:p>
    <w:p>
      <w:pPr>
        <w:spacing w:after="0"/>
        <w:tabs>
          <w:tab w:leader="none" w:pos="58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19"/>
          <w:szCs w:val="19"/>
          <w:color w:val="auto"/>
        </w:rPr>
        <w:t>The Board of Directors shall be entitled to issue executive regulations to these Rules.</w:t>
      </w:r>
    </w:p>
    <w:p>
      <w:pPr>
        <w:spacing w:after="0" w:line="10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24.3</w:t>
      </w:r>
      <w:r>
        <w:rPr>
          <w:sz w:val="20"/>
          <w:szCs w:val="20"/>
          <w:color w:val="auto"/>
        </w:rPr>
        <w:tab/>
      </w:r>
      <w:r>
        <w:rPr>
          <w:rFonts w:ascii="Arial" w:cs="Arial" w:eastAsia="Arial" w:hAnsi="Arial"/>
          <w:sz w:val="19"/>
          <w:szCs w:val="19"/>
          <w:color w:val="auto"/>
        </w:rPr>
        <w:t>These Rules may be amended by the Board of Directors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Schlieren, April 29, 2020</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For the Board of Directors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William M. Burns,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Annexes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Annex 1: </w:t>
      </w:r>
      <w:r>
        <w:rPr>
          <w:rFonts w:ascii="Arial" w:cs="Arial" w:eastAsia="Arial" w:hAnsi="Arial"/>
          <w:sz w:val="20"/>
          <w:szCs w:val="20"/>
          <w:color w:val="auto"/>
        </w:rPr>
        <w:t>Charter of the Nomination and Compensation Committee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Annex 2: </w:t>
      </w:r>
      <w:r>
        <w:rPr>
          <w:rFonts w:ascii="Arial" w:cs="Arial" w:eastAsia="Arial" w:hAnsi="Arial"/>
          <w:sz w:val="20"/>
          <w:szCs w:val="20"/>
          <w:color w:val="auto"/>
        </w:rPr>
        <w:t>Charter of the Audit and Finance Committee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Annex 3: </w:t>
      </w:r>
      <w:r>
        <w:rPr>
          <w:rFonts w:ascii="Arial" w:cs="Arial" w:eastAsia="Arial" w:hAnsi="Arial"/>
          <w:sz w:val="20"/>
          <w:szCs w:val="20"/>
          <w:color w:val="auto"/>
        </w:rPr>
        <w:t>Charter of the Research and Development Committee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 / 14</w:t>
      </w:r>
    </w:p>
    <w:p>
      <w:pPr>
        <w:sectPr>
          <w:pgSz w:w="11900" w:h="16838" w:orient="portrait"/>
          <w:cols w:equalWidth="0" w:num="1">
            <w:col w:w="11240"/>
          </w:cols>
          <w:pgMar w:left="320" w:top="1408" w:right="3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10.1</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Draft | April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25"/>
          <w:szCs w:val="25"/>
          <w:color w:val="46B4D7"/>
        </w:rPr>
        <w:t>Indemnification Agreement</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as of [month] [day], [year]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443230</wp:posOffset>
            </wp:positionV>
            <wp:extent cx="3351530" cy="1974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5153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Molecular Partners AG</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Wagistrasse 14</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8952 Schlieren</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Switzerland</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151765</wp:posOffset>
            </wp:positionV>
            <wp:extent cx="335153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196850"/>
                    </a:xfrm>
                    <a:prstGeom prst="rect">
                      <a:avLst/>
                    </a:prstGeom>
                    <a:noFill/>
                  </pic:spPr>
                </pic:pic>
              </a:graphicData>
            </a:graphic>
          </wp:anchor>
        </w:drawing>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[Name of Director / Executive]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[address]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regarding the indemnification of the Indemnitee by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and, together with the Company, the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and each,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ectPr>
          <w:pgSz w:w="11900" w:h="16838" w:orient="portrait"/>
          <w:cols w:equalWidth="0" w:num="2">
            <w:col w:w="5320" w:space="180"/>
            <w:col w:w="5740"/>
          </w:cols>
          <w:pgMar w:left="320" w:top="135" w:right="339" w:bottom="1440" w:gutter="0" w:footer="0" w:header="0"/>
          <w:type w:val="continuous"/>
        </w:sectPr>
      </w:pPr>
    </w:p>
    <w:bookmarkStart w:id="341" w:name="page342"/>
    <w:bookmarkEnd w:id="341"/>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46B4D7"/>
        </w:rPr>
        <w:t>Table of Contents</w:t>
      </w:r>
    </w:p>
    <w:p>
      <w:pPr>
        <w:spacing w:after="0" w:line="306" w:lineRule="exact"/>
        <w:rPr>
          <w:sz w:val="20"/>
          <w:szCs w:val="20"/>
          <w:color w:val="auto"/>
        </w:rPr>
      </w:pPr>
    </w:p>
    <w:p>
      <w:pPr>
        <w:ind w:left="380" w:hanging="354"/>
        <w:spacing w:after="0"/>
        <w:tabs>
          <w:tab w:leader="none" w:pos="3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ind w:left="380" w:hanging="354"/>
        <w:spacing w:after="0"/>
        <w:tabs>
          <w:tab w:leader="none" w:pos="3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ind w:left="380" w:hanging="354"/>
        <w:spacing w:after="0"/>
        <w:tabs>
          <w:tab w:leader="none" w:pos="3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Successful Defense and Partial Indemnification</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6</w:t>
      </w:r>
    </w:p>
    <w:p>
      <w:pPr>
        <w:spacing w:after="0" w:line="50" w:lineRule="exact"/>
        <w:rPr>
          <w:sz w:val="20"/>
          <w:szCs w:val="20"/>
          <w:color w:val="auto"/>
        </w:rPr>
      </w:pPr>
    </w:p>
    <w:p>
      <w:pPr>
        <w:ind w:left="380" w:hanging="354"/>
        <w:spacing w:after="0"/>
        <w:tabs>
          <w:tab w:leader="none" w:pos="3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Indemnification Procedure</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Notification and Indemnification Request</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Advance of Expenses</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Payment to Cover Losses</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7</w:t>
      </w:r>
    </w:p>
    <w:p>
      <w:pPr>
        <w:spacing w:after="0" w:line="50" w:lineRule="exact"/>
        <w:rPr>
          <w:sz w:val="20"/>
          <w:szCs w:val="20"/>
          <w:color w:val="auto"/>
        </w:rPr>
      </w:pPr>
    </w:p>
    <w:p>
      <w:pPr>
        <w:ind w:left="380" w:hanging="354"/>
        <w:spacing w:after="0"/>
        <w:tabs>
          <w:tab w:leader="none" w:pos="3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Non-Exclusivity; Insurance; Subrogation</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7</w:t>
      </w:r>
    </w:p>
    <w:p>
      <w:pPr>
        <w:spacing w:after="0" w:line="50" w:lineRule="exact"/>
        <w:rPr>
          <w:sz w:val="20"/>
          <w:szCs w:val="20"/>
          <w:color w:val="auto"/>
        </w:rPr>
      </w:pPr>
    </w:p>
    <w:p>
      <w:pPr>
        <w:ind w:left="380" w:hanging="354"/>
        <w:spacing w:after="0"/>
        <w:tabs>
          <w:tab w:leader="none" w:pos="3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Remedies of the Indemnitee</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8</w:t>
      </w:r>
    </w:p>
    <w:p>
      <w:pPr>
        <w:spacing w:after="0" w:line="50" w:lineRule="exact"/>
        <w:rPr>
          <w:sz w:val="20"/>
          <w:szCs w:val="20"/>
          <w:color w:val="auto"/>
        </w:rPr>
      </w:pPr>
    </w:p>
    <w:p>
      <w:pPr>
        <w:ind w:left="380" w:hanging="354"/>
        <w:spacing w:after="0"/>
        <w:tabs>
          <w:tab w:leader="none" w:pos="3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Company's Right to Participate</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8</w:t>
      </w:r>
    </w:p>
    <w:p>
      <w:pPr>
        <w:spacing w:after="0" w:line="50" w:lineRule="exact"/>
        <w:rPr>
          <w:sz w:val="20"/>
          <w:szCs w:val="20"/>
          <w:color w:val="auto"/>
        </w:rPr>
      </w:pPr>
    </w:p>
    <w:p>
      <w:pPr>
        <w:ind w:left="380" w:hanging="354"/>
        <w:spacing w:after="0"/>
        <w:tabs>
          <w:tab w:leader="none" w:pos="3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Term of the Agreement</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9</w:t>
      </w:r>
    </w:p>
    <w:p>
      <w:pPr>
        <w:spacing w:after="0" w:line="50" w:lineRule="exact"/>
        <w:rPr>
          <w:sz w:val="20"/>
          <w:szCs w:val="20"/>
          <w:color w:val="auto"/>
        </w:rPr>
      </w:pPr>
    </w:p>
    <w:p>
      <w:pPr>
        <w:ind w:left="380" w:hanging="354"/>
        <w:spacing w:after="0"/>
        <w:tabs>
          <w:tab w:leader="none" w:pos="3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Data Protection</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9</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 General Provisions</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9</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No Right to Continued Service</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9</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Notices</w:t>
      </w: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9</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Entire Agreement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10.4</w:t>
        <w:tab/>
        <w:t>Amendments and Waivers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No Assignment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10.6</w:t>
        <w:tab/>
        <w:t>Severability</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10.7</w:t>
        <w:tab/>
        <w:t>Delivery by Electronic Transmission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 Governing Law and Jurisdiction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11.1</w:t>
        <w:tab/>
        <w:t>Governing Law</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77"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Jurisdiction</w:t>
      </w:r>
    </w:p>
    <w:p>
      <w:pPr>
        <w:sectPr>
          <w:pgSz w:w="11900" w:h="16838" w:orient="portrait"/>
          <w:cols w:equalWidth="0" w:num="1">
            <w:col w:w="10980"/>
          </w:cols>
          <w:pgMar w:left="320" w:top="134" w:right="599" w:bottom="1022" w:gutter="0" w:footer="0" w:header="0"/>
        </w:sectPr>
      </w:pPr>
    </w:p>
    <w:p>
      <w:pPr>
        <w:spacing w:after="0" w:line="63" w:lineRule="exact"/>
        <w:rPr>
          <w:sz w:val="20"/>
          <w:szCs w:val="20"/>
          <w:color w:val="auto"/>
        </w:rPr>
      </w:pPr>
    </w:p>
    <w:p>
      <w:pPr>
        <w:ind w:left="1078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80"/>
          </w:cols>
          <w:pgMar w:left="320" w:top="134" w:right="599" w:bottom="1022" w:gutter="0" w:footer="0" w:header="0"/>
          <w:type w:val="continuous"/>
        </w:sectPr>
      </w:pPr>
    </w:p>
    <w:bookmarkStart w:id="342" w:name="page343"/>
    <w:bookmarkEnd w:id="342"/>
    <w:p>
      <w:pPr>
        <w:ind w:left="9880"/>
        <w:spacing w:after="0"/>
        <w:rPr>
          <w:sz w:val="20"/>
          <w:szCs w:val="20"/>
          <w:color w:val="auto"/>
        </w:rPr>
      </w:pPr>
      <w:r>
        <w:rPr>
          <w:rFonts w:ascii="Arial" w:cs="Arial" w:eastAsia="Arial" w:hAnsi="Arial"/>
          <w:sz w:val="12"/>
          <w:szCs w:val="12"/>
          <w:color w:val="auto"/>
        </w:rPr>
        <w:t>2/12</w:t>
      </w:r>
    </w:p>
    <w:p>
      <w:pPr>
        <w:sectPr>
          <w:pgSz w:w="11900" w:h="16838" w:orient="portrait"/>
          <w:cols w:equalWidth="0" w:num="1">
            <w:col w:w="10120"/>
          </w:cols>
          <w:pgMar w:left="1440" w:top="876" w:right="339" w:bottom="1440" w:gutter="0" w:footer="0" w:header="0"/>
        </w:sectPr>
      </w:pPr>
    </w:p>
    <w:bookmarkStart w:id="343" w:name="page344"/>
    <w:bookmarkEnd w:id="343"/>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315" w:lineRule="exact"/>
        <w:rPr>
          <w:sz w:val="20"/>
          <w:szCs w:val="20"/>
          <w:color w:val="auto"/>
        </w:rPr>
      </w:pPr>
    </w:p>
    <w:p>
      <w:pPr>
        <w:ind w:left="640" w:hanging="632"/>
        <w:spacing w:after="0" w:line="308" w:lineRule="auto"/>
        <w:tabs>
          <w:tab w:leader="none" w:pos="41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 is a Swiss corporation registered with the commercial register of the Canton of Zurich under the company identification number CHE-112.115.136.</w:t>
      </w:r>
    </w:p>
    <w:p>
      <w:pPr>
        <w:spacing w:after="0" w:line="224" w:lineRule="exact"/>
        <w:rPr>
          <w:rFonts w:ascii="Arial" w:cs="Arial" w:eastAsia="Arial" w:hAnsi="Arial"/>
          <w:sz w:val="18"/>
          <w:szCs w:val="18"/>
          <w:color w:val="auto"/>
        </w:rPr>
      </w:pPr>
    </w:p>
    <w:p>
      <w:pPr>
        <w:ind w:left="640" w:hanging="632"/>
        <w:spacing w:after="0" w:line="300" w:lineRule="auto"/>
        <w:tabs>
          <w:tab w:leader="none" w:pos="39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The Indemnitee has been elected by the general meeting of shareholders of the Company as a member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and / or appointed by the Board as a member of the management board of the Company (the </w:t>
      </w:r>
      <w:r>
        <w:rPr>
          <w:rFonts w:ascii="Arial" w:cs="Arial" w:eastAsia="Arial" w:hAnsi="Arial"/>
          <w:sz w:val="18"/>
          <w:szCs w:val="18"/>
          <w:b w:val="1"/>
          <w:bCs w:val="1"/>
          <w:color w:val="auto"/>
        </w:rPr>
        <w:t>Management</w:t>
      </w:r>
      <w:r>
        <w:rPr>
          <w:rFonts w:ascii="Arial" w:cs="Arial" w:eastAsia="Arial" w:hAnsi="Arial"/>
          <w:sz w:val="18"/>
          <w:szCs w:val="18"/>
          <w:color w:val="auto"/>
        </w:rPr>
        <w:t xml:space="preserve"> </w:t>
      </w:r>
      <w:r>
        <w:rPr>
          <w:rFonts w:ascii="Arial" w:cs="Arial" w:eastAsia="Arial" w:hAnsi="Arial"/>
          <w:sz w:val="18"/>
          <w:szCs w:val="18"/>
          <w:b w:val="1"/>
          <w:bCs w:val="1"/>
          <w:color w:val="auto"/>
        </w:rPr>
        <w:t>Board</w:t>
      </w:r>
      <w:r>
        <w:rPr>
          <w:rFonts w:ascii="Arial" w:cs="Arial" w:eastAsia="Arial" w:hAnsi="Arial"/>
          <w:sz w:val="18"/>
          <w:szCs w:val="18"/>
          <w:color w:val="auto"/>
        </w:rPr>
        <w:t>), as the case may be. The Indemnitee in his or her capacity as a member of the Board and / or the Management Board may</w:t>
      </w:r>
      <w:r>
        <w:rPr>
          <w:rFonts w:ascii="Arial" w:cs="Arial" w:eastAsia="Arial" w:hAnsi="Arial"/>
          <w:sz w:val="18"/>
          <w:szCs w:val="18"/>
          <w:b w:val="1"/>
          <w:bCs w:val="1"/>
          <w:color w:val="auto"/>
        </w:rPr>
        <w:t xml:space="preserve"> </w:t>
      </w:r>
      <w:r>
        <w:rPr>
          <w:rFonts w:ascii="Arial" w:cs="Arial" w:eastAsia="Arial" w:hAnsi="Arial"/>
          <w:sz w:val="18"/>
          <w:szCs w:val="18"/>
          <w:color w:val="auto"/>
        </w:rPr>
        <w:t>be exposed to litigation and other risks arising out of or in connection with his or her service on the Board and / or the Management Board.</w:t>
      </w:r>
    </w:p>
    <w:p>
      <w:pPr>
        <w:spacing w:after="0" w:line="218" w:lineRule="exact"/>
        <w:rPr>
          <w:rFonts w:ascii="Arial" w:cs="Arial" w:eastAsia="Arial" w:hAnsi="Arial"/>
          <w:sz w:val="18"/>
          <w:szCs w:val="18"/>
          <w:color w:val="auto"/>
        </w:rPr>
      </w:pPr>
    </w:p>
    <w:p>
      <w:pPr>
        <w:ind w:left="640" w:hanging="632"/>
        <w:spacing w:after="0" w:line="303" w:lineRule="auto"/>
        <w:tabs>
          <w:tab w:leader="none" w:pos="39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Company desires to attract and retain highly qualified individuals to serve on the Board and the Management Board. Therefore, the Company intends to indemnify the members of the Board and the Management Board in order to provide them with as much protection as permitted by applicable laws and regulations.</w:t>
      </w:r>
    </w:p>
    <w:p>
      <w:pPr>
        <w:spacing w:after="0" w:line="193" w:lineRule="exact"/>
        <w:rPr>
          <w:rFonts w:ascii="Arial" w:cs="Arial" w:eastAsia="Arial" w:hAnsi="Arial"/>
          <w:sz w:val="18"/>
          <w:szCs w:val="18"/>
          <w:color w:val="auto"/>
        </w:rPr>
      </w:pPr>
    </w:p>
    <w:p>
      <w:pPr>
        <w:ind w:left="640" w:hanging="632"/>
        <w:spacing w:after="0" w:line="334" w:lineRule="auto"/>
        <w:tabs>
          <w:tab w:leader="none" w:pos="38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The current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provide that the Company shall be required to reimburse the members of the Board for all expenses incurred in the interests of the corporation.</w:t>
      </w:r>
    </w:p>
    <w:p>
      <w:pPr>
        <w:spacing w:after="0" w:line="166" w:lineRule="exact"/>
        <w:rPr>
          <w:rFonts w:ascii="Arial" w:cs="Arial" w:eastAsia="Arial" w:hAnsi="Arial"/>
          <w:sz w:val="18"/>
          <w:szCs w:val="18"/>
          <w:color w:val="auto"/>
        </w:rPr>
      </w:pPr>
    </w:p>
    <w:p>
      <w:pPr>
        <w:ind w:left="380" w:hanging="372"/>
        <w:spacing w:after="0"/>
        <w:tabs>
          <w:tab w:leader="none" w:pos="38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This Indemnification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shall not supersede but supplement the Articles, any resolution of the Board relating to</w:t>
      </w:r>
    </w:p>
    <w:p>
      <w:pPr>
        <w:spacing w:after="0" w:line="83" w:lineRule="exact"/>
        <w:rPr>
          <w:rFonts w:ascii="Arial" w:cs="Arial" w:eastAsia="Arial" w:hAnsi="Arial"/>
          <w:sz w:val="17"/>
          <w:szCs w:val="17"/>
          <w:color w:val="auto"/>
        </w:rPr>
      </w:pPr>
    </w:p>
    <w:p>
      <w:pPr>
        <w:jc w:val="both"/>
        <w:ind w:left="640"/>
        <w:spacing w:after="0" w:line="303" w:lineRule="auto"/>
        <w:rPr>
          <w:rFonts w:ascii="Arial" w:cs="Arial" w:eastAsia="Arial" w:hAnsi="Arial"/>
          <w:sz w:val="17"/>
          <w:szCs w:val="17"/>
          <w:color w:val="auto"/>
        </w:rPr>
      </w:pPr>
      <w:r>
        <w:rPr>
          <w:rFonts w:ascii="Arial" w:cs="Arial" w:eastAsia="Arial" w:hAnsi="Arial"/>
          <w:sz w:val="18"/>
          <w:szCs w:val="18"/>
          <w:color w:val="auto"/>
        </w:rPr>
        <w:t xml:space="preserve">indemnification of members of the Board and / or the Management Board and any D&amp;O Insurance (as defined below; collectively, the </w:t>
      </w:r>
      <w:r>
        <w:rPr>
          <w:rFonts w:ascii="Arial" w:cs="Arial" w:eastAsia="Arial" w:hAnsi="Arial"/>
          <w:sz w:val="18"/>
          <w:szCs w:val="18"/>
          <w:b w:val="1"/>
          <w:bCs w:val="1"/>
          <w:color w:val="auto"/>
        </w:rPr>
        <w:t>Other Indemnification Documents</w:t>
      </w:r>
      <w:r>
        <w:rPr>
          <w:rFonts w:ascii="Arial" w:cs="Arial" w:eastAsia="Arial" w:hAnsi="Arial"/>
          <w:sz w:val="18"/>
          <w:szCs w:val="18"/>
          <w:color w:val="auto"/>
        </w:rPr>
        <w:t>). This Agreement shall not be deemed a substitute nor diminish or abrogate any rights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under the Other Indemnification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agree as follows:</w:t>
      </w:r>
    </w:p>
    <w:p>
      <w:pPr>
        <w:spacing w:after="0" w:line="279" w:lineRule="exact"/>
        <w:rPr>
          <w:sz w:val="20"/>
          <w:szCs w:val="20"/>
          <w:color w:val="auto"/>
        </w:rPr>
      </w:pPr>
    </w:p>
    <w:p>
      <w:pPr>
        <w:ind w:left="360" w:hanging="352"/>
        <w:spacing w:after="0"/>
        <w:tabs>
          <w:tab w:leader="none" w:pos="3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301"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Capitalized terms used in this Agreement shall have the meanings assigned to them in the body of this Agreement or hereinafter, as applicable:</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40" w:type="dxa"/>
            <w:vAlign w:val="bottom"/>
          </w:tcPr>
          <w:p>
            <w:pPr>
              <w:spacing w:after="0"/>
              <w:rPr>
                <w:sz w:val="20"/>
                <w:szCs w:val="20"/>
                <w:color w:val="auto"/>
              </w:rPr>
            </w:pPr>
            <w:r>
              <w:rPr>
                <w:rFonts w:ascii="Arial" w:cs="Arial" w:eastAsia="Arial" w:hAnsi="Arial"/>
                <w:sz w:val="18"/>
                <w:szCs w:val="18"/>
                <w:b w:val="1"/>
                <w:bCs w:val="1"/>
                <w:color w:val="auto"/>
              </w:rPr>
              <w:t>Business Day</w:t>
            </w:r>
          </w:p>
        </w:tc>
        <w:tc>
          <w:tcPr>
            <w:tcW w:w="9020" w:type="dxa"/>
            <w:vAlign w:val="bottom"/>
          </w:tcPr>
          <w:p>
            <w:pPr>
              <w:ind w:left="860"/>
              <w:spacing w:after="0"/>
              <w:rPr>
                <w:sz w:val="20"/>
                <w:szCs w:val="20"/>
                <w:color w:val="auto"/>
              </w:rPr>
            </w:pPr>
            <w:r>
              <w:rPr>
                <w:rFonts w:ascii="Arial" w:cs="Arial" w:eastAsia="Arial" w:hAnsi="Arial"/>
                <w:sz w:val="18"/>
                <w:szCs w:val="18"/>
                <w:color w:val="auto"/>
                <w:w w:val="99"/>
              </w:rPr>
              <w:t>means any day, other than a Saturday or a Sunday, on which the commercial banks in Zurich are open</w:t>
            </w:r>
          </w:p>
        </w:tc>
        <w:tc>
          <w:tcPr>
            <w:tcW w:w="0" w:type="dxa"/>
            <w:vAlign w:val="bottom"/>
          </w:tcPr>
          <w:p>
            <w:pPr>
              <w:spacing w:after="0"/>
              <w:rPr>
                <w:sz w:val="1"/>
                <w:szCs w:val="1"/>
                <w:color w:val="auto"/>
              </w:rPr>
            </w:pPr>
          </w:p>
        </w:tc>
      </w:tr>
      <w:tr>
        <w:trPr>
          <w:trHeight w:val="217"/>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Expense</w:t>
            </w:r>
          </w:p>
        </w:tc>
        <w:tc>
          <w:tcPr>
            <w:tcW w:w="9020" w:type="dxa"/>
            <w:vAlign w:val="bottom"/>
          </w:tcPr>
          <w:p>
            <w:pPr>
              <w:ind w:left="860"/>
              <w:spacing w:after="0"/>
              <w:rPr>
                <w:sz w:val="20"/>
                <w:szCs w:val="20"/>
                <w:color w:val="auto"/>
              </w:rPr>
            </w:pPr>
            <w:r>
              <w:rPr>
                <w:rFonts w:ascii="Arial" w:cs="Arial" w:eastAsia="Arial" w:hAnsi="Arial"/>
                <w:sz w:val="18"/>
                <w:szCs w:val="18"/>
                <w:color w:val="auto"/>
              </w:rPr>
              <w:t>for business throughout the day.</w:t>
            </w:r>
          </w:p>
        </w:tc>
        <w:tc>
          <w:tcPr>
            <w:tcW w:w="0" w:type="dxa"/>
            <w:vAlign w:val="bottom"/>
          </w:tcPr>
          <w:p>
            <w:pPr>
              <w:spacing w:after="0"/>
              <w:rPr>
                <w:sz w:val="1"/>
                <w:szCs w:val="1"/>
                <w:color w:val="auto"/>
              </w:rPr>
            </w:pPr>
          </w:p>
        </w:tc>
      </w:tr>
      <w:tr>
        <w:trPr>
          <w:trHeight w:val="188"/>
        </w:trPr>
        <w:tc>
          <w:tcPr>
            <w:tcW w:w="2040" w:type="dxa"/>
            <w:vAlign w:val="bottom"/>
            <w:vMerge w:val="continue"/>
          </w:tcPr>
          <w:p>
            <w:pPr>
              <w:spacing w:after="0"/>
              <w:rPr>
                <w:sz w:val="16"/>
                <w:szCs w:val="16"/>
                <w:color w:val="auto"/>
              </w:rPr>
            </w:pPr>
          </w:p>
        </w:tc>
        <w:tc>
          <w:tcPr>
            <w:tcW w:w="9020" w:type="dxa"/>
            <w:vAlign w:val="bottom"/>
          </w:tcPr>
          <w:p>
            <w:pPr>
              <w:ind w:left="860"/>
              <w:spacing w:after="0" w:line="189" w:lineRule="exact"/>
              <w:rPr>
                <w:sz w:val="20"/>
                <w:szCs w:val="20"/>
                <w:color w:val="auto"/>
              </w:rPr>
            </w:pPr>
            <w:r>
              <w:rPr>
                <w:rFonts w:ascii="Arial" w:cs="Arial" w:eastAsia="Arial" w:hAnsi="Arial"/>
                <w:sz w:val="18"/>
                <w:szCs w:val="18"/>
                <w:color w:val="auto"/>
              </w:rPr>
              <w:t>means any and all attorneys' fees, retainers, court and administrative costs, transcript costs, fees of</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9020" w:type="dxa"/>
            <w:vAlign w:val="bottom"/>
          </w:tcPr>
          <w:p>
            <w:pPr>
              <w:ind w:left="860"/>
              <w:spacing w:after="0" w:line="176" w:lineRule="exact"/>
              <w:rPr>
                <w:sz w:val="20"/>
                <w:szCs w:val="20"/>
                <w:color w:val="auto"/>
              </w:rPr>
            </w:pPr>
            <w:r>
              <w:rPr>
                <w:rFonts w:ascii="Arial" w:cs="Arial" w:eastAsia="Arial" w:hAnsi="Arial"/>
                <w:sz w:val="18"/>
                <w:szCs w:val="18"/>
                <w:color w:val="auto"/>
              </w:rPr>
              <w:t>experts, witness fees, travel expenses, duplicating costs and printing and binding costs, telephone</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9020" w:type="dxa"/>
            <w:vAlign w:val="bottom"/>
          </w:tcPr>
          <w:p>
            <w:pPr>
              <w:ind w:left="860"/>
              <w:spacing w:after="0" w:line="176" w:lineRule="exact"/>
              <w:rPr>
                <w:sz w:val="20"/>
                <w:szCs w:val="20"/>
                <w:color w:val="auto"/>
              </w:rPr>
            </w:pPr>
            <w:r>
              <w:rPr>
                <w:rFonts w:ascii="Arial" w:cs="Arial" w:eastAsia="Arial" w:hAnsi="Arial"/>
                <w:sz w:val="18"/>
                <w:szCs w:val="18"/>
                <w:color w:val="auto"/>
              </w:rPr>
              <w:t>charges, postage, delivery service fees and all other disbursements or expenses of the types</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9020" w:type="dxa"/>
            <w:vAlign w:val="bottom"/>
          </w:tcPr>
          <w:p>
            <w:pPr>
              <w:ind w:left="860"/>
              <w:spacing w:after="0" w:line="176" w:lineRule="exact"/>
              <w:rPr>
                <w:sz w:val="20"/>
                <w:szCs w:val="20"/>
                <w:color w:val="auto"/>
              </w:rPr>
            </w:pPr>
            <w:r>
              <w:rPr>
                <w:rFonts w:ascii="Arial" w:cs="Arial" w:eastAsia="Arial" w:hAnsi="Arial"/>
                <w:sz w:val="18"/>
                <w:szCs w:val="18"/>
                <w:color w:val="auto"/>
              </w:rPr>
              <w:t>customarily incurred in connection with investigating, defending, prosecuting, participating, settling,</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9020" w:type="dxa"/>
            <w:vAlign w:val="bottom"/>
          </w:tcPr>
          <w:p>
            <w:pPr>
              <w:ind w:left="860"/>
              <w:spacing w:after="0" w:line="176" w:lineRule="exact"/>
              <w:rPr>
                <w:sz w:val="20"/>
                <w:szCs w:val="20"/>
                <w:color w:val="auto"/>
              </w:rPr>
            </w:pPr>
            <w:r>
              <w:rPr>
                <w:rFonts w:ascii="Arial" w:cs="Arial" w:eastAsia="Arial" w:hAnsi="Arial"/>
                <w:sz w:val="18"/>
                <w:szCs w:val="18"/>
                <w:color w:val="auto"/>
              </w:rPr>
              <w:t>appealing, or being a witness in, a Proceeding (or preparing for any of the foregoing), in each case</w:t>
            </w: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actually and reasonably incurred by the Indemnitee.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3/12</w:t>
      </w:r>
    </w:p>
    <w:p>
      <w:pPr>
        <w:sectPr>
          <w:pgSz w:w="11900" w:h="16838" w:orient="portrait"/>
          <w:cols w:equalWidth="0" w:num="1">
            <w:col w:w="11240"/>
          </w:cols>
          <w:pgMar w:left="320" w:top="134" w:right="339" w:bottom="1440" w:gutter="0" w:footer="0" w:header="0"/>
        </w:sectPr>
      </w:pPr>
    </w:p>
    <w:bookmarkStart w:id="344" w:name="page345"/>
    <w:bookmarkEnd w:id="344"/>
    <w:p>
      <w:pPr>
        <w:spacing w:after="0"/>
        <w:rPr>
          <w:sz w:val="20"/>
          <w:szCs w:val="20"/>
          <w:color w:val="auto"/>
        </w:rPr>
      </w:pPr>
      <w:r>
        <w:rPr>
          <w:rFonts w:ascii="Arial" w:cs="Arial" w:eastAsia="Arial" w:hAnsi="Arial"/>
          <w:sz w:val="12"/>
          <w:szCs w:val="12"/>
          <w:color w:val="auto"/>
        </w:rPr>
        <w:t>Indemnification Agreement by and between Molecular Partners AG and [■]</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Loss(es)</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 w:hanging="352"/>
        <w:spacing w:after="0"/>
        <w:tabs>
          <w:tab w:leader="none" w:pos="36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100"/>
        <w:spacing w:after="0" w:line="219" w:lineRule="auto"/>
        <w:rPr>
          <w:sz w:val="20"/>
          <w:szCs w:val="20"/>
          <w:color w:val="auto"/>
        </w:rPr>
      </w:pPr>
      <w:r>
        <w:rPr>
          <w:rFonts w:ascii="Arial" w:cs="Arial" w:eastAsia="Arial" w:hAnsi="Arial"/>
          <w:sz w:val="18"/>
          <w:szCs w:val="18"/>
          <w:color w:val="auto"/>
        </w:rPr>
        <w:t>means all losses, damages, liabilities, judgments, fines, penalties, amounts due or paid in settlement (if such settlement has been approved by the Company whereby such approval shall not be unreasonably withheld) and Expenses, in each case actually and reasonably incurred by the Indemnitee.</w:t>
      </w:r>
    </w:p>
    <w:p>
      <w:pPr>
        <w:spacing w:after="0" w:line="54" w:lineRule="exact"/>
        <w:rPr>
          <w:sz w:val="20"/>
          <w:szCs w:val="20"/>
          <w:color w:val="auto"/>
        </w:rPr>
      </w:pPr>
    </w:p>
    <w:p>
      <w:pPr>
        <w:jc w:val="both"/>
        <w:ind w:right="20"/>
        <w:spacing w:after="0" w:line="300" w:lineRule="auto"/>
        <w:rPr>
          <w:sz w:val="20"/>
          <w:szCs w:val="20"/>
          <w:color w:val="auto"/>
        </w:rPr>
      </w:pPr>
      <w:r>
        <w:rPr>
          <w:rFonts w:ascii="Arial" w:cs="Arial" w:eastAsia="Arial" w:hAnsi="Arial"/>
          <w:sz w:val="18"/>
          <w:szCs w:val="18"/>
          <w:color w:val="auto"/>
        </w:rPr>
        <w:t>means any threatened, pending or completed action, suit, claim, arbitration, alternate dispute resolution mechanism, investigation, inquiry, administrative hearing or any other proceeding, whether brought by or in the right of the Company or otherwise, whether civil, criminal, administrative or investigative, including appeals and petitions therefrom, except for one initiated by the Indemnitee to enforce his or her rights under this Agreement.</w:t>
      </w:r>
    </w:p>
    <w:p>
      <w:pPr>
        <w:spacing w:after="0" w:line="1293" w:lineRule="exact"/>
        <w:rPr>
          <w:sz w:val="20"/>
          <w:szCs w:val="20"/>
          <w:color w:val="auto"/>
        </w:rPr>
      </w:pPr>
    </w:p>
    <w:p>
      <w:pPr>
        <w:sectPr>
          <w:pgSz w:w="11900" w:h="16838" w:orient="portrait"/>
          <w:cols w:equalWidth="0" w:num="2">
            <w:col w:w="2200" w:space="720"/>
            <w:col w:w="8320"/>
          </w:cols>
          <w:pgMar w:left="320" w:top="134" w:right="339" w:bottom="1440" w:gutter="0" w:footer="0" w:header="0"/>
          <w:type w:val="continuous"/>
        </w:sectPr>
      </w:pPr>
    </w:p>
    <w:p>
      <w:pPr>
        <w:spacing w:after="0" w:line="113" w:lineRule="exact"/>
        <w:rPr>
          <w:sz w:val="20"/>
          <w:szCs w:val="20"/>
          <w:color w:val="auto"/>
        </w:rPr>
      </w:pPr>
    </w:p>
    <w:p>
      <w:pPr>
        <w:ind w:left="640" w:hanging="632"/>
        <w:spacing w:after="0" w:line="303" w:lineRule="auto"/>
        <w:tabs>
          <w:tab w:leader="none" w:pos="422"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Subject to the limitations set forth in this Agreement, the Company shall indemnify and hold harmless the Indemnitee if he or she was, is or is threatened to be made party to, or participant in, or is otherwise involved (including as a witness) in, any Proceeding, by reason of:</w:t>
      </w:r>
    </w:p>
    <w:p>
      <w:pPr>
        <w:spacing w:after="0" w:line="215" w:lineRule="exact"/>
        <w:rPr>
          <w:rFonts w:ascii="Arial" w:cs="Arial" w:eastAsia="Arial" w:hAnsi="Arial"/>
          <w:sz w:val="18"/>
          <w:szCs w:val="18"/>
          <w:color w:val="auto"/>
        </w:rPr>
      </w:pPr>
    </w:p>
    <w:p>
      <w:pPr>
        <w:ind w:left="1280" w:right="20" w:hanging="634"/>
        <w:spacing w:after="0" w:line="308" w:lineRule="auto"/>
        <w:tabs>
          <w:tab w:leader="none" w:pos="1049"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actual or alleged acts, consents or omissions in connection with the execution of his or her duties, or alleged duties, as a member of the Board and / or the Management Board;</w:t>
      </w:r>
    </w:p>
    <w:p>
      <w:pPr>
        <w:spacing w:after="0" w:line="211" w:lineRule="exact"/>
        <w:rPr>
          <w:rFonts w:ascii="Arial" w:cs="Arial" w:eastAsia="Arial" w:hAnsi="Arial"/>
          <w:sz w:val="18"/>
          <w:szCs w:val="18"/>
          <w:color w:val="auto"/>
        </w:rPr>
      </w:pPr>
    </w:p>
    <w:p>
      <w:pPr>
        <w:ind w:left="1040" w:hanging="394"/>
        <w:spacing w:after="0"/>
        <w:tabs>
          <w:tab w:leader="none" w:pos="10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fact that he or she is or was a member of the Board and / or the Management Board;</w:t>
      </w:r>
    </w:p>
    <w:p>
      <w:pPr>
        <w:spacing w:after="0" w:line="292" w:lineRule="exact"/>
        <w:rPr>
          <w:rFonts w:ascii="Arial" w:cs="Arial" w:eastAsia="Arial" w:hAnsi="Arial"/>
          <w:sz w:val="18"/>
          <w:szCs w:val="18"/>
          <w:color w:val="auto"/>
        </w:rPr>
      </w:pPr>
    </w:p>
    <w:p>
      <w:pPr>
        <w:ind w:left="1280" w:right="20" w:hanging="634"/>
        <w:spacing w:after="0" w:line="308" w:lineRule="auto"/>
        <w:tabs>
          <w:tab w:leader="none" w:pos="109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fact that while serving as a member of the Board and / or the Management Board he or she is or was serving as a director, member of the executive management, employee or agent of any of the Company's subsidiaries;</w:t>
      </w:r>
    </w:p>
    <w:p>
      <w:pPr>
        <w:spacing w:after="0" w:line="211" w:lineRule="exact"/>
        <w:rPr>
          <w:rFonts w:ascii="Arial" w:cs="Arial" w:eastAsia="Arial" w:hAnsi="Arial"/>
          <w:sz w:val="18"/>
          <w:szCs w:val="18"/>
          <w:color w:val="auto"/>
        </w:rPr>
      </w:pPr>
    </w:p>
    <w:p>
      <w:pPr>
        <w:ind w:left="1100" w:hanging="454"/>
        <w:spacing w:after="0"/>
        <w:tabs>
          <w:tab w:leader="none" w:pos="11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fact that while serving as a member of the Board and / or the Management Board he or she is or was serving at the request</w:t>
      </w:r>
    </w:p>
    <w:p>
      <w:pPr>
        <w:spacing w:after="0" w:line="49" w:lineRule="exact"/>
        <w:rPr>
          <w:rFonts w:ascii="Arial" w:cs="Arial" w:eastAsia="Arial" w:hAnsi="Arial"/>
          <w:sz w:val="18"/>
          <w:szCs w:val="18"/>
          <w:color w:val="auto"/>
        </w:rPr>
      </w:pPr>
    </w:p>
    <w:p>
      <w:pPr>
        <w:ind w:left="1280"/>
        <w:spacing w:after="0" w:line="308" w:lineRule="auto"/>
        <w:rPr>
          <w:rFonts w:ascii="Arial" w:cs="Arial" w:eastAsia="Arial" w:hAnsi="Arial"/>
          <w:sz w:val="18"/>
          <w:szCs w:val="18"/>
          <w:color w:val="auto"/>
        </w:rPr>
      </w:pPr>
      <w:r>
        <w:rPr>
          <w:rFonts w:ascii="Arial" w:cs="Arial" w:eastAsia="Arial" w:hAnsi="Arial"/>
          <w:sz w:val="18"/>
          <w:szCs w:val="18"/>
          <w:color w:val="auto"/>
        </w:rPr>
        <w:t xml:space="preserve">of the Company as a director, member of the executive management, employee or agent of another corporation, partnership, joint venture, trust, employee benefit plan or other enterprise (each of the aforementioned individually, an </w:t>
      </w:r>
      <w:r>
        <w:rPr>
          <w:rFonts w:ascii="Arial" w:cs="Arial" w:eastAsia="Arial" w:hAnsi="Arial"/>
          <w:sz w:val="18"/>
          <w:szCs w:val="18"/>
          <w:b w:val="1"/>
          <w:bCs w:val="1"/>
          <w:color w:val="auto"/>
        </w:rPr>
        <w:t>Enterprise</w:t>
      </w:r>
      <w:r>
        <w:rPr>
          <w:rFonts w:ascii="Arial" w:cs="Arial" w:eastAsia="Arial" w:hAnsi="Arial"/>
          <w:sz w:val="18"/>
          <w:szCs w:val="18"/>
          <w:color w:val="auto"/>
        </w:rPr>
        <w: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and against all Losses in connection with such Proceeding, in each case:</w:t>
      </w:r>
    </w:p>
    <w:p>
      <w:pPr>
        <w:spacing w:after="0" w:line="257" w:lineRule="exact"/>
        <w:rPr>
          <w:sz w:val="20"/>
          <w:szCs w:val="20"/>
          <w:color w:val="auto"/>
        </w:rPr>
      </w:pPr>
    </w:p>
    <w:p>
      <w:pPr>
        <w:ind w:left="1540" w:hanging="511"/>
        <w:spacing w:after="0" w:line="318" w:lineRule="auto"/>
        <w:tabs>
          <w:tab w:leader="none" w:pos="150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the Swiss Code of Obligations (the </w:t>
      </w:r>
      <w:r>
        <w:rPr>
          <w:rFonts w:ascii="Arial" w:cs="Arial" w:eastAsia="Arial" w:hAnsi="Arial"/>
          <w:sz w:val="18"/>
          <w:szCs w:val="18"/>
          <w:b w:val="1"/>
          <w:bCs w:val="1"/>
          <w:color w:val="auto"/>
        </w:rPr>
        <w:t>CO</w:t>
      </w:r>
      <w:r>
        <w:rPr>
          <w:rFonts w:ascii="Arial" w:cs="Arial" w:eastAsia="Arial" w:hAnsi="Arial"/>
          <w:sz w:val="18"/>
          <w:szCs w:val="18"/>
          <w:color w:val="auto"/>
        </w:rPr>
        <w:t>), other applicable laws and regulations and the Articles, as may be amended from time to time; and</w:t>
      </w:r>
    </w:p>
    <w:p>
      <w:pPr>
        <w:spacing w:after="0" w:line="67" w:lineRule="exact"/>
        <w:rPr>
          <w:rFonts w:ascii="Arial" w:cs="Arial" w:eastAsia="Arial" w:hAnsi="Arial"/>
          <w:sz w:val="18"/>
          <w:szCs w:val="18"/>
          <w:color w:val="auto"/>
        </w:rPr>
      </w:pPr>
    </w:p>
    <w:p>
      <w:pPr>
        <w:jc w:val="both"/>
        <w:ind w:left="1540" w:right="20" w:hanging="511"/>
        <w:spacing w:after="0" w:line="287" w:lineRule="auto"/>
        <w:tabs>
          <w:tab w:leader="none" w:pos="150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provided that the Indemnitee acted in good faith and in a manner which he or she reasonably believed to be in the best interest of the Company and/or the applicable subsidiary and/or Enterprise, as the case may be, and in addition, with respect to any criminal Proceeding, he or she had no reasonable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4/12</w:t>
      </w:r>
    </w:p>
    <w:p>
      <w:pPr>
        <w:sectPr>
          <w:pgSz w:w="11900" w:h="16838" w:orient="portrait"/>
          <w:cols w:equalWidth="0" w:num="1">
            <w:col w:w="11240"/>
          </w:cols>
          <w:pgMar w:left="320" w:top="134" w:right="339" w:bottom="1440" w:gutter="0" w:footer="0" w:header="0"/>
          <w:type w:val="continuous"/>
        </w:sectPr>
      </w:pPr>
    </w:p>
    <w:bookmarkStart w:id="345" w:name="page346"/>
    <w:bookmarkEnd w:id="345"/>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1540"/>
        <w:spacing w:after="0" w:line="287" w:lineRule="auto"/>
        <w:rPr>
          <w:sz w:val="20"/>
          <w:szCs w:val="20"/>
          <w:color w:val="auto"/>
        </w:rPr>
      </w:pPr>
      <w:r>
        <w:rPr>
          <w:rFonts w:ascii="Arial" w:cs="Arial" w:eastAsia="Arial" w:hAnsi="Arial"/>
          <w:sz w:val="18"/>
          <w:szCs w:val="18"/>
          <w:color w:val="auto"/>
        </w:rPr>
        <w:t>to believe his or her conduct was unlawful. The termination of any Proceeding by judgment, order, (in or out of court) settlement or conviction, or upon a plea of no contest (</w:t>
      </w:r>
      <w:r>
        <w:rPr>
          <w:rFonts w:ascii="Arial" w:cs="Arial" w:eastAsia="Arial" w:hAnsi="Arial"/>
          <w:sz w:val="18"/>
          <w:szCs w:val="18"/>
          <w:i w:val="1"/>
          <w:iCs w:val="1"/>
          <w:color w:val="auto"/>
        </w:rPr>
        <w:t>nolo contendere</w:t>
      </w:r>
      <w:r>
        <w:rPr>
          <w:rFonts w:ascii="Arial" w:cs="Arial" w:eastAsia="Arial" w:hAnsi="Arial"/>
          <w:sz w:val="18"/>
          <w:szCs w:val="18"/>
          <w:color w:val="auto"/>
        </w:rPr>
        <w:t>) or its equivalent, shall not, of itself, create a presumption that the Indemnitee did not satisfy the foregoing applicable standard of conduct.</w:t>
      </w:r>
    </w:p>
    <w:p>
      <w:pPr>
        <w:spacing w:after="0" w:line="94" w:lineRule="exact"/>
        <w:rPr>
          <w:sz w:val="20"/>
          <w:szCs w:val="20"/>
          <w:color w:val="auto"/>
        </w:rPr>
      </w:pPr>
    </w:p>
    <w:p>
      <w:pPr>
        <w:ind w:left="520" w:right="20" w:hanging="512"/>
        <w:spacing w:after="0" w:line="293" w:lineRule="auto"/>
        <w:tabs>
          <w:tab w:leader="none" w:pos="52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Notwithstanding any provision in this Agreement to the contrary, the Company shall not be obliged to indemnify the Indemnitee in connection with any Proceeding, and the Indemnitee shall repay any Expenses advanced by the Company:</w:t>
      </w:r>
    </w:p>
    <w:p>
      <w:pPr>
        <w:spacing w:after="0" w:line="88" w:lineRule="exact"/>
        <w:rPr>
          <w:rFonts w:ascii="Arial" w:cs="Arial" w:eastAsia="Arial" w:hAnsi="Arial"/>
          <w:sz w:val="18"/>
          <w:szCs w:val="18"/>
          <w:color w:val="auto"/>
        </w:rPr>
      </w:pPr>
    </w:p>
    <w:p>
      <w:pPr>
        <w:jc w:val="right"/>
        <w:ind w:left="1020" w:hanging="502"/>
        <w:spacing w:after="0" w:line="281" w:lineRule="auto"/>
        <w:tabs>
          <w:tab w:leader="none" w:pos="92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 respect of any claim, issue or matter as to which the Indemnitee shall have (A) been adjudged in a final and non-appealable judgment or decree of a court, arbitral tribunal or governmental or administrative authority of competent jurisdiction to have</w:t>
      </w:r>
    </w:p>
    <w:p>
      <w:pPr>
        <w:spacing w:after="0" w:line="1" w:lineRule="exact"/>
        <w:rPr>
          <w:rFonts w:ascii="Arial" w:cs="Arial" w:eastAsia="Arial" w:hAnsi="Arial"/>
          <w:sz w:val="18"/>
          <w:szCs w:val="18"/>
          <w:color w:val="auto"/>
        </w:rPr>
      </w:pPr>
    </w:p>
    <w:p>
      <w:pPr>
        <w:jc w:val="both"/>
        <w:ind w:left="1020"/>
        <w:spacing w:after="0" w:line="284" w:lineRule="auto"/>
        <w:rPr>
          <w:rFonts w:ascii="Arial" w:cs="Arial" w:eastAsia="Arial" w:hAnsi="Arial"/>
          <w:sz w:val="18"/>
          <w:szCs w:val="18"/>
          <w:color w:val="auto"/>
        </w:rPr>
      </w:pPr>
      <w:r>
        <w:rPr>
          <w:rFonts w:ascii="Arial" w:cs="Arial" w:eastAsia="Arial" w:hAnsi="Arial"/>
          <w:sz w:val="18"/>
          <w:szCs w:val="18"/>
          <w:color w:val="auto"/>
        </w:rPr>
        <w:t>committed an intentional or grossly negligent breach of his or her duties as a member of the Board and / or the Management Board under applicable laws and regulations, the Articles and the Company's Organizational Rules (</w:t>
      </w:r>
      <w:r>
        <w:rPr>
          <w:rFonts w:ascii="Arial" w:cs="Arial" w:eastAsia="Arial" w:hAnsi="Arial"/>
          <w:sz w:val="18"/>
          <w:szCs w:val="18"/>
          <w:i w:val="1"/>
          <w:iCs w:val="1"/>
          <w:color w:val="auto"/>
        </w:rPr>
        <w:t>Organisationsreglement</w:t>
      </w:r>
      <w:r>
        <w:rPr>
          <w:rFonts w:ascii="Arial" w:cs="Arial" w:eastAsia="Arial" w:hAnsi="Arial"/>
          <w:sz w:val="18"/>
          <w:szCs w:val="18"/>
          <w:color w:val="auto"/>
        </w:rPr>
        <w:t>) and other material internal policies, and / or the Indemnitee's mandate, service or employment, or (B) acknowledged an intentional or grossly negligent breach of his or her duties as a member of the Board and / or the Management Board under applicable laws and regulations, the Articles, the Company's internal regulations or policies and / or the Indemnitee's mandate, service, employment or other agreement in a written in or out of court or tribunal acknowledgment or settlement; or</w:t>
      </w:r>
    </w:p>
    <w:p>
      <w:pPr>
        <w:spacing w:after="0" w:line="96" w:lineRule="exact"/>
        <w:rPr>
          <w:rFonts w:ascii="Arial" w:cs="Arial" w:eastAsia="Arial" w:hAnsi="Arial"/>
          <w:sz w:val="18"/>
          <w:szCs w:val="18"/>
          <w:color w:val="auto"/>
        </w:rPr>
      </w:pPr>
    </w:p>
    <w:p>
      <w:pPr>
        <w:ind w:left="920" w:hanging="402"/>
        <w:spacing w:after="0"/>
        <w:tabs>
          <w:tab w:leader="none" w:pos="9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if such indemnification were prohibited by the CO or other applicable laws and regulations.</w:t>
      </w:r>
    </w:p>
    <w:p>
      <w:pPr>
        <w:spacing w:after="0" w:line="144" w:lineRule="exact"/>
        <w:rPr>
          <w:rFonts w:ascii="Arial" w:cs="Arial" w:eastAsia="Arial" w:hAnsi="Arial"/>
          <w:sz w:val="18"/>
          <w:szCs w:val="18"/>
          <w:color w:val="auto"/>
        </w:rPr>
      </w:pPr>
    </w:p>
    <w:p>
      <w:pPr>
        <w:ind w:left="520" w:hanging="512"/>
        <w:spacing w:after="0" w:line="283" w:lineRule="auto"/>
        <w:tabs>
          <w:tab w:leader="none" w:pos="44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the fullest extent permitted under the CO and other applicable laws and regulations, the Company waives, and will cause any of its subsidiaries to waive, any claims it may have against the Indemnitee for any loss, damage, costs or expenses incurred or sustained by the Company and / or any of its subsidiaries by reason of any acts, consents or omissions by the Indemnitee in connection with the execution of his or her duties as a member of the Board and / or the Management Board, unless any such loss, damage, costs or expenses is or are attributable to conduct (including omissions) constituting an intentional or grossly negligent breach of his or her duties as a member of the Board and / or the Management Board under applicable laws and regulations, the Articles, the Company's internal regulations or policies and / or the Indemnitee's mandate, service, employment or other agreement.</w:t>
      </w:r>
    </w:p>
    <w:p>
      <w:pPr>
        <w:spacing w:after="0" w:line="100" w:lineRule="exact"/>
        <w:rPr>
          <w:rFonts w:ascii="Arial" w:cs="Arial" w:eastAsia="Arial" w:hAnsi="Arial"/>
          <w:sz w:val="18"/>
          <w:szCs w:val="18"/>
          <w:color w:val="auto"/>
        </w:rPr>
      </w:pPr>
    </w:p>
    <w:p>
      <w:pPr>
        <w:jc w:val="both"/>
        <w:ind w:left="520" w:hanging="512"/>
        <w:spacing w:after="0" w:line="287" w:lineRule="auto"/>
        <w:tabs>
          <w:tab w:leader="none" w:pos="49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the extent that the Indemnitee is, by reason of his or her capacity as a member of the Board and / or the Management Board, a witness or required attendee in any Proceeding, he or she shall be indemnified by the Company against all Expenses in connection therewith.</w:t>
      </w:r>
    </w:p>
    <w:p>
      <w:pPr>
        <w:spacing w:after="0" w:line="94" w:lineRule="exact"/>
        <w:rPr>
          <w:rFonts w:ascii="Arial" w:cs="Arial" w:eastAsia="Arial" w:hAnsi="Arial"/>
          <w:sz w:val="18"/>
          <w:szCs w:val="18"/>
          <w:color w:val="auto"/>
        </w:rPr>
      </w:pPr>
    </w:p>
    <w:p>
      <w:pPr>
        <w:ind w:left="520" w:hanging="512"/>
        <w:spacing w:after="0" w:line="285" w:lineRule="auto"/>
        <w:tabs>
          <w:tab w:leader="none" w:pos="439"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indemnification under this Agreement (unless ordered by a court or arbitral tribunal), other than the advance of Expenses pursuant to Section 4.2, will be made by the Company only upon a determination relating to a specific case that indemnification of the Indemnitee is proper in the circumstances because he or she has satisfied the applicable standard of conduct set forth in Section 2(a) and is not subject to the limitations set forth in Section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5/12</w:t>
      </w:r>
    </w:p>
    <w:p>
      <w:pPr>
        <w:sectPr>
          <w:pgSz w:w="11900" w:h="16838" w:orient="portrait"/>
          <w:cols w:equalWidth="0" w:num="1">
            <w:col w:w="11240"/>
          </w:cols>
          <w:pgMar w:left="320" w:top="134" w:right="339" w:bottom="1440" w:gutter="0" w:footer="0" w:header="0"/>
        </w:sectPr>
      </w:pPr>
    </w:p>
    <w:bookmarkStart w:id="346" w:name="page347"/>
    <w:bookmarkEnd w:id="346"/>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 w:hanging="352"/>
        <w:spacing w:after="0"/>
        <w:tabs>
          <w:tab w:leader="none" w:pos="3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Successful Defense and Partial Indemnification</w:t>
      </w:r>
    </w:p>
    <w:p>
      <w:pPr>
        <w:spacing w:after="0" w:line="315" w:lineRule="exact"/>
        <w:rPr>
          <w:sz w:val="20"/>
          <w:szCs w:val="20"/>
          <w:color w:val="auto"/>
        </w:rPr>
      </w:pPr>
    </w:p>
    <w:p>
      <w:pPr>
        <w:ind w:left="640" w:hanging="632"/>
        <w:spacing w:after="0" w:line="303" w:lineRule="auto"/>
        <w:tabs>
          <w:tab w:leader="none" w:pos="42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the extent that the Indemnitee has been successful on the merits or otherwise, including the dismissal of an action without prejudice, in defense of any Proceeding pursuant to Section 2(a), or in defense of any claim, issue or matter therein, the Company shall, subject to the limitations set forth in this Agreement, indemnify the Indemnitee against all Expenses in connection therewith.</w:t>
      </w:r>
    </w:p>
    <w:p>
      <w:pPr>
        <w:spacing w:after="0" w:line="215" w:lineRule="exact"/>
        <w:rPr>
          <w:rFonts w:ascii="Arial" w:cs="Arial" w:eastAsia="Arial" w:hAnsi="Arial"/>
          <w:sz w:val="18"/>
          <w:szCs w:val="18"/>
          <w:color w:val="auto"/>
        </w:rPr>
      </w:pPr>
    </w:p>
    <w:p>
      <w:pPr>
        <w:ind w:left="640" w:hanging="632"/>
        <w:spacing w:after="0" w:line="303" w:lineRule="auto"/>
        <w:tabs>
          <w:tab w:leader="none" w:pos="50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the Indemnitee is entitled under any provision of this Agreement to indemnification by the Company for some or a portion of any Expenses in connection with the investigation, defense, settlement or appeal of a Proceeding, but not for the total amount thereof, the Company shall nevertheless indemnify the Indemnitee for the portion thereof to which Indemnitee is entitled.</w:t>
      </w:r>
    </w:p>
    <w:p>
      <w:pPr>
        <w:spacing w:after="0" w:line="193" w:lineRule="exact"/>
        <w:rPr>
          <w:sz w:val="20"/>
          <w:szCs w:val="20"/>
          <w:color w:val="auto"/>
        </w:rPr>
      </w:pPr>
    </w:p>
    <w:p>
      <w:pPr>
        <w:ind w:left="360" w:hanging="352"/>
        <w:spacing w:after="0"/>
        <w:tabs>
          <w:tab w:leader="none" w:pos="3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Procedure</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Notification and Indemnification Request</w:t>
      </w:r>
    </w:p>
    <w:p>
      <w:pPr>
        <w:spacing w:after="0" w:line="301" w:lineRule="exact"/>
        <w:rPr>
          <w:sz w:val="20"/>
          <w:szCs w:val="20"/>
          <w:color w:val="auto"/>
        </w:rPr>
      </w:pPr>
    </w:p>
    <w:p>
      <w:pPr>
        <w:jc w:val="both"/>
        <w:ind w:left="640" w:hanging="632"/>
        <w:spacing w:after="0" w:line="297" w:lineRule="auto"/>
        <w:tabs>
          <w:tab w:leader="none" w:pos="57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Indemnitee shall promptly notify the Company in writing upon being served with any claim, summons, citation, subpoena, complaint, indictment, information or other document relating to any Proceeding or matter which may be subject to indemnification of</w:t>
      </w:r>
    </w:p>
    <w:p>
      <w:pPr>
        <w:jc w:val="both"/>
        <w:ind w:left="640"/>
        <w:spacing w:after="0" w:line="301" w:lineRule="auto"/>
        <w:rPr>
          <w:rFonts w:ascii="Arial" w:cs="Arial" w:eastAsia="Arial" w:hAnsi="Arial"/>
          <w:sz w:val="18"/>
          <w:szCs w:val="18"/>
          <w:color w:val="auto"/>
        </w:rPr>
      </w:pPr>
      <w:r>
        <w:rPr>
          <w:rFonts w:ascii="Arial" w:cs="Arial" w:eastAsia="Arial" w:hAnsi="Arial"/>
          <w:sz w:val="18"/>
          <w:szCs w:val="18"/>
          <w:color w:val="auto"/>
        </w:rPr>
        <w:t xml:space="preserve">Losses and / or advancement of Expenses covered hereunder (any such proceeding (whether notified by the Indemnitee or otherwise known to the Company), a </w:t>
      </w:r>
      <w:r>
        <w:rPr>
          <w:rFonts w:ascii="Arial" w:cs="Arial" w:eastAsia="Arial" w:hAnsi="Arial"/>
          <w:sz w:val="18"/>
          <w:szCs w:val="18"/>
          <w:b w:val="1"/>
          <w:bCs w:val="1"/>
          <w:color w:val="auto"/>
        </w:rPr>
        <w:t>Relevant Proceeding</w:t>
      </w:r>
      <w:r>
        <w:rPr>
          <w:rFonts w:ascii="Arial" w:cs="Arial" w:eastAsia="Arial" w:hAnsi="Arial"/>
          <w:sz w:val="18"/>
          <w:szCs w:val="18"/>
          <w:color w:val="auto"/>
        </w:rPr>
        <w:t>). The failure of the Indemnitee to so notify the Company shall not relieve the Company of any obligation which it may have to the Indemnitee under this Agreement, unless and only to the extent that such failure actually and materially prejudices the Company.</w:t>
      </w:r>
    </w:p>
    <w:p>
      <w:pPr>
        <w:spacing w:after="0" w:line="217" w:lineRule="exact"/>
        <w:rPr>
          <w:rFonts w:ascii="Arial" w:cs="Arial" w:eastAsia="Arial" w:hAnsi="Arial"/>
          <w:sz w:val="18"/>
          <w:szCs w:val="18"/>
          <w:color w:val="auto"/>
        </w:rPr>
      </w:pPr>
    </w:p>
    <w:p>
      <w:pPr>
        <w:ind w:left="640" w:hanging="632"/>
        <w:spacing w:after="0" w:line="300" w:lineRule="auto"/>
        <w:tabs>
          <w:tab w:leader="none" w:pos="44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 order to obtain indemnification of Losses and / or an advance of Expenses under this Agreement, the Indemnitee shall submit to the Company a written request, including such documentation and information as is reasonably available to the Indemnitee and is reasonably necessary to determine whether and to what extent the Indemnitee is entitled to such indemnification or advance, including the person(s) making (or threatening to make) the respective Proceeding, the circumstances leading to such a Proceeding, the cause of action for the Proceeding and the possible costs associated with the Proceeding.</w:t>
      </w:r>
    </w:p>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Advance of Expenses</w:t>
      </w:r>
    </w:p>
    <w:p>
      <w:pPr>
        <w:spacing w:after="0" w:line="315" w:lineRule="exact"/>
        <w:rPr>
          <w:sz w:val="20"/>
          <w:szCs w:val="20"/>
          <w:color w:val="auto"/>
        </w:rPr>
      </w:pPr>
    </w:p>
    <w:p>
      <w:pPr>
        <w:ind w:left="640" w:hanging="632"/>
        <w:spacing w:after="0" w:line="299" w:lineRule="auto"/>
        <w:tabs>
          <w:tab w:leader="none" w:pos="45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Without prejudice to the entitlement of the Indemnitee to indemnification of Losses under this Agreement, the Company shall advance to the Indemnitee all Expenses in connection with (i) any Proceeding pursuant to Section 2(a), (ii) any proceeding or action reasonably brought by the Indemnitee to seek recovery under the D&amp;O Insurance (as defined below) and (iii) any proceeding or action reasonably brought by the Indemnitee to enforce this Agreement pursuant to Section 6, in each case within 20 (twenty) Business Days after receipt by the Company of a statement pursuant to Section 4.1 from the Indemnitee requesting such advance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6/12</w:t>
      </w:r>
    </w:p>
    <w:p>
      <w:pPr>
        <w:sectPr>
          <w:pgSz w:w="11900" w:h="16838" w:orient="portrait"/>
          <w:cols w:equalWidth="0" w:num="1">
            <w:col w:w="11240"/>
          </w:cols>
          <w:pgMar w:left="320" w:top="134" w:right="339" w:bottom="1440" w:gutter="0" w:footer="0" w:header="0"/>
        </w:sectPr>
      </w:pPr>
    </w:p>
    <w:bookmarkStart w:id="347" w:name="page348"/>
    <w:bookmarkEnd w:id="347"/>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evidencing such Expenses, whether prior to or after the final disposition of such proceeding.</w:t>
      </w:r>
    </w:p>
    <w:p>
      <w:pPr>
        <w:spacing w:after="0" w:line="293" w:lineRule="exact"/>
        <w:rPr>
          <w:sz w:val="20"/>
          <w:szCs w:val="20"/>
          <w:color w:val="auto"/>
        </w:rPr>
      </w:pPr>
    </w:p>
    <w:p>
      <w:pPr>
        <w:ind w:left="640" w:hanging="632"/>
        <w:spacing w:after="0" w:line="308" w:lineRule="auto"/>
        <w:tabs>
          <w:tab w:leader="none" w:pos="44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Indemnitee shall repay any Expenses advanced by the Company if it is ultimately determined that the Indemnitee is not entitled to be indemnified against such Expenses.</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Payment to Cover Losses</w:t>
      </w:r>
    </w:p>
    <w:p>
      <w:pPr>
        <w:spacing w:after="0" w:line="301" w:lineRule="exact"/>
        <w:rPr>
          <w:sz w:val="20"/>
          <w:szCs w:val="20"/>
          <w:color w:val="auto"/>
        </w:rPr>
      </w:pPr>
    </w:p>
    <w:p>
      <w:pPr>
        <w:jc w:val="both"/>
        <w:ind w:left="640"/>
        <w:spacing w:after="0" w:line="301" w:lineRule="auto"/>
        <w:rPr>
          <w:sz w:val="20"/>
          <w:szCs w:val="20"/>
          <w:color w:val="auto"/>
        </w:rPr>
      </w:pPr>
      <w:r>
        <w:rPr>
          <w:rFonts w:ascii="Arial" w:cs="Arial" w:eastAsia="Arial" w:hAnsi="Arial"/>
          <w:sz w:val="18"/>
          <w:szCs w:val="18"/>
          <w:color w:val="auto"/>
        </w:rPr>
        <w:t>Notwithstanding any right for repayment the Company may have under this Agreement and subject to the determination by the Company pursuant to Section 2(e), any payment to the Indemnitee to cover Losses pursuant to the indemnification entitlement according to Section 2 shall be made no later than 20 (twenty) Business Days after the Company has received the written request of the Indemnitee pursuant to Section 4.1.</w:t>
      </w:r>
    </w:p>
    <w:p>
      <w:pPr>
        <w:spacing w:after="0" w:line="209" w:lineRule="exact"/>
        <w:rPr>
          <w:sz w:val="20"/>
          <w:szCs w:val="20"/>
          <w:color w:val="auto"/>
        </w:rPr>
      </w:pPr>
    </w:p>
    <w:p>
      <w:pPr>
        <w:ind w:left="360" w:hanging="352"/>
        <w:spacing w:after="0"/>
        <w:tabs>
          <w:tab w:leader="none" w:pos="3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Insurance; Subrogation</w:t>
      </w:r>
    </w:p>
    <w:p>
      <w:pPr>
        <w:spacing w:after="0" w:line="301" w:lineRule="exact"/>
        <w:rPr>
          <w:sz w:val="20"/>
          <w:szCs w:val="20"/>
          <w:color w:val="auto"/>
        </w:rPr>
      </w:pPr>
    </w:p>
    <w:p>
      <w:pPr>
        <w:ind w:left="640" w:hanging="632"/>
        <w:spacing w:after="0" w:line="301" w:lineRule="auto"/>
        <w:tabs>
          <w:tab w:leader="none" w:pos="45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rights of indemnification of Losses and to receive advancement of Expenses as provided by this Agreement shall not be deemed exclusive of, and shall not limit, any other rights to which the Indemnitee may at any time be entitled under applicable law, the Articles, a resolution of the general meeting of shareholders of the Company or the Board, the D&amp;O Insurance (as defined below), the Other Indemnification Documents, any other agreement or otherwise.</w:t>
      </w:r>
    </w:p>
    <w:p>
      <w:pPr>
        <w:spacing w:after="0" w:line="217" w:lineRule="exact"/>
        <w:rPr>
          <w:rFonts w:ascii="Arial" w:cs="Arial" w:eastAsia="Arial" w:hAnsi="Arial"/>
          <w:sz w:val="18"/>
          <w:szCs w:val="18"/>
          <w:color w:val="auto"/>
        </w:rPr>
      </w:pPr>
    </w:p>
    <w:p>
      <w:pPr>
        <w:ind w:left="640" w:hanging="632"/>
        <w:spacing w:after="0" w:line="301" w:lineRule="auto"/>
        <w:tabs>
          <w:tab w:leader="none" w:pos="43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To the extent that the Company maintains an insurance policy or policies providing liability insurance for members of the Board and / or the Management Board (the </w:t>
      </w:r>
      <w:r>
        <w:rPr>
          <w:rFonts w:ascii="Arial" w:cs="Arial" w:eastAsia="Arial" w:hAnsi="Arial"/>
          <w:sz w:val="18"/>
          <w:szCs w:val="18"/>
          <w:b w:val="1"/>
          <w:bCs w:val="1"/>
          <w:color w:val="auto"/>
        </w:rPr>
        <w:t>D&amp;O Insurance</w:t>
      </w:r>
      <w:r>
        <w:rPr>
          <w:rFonts w:ascii="Arial" w:cs="Arial" w:eastAsia="Arial" w:hAnsi="Arial"/>
          <w:sz w:val="18"/>
          <w:szCs w:val="18"/>
          <w:color w:val="auto"/>
        </w:rPr>
        <w:t>), the Indemnitee shall be covered by such D&amp;O Insurance in accordance with its terms to the maximum extent of the coverage available for any such members of the Board and / or the Management Board under such D&amp;O Insurance.</w:t>
      </w:r>
    </w:p>
    <w:p>
      <w:pPr>
        <w:spacing w:after="0" w:line="217" w:lineRule="exact"/>
        <w:rPr>
          <w:rFonts w:ascii="Arial" w:cs="Arial" w:eastAsia="Arial" w:hAnsi="Arial"/>
          <w:sz w:val="18"/>
          <w:szCs w:val="18"/>
          <w:color w:val="auto"/>
        </w:rPr>
      </w:pPr>
    </w:p>
    <w:p>
      <w:pPr>
        <w:ind w:left="640" w:hanging="632"/>
        <w:spacing w:after="0" w:line="299" w:lineRule="auto"/>
        <w:tabs>
          <w:tab w:leader="none" w:pos="42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at the time the Company receives notice of a Relevant Proceeding by the Indemnitee, the Company maintains a D&amp;O Insurance and without limitation to the Company's obligations under this Agreement, the Company shall give prompt notice of such Proceeding to the insurance company providing the D&amp;O Insurance and take all necessary or desirable actions to cause such insurance company to pay, on behalf of the Indemnitee, all amounts payable as a result of such Proceeding in accordance with the terms and conditions of the D&amp;O Insurance, provided that this obligation shall not relieve the Indemnitee from any of his or her obligations under the D&amp;O Insurance.</w:t>
      </w:r>
    </w:p>
    <w:p>
      <w:pPr>
        <w:spacing w:after="0" w:line="234" w:lineRule="exact"/>
        <w:rPr>
          <w:rFonts w:ascii="Arial" w:cs="Arial" w:eastAsia="Arial" w:hAnsi="Arial"/>
          <w:sz w:val="18"/>
          <w:szCs w:val="18"/>
          <w:color w:val="auto"/>
        </w:rPr>
      </w:pPr>
    </w:p>
    <w:p>
      <w:pPr>
        <w:ind w:left="640" w:right="20" w:hanging="632"/>
        <w:spacing w:after="0" w:line="308" w:lineRule="auto"/>
        <w:tabs>
          <w:tab w:leader="none" w:pos="4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Company shall indemnify the Indemnitee against all Expenses in connection with any proceeding or action reasonably brought by the Indemnitee to seek recovery under the D&amp;O Insurance.</w:t>
      </w:r>
    </w:p>
    <w:p>
      <w:pPr>
        <w:spacing w:after="0" w:line="211" w:lineRule="exact"/>
        <w:rPr>
          <w:rFonts w:ascii="Arial" w:cs="Arial" w:eastAsia="Arial" w:hAnsi="Arial"/>
          <w:sz w:val="18"/>
          <w:szCs w:val="18"/>
          <w:color w:val="auto"/>
        </w:rPr>
      </w:pPr>
    </w:p>
    <w:p>
      <w:pPr>
        <w:ind w:left="640" w:hanging="632"/>
        <w:spacing w:after="0" w:line="303" w:lineRule="auto"/>
        <w:tabs>
          <w:tab w:leader="none" w:pos="46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of amounts otherwise indemnifiable hereunder if and to the extent that the Indemnitee is entitled to receive such payment under the D&amp;O Insurance or has otherwise received such payment under any insurance policy, contract,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7/12</w:t>
      </w:r>
    </w:p>
    <w:p>
      <w:pPr>
        <w:sectPr>
          <w:pgSz w:w="11900" w:h="16838" w:orient="portrait"/>
          <w:cols w:equalWidth="0" w:num="1">
            <w:col w:w="11240"/>
          </w:cols>
          <w:pgMar w:left="320" w:top="134" w:right="339" w:bottom="1440" w:gutter="0" w:footer="0" w:header="0"/>
        </w:sectPr>
      </w:pPr>
    </w:p>
    <w:bookmarkStart w:id="348" w:name="page349"/>
    <w:bookmarkEnd w:id="348"/>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632"/>
        <w:spacing w:after="0" w:line="303" w:lineRule="auto"/>
        <w:tabs>
          <w:tab w:leader="none" w:pos="37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the Indemnitee, who shall execute all papers required and take all action necessary to secure such rights, including the execution of such documents necessary to enable the Company effectively to bring suit to enforce such rights.</w:t>
      </w:r>
    </w:p>
    <w:p>
      <w:pPr>
        <w:spacing w:after="0" w:line="207" w:lineRule="exact"/>
        <w:rPr>
          <w:sz w:val="20"/>
          <w:szCs w:val="20"/>
          <w:color w:val="auto"/>
        </w:rPr>
      </w:pPr>
    </w:p>
    <w:p>
      <w:pPr>
        <w:ind w:left="360" w:hanging="352"/>
        <w:spacing w:after="0"/>
        <w:tabs>
          <w:tab w:leader="none" w:pos="3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the Indemnitee</w:t>
      </w:r>
    </w:p>
    <w:p>
      <w:pPr>
        <w:spacing w:after="0" w:line="301" w:lineRule="exact"/>
        <w:rPr>
          <w:sz w:val="20"/>
          <w:szCs w:val="20"/>
          <w:color w:val="auto"/>
        </w:rPr>
      </w:pPr>
    </w:p>
    <w:p>
      <w:pPr>
        <w:jc w:val="both"/>
        <w:ind w:left="640"/>
        <w:spacing w:after="0" w:line="298" w:lineRule="auto"/>
        <w:rPr>
          <w:sz w:val="20"/>
          <w:szCs w:val="20"/>
          <w:color w:val="auto"/>
        </w:rPr>
      </w:pPr>
      <w:r>
        <w:rPr>
          <w:rFonts w:ascii="Arial" w:cs="Arial" w:eastAsia="Arial" w:hAnsi="Arial"/>
          <w:sz w:val="18"/>
          <w:szCs w:val="18"/>
          <w:color w:val="auto"/>
        </w:rPr>
        <w:t xml:space="preserve">If the Indemnitee initiates any action, suit, claim or any other proceeding to enforce his or her rights under this Agreement, the Indemnitee shall be entitled to recover from the Company, and shall be indemnified by the Company against, any and all Expenses in connection with such proceeding;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competent court determines that any of the material assertions made by the Indemnitee in such proceeding was not made in good faith or was frivolous or if the final and non-appealable judgment or decree of a court confirms the Company's decision that the Indemnitee is not entitled to recover from the Company, then the Expenses in connection with such proceeding shall be borne by the Indemnitee, and the Indemnitee shall repay to the Company any advance payments. If it is determined in such proceeding that the Indemnitee is entitled to receive part but not all of the indemnification or advance of Expenses sought, the Expenses in connection with such proceeding shall be appropriately prorated and the Indemnitee shall repay to the Company the respective portion of the advance payments.</w:t>
      </w:r>
    </w:p>
    <w:p>
      <w:pPr>
        <w:spacing w:after="0" w:line="203" w:lineRule="exact"/>
        <w:rPr>
          <w:sz w:val="20"/>
          <w:szCs w:val="20"/>
          <w:color w:val="auto"/>
        </w:rPr>
      </w:pPr>
    </w:p>
    <w:p>
      <w:pPr>
        <w:ind w:left="360" w:hanging="352"/>
        <w:spacing w:after="0"/>
        <w:tabs>
          <w:tab w:leader="none" w:pos="3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Company's Right to Participate</w:t>
      </w:r>
    </w:p>
    <w:p>
      <w:pPr>
        <w:spacing w:after="0" w:line="315" w:lineRule="exact"/>
        <w:rPr>
          <w:sz w:val="20"/>
          <w:szCs w:val="20"/>
          <w:color w:val="auto"/>
        </w:rPr>
      </w:pPr>
    </w:p>
    <w:p>
      <w:pPr>
        <w:ind w:left="640" w:right="20" w:hanging="632"/>
        <w:spacing w:after="0" w:line="308" w:lineRule="auto"/>
        <w:tabs>
          <w:tab w:leader="none" w:pos="53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Company shall be entitled to participate in any Relevant Proceeding at its own expense and to assume the defense of any Relevant Proceeding.</w:t>
      </w:r>
    </w:p>
    <w:p>
      <w:pPr>
        <w:spacing w:after="0" w:line="211" w:lineRule="exact"/>
        <w:rPr>
          <w:rFonts w:ascii="Arial" w:cs="Arial" w:eastAsia="Arial" w:hAnsi="Arial"/>
          <w:sz w:val="18"/>
          <w:szCs w:val="18"/>
          <w:color w:val="auto"/>
        </w:rPr>
      </w:pPr>
    </w:p>
    <w:p>
      <w:pPr>
        <w:ind w:left="640" w:hanging="632"/>
        <w:spacing w:after="0" w:line="298" w:lineRule="auto"/>
        <w:tabs>
          <w:tab w:leader="none" w:pos="41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After notice from the Company to the Indemnitee of its election to assume the defense of a Relevant Proceeding, the Company shall not be liable to the Indemnitee under this Agreement for any Expenses subsequently incurred by the Indemnitee in connection with the defense of such Relevant Proceeding other than reasonable costs of investigation or as otherwise provided below. The Indemnitee shall have the right to employ his or her own counsel in such Relevant Proceeding, but the fees and expenses of such counsel incurred after notice from the Company of its assumption of the defense thereof shall be at the sole expense of the Indemnitee unless (i) the Indemnitee's counsel shall have reasonably concluded that there may be a conflict of interest between the Company and the Indemnitee in the conduct of the defense of such Relevant Proceeding or (ii) the Company shall not in fact have employed counsel to assume the defense of such Relevant Proceeding, in each of which cases the reasonable fees and expenses of the Indemnitee's counsel shall be at the expense of the Company.</w:t>
      </w:r>
    </w:p>
    <w:p>
      <w:pPr>
        <w:spacing w:after="0" w:line="224" w:lineRule="exact"/>
        <w:rPr>
          <w:rFonts w:ascii="Arial" w:cs="Arial" w:eastAsia="Arial" w:hAnsi="Arial"/>
          <w:sz w:val="18"/>
          <w:szCs w:val="18"/>
          <w:color w:val="auto"/>
        </w:rPr>
      </w:pPr>
    </w:p>
    <w:p>
      <w:pPr>
        <w:ind w:left="640" w:hanging="632"/>
        <w:spacing w:after="0" w:line="303" w:lineRule="auto"/>
        <w:tabs>
          <w:tab w:leader="none" w:pos="55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Company shall not be liable to indemnify the Indemnitee under this Agreement for any amounts paid in settlement of any Proceeding effected without its written consent. The Indemnitee shall not make any admission without the Company's written consent unless the Indemnitee shall have determined to undertake his or her own defense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8/12</w:t>
      </w:r>
    </w:p>
    <w:p>
      <w:pPr>
        <w:sectPr>
          <w:pgSz w:w="11900" w:h="16838" w:orient="portrait"/>
          <w:cols w:equalWidth="0" w:num="1">
            <w:col w:w="11240"/>
          </w:cols>
          <w:pgMar w:left="320" w:top="134" w:right="339" w:bottom="1440" w:gutter="0" w:footer="0" w:header="0"/>
        </w:sectPr>
      </w:pPr>
    </w:p>
    <w:bookmarkStart w:id="349" w:name="page350"/>
    <w:bookmarkEnd w:id="349"/>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640"/>
        <w:spacing w:after="0" w:line="301" w:lineRule="auto"/>
        <w:rPr>
          <w:sz w:val="20"/>
          <w:szCs w:val="20"/>
          <w:color w:val="auto"/>
        </w:rPr>
      </w:pPr>
      <w:r>
        <w:rPr>
          <w:rFonts w:ascii="Arial" w:cs="Arial" w:eastAsia="Arial" w:hAnsi="Arial"/>
          <w:sz w:val="18"/>
          <w:szCs w:val="18"/>
          <w:color w:val="auto"/>
        </w:rPr>
        <w:t>such matter and has waived his rights and benefits under this Agreement. The Company shall not settle any Proceeding in any manner that would impose any penalty or limitation on or disclosure obligation with respect to the Indemnitee without the Indemnitee's written consent. Neither the Company nor the Indemnitee will unreasonably withhold the consent to any proposed settlement.</w:t>
      </w:r>
    </w:p>
    <w:p>
      <w:pPr>
        <w:spacing w:after="0" w:line="231" w:lineRule="exact"/>
        <w:rPr>
          <w:sz w:val="20"/>
          <w:szCs w:val="20"/>
          <w:color w:val="auto"/>
        </w:rPr>
      </w:pPr>
    </w:p>
    <w:p>
      <w:pPr>
        <w:jc w:val="center"/>
        <w:ind w:left="640" w:hanging="632"/>
        <w:spacing w:after="0" w:line="308" w:lineRule="auto"/>
        <w:tabs>
          <w:tab w:leader="none" w:pos="55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Irrespective of which Party to this Agreement participates in a Proceeding, both the Company and the Indemnitee undertake to cooperate and to provide each other with all information reasonably necessary in order to defend any claims against the Indemnitee.</w:t>
      </w:r>
    </w:p>
    <w:p>
      <w:pPr>
        <w:spacing w:after="0" w:line="189" w:lineRule="exact"/>
        <w:rPr>
          <w:sz w:val="20"/>
          <w:szCs w:val="20"/>
          <w:color w:val="auto"/>
        </w:rPr>
      </w:pPr>
    </w:p>
    <w:p>
      <w:pPr>
        <w:ind w:left="360" w:hanging="352"/>
        <w:spacing w:after="0"/>
        <w:tabs>
          <w:tab w:leader="none" w:pos="3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Agreement</w:t>
      </w:r>
    </w:p>
    <w:p>
      <w:pPr>
        <w:spacing w:after="0" w:line="301" w:lineRule="exact"/>
        <w:rPr>
          <w:sz w:val="20"/>
          <w:szCs w:val="20"/>
          <w:color w:val="auto"/>
        </w:rPr>
      </w:pPr>
    </w:p>
    <w:p>
      <w:pPr>
        <w:ind w:left="640" w:hanging="632"/>
        <w:spacing w:after="0" w:line="308" w:lineRule="auto"/>
        <w:tabs>
          <w:tab w:leader="none" w:pos="47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This Agreement shall enter into force on the day on which the U.S. Securities and Exchange Commission first declares effective the Company's registration statement on Form F-1.</w:t>
      </w:r>
    </w:p>
    <w:p>
      <w:pPr>
        <w:spacing w:after="0" w:line="224" w:lineRule="exact"/>
        <w:rPr>
          <w:rFonts w:ascii="Arial" w:cs="Arial" w:eastAsia="Arial" w:hAnsi="Arial"/>
          <w:sz w:val="18"/>
          <w:szCs w:val="18"/>
          <w:color w:val="auto"/>
        </w:rPr>
      </w:pPr>
    </w:p>
    <w:p>
      <w:pPr>
        <w:ind w:left="640" w:hanging="632"/>
        <w:spacing w:after="0" w:line="300" w:lineRule="auto"/>
        <w:tabs>
          <w:tab w:leader="none" w:pos="49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This Agreement shall be in full force and effect for so long as the Indemnitee may have any liability or potential liability by virtue of serving or having served as a member of the Board and / or the Management Board, including, without limitation, the final termination of all pending Proceedings in respect of which the Indemnitee is entitled to indemnification of Losses or advance of Expenses hereunder and of any Proceeding commenced by the Indemnitee pursuant to Section 6. The Indemnitee's rights under this Agreement shall continue after the Indemnitee has ceased to be a member of the Board and / or the Management Board.</w:t>
      </w:r>
    </w:p>
    <w:p>
      <w:pPr>
        <w:spacing w:after="0" w:line="196" w:lineRule="exact"/>
        <w:rPr>
          <w:sz w:val="20"/>
          <w:szCs w:val="20"/>
          <w:color w:val="auto"/>
        </w:rPr>
      </w:pPr>
    </w:p>
    <w:p>
      <w:pPr>
        <w:ind w:left="360" w:hanging="352"/>
        <w:spacing w:after="0"/>
        <w:tabs>
          <w:tab w:leader="none" w:pos="3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301"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The Indemnitee agrees that the Company may forward to its subsidiaries and affiliated entities or any other third party (including, but not limited to, insurance companies, service providers, courts and public authorities) in Switzerland and / or abroad the Indemnitee's data for processing purposes.</w:t>
      </w:r>
    </w:p>
    <w:p>
      <w:pPr>
        <w:spacing w:after="0" w:line="193"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No Right to Continued Service</w:t>
      </w:r>
    </w:p>
    <w:p>
      <w:pPr>
        <w:spacing w:after="0" w:line="301" w:lineRule="exact"/>
        <w:rPr>
          <w:sz w:val="20"/>
          <w:szCs w:val="20"/>
          <w:color w:val="auto"/>
        </w:rPr>
      </w:pPr>
    </w:p>
    <w:p>
      <w:pPr>
        <w:jc w:val="both"/>
        <w:ind w:left="640"/>
        <w:spacing w:after="0" w:line="300" w:lineRule="auto"/>
        <w:rPr>
          <w:sz w:val="20"/>
          <w:szCs w:val="20"/>
          <w:color w:val="auto"/>
        </w:rPr>
      </w:pPr>
      <w:r>
        <w:rPr>
          <w:rFonts w:ascii="Arial" w:cs="Arial" w:eastAsia="Arial" w:hAnsi="Arial"/>
          <w:sz w:val="18"/>
          <w:szCs w:val="18"/>
          <w:color w:val="auto"/>
        </w:rPr>
        <w:t>Nothing contained in this Agreement shall be construed as giving the Indemnitee any right to be retained in the employ of the Company or any of its subsidiaries or affiliated entities. No provision in this Agreement shall confer upon the Indemnitee any right to continue to serve the Company in the capacity in effect at the time this Agreement was executed or shall affect the right of the Company to terminate the Indemnitee's contractual relationship with the Company in accordance with such contractual relationship and applicable law.</w:t>
      </w:r>
    </w:p>
    <w:p>
      <w:pPr>
        <w:spacing w:after="0" w:line="19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Notices</w:t>
      </w:r>
    </w:p>
    <w:p>
      <w:pPr>
        <w:spacing w:after="0" w:line="315" w:lineRule="exact"/>
        <w:rPr>
          <w:sz w:val="20"/>
          <w:szCs w:val="20"/>
          <w:color w:val="auto"/>
        </w:rPr>
      </w:pPr>
    </w:p>
    <w:p>
      <w:pPr>
        <w:jc w:val="both"/>
        <w:ind w:left="640"/>
        <w:spacing w:after="0" w:line="308" w:lineRule="auto"/>
        <w:rPr>
          <w:sz w:val="20"/>
          <w:szCs w:val="20"/>
          <w:color w:val="auto"/>
        </w:rPr>
      </w:pPr>
      <w:r>
        <w:rPr>
          <w:rFonts w:ascii="Arial" w:cs="Arial" w:eastAsia="Arial" w:hAnsi="Arial"/>
          <w:sz w:val="18"/>
          <w:szCs w:val="18"/>
          <w:color w:val="auto"/>
        </w:rPr>
        <w:t>All notices or other communications to be given under or in connection with this Agreement shall be made in writing and in English, and shall be delivered by hand,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9/12</w:t>
      </w:r>
    </w:p>
    <w:p>
      <w:pPr>
        <w:sectPr>
          <w:pgSz w:w="11900" w:h="16838" w:orient="portrait"/>
          <w:cols w:equalWidth="0" w:num="1">
            <w:col w:w="11240"/>
          </w:cols>
          <w:pgMar w:left="320" w:top="134" w:right="339" w:bottom="1440" w:gutter="0" w:footer="0" w:header="0"/>
        </w:sectPr>
      </w:pPr>
    </w:p>
    <w:bookmarkStart w:id="350" w:name="page351"/>
    <w:bookmarkEnd w:id="350"/>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registered, certified or express mail (return receipt requested), courier or by electronic transmission in .pdf format or similar format to the addresses noted on the cover page or any substitute address as a Party may notify to the other in accordance with the above by not less than five Business Days' notice.</w:t>
      </w:r>
    </w:p>
    <w:p>
      <w:pPr>
        <w:spacing w:after="0" w:line="1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Entire Agreement</w:t>
      </w:r>
    </w:p>
    <w:p>
      <w:pPr>
        <w:spacing w:after="0" w:line="301"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With the exception of the Other Indemnification Documents, this Agreement constitutes the entire agreement and understanding among the Parties with respect to the subject matter hereof, and shall supersede all prior oral and written agreements or understandings of the Parties relating hereto other than any contained in the Other Indemnification Documents.</w:t>
      </w:r>
    </w:p>
    <w:p>
      <w:pPr>
        <w:spacing w:after="0" w:line="20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7"/>
          <w:szCs w:val="17"/>
          <w:b w:val="1"/>
          <w:bCs w:val="1"/>
          <w:color w:val="auto"/>
        </w:rPr>
        <w:t>Amendments and Waivers</w:t>
      </w:r>
    </w:p>
    <w:p>
      <w:pPr>
        <w:spacing w:after="0" w:line="301" w:lineRule="exact"/>
        <w:rPr>
          <w:sz w:val="20"/>
          <w:szCs w:val="20"/>
          <w:color w:val="auto"/>
        </w:rPr>
      </w:pPr>
    </w:p>
    <w:p>
      <w:pPr>
        <w:jc w:val="both"/>
        <w:ind w:left="640"/>
        <w:spacing w:after="0" w:line="308" w:lineRule="auto"/>
        <w:rPr>
          <w:sz w:val="20"/>
          <w:szCs w:val="20"/>
          <w:color w:val="auto"/>
        </w:rPr>
      </w:pPr>
      <w:r>
        <w:rPr>
          <w:rFonts w:ascii="Arial" w:cs="Arial" w:eastAsia="Arial" w:hAnsi="Arial"/>
          <w:sz w:val="18"/>
          <w:szCs w:val="18"/>
          <w:color w:val="auto"/>
        </w:rPr>
        <w:t>This Agreement (including this Section 10.4) may only be modified or amended by a document signed by both Parties. Any provision contained in this Agreement may only be waived by a document signed by the Party waiving such provision.</w:t>
      </w:r>
    </w:p>
    <w:p>
      <w:pPr>
        <w:spacing w:after="0" w:line="1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7"/>
          <w:szCs w:val="17"/>
          <w:b w:val="1"/>
          <w:bCs w:val="1"/>
          <w:color w:val="auto"/>
        </w:rPr>
        <w:t>No Assignment</w:t>
      </w:r>
    </w:p>
    <w:p>
      <w:pPr>
        <w:spacing w:after="0" w:line="301" w:lineRule="exact"/>
        <w:rPr>
          <w:sz w:val="20"/>
          <w:szCs w:val="20"/>
          <w:color w:val="auto"/>
        </w:rPr>
      </w:pPr>
    </w:p>
    <w:p>
      <w:pPr>
        <w:jc w:val="both"/>
        <w:ind w:left="640"/>
        <w:spacing w:after="0" w:line="300" w:lineRule="auto"/>
        <w:rPr>
          <w:sz w:val="20"/>
          <w:szCs w:val="20"/>
          <w:color w:val="auto"/>
        </w:rPr>
      </w:pPr>
      <w:r>
        <w:rPr>
          <w:rFonts w:ascii="Arial" w:cs="Arial" w:eastAsia="Arial" w:hAnsi="Arial"/>
          <w:sz w:val="18"/>
          <w:szCs w:val="18"/>
          <w:color w:val="auto"/>
        </w:rPr>
        <w:t xml:space="preserve">The Parties shall not assign this Agreement or any rights or obligations hereunder to any third party without the prior written consent of the other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may assign this Agreement or any of its respective rights and obligations hereunder to any of its subsidiaries or affiliated entities without the prior written consent of the Indemnitee. This Agreement shall inure to the benefit of and be binding upon the Parties, and their respective successors, heirs, executors, administrators, and permitted assigns.</w:t>
      </w:r>
    </w:p>
    <w:p>
      <w:pPr>
        <w:spacing w:after="0" w:line="21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7"/>
          <w:szCs w:val="17"/>
          <w:b w:val="1"/>
          <w:bCs w:val="1"/>
          <w:color w:val="auto"/>
        </w:rPr>
        <w:t>Severability</w:t>
      </w:r>
    </w:p>
    <w:p>
      <w:pPr>
        <w:spacing w:after="0" w:line="301" w:lineRule="exact"/>
        <w:rPr>
          <w:sz w:val="20"/>
          <w:szCs w:val="20"/>
          <w:color w:val="auto"/>
        </w:rPr>
      </w:pPr>
    </w:p>
    <w:p>
      <w:pPr>
        <w:jc w:val="both"/>
        <w:ind w:left="640"/>
        <w:spacing w:after="0" w:line="301" w:lineRule="auto"/>
        <w:rPr>
          <w:sz w:val="20"/>
          <w:szCs w:val="20"/>
          <w:color w:val="auto"/>
        </w:rPr>
      </w:pPr>
      <w:r>
        <w:rPr>
          <w:rFonts w:ascii="Arial" w:cs="Arial" w:eastAsia="Arial" w:hAnsi="Arial"/>
          <w:sz w:val="18"/>
          <w:szCs w:val="18"/>
          <w:color w:val="auto"/>
        </w:rPr>
        <w:t>Should any part or provision of this Agreement be held to be invalid or unenforceable by any competent arbitral tribunal, court, governmental or administrative authority having jurisdiction, the other provisions of this Agreement shall nonetheless remain valid. In this case, the Parties shall negotiate in good faith a substitute provision that best reflects the economic intentions of the Parties without being unenforceable, and shall execute all agreements and documents required in this connection.</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7"/>
          <w:szCs w:val="17"/>
          <w:b w:val="1"/>
          <w:bCs w:val="1"/>
          <w:color w:val="auto"/>
        </w:rPr>
        <w:t>Delivery by Electronic Transmission</w:t>
      </w:r>
    </w:p>
    <w:p>
      <w:pPr>
        <w:spacing w:after="0" w:line="315" w:lineRule="exact"/>
        <w:rPr>
          <w:sz w:val="20"/>
          <w:szCs w:val="20"/>
          <w:color w:val="auto"/>
        </w:rPr>
      </w:pPr>
    </w:p>
    <w:p>
      <w:pPr>
        <w:jc w:val="both"/>
        <w:ind w:left="640"/>
        <w:spacing w:after="0" w:line="300" w:lineRule="auto"/>
        <w:rPr>
          <w:sz w:val="20"/>
          <w:szCs w:val="20"/>
          <w:color w:val="auto"/>
        </w:rPr>
      </w:pPr>
      <w:r>
        <w:rPr>
          <w:rFonts w:ascii="Arial" w:cs="Arial" w:eastAsia="Arial" w:hAnsi="Arial"/>
          <w:sz w:val="18"/>
          <w:szCs w:val="18"/>
          <w:color w:val="auto"/>
        </w:rPr>
        <w:t>This Agreement and any other document relating to this Agreement, and any amendments hereto or thereto, to the extent signed and delivered by means of a facsimile machine, electronic signature or e-signature (irrespective of whether the relevant electronic signature or e-signature has been issued by a provider recognized or accredited under applicable law or not) or other electronic transmission (</w:t>
      </w:r>
      <w:r>
        <w:rPr>
          <w:rFonts w:ascii="Arial" w:cs="Arial" w:eastAsia="Arial" w:hAnsi="Arial"/>
          <w:sz w:val="18"/>
          <w:szCs w:val="18"/>
          <w:i w:val="1"/>
          <w:iCs w:val="1"/>
          <w:color w:val="auto"/>
        </w:rPr>
        <w:t>e.g.</w:t>
      </w:r>
      <w:r>
        <w:rPr>
          <w:rFonts w:ascii="Arial" w:cs="Arial" w:eastAsia="Arial" w:hAnsi="Arial"/>
          <w:sz w:val="18"/>
          <w:szCs w:val="18"/>
          <w:color w:val="auto"/>
        </w:rPr>
        <w:t>, e-mail delivery in .pdf format or similar format), shall be treated in all manner and respects as an original contract and shall be considered to have the same binding legal effects as if it were the original signed version thereof delivered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10/12</w:t>
      </w:r>
    </w:p>
    <w:p>
      <w:pPr>
        <w:sectPr>
          <w:pgSz w:w="11900" w:h="16838" w:orient="portrait"/>
          <w:cols w:equalWidth="0" w:num="1">
            <w:col w:w="11240"/>
          </w:cols>
          <w:pgMar w:left="320" w:top="134" w:right="339" w:bottom="1440" w:gutter="0" w:footer="0" w:header="0"/>
        </w:sectPr>
      </w:pPr>
    </w:p>
    <w:bookmarkStart w:id="351" w:name="page352"/>
    <w:bookmarkEnd w:id="351"/>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40" w:firstLine="8"/>
        <w:spacing w:after="0" w:line="584" w:lineRule="auto"/>
        <w:tabs>
          <w:tab w:leader="none" w:pos="45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11.1 Governing Law</w:t>
      </w:r>
    </w:p>
    <w:p>
      <w:pPr>
        <w:jc w:val="both"/>
        <w:ind w:left="640"/>
        <w:spacing w:after="0" w:line="301" w:lineRule="auto"/>
        <w:rPr>
          <w:sz w:val="20"/>
          <w:szCs w:val="20"/>
          <w:color w:val="auto"/>
        </w:rPr>
      </w:pPr>
      <w:r>
        <w:rPr>
          <w:rFonts w:ascii="Arial" w:cs="Arial" w:eastAsia="Arial" w:hAnsi="Arial"/>
          <w:sz w:val="18"/>
          <w:szCs w:val="18"/>
          <w:color w:val="auto"/>
        </w:rPr>
        <w:t>This Agreement and any claim, controversy or dispute arising out of or related to this Agreement, whether arising in contract, tort or otherwise, shall be governed by and construed in accordance with the substantive laws of Switzerland without giving effect to any choice of law or conflict of law provision or rule that would result in the application of the laws of any jurisdiction other than Switzerland.</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Jurisdiction</w:t>
      </w:r>
    </w:p>
    <w:p>
      <w:pPr>
        <w:spacing w:after="0" w:line="315" w:lineRule="exact"/>
        <w:rPr>
          <w:sz w:val="20"/>
          <w:szCs w:val="20"/>
          <w:color w:val="auto"/>
        </w:rPr>
      </w:pPr>
    </w:p>
    <w:p>
      <w:pPr>
        <w:jc w:val="both"/>
        <w:ind w:left="640"/>
        <w:spacing w:after="0" w:line="303" w:lineRule="auto"/>
        <w:rPr>
          <w:sz w:val="20"/>
          <w:szCs w:val="20"/>
          <w:color w:val="auto"/>
        </w:rPr>
      </w:pPr>
      <w:r>
        <w:rPr>
          <w:rFonts w:ascii="Arial" w:cs="Arial" w:eastAsia="Arial" w:hAnsi="Arial"/>
          <w:sz w:val="18"/>
          <w:szCs w:val="18"/>
          <w:color w:val="auto"/>
        </w:rPr>
        <w:t>The exclusive place of jurisdiction for any dispute, claim or controversy arising under, out of or in connection with or related to this Agreement (or subsequent amendments thereof), including, without limitation, disputes, claims or controversies regarding its existence, validity, interpretation, performance, breach or termination, shall be Schlieren, Canton of Zurich, Switzerland.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next page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11/12</w:t>
      </w:r>
    </w:p>
    <w:p>
      <w:pPr>
        <w:sectPr>
          <w:pgSz w:w="11900" w:h="16838" w:orient="portrait"/>
          <w:cols w:equalWidth="0" w:num="1">
            <w:col w:w="11240"/>
          </w:cols>
          <w:pgMar w:left="320" w:top="134" w:right="339" w:bottom="1440" w:gutter="0" w:footer="0" w:header="0"/>
        </w:sectPr>
      </w:pPr>
    </w:p>
    <w:bookmarkStart w:id="352" w:name="page353"/>
    <w:bookmarkEnd w:id="352"/>
    <w:p>
      <w:pPr>
        <w:spacing w:after="0"/>
        <w:rPr>
          <w:sz w:val="20"/>
          <w:szCs w:val="20"/>
          <w:color w:val="auto"/>
        </w:rPr>
      </w:pPr>
      <w:r>
        <w:rPr>
          <w:rFonts w:ascii="Arial" w:cs="Arial" w:eastAsia="Arial" w:hAnsi="Arial"/>
          <w:sz w:val="13"/>
          <w:szCs w:val="13"/>
          <w:color w:val="auto"/>
        </w:rPr>
        <w:t>Indemnification Agreement by and between Molecular Partners AG and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date written on the cover page to this Agreement.</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Molecular Partners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534670</wp:posOffset>
            </wp:positionV>
            <wp:extent cx="6978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020"/>
        <w:spacing w:after="0"/>
        <w:rPr>
          <w:sz w:val="20"/>
          <w:szCs w:val="20"/>
          <w:color w:val="auto"/>
        </w:rPr>
      </w:pPr>
      <w:r>
        <w:rPr>
          <w:rFonts w:ascii="Arial" w:cs="Arial" w:eastAsia="Arial" w:hAnsi="Arial"/>
          <w:sz w:val="17"/>
          <w:szCs w:val="17"/>
          <w:color w:val="auto"/>
        </w:rPr>
        <w:t>Name:</w:t>
      </w:r>
    </w:p>
    <w:p>
      <w:pPr>
        <w:spacing w:after="0" w:line="61" w:lineRule="exact"/>
        <w:rPr>
          <w:sz w:val="20"/>
          <w:szCs w:val="20"/>
          <w:color w:val="auto"/>
        </w:rPr>
      </w:pPr>
    </w:p>
    <w:p>
      <w:pPr>
        <w:sectPr>
          <w:pgSz w:w="11900" w:h="16838" w:orient="portrait"/>
          <w:cols w:equalWidth="0" w:num="2">
            <w:col w:w="4980" w:space="720"/>
            <w:col w:w="5540"/>
          </w:cols>
          <w:pgMar w:left="320" w:top="134"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Function:</w:t>
      </w:r>
    </w:p>
    <w:p>
      <w:pPr>
        <w:spacing w:after="0" w:line="20" w:lineRule="exact"/>
        <w:rPr>
          <w:sz w:val="20"/>
          <w:szCs w:val="20"/>
          <w:color w:val="auto"/>
        </w:rPr>
      </w:pPr>
      <w:r>
        <w:rPr>
          <w:sz w:val="20"/>
          <w:szCs w:val="20"/>
          <w:color w:val="auto"/>
        </w:rPr>
        <w:br w:type="column"/>
      </w:r>
    </w:p>
    <w:p>
      <w:pPr>
        <w:jc w:val="center"/>
        <w:ind w:right="4800"/>
        <w:spacing w:after="0"/>
        <w:rPr>
          <w:sz w:val="20"/>
          <w:szCs w:val="20"/>
          <w:color w:val="auto"/>
        </w:rPr>
      </w:pPr>
      <w:r>
        <w:rPr>
          <w:rFonts w:ascii="Arial" w:cs="Arial" w:eastAsia="Arial" w:hAnsi="Arial"/>
          <w:sz w:val="17"/>
          <w:szCs w:val="17"/>
          <w:color w:val="auto"/>
        </w:rPr>
        <w:t>Function:</w:t>
      </w:r>
    </w:p>
    <w:p>
      <w:pPr>
        <w:spacing w:after="0" w:line="200" w:lineRule="exact"/>
        <w:rPr>
          <w:sz w:val="20"/>
          <w:szCs w:val="20"/>
          <w:color w:val="auto"/>
        </w:rPr>
      </w:pPr>
    </w:p>
    <w:p>
      <w:pPr>
        <w:sectPr>
          <w:pgSz w:w="11900" w:h="16838" w:orient="portrait"/>
          <w:cols w:equalWidth="0" w:num="2">
            <w:col w:w="4980" w:space="720"/>
            <w:col w:w="5540"/>
          </w:cols>
          <w:pgMar w:left="320" w:top="1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568960</wp:posOffset>
            </wp:positionV>
            <wp:extent cx="33604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12/12</w:t>
      </w:r>
    </w:p>
    <w:p>
      <w:pPr>
        <w:sectPr>
          <w:pgSz w:w="11900" w:h="16838" w:orient="portrait"/>
          <w:cols w:equalWidth="0" w:num="1">
            <w:col w:w="11240"/>
          </w:cols>
          <w:pgMar w:left="320" w:top="134" w:right="339" w:bottom="1440" w:gutter="0" w:footer="0" w:header="0"/>
          <w:type w:val="continuous"/>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10.2</w:t>
      </w:r>
    </w:p>
    <w:p>
      <w:pPr>
        <w:spacing w:after="0" w:line="26" w:lineRule="exact"/>
        <w:rPr>
          <w:sz w:val="20"/>
          <w:szCs w:val="20"/>
          <w:color w:val="auto"/>
        </w:rPr>
      </w:pPr>
    </w:p>
    <w:p>
      <w:pPr>
        <w:ind w:right="120" w:firstLine="8"/>
        <w:spacing w:after="0" w:line="261" w:lineRule="auto"/>
        <w:tabs>
          <w:tab w:leader="none" w:pos="3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LICENSE AGREEMENT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(“Agreement”) is made by and between</w:t>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The University of Zurich</w:t>
      </w:r>
    </w:p>
    <w:p>
      <w:pPr>
        <w:spacing w:after="0" w:line="24"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Ramistrasse 71 CH-8006 Zurich (Switzerland)</w:t>
      </w:r>
    </w:p>
    <w:p>
      <w:pPr>
        <w:spacing w:after="0" w:line="192"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UNIVERSITY</w:t>
      </w:r>
      <w:r>
        <w:rPr>
          <w:rFonts w:ascii="Arial" w:cs="Arial" w:eastAsia="Arial" w:hAnsi="Arial"/>
          <w:sz w:val="20"/>
          <w:szCs w:val="20"/>
          <w:color w:val="auto"/>
        </w:rPr>
        <w:t>”)</w:t>
      </w:r>
    </w:p>
    <w:p>
      <w:pPr>
        <w:spacing w:after="0" w:line="24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And</w:t>
      </w:r>
    </w:p>
    <w:p>
      <w:pPr>
        <w:spacing w:after="0" w:line="192"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Molecular Partners AG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 Patrik Forrer</w:t>
      </w:r>
    </w:p>
    <w:p>
      <w:pPr>
        <w:jc w:val="center"/>
        <w:spacing w:after="0"/>
        <w:rPr>
          <w:sz w:val="20"/>
          <w:szCs w:val="20"/>
          <w:color w:val="auto"/>
        </w:rPr>
      </w:pPr>
      <w:r>
        <w:rPr>
          <w:rFonts w:ascii="Arial" w:cs="Arial" w:eastAsia="Arial" w:hAnsi="Arial"/>
          <w:sz w:val="20"/>
          <w:szCs w:val="20"/>
          <w:b w:val="1"/>
          <w:bCs w:val="1"/>
          <w:color w:val="auto"/>
        </w:rPr>
        <w:t>Dept. of Biochemistry</w:t>
      </w:r>
    </w:p>
    <w:p>
      <w:pPr>
        <w:jc w:val="center"/>
        <w:spacing w:after="0"/>
        <w:rPr>
          <w:sz w:val="20"/>
          <w:szCs w:val="20"/>
          <w:color w:val="auto"/>
        </w:rPr>
      </w:pPr>
      <w:r>
        <w:rPr>
          <w:rFonts w:ascii="Arial" w:cs="Arial" w:eastAsia="Arial" w:hAnsi="Arial"/>
          <w:sz w:val="20"/>
          <w:szCs w:val="20"/>
          <w:b w:val="1"/>
          <w:bCs w:val="1"/>
          <w:color w:val="auto"/>
        </w:rPr>
        <w:t>University of Zurich</w:t>
      </w:r>
    </w:p>
    <w:p>
      <w:pPr>
        <w:jc w:val="center"/>
        <w:spacing w:after="0"/>
        <w:rPr>
          <w:sz w:val="20"/>
          <w:szCs w:val="20"/>
          <w:color w:val="auto"/>
        </w:rPr>
      </w:pPr>
      <w:r>
        <w:rPr>
          <w:rFonts w:ascii="Arial" w:cs="Arial" w:eastAsia="Arial" w:hAnsi="Arial"/>
          <w:sz w:val="20"/>
          <w:szCs w:val="20"/>
          <w:b w:val="1"/>
          <w:bCs w:val="1"/>
          <w:color w:val="auto"/>
        </w:rPr>
        <w:t>Winterthurerstr. 190</w:t>
      </w:r>
    </w:p>
    <w:p>
      <w:pPr>
        <w:jc w:val="center"/>
        <w:spacing w:after="0"/>
        <w:rPr>
          <w:sz w:val="20"/>
          <w:szCs w:val="20"/>
          <w:color w:val="auto"/>
        </w:rPr>
      </w:pPr>
      <w:r>
        <w:rPr>
          <w:rFonts w:ascii="Arial" w:cs="Arial" w:eastAsia="Arial" w:hAnsi="Arial"/>
          <w:sz w:val="20"/>
          <w:szCs w:val="20"/>
          <w:b w:val="1"/>
          <w:bCs w:val="1"/>
          <w:color w:val="auto"/>
        </w:rPr>
        <w:t>CH-8057 Zurich (Switzerland)</w:t>
      </w:r>
    </w:p>
    <w:p>
      <w:pPr>
        <w:spacing w:after="0" w:line="19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LICENSEE</w:t>
      </w:r>
      <w:r>
        <w:rPr>
          <w:rFonts w:ascii="Arial" w:cs="Arial" w:eastAsia="Arial" w:hAnsi="Arial"/>
          <w:sz w:val="20"/>
          <w:szCs w:val="20"/>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This Agreement is effective on November 17, 2004 (“Effective Date”).</w:t>
      </w:r>
    </w:p>
    <w:p>
      <w:pPr>
        <w:spacing w:after="0" w:line="192"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RECITALS</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WHEREAS, UNIVERSITY is owner of Patent Rights as defined below on an invention in the field of collections of (poly)peptides/proteins based on repeat modules (“Invention”);</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WHEREAS, UNIVERSITY is desirous that the Invention be developed and utilized to the fullest possible extent so that its benefits can be enjoyed by the general public;</w:t>
      </w:r>
    </w:p>
    <w:p>
      <w:pPr>
        <w:spacing w:after="0" w:line="20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WHEREAS, LICENSEE wishes to obtain, and UNIVERSITY is willing to grant, an exclusive license to the Patent Rights on the terms and conditions set out below.</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parties agree:</w:t>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ARTICLE 1 DEFINITIONS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The terms, as defined herein, shall have the same meanings in both their singular and plural forms.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1.1 “Affiliate” means any corporation or other business entity in which LICENSEE owns or controls, directly or indirectly, at least fifty percent (50%) of the outstanding stock or other voting rights entitled to elect directors, or in which LICENSEE is owned or controlled directly or indirectly by at least fifty percent (50%) of the outstanding stock or other voting rights entitled to elect directors.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1.2 “Sublicensee” means a third party to whom LICENSEE grants a sublicense of certain rights granted to LICENSEE under this Agreement.</w:t>
      </w:r>
    </w:p>
    <w:p>
      <w:pPr>
        <w:sectPr>
          <w:pgSz w:w="11900" w:h="16838" w:orient="portrait"/>
          <w:cols w:equalWidth="0" w:num="1">
            <w:col w:w="11240"/>
          </w:cols>
          <w:pgMar w:left="320" w:top="121" w:right="339" w:bottom="1440" w:gutter="0" w:footer="0" w:header="0"/>
        </w:sectPr>
      </w:pPr>
    </w:p>
    <w:bookmarkStart w:id="354" w:name="page355"/>
    <w:bookmarkEnd w:id="354"/>
    <w:p>
      <w:pPr>
        <w:jc w:val="both"/>
        <w:ind w:right="20"/>
        <w:spacing w:after="0" w:line="246" w:lineRule="auto"/>
        <w:rPr>
          <w:sz w:val="20"/>
          <w:szCs w:val="20"/>
          <w:color w:val="auto"/>
        </w:rPr>
      </w:pPr>
      <w:r>
        <w:rPr>
          <w:rFonts w:ascii="Arial" w:cs="Arial" w:eastAsia="Arial" w:hAnsi="Arial"/>
          <w:sz w:val="20"/>
          <w:szCs w:val="20"/>
          <w:color w:val="auto"/>
        </w:rPr>
        <w:t>1.3 “Field” means therapeutic use (“Field A”), in vitro diagnostic use (“Field B”), use as research reagent (“Field C”) and any other uses.</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9"/>
          <w:szCs w:val="19"/>
          <w:color w:val="auto"/>
        </w:rPr>
        <w:t>“Territory” means world-wide.</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1.5 “Term” means the period of time beginning on the Effective Date and ending on the expiration date of the longest-lived Patent Rights.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1.6 “Patent Rights” means any of the following: the patent applications listed in Annex A disclosing and claiming the Invention and continuing applications thereof including divisions, substitutions, and continuations-in-part (but only to extent the claims thereof are enabled by disclosure of the parent application); any patents issuing on said applications including reissues, reexaminations and extensions; and any corresponding applications, patents and extensions in other countries.</w:t>
      </w: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1.7 “Licensed Method” means any method that is covered by Patent Rights the use of which would constitute, but for the license granted to LICENSEE under this Agreement, an infringement of any pending or issued and unexpired claim within Patent Rights.</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1.8 “Licensed Product” means any composition, product or service that is covered by the claims of Patent Rights, or that is developed or produced by the Licensed Method, or the manufacture, use, sale, offer for sale, or importation of which would constitute, but for the license granted to LICENSEE by UNIVERSITY herein, an infringement of any pending or issued and unexpired claim within the Patent Rights.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1.9 “Net Sales” means the total of the gross invoice prices billed by or on behalf of LICENSEE or its Affiliates or its Sublicensees to third parties on sales of Licensed Products in bona fide arm’s length transactions, less the sum of the following actual and customary deductions where applicable and separately itemized on the invoice and actually paid or allowed: cash, trade, or quantity discounts; value added, sales or use taxes, and custom duties; transportation charges; or credits to customers because of rejections or returns. For purposes of calculating Net Sales, transfers to a Sublicensee or an Affiliate or a distributor of Licensed Product under this Agreement for (i) end use (but not resale) by the Sublicensee or Affiliate or distributor shall be treated as sales by LICENSEE at list price of LICENSEE, or (ii) resale by a Sublicensee or an Affiliate or a distributor shall be treated as sales at the list price of the Sublicensee or Affiliate or distributor. Non-monetary consideration shall not be accepted by LICENSEE, a Sublicensee, an Affiliate, or a distributor for any Licensed Products or Licensed Methods without the prior written consent of UNIVERSITY which consent shall not be unreasonably refused. For the avoidance of doubt Net Sales shall be calculated only once for the first sale of such Licensed Product by either LICENSEE, its Affiliates, or Sublicensees, as the case may be, to a third party. The initial sale of Licensed Product by LICENSEE, its Affiliates, or Sublicensees to a wholesaler shall be regarded as the first sale of the Licensed Product for the purpose of calculating Net Sales.</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1.1 “First Commercial Sale” means the initial transfer by or on behalf of LICENSEE or its Affiliates, Sublicensees or distributors of Licensed Product to a third party end user customer in exchange for cash in any country after all required marketing and pricing approvals have been granted, or otherwise permitted, by the authorities of such country.</w:t>
      </w:r>
    </w:p>
    <w:p>
      <w:pPr>
        <w:sectPr>
          <w:pgSz w:w="11900" w:h="16838" w:orient="portrait"/>
          <w:cols w:equalWidth="0" w:num="1">
            <w:col w:w="11240"/>
          </w:cols>
          <w:pgMar w:left="320" w:top="1432" w:right="339" w:bottom="1440" w:gutter="0" w:footer="0" w:header="0"/>
        </w:sectPr>
      </w:pPr>
    </w:p>
    <w:bookmarkStart w:id="355" w:name="page356"/>
    <w:bookmarkEnd w:id="355"/>
    <w:p>
      <w:pPr>
        <w:jc w:val="center"/>
        <w:ind w:right="-339"/>
        <w:spacing w:after="0"/>
        <w:rPr>
          <w:sz w:val="20"/>
          <w:szCs w:val="20"/>
          <w:color w:val="auto"/>
        </w:rPr>
      </w:pPr>
      <w:r>
        <w:rPr>
          <w:rFonts w:ascii="Arial" w:cs="Arial" w:eastAsia="Arial" w:hAnsi="Arial"/>
          <w:sz w:val="20"/>
          <w:szCs w:val="20"/>
          <w:b w:val="1"/>
          <w:bCs w:val="1"/>
          <w:color w:val="auto"/>
        </w:rPr>
        <w:t>ARTICLE 2 GRANTS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b w:val="1"/>
          <w:bCs w:val="1"/>
          <w:color w:val="auto"/>
        </w:rPr>
        <w:t>License</w:t>
      </w:r>
      <w:r>
        <w:rPr>
          <w:rFonts w:ascii="Arial" w:cs="Arial" w:eastAsia="Arial" w:hAnsi="Arial"/>
          <w:sz w:val="20"/>
          <w:szCs w:val="20"/>
          <w:color w:val="auto"/>
        </w:rPr>
        <w:t>. Subject to the limitations set forth in this Agreement, UNIVERSITY hereby grants to LICENSEE, and LICENSEE hereby accepts, a license under Patent Rights to make, use, sell, offer for sale, and import Licensed Products and to practice Licensed Methods, in the Field within the Territory and during the Term The license granted herein is exclusive for Patent Rights and UNIVERSITY shall not grant to third parties a further license under Patent Rights in the Field, within the Territory and during the Term.</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b w:val="1"/>
          <w:bCs w:val="1"/>
          <w:color w:val="auto"/>
        </w:rPr>
        <w:t>Sublicense</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line="243" w:lineRule="auto"/>
        <w:tabs>
          <w:tab w:leader="none" w:pos="1295" w:val="left"/>
        </w:tabs>
        <w:numPr>
          <w:ilvl w:val="0"/>
          <w:numId w:val="314"/>
        </w:numPr>
        <w:rPr>
          <w:rFonts w:ascii="Arial" w:cs="Arial" w:eastAsia="Arial" w:hAnsi="Arial"/>
          <w:sz w:val="20"/>
          <w:szCs w:val="20"/>
          <w:color w:val="auto"/>
        </w:rPr>
      </w:pPr>
      <w:r>
        <w:rPr>
          <w:rFonts w:ascii="Arial" w:cs="Arial" w:eastAsia="Arial" w:hAnsi="Arial"/>
          <w:sz w:val="20"/>
          <w:szCs w:val="20"/>
          <w:color w:val="auto"/>
        </w:rPr>
        <w:t>The license granted in Paragraph 2.1 includes the right of LICENSEE to grant sublicenses to third parties during the Term. The terms and conditions of any sublicense shall be in accordance with sound and reasonable business practices and any fees charged shall not be unreasonable for comparable rights.</w:t>
      </w:r>
    </w:p>
    <w:p>
      <w:pPr>
        <w:spacing w:after="0" w:line="205" w:lineRule="exact"/>
        <w:rPr>
          <w:rFonts w:ascii="Arial" w:cs="Arial" w:eastAsia="Arial" w:hAnsi="Arial"/>
          <w:sz w:val="20"/>
          <w:szCs w:val="20"/>
          <w:color w:val="auto"/>
        </w:rPr>
      </w:pPr>
    </w:p>
    <w:p>
      <w:pPr>
        <w:ind w:left="1300" w:hanging="644"/>
        <w:spacing w:after="0"/>
        <w:tabs>
          <w:tab w:leader="none" w:pos="130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With respect to any sublicense granted pursuant to Paragraph 2.2(a), LICENSEE shall:</w:t>
      </w:r>
    </w:p>
    <w:p>
      <w:pPr>
        <w:spacing w:after="0" w:line="215" w:lineRule="exact"/>
        <w:rPr>
          <w:rFonts w:ascii="Arial" w:cs="Arial" w:eastAsia="Arial" w:hAnsi="Arial"/>
          <w:sz w:val="20"/>
          <w:szCs w:val="20"/>
          <w:color w:val="auto"/>
        </w:rPr>
      </w:pPr>
    </w:p>
    <w:p>
      <w:pPr>
        <w:jc w:val="both"/>
        <w:ind w:firstLine="1304"/>
        <w:spacing w:after="0" w:line="243" w:lineRule="auto"/>
        <w:tabs>
          <w:tab w:leader="none" w:pos="1943" w:val="left"/>
        </w:tabs>
        <w:numPr>
          <w:ilvl w:val="1"/>
          <w:numId w:val="314"/>
        </w:numPr>
        <w:rPr>
          <w:rFonts w:ascii="Arial" w:cs="Arial" w:eastAsia="Arial" w:hAnsi="Arial"/>
          <w:sz w:val="20"/>
          <w:szCs w:val="20"/>
          <w:color w:val="auto"/>
        </w:rPr>
      </w:pPr>
      <w:r>
        <w:rPr>
          <w:rFonts w:ascii="Arial" w:cs="Arial" w:eastAsia="Arial" w:hAnsi="Arial"/>
          <w:sz w:val="20"/>
          <w:szCs w:val="20"/>
          <w:color w:val="auto"/>
        </w:rPr>
        <w:t>not receive, or agree to receive, anything of value in lieu of cash as considerations from a third party under a sublicense granted pursuant to Paragraph 2.2(a) without the express written consent of UNIVERSITY which consent shall not be unreasonably refused;</w:t>
      </w:r>
    </w:p>
    <w:p>
      <w:pPr>
        <w:spacing w:after="0" w:line="205" w:lineRule="exact"/>
        <w:rPr>
          <w:rFonts w:ascii="Arial" w:cs="Arial" w:eastAsia="Arial" w:hAnsi="Arial"/>
          <w:sz w:val="20"/>
          <w:szCs w:val="20"/>
          <w:color w:val="auto"/>
        </w:rPr>
      </w:pPr>
    </w:p>
    <w:p>
      <w:pPr>
        <w:ind w:left="1960" w:hanging="656"/>
        <w:spacing w:after="0"/>
        <w:tabs>
          <w:tab w:leader="none" w:pos="196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to the extent applicable, include all of the rights of and obligations due to UNIVERSITY and contained in</w:t>
      </w:r>
    </w:p>
    <w:p>
      <w:pPr>
        <w:spacing w:after="0"/>
        <w:rPr>
          <w:rFonts w:ascii="Arial" w:cs="Arial" w:eastAsia="Arial" w:hAnsi="Arial"/>
          <w:sz w:val="20"/>
          <w:szCs w:val="20"/>
          <w:color w:val="auto"/>
        </w:rPr>
      </w:pPr>
      <w:r>
        <w:rPr>
          <w:rFonts w:ascii="Arial" w:cs="Arial" w:eastAsia="Arial" w:hAnsi="Arial"/>
          <w:sz w:val="20"/>
          <w:szCs w:val="20"/>
          <w:color w:val="auto"/>
        </w:rPr>
        <w:t>this Agreement;</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promptly provide UNIVERSITY with a copy of each sublicense issued; and</w:t>
      </w:r>
    </w:p>
    <w:p>
      <w:pPr>
        <w:spacing w:after="0" w:line="215" w:lineRule="exact"/>
        <w:rPr>
          <w:rFonts w:ascii="Arial" w:cs="Arial" w:eastAsia="Arial" w:hAnsi="Arial"/>
          <w:sz w:val="20"/>
          <w:szCs w:val="20"/>
          <w:color w:val="auto"/>
        </w:rPr>
      </w:pPr>
    </w:p>
    <w:p>
      <w:pPr>
        <w:ind w:firstLine="1304"/>
        <w:spacing w:after="0" w:line="246" w:lineRule="auto"/>
        <w:tabs>
          <w:tab w:leader="none" w:pos="1943" w:val="left"/>
        </w:tabs>
        <w:numPr>
          <w:ilvl w:val="1"/>
          <w:numId w:val="314"/>
        </w:numPr>
        <w:rPr>
          <w:rFonts w:ascii="Arial" w:cs="Arial" w:eastAsia="Arial" w:hAnsi="Arial"/>
          <w:sz w:val="20"/>
          <w:szCs w:val="20"/>
          <w:color w:val="auto"/>
        </w:rPr>
      </w:pPr>
      <w:r>
        <w:rPr>
          <w:rFonts w:ascii="Arial" w:cs="Arial" w:eastAsia="Arial" w:hAnsi="Arial"/>
          <w:sz w:val="20"/>
          <w:szCs w:val="20"/>
          <w:color w:val="auto"/>
        </w:rPr>
        <w:t>collect payment of all payments due, directly or indirectly, to UNIVERSITY from Sublicensees and summarize and deliver all reports due, directly or indirectly, to UNIVERSITY from Sublicensees.</w:t>
      </w:r>
    </w:p>
    <w:p>
      <w:pPr>
        <w:spacing w:after="0" w:line="203" w:lineRule="exact"/>
        <w:rPr>
          <w:rFonts w:ascii="Arial" w:cs="Arial" w:eastAsia="Arial" w:hAnsi="Arial"/>
          <w:sz w:val="20"/>
          <w:szCs w:val="20"/>
          <w:color w:val="auto"/>
        </w:rPr>
      </w:pPr>
    </w:p>
    <w:p>
      <w:pPr>
        <w:ind w:right="20" w:firstLine="656"/>
        <w:spacing w:after="0" w:line="246" w:lineRule="auto"/>
        <w:tabs>
          <w:tab w:leader="none" w:pos="1284" w:val="left"/>
        </w:tabs>
        <w:numPr>
          <w:ilvl w:val="0"/>
          <w:numId w:val="314"/>
        </w:numPr>
        <w:rPr>
          <w:rFonts w:ascii="Arial" w:cs="Arial" w:eastAsia="Arial" w:hAnsi="Arial"/>
          <w:sz w:val="20"/>
          <w:szCs w:val="20"/>
          <w:color w:val="auto"/>
        </w:rPr>
      </w:pPr>
      <w:r>
        <w:rPr>
          <w:rFonts w:ascii="Arial" w:cs="Arial" w:eastAsia="Arial" w:hAnsi="Arial"/>
          <w:sz w:val="20"/>
          <w:szCs w:val="20"/>
          <w:color w:val="auto"/>
        </w:rPr>
        <w:t>Upon termination of this Agreement for any reason, UNIVERSITY, at its sole discretion, shall determine whether LICENSEE shall cancel or assign to UNIVERSITY any and all sublicenses.</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b w:val="1"/>
          <w:bCs w:val="1"/>
          <w:color w:val="auto"/>
        </w:rPr>
        <w:t>Reservation of Rights</w:t>
      </w:r>
      <w:r>
        <w:rPr>
          <w:rFonts w:ascii="Arial" w:cs="Arial" w:eastAsia="Arial" w:hAnsi="Arial"/>
          <w:sz w:val="20"/>
          <w:szCs w:val="20"/>
          <w:color w:val="auto"/>
        </w:rPr>
        <w:t>. UNIVERSITY reserves the right to use the Invention and Patent Rights for educational and research purposes free of charge.</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b w:val="1"/>
          <w:bCs w:val="1"/>
          <w:color w:val="auto"/>
        </w:rPr>
        <w:t>Material Transfer</w:t>
      </w:r>
      <w:r>
        <w:rPr>
          <w:rFonts w:ascii="Arial" w:cs="Arial" w:eastAsia="Arial" w:hAnsi="Arial"/>
          <w:sz w:val="20"/>
          <w:szCs w:val="20"/>
          <w:color w:val="auto"/>
        </w:rPr>
        <w:t>. LICENSEE shall have the right to receive samples of biological material that is relevant to practice the granted rights which is in possession of UNIVERSITY and to which no third parties can claim any rights.</w:t>
      </w:r>
    </w:p>
    <w:p>
      <w:pPr>
        <w:spacing w:after="0" w:line="156"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3 CONSIDERATIONS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color w:val="auto"/>
        </w:rPr>
        <w:t>Fees and Royalties</w:t>
      </w:r>
      <w:r>
        <w:rPr>
          <w:rFonts w:ascii="Arial" w:cs="Arial" w:eastAsia="Arial" w:hAnsi="Arial"/>
          <w:sz w:val="20"/>
          <w:szCs w:val="20"/>
          <w:color w:val="auto"/>
        </w:rPr>
        <w:t>. In consideration of the license granted herein to LICENSEE under Patent Rights LICENSEE agrees to pay to UNIVERSITY:</w:t>
      </w:r>
    </w:p>
    <w:p>
      <w:pPr>
        <w:sectPr>
          <w:pgSz w:w="11900" w:h="16838" w:orient="portrait"/>
          <w:cols w:equalWidth="0" w:num="1">
            <w:col w:w="11240"/>
          </w:cols>
          <w:pgMar w:left="320" w:top="1408" w:right="339" w:bottom="1440" w:gutter="0" w:footer="0" w:header="0"/>
        </w:sectPr>
      </w:pPr>
    </w:p>
    <w:bookmarkStart w:id="356" w:name="page357"/>
    <w:bookmarkEnd w:id="356"/>
    <w:p>
      <w:pPr>
        <w:jc w:val="both"/>
        <w:ind w:left="-332" w:firstLine="656"/>
        <w:spacing w:after="0" w:line="242" w:lineRule="auto"/>
        <w:tabs>
          <w:tab w:leader="none" w:pos="963" w:val="left"/>
        </w:tabs>
        <w:numPr>
          <w:ilvl w:val="0"/>
          <w:numId w:val="315"/>
        </w:numPr>
        <w:rPr>
          <w:rFonts w:ascii="Arial" w:cs="Arial" w:eastAsia="Arial" w:hAnsi="Arial"/>
          <w:sz w:val="20"/>
          <w:szCs w:val="20"/>
          <w:color w:val="auto"/>
        </w:rPr>
      </w:pPr>
      <w:r>
        <w:rPr>
          <w:rFonts w:ascii="Arial" w:cs="Arial" w:eastAsia="Arial" w:hAnsi="Arial"/>
          <w:sz w:val="20"/>
          <w:szCs w:val="20"/>
          <w:color w:val="auto"/>
        </w:rPr>
        <w:t xml:space="preserve">in recognition of LICENSEE being a startup business and partially in lieu of cash, a </w:t>
      </w:r>
      <w:r>
        <w:rPr>
          <w:rFonts w:ascii="Arial" w:cs="Arial" w:eastAsia="Arial" w:hAnsi="Arial"/>
          <w:sz w:val="20"/>
          <w:szCs w:val="20"/>
          <w:b w:val="1"/>
          <w:bCs w:val="1"/>
          <w:color w:val="auto"/>
        </w:rPr>
        <w:t>license issue fee</w:t>
      </w:r>
      <w:r>
        <w:rPr>
          <w:rFonts w:ascii="Arial" w:cs="Arial" w:eastAsia="Arial" w:hAnsi="Arial"/>
          <w:sz w:val="20"/>
          <w:szCs w:val="20"/>
          <w:color w:val="auto"/>
        </w:rPr>
        <w:t xml:space="preserve"> in the form of [***] shares with a nominal value of CHF [***] of LICENSEE’s common stock representing [***]% of the LICENSEE’s total authorized equity capital of CHF [***]. The stock or if stocks are not issued physically a copy of the updated share register shall be delivered to UNIVERSITY within [***] of execution of this Agreement. In the event of a capital increase the UNIVERSITY’s equity position may be diluted, however such dilution shall in no event be greater than that of [***] and furthermore UNIVERSITY’s equity position shall not be diluted below [***]% of the total outstanding stock of LICENSEE until LICENSEE has accrued total funds of CHF [***] in form of equity capital. Shares issued to University shall provide for equal but proportionate rights and restrictions as the Founder’s shares. UNIVERSITY shall adhere to the COMPANY’s shareholders agreement and such other agreements as may be required to give effect to this paragraph. The Founders of the COMPANY are Patrick Amstutz, Hans Kaspar Binz, Patrik Forrer, Martin Alexander Kawe, Andreas Pluckthun, Michael Tobias Stumpp and Christian Zahnd.</w:t>
      </w:r>
    </w:p>
    <w:p>
      <w:pPr>
        <w:spacing w:after="0" w:line="189" w:lineRule="exact"/>
        <w:rPr>
          <w:rFonts w:ascii="Arial" w:cs="Arial" w:eastAsia="Arial" w:hAnsi="Arial"/>
          <w:sz w:val="20"/>
          <w:szCs w:val="20"/>
          <w:color w:val="auto"/>
        </w:rPr>
      </w:pPr>
    </w:p>
    <w:p>
      <w:pPr>
        <w:ind w:left="968" w:hanging="644"/>
        <w:spacing w:after="0"/>
        <w:tabs>
          <w:tab w:leader="none" w:pos="968" w:val="left"/>
        </w:tabs>
        <w:numPr>
          <w:ilvl w:val="0"/>
          <w:numId w:val="315"/>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earned royalty</w:t>
      </w:r>
      <w:r>
        <w:rPr>
          <w:rFonts w:ascii="Arial" w:cs="Arial" w:eastAsia="Arial" w:hAnsi="Arial"/>
          <w:sz w:val="20"/>
          <w:szCs w:val="20"/>
          <w:color w:val="auto"/>
        </w:rPr>
        <w:t xml:space="preserve"> on Net Sales of Licensed Products by LICENSEE or an Affiliate</w:t>
      </w:r>
    </w:p>
    <w:p>
      <w:pPr>
        <w:spacing w:after="0" w:line="239" w:lineRule="exact"/>
        <w:rPr>
          <w:rFonts w:ascii="Arial" w:cs="Arial" w:eastAsia="Arial" w:hAnsi="Arial"/>
          <w:sz w:val="20"/>
          <w:szCs w:val="20"/>
          <w:color w:val="auto"/>
        </w:rPr>
      </w:pPr>
    </w:p>
    <w:p>
      <w:pPr>
        <w:ind w:left="2248" w:hanging="628"/>
        <w:spacing w:after="0"/>
        <w:tabs>
          <w:tab w:leader="none" w:pos="2248" w:val="left"/>
        </w:tabs>
        <w:numPr>
          <w:ilvl w:val="1"/>
          <w:numId w:val="315"/>
        </w:numPr>
        <w:rPr>
          <w:rFonts w:ascii="Arial" w:cs="Arial" w:eastAsia="Arial" w:hAnsi="Arial"/>
          <w:sz w:val="20"/>
          <w:szCs w:val="20"/>
          <w:color w:val="auto"/>
        </w:rPr>
      </w:pPr>
      <w:r>
        <w:rPr>
          <w:rFonts w:ascii="Arial" w:cs="Arial" w:eastAsia="Arial" w:hAnsi="Arial"/>
          <w:sz w:val="20"/>
          <w:szCs w:val="20"/>
          <w:color w:val="auto"/>
        </w:rPr>
        <w:t>of [***] on Net Sales of Licensed Products for uses in Field A; and</w:t>
      </w:r>
    </w:p>
    <w:p>
      <w:pPr>
        <w:spacing w:after="0" w:line="215" w:lineRule="exact"/>
        <w:rPr>
          <w:rFonts w:ascii="Arial" w:cs="Arial" w:eastAsia="Arial" w:hAnsi="Arial"/>
          <w:sz w:val="20"/>
          <w:szCs w:val="20"/>
          <w:color w:val="auto"/>
        </w:rPr>
      </w:pPr>
    </w:p>
    <w:p>
      <w:pPr>
        <w:ind w:left="2268" w:hanging="648"/>
        <w:spacing w:after="0"/>
        <w:tabs>
          <w:tab w:leader="none" w:pos="2268" w:val="left"/>
        </w:tabs>
        <w:numPr>
          <w:ilvl w:val="1"/>
          <w:numId w:val="315"/>
        </w:numPr>
        <w:rPr>
          <w:rFonts w:ascii="Arial" w:cs="Arial" w:eastAsia="Arial" w:hAnsi="Arial"/>
          <w:sz w:val="20"/>
          <w:szCs w:val="20"/>
          <w:color w:val="auto"/>
        </w:rPr>
      </w:pPr>
      <w:r>
        <w:rPr>
          <w:rFonts w:ascii="Arial" w:cs="Arial" w:eastAsia="Arial" w:hAnsi="Arial"/>
          <w:sz w:val="20"/>
          <w:szCs w:val="20"/>
          <w:color w:val="auto"/>
        </w:rPr>
        <w:t>of [***] on Net Sales of Licensed Products for uses in Field B; and</w:t>
      </w:r>
    </w:p>
    <w:p>
      <w:pPr>
        <w:spacing w:after="0" w:line="215" w:lineRule="exact"/>
        <w:rPr>
          <w:rFonts w:ascii="Arial" w:cs="Arial" w:eastAsia="Arial" w:hAnsi="Arial"/>
          <w:sz w:val="20"/>
          <w:szCs w:val="20"/>
          <w:color w:val="auto"/>
        </w:rPr>
      </w:pPr>
    </w:p>
    <w:p>
      <w:pPr>
        <w:ind w:left="2268" w:hanging="648"/>
        <w:spacing w:after="0"/>
        <w:tabs>
          <w:tab w:leader="none" w:pos="2268" w:val="left"/>
        </w:tabs>
        <w:numPr>
          <w:ilvl w:val="1"/>
          <w:numId w:val="315"/>
        </w:numPr>
        <w:rPr>
          <w:rFonts w:ascii="Arial" w:cs="Arial" w:eastAsia="Arial" w:hAnsi="Arial"/>
          <w:sz w:val="20"/>
          <w:szCs w:val="20"/>
          <w:color w:val="auto"/>
        </w:rPr>
      </w:pPr>
      <w:r>
        <w:rPr>
          <w:rFonts w:ascii="Arial" w:cs="Arial" w:eastAsia="Arial" w:hAnsi="Arial"/>
          <w:sz w:val="20"/>
          <w:szCs w:val="20"/>
          <w:color w:val="auto"/>
        </w:rPr>
        <w:t>of [***] on Net Sales of Licensed Products for uses in Field C; and</w:t>
      </w:r>
    </w:p>
    <w:p>
      <w:pPr>
        <w:spacing w:after="0" w:line="215" w:lineRule="exact"/>
        <w:rPr>
          <w:rFonts w:ascii="Arial" w:cs="Arial" w:eastAsia="Arial" w:hAnsi="Arial"/>
          <w:sz w:val="20"/>
          <w:szCs w:val="20"/>
          <w:color w:val="auto"/>
        </w:rPr>
      </w:pPr>
    </w:p>
    <w:p>
      <w:pPr>
        <w:ind w:left="968" w:firstLine="652"/>
        <w:spacing w:after="0" w:line="246" w:lineRule="auto"/>
        <w:tabs>
          <w:tab w:leader="none" w:pos="2255" w:val="left"/>
        </w:tabs>
        <w:numPr>
          <w:ilvl w:val="1"/>
          <w:numId w:val="315"/>
        </w:numPr>
        <w:rPr>
          <w:rFonts w:ascii="Arial" w:cs="Arial" w:eastAsia="Arial" w:hAnsi="Arial"/>
          <w:sz w:val="20"/>
          <w:szCs w:val="20"/>
          <w:color w:val="auto"/>
        </w:rPr>
      </w:pPr>
      <w:r>
        <w:rPr>
          <w:rFonts w:ascii="Arial" w:cs="Arial" w:eastAsia="Arial" w:hAnsi="Arial"/>
          <w:sz w:val="20"/>
          <w:szCs w:val="20"/>
          <w:color w:val="auto"/>
        </w:rPr>
        <w:t>earned royalty on Net Sales for other uses than set forth above will be negotiated between the parties in good faith before the First Commercial Sale of such Licensed Products</w:t>
      </w:r>
    </w:p>
    <w:p>
      <w:pPr>
        <w:spacing w:after="0" w:line="203" w:lineRule="exact"/>
        <w:rPr>
          <w:rFonts w:ascii="Arial" w:cs="Arial" w:eastAsia="Arial" w:hAnsi="Arial"/>
          <w:sz w:val="20"/>
          <w:szCs w:val="20"/>
          <w:color w:val="auto"/>
        </w:rPr>
      </w:pPr>
    </w:p>
    <w:p>
      <w:pPr>
        <w:ind w:left="968" w:hanging="644"/>
        <w:spacing w:after="0"/>
        <w:tabs>
          <w:tab w:leader="none" w:pos="968" w:val="left"/>
        </w:tabs>
        <w:numPr>
          <w:ilvl w:val="0"/>
          <w:numId w:val="315"/>
        </w:numPr>
        <w:rPr>
          <w:rFonts w:ascii="Arial" w:cs="Arial" w:eastAsia="Arial" w:hAnsi="Arial"/>
          <w:sz w:val="20"/>
          <w:szCs w:val="20"/>
          <w:color w:val="auto"/>
        </w:rPr>
      </w:pPr>
      <w:r>
        <w:rPr>
          <w:rFonts w:ascii="Arial" w:cs="Arial" w:eastAsia="Arial" w:hAnsi="Arial"/>
          <w:sz w:val="20"/>
          <w:szCs w:val="20"/>
          <w:color w:val="auto"/>
        </w:rPr>
        <w:t>on all sublicense fees received by LICENSEE from each Sublicensee that are not earned royalties:</w:t>
      </w:r>
    </w:p>
    <w:p>
      <w:pPr>
        <w:spacing w:after="0" w:line="216" w:lineRule="exact"/>
        <w:rPr>
          <w:sz w:val="20"/>
          <w:szCs w:val="20"/>
          <w:color w:val="auto"/>
        </w:rPr>
      </w:pPr>
    </w:p>
    <w:p>
      <w:pPr>
        <w:ind w:left="608" w:hanging="284"/>
        <w:spacing w:after="0"/>
        <w:tabs>
          <w:tab w:leader="none" w:pos="608" w:val="left"/>
        </w:tabs>
        <w:numPr>
          <w:ilvl w:val="0"/>
          <w:numId w:val="316"/>
        </w:numPr>
        <w:rPr>
          <w:rFonts w:ascii="Arial" w:cs="Arial" w:eastAsia="Arial" w:hAnsi="Arial"/>
          <w:sz w:val="20"/>
          <w:szCs w:val="20"/>
          <w:color w:val="auto"/>
        </w:rPr>
      </w:pPr>
      <w:r>
        <w:rPr>
          <w:rFonts w:ascii="Arial" w:cs="Arial" w:eastAsia="Arial" w:hAnsi="Arial"/>
          <w:sz w:val="20"/>
          <w:szCs w:val="20"/>
          <w:color w:val="auto"/>
        </w:rPr>
        <w:t>[***] on fraction &lt; [***] CHF for particular sublicense by particular Sublicensee</w:t>
      </w:r>
    </w:p>
    <w:p>
      <w:pPr>
        <w:spacing w:after="0" w:line="215" w:lineRule="exact"/>
        <w:rPr>
          <w:rFonts w:ascii="Arial" w:cs="Arial" w:eastAsia="Arial" w:hAnsi="Arial"/>
          <w:sz w:val="20"/>
          <w:szCs w:val="20"/>
          <w:color w:val="auto"/>
        </w:rPr>
      </w:pPr>
    </w:p>
    <w:p>
      <w:pPr>
        <w:ind w:left="608" w:hanging="284"/>
        <w:spacing w:after="0"/>
        <w:tabs>
          <w:tab w:leader="none" w:pos="608" w:val="left"/>
        </w:tabs>
        <w:numPr>
          <w:ilvl w:val="0"/>
          <w:numId w:val="316"/>
        </w:numPr>
        <w:rPr>
          <w:rFonts w:ascii="Arial" w:cs="Arial" w:eastAsia="Arial" w:hAnsi="Arial"/>
          <w:sz w:val="20"/>
          <w:szCs w:val="20"/>
          <w:color w:val="auto"/>
        </w:rPr>
      </w:pPr>
      <w:r>
        <w:rPr>
          <w:rFonts w:ascii="Arial" w:cs="Arial" w:eastAsia="Arial" w:hAnsi="Arial"/>
          <w:sz w:val="20"/>
          <w:szCs w:val="20"/>
          <w:color w:val="auto"/>
        </w:rPr>
        <w:t>[***] on fraction&gt;= [***] CHF for particular sublicense by particular Sublicensee</w:t>
      </w:r>
    </w:p>
    <w:p>
      <w:pPr>
        <w:spacing w:after="0" w:line="216" w:lineRule="exact"/>
        <w:rPr>
          <w:sz w:val="20"/>
          <w:szCs w:val="20"/>
          <w:color w:val="auto"/>
        </w:rPr>
      </w:pPr>
    </w:p>
    <w:p>
      <w:pPr>
        <w:jc w:val="both"/>
        <w:ind w:left="328"/>
        <w:spacing w:after="0" w:line="243" w:lineRule="auto"/>
        <w:rPr>
          <w:sz w:val="20"/>
          <w:szCs w:val="20"/>
          <w:color w:val="auto"/>
        </w:rPr>
      </w:pPr>
      <w:r>
        <w:rPr>
          <w:rFonts w:ascii="Arial" w:cs="Arial" w:eastAsia="Arial" w:hAnsi="Arial"/>
          <w:sz w:val="20"/>
          <w:szCs w:val="20"/>
          <w:color w:val="auto"/>
        </w:rPr>
        <w:t>It is understood that payments from Sublicensees to LICENSEE dedicated for direct use for the financing of research or product development under a joint research or development agreement shall not be considered sublicense fees and no compensation for UNIVERSITY shall be due on such payments.</w:t>
      </w:r>
    </w:p>
    <w:p>
      <w:pPr>
        <w:spacing w:after="0" w:line="206" w:lineRule="exact"/>
        <w:rPr>
          <w:sz w:val="20"/>
          <w:szCs w:val="20"/>
          <w:color w:val="auto"/>
        </w:rPr>
      </w:pPr>
    </w:p>
    <w:p>
      <w:pPr>
        <w:jc w:val="both"/>
        <w:ind w:left="-332" w:firstLine="656"/>
        <w:spacing w:after="0" w:line="243" w:lineRule="auto"/>
        <w:tabs>
          <w:tab w:leader="none" w:pos="963" w:val="left"/>
        </w:tabs>
        <w:numPr>
          <w:ilvl w:val="1"/>
          <w:numId w:val="317"/>
        </w:numPr>
        <w:rPr>
          <w:rFonts w:ascii="Arial" w:cs="Arial" w:eastAsia="Arial" w:hAnsi="Arial"/>
          <w:sz w:val="20"/>
          <w:szCs w:val="20"/>
          <w:color w:val="auto"/>
        </w:rPr>
      </w:pPr>
      <w:r>
        <w:rPr>
          <w:rFonts w:ascii="Arial" w:cs="Arial" w:eastAsia="Arial" w:hAnsi="Arial"/>
          <w:sz w:val="20"/>
          <w:szCs w:val="20"/>
          <w:color w:val="auto"/>
        </w:rPr>
        <w:t>(i) on each and every sublicense royalty payment received by LICENSEE from its Sublicensees on sales of Licensed Product by Sublicensee for use in Field A or in Field B, royalties based on the following royalty rate as applied to Net Sales of particular Sublicensee:</w:t>
      </w:r>
    </w:p>
    <w:p>
      <w:pPr>
        <w:spacing w:after="0" w:line="205" w:lineRule="exact"/>
        <w:rPr>
          <w:rFonts w:ascii="Arial" w:cs="Arial" w:eastAsia="Arial" w:hAnsi="Arial"/>
          <w:sz w:val="20"/>
          <w:szCs w:val="20"/>
          <w:color w:val="auto"/>
        </w:rPr>
      </w:pPr>
    </w:p>
    <w:p>
      <w:pPr>
        <w:ind w:left="628" w:hanging="628"/>
        <w:spacing w:after="0"/>
        <w:tabs>
          <w:tab w:leader="none" w:pos="628" w:val="left"/>
        </w:tabs>
        <w:numPr>
          <w:ilvl w:val="0"/>
          <w:numId w:val="317"/>
        </w:numPr>
        <w:rPr>
          <w:rFonts w:ascii="Arial" w:cs="Arial" w:eastAsia="Arial" w:hAnsi="Arial"/>
          <w:sz w:val="20"/>
          <w:szCs w:val="20"/>
          <w:color w:val="auto"/>
        </w:rPr>
      </w:pPr>
      <w:r>
        <w:rPr>
          <w:rFonts w:ascii="Arial" w:cs="Arial" w:eastAsia="Arial" w:hAnsi="Arial"/>
          <w:sz w:val="20"/>
          <w:szCs w:val="20"/>
          <w:color w:val="auto"/>
        </w:rPr>
        <w:t>If LICENSEE is receiving a royalty of less than [***] on the Net Sales of Sublicensee:[***] of such royalty income</w:t>
      </w:r>
    </w:p>
    <w:p>
      <w:pPr>
        <w:spacing w:after="0" w:line="215" w:lineRule="exact"/>
        <w:rPr>
          <w:rFonts w:ascii="Arial" w:cs="Arial" w:eastAsia="Arial" w:hAnsi="Arial"/>
          <w:sz w:val="20"/>
          <w:szCs w:val="20"/>
          <w:color w:val="auto"/>
        </w:rPr>
      </w:pPr>
    </w:p>
    <w:p>
      <w:pPr>
        <w:ind w:left="648" w:right="340" w:hanging="648"/>
        <w:spacing w:after="0" w:line="246" w:lineRule="auto"/>
        <w:tabs>
          <w:tab w:leader="none" w:pos="636" w:val="left"/>
        </w:tabs>
        <w:numPr>
          <w:ilvl w:val="0"/>
          <w:numId w:val="317"/>
        </w:numPr>
        <w:rPr>
          <w:rFonts w:ascii="Arial" w:cs="Arial" w:eastAsia="Arial" w:hAnsi="Arial"/>
          <w:sz w:val="20"/>
          <w:szCs w:val="20"/>
          <w:color w:val="auto"/>
        </w:rPr>
      </w:pPr>
      <w:r>
        <w:rPr>
          <w:rFonts w:ascii="Arial" w:cs="Arial" w:eastAsia="Arial" w:hAnsi="Arial"/>
          <w:sz w:val="20"/>
          <w:szCs w:val="20"/>
          <w:color w:val="auto"/>
        </w:rPr>
        <w:t>If LICENSEE is receiving a royalty of [***] or more but less than [***] on the Net Sales of Sublicensee: [***] of such royalty income but minimally [***] on the Net Sales of Sublicensee</w:t>
      </w:r>
    </w:p>
    <w:p>
      <w:pPr>
        <w:sectPr>
          <w:pgSz w:w="11900" w:h="16838" w:orient="portrait"/>
          <w:cols w:equalWidth="0" w:num="1">
            <w:col w:w="10908"/>
          </w:cols>
          <w:pgMar w:left="652" w:top="1408" w:right="339" w:bottom="1440" w:gutter="0" w:footer="0" w:header="0"/>
        </w:sectPr>
      </w:pPr>
    </w:p>
    <w:bookmarkStart w:id="357" w:name="page358"/>
    <w:bookmarkEnd w:id="357"/>
    <w:p>
      <w:pPr>
        <w:ind w:left="980" w:right="860" w:hanging="648"/>
        <w:spacing w:after="0" w:line="246" w:lineRule="auto"/>
        <w:tabs>
          <w:tab w:leader="none" w:pos="968" w:val="left"/>
        </w:tabs>
        <w:numPr>
          <w:ilvl w:val="0"/>
          <w:numId w:val="318"/>
        </w:numPr>
        <w:rPr>
          <w:rFonts w:ascii="Arial" w:cs="Arial" w:eastAsia="Arial" w:hAnsi="Arial"/>
          <w:sz w:val="20"/>
          <w:szCs w:val="20"/>
          <w:color w:val="auto"/>
        </w:rPr>
      </w:pPr>
      <w:r>
        <w:rPr>
          <w:rFonts w:ascii="Arial" w:cs="Arial" w:eastAsia="Arial" w:hAnsi="Arial"/>
          <w:sz w:val="20"/>
          <w:szCs w:val="20"/>
          <w:color w:val="auto"/>
        </w:rPr>
        <w:t>If LICENSEE is receiving a royalty of [***] or more on the Net Sales of Sublicensee: [***] on the Net Sales of Sublicensee</w:t>
      </w:r>
    </w:p>
    <w:p>
      <w:pPr>
        <w:spacing w:after="0" w:line="203" w:lineRule="exact"/>
        <w:rPr>
          <w:rFonts w:ascii="Arial" w:cs="Arial" w:eastAsia="Arial" w:hAnsi="Arial"/>
          <w:sz w:val="20"/>
          <w:szCs w:val="20"/>
          <w:color w:val="auto"/>
        </w:rPr>
      </w:pPr>
    </w:p>
    <w:p>
      <w:pPr>
        <w:ind w:left="1300" w:firstLine="652"/>
        <w:spacing w:after="0" w:line="246" w:lineRule="auto"/>
        <w:tabs>
          <w:tab w:leader="none" w:pos="2586" w:val="left"/>
        </w:tabs>
        <w:numPr>
          <w:ilvl w:val="2"/>
          <w:numId w:val="318"/>
        </w:numPr>
        <w:rPr>
          <w:rFonts w:ascii="Arial" w:cs="Arial" w:eastAsia="Arial" w:hAnsi="Arial"/>
          <w:sz w:val="20"/>
          <w:szCs w:val="20"/>
          <w:color w:val="auto"/>
        </w:rPr>
      </w:pPr>
      <w:r>
        <w:rPr>
          <w:rFonts w:ascii="Arial" w:cs="Arial" w:eastAsia="Arial" w:hAnsi="Arial"/>
          <w:sz w:val="20"/>
          <w:szCs w:val="20"/>
          <w:color w:val="auto"/>
        </w:rPr>
        <w:t>[***] on each and every sublicense royalty payment received by LICENSEE from its Sublicensees on sales of Licensed Product by Sublicensee for use in Field C.</w:t>
      </w:r>
    </w:p>
    <w:p>
      <w:pPr>
        <w:spacing w:after="0" w:line="203" w:lineRule="exact"/>
        <w:rPr>
          <w:rFonts w:ascii="Arial" w:cs="Arial" w:eastAsia="Arial" w:hAnsi="Arial"/>
          <w:sz w:val="20"/>
          <w:szCs w:val="20"/>
          <w:color w:val="auto"/>
        </w:rPr>
      </w:pPr>
    </w:p>
    <w:p>
      <w:pPr>
        <w:jc w:val="both"/>
        <w:ind w:left="1300" w:firstLine="652"/>
        <w:spacing w:after="0" w:line="243" w:lineRule="auto"/>
        <w:tabs>
          <w:tab w:leader="none" w:pos="2589" w:val="left"/>
        </w:tabs>
        <w:numPr>
          <w:ilvl w:val="2"/>
          <w:numId w:val="318"/>
        </w:numPr>
        <w:rPr>
          <w:rFonts w:ascii="Arial" w:cs="Arial" w:eastAsia="Arial" w:hAnsi="Arial"/>
          <w:sz w:val="20"/>
          <w:szCs w:val="20"/>
          <w:color w:val="auto"/>
        </w:rPr>
      </w:pPr>
      <w:r>
        <w:rPr>
          <w:rFonts w:ascii="Arial" w:cs="Arial" w:eastAsia="Arial" w:hAnsi="Arial"/>
          <w:sz w:val="20"/>
          <w:szCs w:val="20"/>
          <w:color w:val="auto"/>
        </w:rPr>
        <w:t>on sublicense royalty payment received by LICENSEE from its Sublicensees on sales of Licensed Product for uses other than set forth above: rate will be negotiated between the parties in good faith before the First Commercial Sale of such Licensed Products.</w:t>
      </w:r>
    </w:p>
    <w:p>
      <w:pPr>
        <w:spacing w:after="0" w:line="205" w:lineRule="exact"/>
        <w:rPr>
          <w:rFonts w:ascii="Arial" w:cs="Arial" w:eastAsia="Arial" w:hAnsi="Arial"/>
          <w:sz w:val="20"/>
          <w:szCs w:val="20"/>
          <w:color w:val="auto"/>
        </w:rPr>
      </w:pPr>
    </w:p>
    <w:p>
      <w:pPr>
        <w:jc w:val="both"/>
        <w:ind w:firstLine="656"/>
        <w:spacing w:after="0" w:line="243" w:lineRule="auto"/>
        <w:tabs>
          <w:tab w:leader="none" w:pos="1295" w:val="left"/>
        </w:tabs>
        <w:numPr>
          <w:ilvl w:val="1"/>
          <w:numId w:val="319"/>
        </w:numPr>
        <w:rPr>
          <w:rFonts w:ascii="Arial" w:cs="Arial" w:eastAsia="Arial" w:hAnsi="Arial"/>
          <w:sz w:val="20"/>
          <w:szCs w:val="20"/>
          <w:color w:val="auto"/>
        </w:rPr>
      </w:pPr>
      <w:r>
        <w:rPr>
          <w:rFonts w:ascii="Arial" w:cs="Arial" w:eastAsia="Arial" w:hAnsi="Arial"/>
          <w:sz w:val="20"/>
          <w:szCs w:val="20"/>
          <w:color w:val="auto"/>
        </w:rPr>
        <w:t>It is agreed that for the [***] of this Agreement LICENSEE shall be exempted from paying royalties to UNIVERSITY on annual income of LICENSEE resulting from Net Sales, sublicense fees and sublicense royalty and which is totally less than CHF [***].</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All fees and royalty payments specified in this Paragraph 3.1 shall be paid by LICENSEE pursuant to Paragraph 4.3.</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b w:val="1"/>
          <w:bCs w:val="1"/>
          <w:color w:val="auto"/>
        </w:rPr>
        <w:t>Due Diligence</w:t>
      </w:r>
      <w:r>
        <w:rPr>
          <w:rFonts w:ascii="Arial" w:cs="Arial" w:eastAsia="Arial" w:hAnsi="Arial"/>
          <w:sz w:val="20"/>
          <w:szCs w:val="20"/>
          <w:color w:val="auto"/>
        </w:rPr>
        <w:t>.</w:t>
      </w:r>
    </w:p>
    <w:p>
      <w:pPr>
        <w:spacing w:after="0" w:line="240" w:lineRule="exact"/>
        <w:rPr>
          <w:sz w:val="20"/>
          <w:szCs w:val="20"/>
          <w:color w:val="auto"/>
        </w:rPr>
      </w:pPr>
    </w:p>
    <w:p>
      <w:pPr>
        <w:ind w:left="1300" w:hanging="644"/>
        <w:spacing w:after="0"/>
        <w:tabs>
          <w:tab w:leader="none" w:pos="13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LICENSEE shall:</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20"/>
        </w:numPr>
        <w:rPr>
          <w:rFonts w:ascii="Arial" w:cs="Arial" w:eastAsia="Arial" w:hAnsi="Arial"/>
          <w:sz w:val="20"/>
          <w:szCs w:val="20"/>
          <w:color w:val="auto"/>
        </w:rPr>
      </w:pPr>
      <w:r>
        <w:rPr>
          <w:rFonts w:ascii="Arial" w:cs="Arial" w:eastAsia="Arial" w:hAnsi="Arial"/>
          <w:sz w:val="20"/>
          <w:szCs w:val="20"/>
          <w:color w:val="auto"/>
        </w:rPr>
        <w:t>diligently proceed with the development, manufacture and sale of Licensed Products;</w:t>
      </w:r>
    </w:p>
    <w:p>
      <w:pPr>
        <w:spacing w:after="0" w:line="215" w:lineRule="exact"/>
        <w:rPr>
          <w:rFonts w:ascii="Arial" w:cs="Arial" w:eastAsia="Arial" w:hAnsi="Arial"/>
          <w:sz w:val="20"/>
          <w:szCs w:val="20"/>
          <w:color w:val="auto"/>
        </w:rPr>
      </w:pPr>
    </w:p>
    <w:p>
      <w:pPr>
        <w:ind w:firstLine="1304"/>
        <w:spacing w:after="0" w:line="246" w:lineRule="auto"/>
        <w:tabs>
          <w:tab w:leader="none" w:pos="1943" w:val="left"/>
        </w:tabs>
        <w:numPr>
          <w:ilvl w:val="1"/>
          <w:numId w:val="320"/>
        </w:numPr>
        <w:rPr>
          <w:rFonts w:ascii="Arial" w:cs="Arial" w:eastAsia="Arial" w:hAnsi="Arial"/>
          <w:sz w:val="20"/>
          <w:szCs w:val="20"/>
          <w:color w:val="auto"/>
        </w:rPr>
      </w:pPr>
      <w:r>
        <w:rPr>
          <w:rFonts w:ascii="Arial" w:cs="Arial" w:eastAsia="Arial" w:hAnsi="Arial"/>
          <w:sz w:val="20"/>
          <w:szCs w:val="20"/>
          <w:color w:val="auto"/>
        </w:rPr>
        <w:t>upon market entry on a country-by-country basis, use its reasonable efforts to promote the sale of the Licensed Products in the Territory [***] during the term of this Agreement; and</w:t>
      </w:r>
    </w:p>
    <w:p>
      <w:pPr>
        <w:spacing w:after="0" w:line="203" w:lineRule="exact"/>
        <w:rPr>
          <w:rFonts w:ascii="Arial" w:cs="Arial" w:eastAsia="Arial" w:hAnsi="Arial"/>
          <w:sz w:val="20"/>
          <w:szCs w:val="20"/>
          <w:color w:val="auto"/>
        </w:rPr>
      </w:pPr>
    </w:p>
    <w:p>
      <w:pPr>
        <w:ind w:left="1960" w:hanging="656"/>
        <w:spacing w:after="0"/>
        <w:tabs>
          <w:tab w:leader="none" w:pos="1960" w:val="left"/>
        </w:tabs>
        <w:numPr>
          <w:ilvl w:val="1"/>
          <w:numId w:val="320"/>
        </w:numPr>
        <w:rPr>
          <w:rFonts w:ascii="Arial" w:cs="Arial" w:eastAsia="Arial" w:hAnsi="Arial"/>
          <w:sz w:val="20"/>
          <w:szCs w:val="20"/>
          <w:color w:val="auto"/>
        </w:rPr>
      </w:pPr>
      <w:r>
        <w:rPr>
          <w:rFonts w:ascii="Arial" w:cs="Arial" w:eastAsia="Arial" w:hAnsi="Arial"/>
          <w:sz w:val="20"/>
          <w:szCs w:val="20"/>
          <w:color w:val="auto"/>
        </w:rPr>
        <w:t>obtain all necessary governmental approvals for the manufacture, use and sale of Licensed Products.</w:t>
      </w:r>
    </w:p>
    <w:p>
      <w:pPr>
        <w:spacing w:after="0" w:line="215" w:lineRule="exact"/>
        <w:rPr>
          <w:rFonts w:ascii="Arial" w:cs="Arial" w:eastAsia="Arial" w:hAnsi="Arial"/>
          <w:sz w:val="20"/>
          <w:szCs w:val="20"/>
          <w:color w:val="auto"/>
        </w:rPr>
      </w:pPr>
    </w:p>
    <w:p>
      <w:pPr>
        <w:ind w:left="1300" w:hanging="644"/>
        <w:spacing w:after="0"/>
        <w:tabs>
          <w:tab w:leader="none" w:pos="13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w:t>
      </w:r>
    </w:p>
    <w:p>
      <w:pPr>
        <w:spacing w:after="0" w:line="192"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4 REPORTS, RECORDS AND PAYMENTS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b w:val="1"/>
          <w:bCs w:val="1"/>
          <w:color w:val="auto"/>
        </w:rPr>
        <w:t>Reports</w:t>
      </w:r>
      <w:r>
        <w:rPr>
          <w:rFonts w:ascii="Arial" w:cs="Arial" w:eastAsia="Arial" w:hAnsi="Arial"/>
          <w:sz w:val="20"/>
          <w:szCs w:val="20"/>
          <w:color w:val="auto"/>
        </w:rPr>
        <w:t>.</w:t>
      </w:r>
    </w:p>
    <w:p>
      <w:pPr>
        <w:spacing w:after="0" w:line="216" w:lineRule="exact"/>
        <w:rPr>
          <w:sz w:val="20"/>
          <w:szCs w:val="20"/>
          <w:color w:val="auto"/>
        </w:rPr>
      </w:pPr>
    </w:p>
    <w:p>
      <w:pPr>
        <w:ind w:left="1300" w:hanging="644"/>
        <w:spacing w:after="0"/>
        <w:tabs>
          <w:tab w:leader="none" w:pos="1300" w:val="left"/>
        </w:tabs>
        <w:numPr>
          <w:ilvl w:val="0"/>
          <w:numId w:val="321"/>
        </w:numPr>
        <w:rPr>
          <w:rFonts w:ascii="Arial" w:cs="Arial" w:eastAsia="Arial" w:hAnsi="Arial"/>
          <w:sz w:val="20"/>
          <w:szCs w:val="20"/>
          <w:color w:val="auto"/>
        </w:rPr>
      </w:pPr>
      <w:r>
        <w:rPr>
          <w:rFonts w:ascii="Arial" w:cs="Arial" w:eastAsia="Arial" w:hAnsi="Arial"/>
          <w:sz w:val="20"/>
          <w:szCs w:val="20"/>
          <w:b w:val="1"/>
          <w:bCs w:val="1"/>
          <w:color w:val="auto"/>
        </w:rPr>
        <w:t>Progress Reports</w:t>
      </w:r>
      <w:r>
        <w:rPr>
          <w:rFonts w:ascii="Arial" w:cs="Arial" w:eastAsia="Arial" w:hAnsi="Arial"/>
          <w:sz w:val="20"/>
          <w:szCs w:val="20"/>
          <w:color w:val="auto"/>
        </w:rPr>
        <w:t>.</w:t>
      </w:r>
    </w:p>
    <w:p>
      <w:pPr>
        <w:spacing w:after="0" w:line="239" w:lineRule="exact"/>
        <w:rPr>
          <w:rFonts w:ascii="Arial" w:cs="Arial" w:eastAsia="Arial" w:hAnsi="Arial"/>
          <w:sz w:val="20"/>
          <w:szCs w:val="20"/>
          <w:color w:val="auto"/>
        </w:rPr>
      </w:pPr>
    </w:p>
    <w:p>
      <w:pPr>
        <w:jc w:val="both"/>
        <w:ind w:firstLine="1304"/>
        <w:spacing w:after="0"/>
        <w:tabs>
          <w:tab w:leader="none" w:pos="1943" w:val="left"/>
        </w:tabs>
        <w:numPr>
          <w:ilvl w:val="1"/>
          <w:numId w:val="321"/>
        </w:numPr>
        <w:rPr>
          <w:rFonts w:ascii="Arial" w:cs="Arial" w:eastAsia="Arial" w:hAnsi="Arial"/>
          <w:sz w:val="20"/>
          <w:szCs w:val="20"/>
          <w:color w:val="auto"/>
        </w:rPr>
      </w:pPr>
      <w:r>
        <w:rPr>
          <w:rFonts w:ascii="Arial" w:cs="Arial" w:eastAsia="Arial" w:hAnsi="Arial"/>
          <w:sz w:val="20"/>
          <w:szCs w:val="20"/>
          <w:color w:val="auto"/>
        </w:rPr>
        <w:t>Beginning January 1, 2006 and ending on the date of First Commercial Sale of a Licensed Product in the United States and Europe, LICENSEE shall submit to UNIVERSITY annual progress reports covering LICENSEE’s (and each Affiliate’s and Sublicensee’s) activities to develop and test all Licensed Products and obtain governmental approvals necessary for marketing the same. Such reports shall include a summary of work completed; summary of work in progress; current schedule of anticipated events or milestones; market plans for introduction of Licensed Products; and summary of resources spent in the reporting period.</w:t>
      </w:r>
    </w:p>
    <w:p>
      <w:pPr>
        <w:sectPr>
          <w:pgSz w:w="11900" w:h="16838" w:orient="portrait"/>
          <w:cols w:equalWidth="0" w:num="1">
            <w:col w:w="11240"/>
          </w:cols>
          <w:pgMar w:left="320" w:top="1432" w:right="339" w:bottom="1440" w:gutter="0" w:footer="0" w:header="0"/>
        </w:sectPr>
      </w:pPr>
    </w:p>
    <w:bookmarkStart w:id="358" w:name="page359"/>
    <w:bookmarkEnd w:id="358"/>
    <w:p>
      <w:pPr>
        <w:ind w:firstLine="1304"/>
        <w:spacing w:after="0" w:line="246" w:lineRule="auto"/>
        <w:tabs>
          <w:tab w:leader="none" w:pos="1943" w:val="left"/>
        </w:tabs>
        <w:numPr>
          <w:ilvl w:val="1"/>
          <w:numId w:val="322"/>
        </w:numPr>
        <w:rPr>
          <w:rFonts w:ascii="Arial" w:cs="Arial" w:eastAsia="Arial" w:hAnsi="Arial"/>
          <w:sz w:val="20"/>
          <w:szCs w:val="20"/>
          <w:color w:val="auto"/>
        </w:rPr>
      </w:pPr>
      <w:r>
        <w:rPr>
          <w:rFonts w:ascii="Arial" w:cs="Arial" w:eastAsia="Arial" w:hAnsi="Arial"/>
          <w:sz w:val="20"/>
          <w:szCs w:val="20"/>
          <w:color w:val="auto"/>
        </w:rPr>
        <w:t>LICENSEE shall also report to UNIVERSITY, in its immediately subsequent progress report, the date of First Commercial Sale of a Licensed Product in each country.</w:t>
      </w:r>
    </w:p>
    <w:p>
      <w:pPr>
        <w:spacing w:after="0" w:line="179" w:lineRule="exact"/>
        <w:rPr>
          <w:rFonts w:ascii="Arial" w:cs="Arial" w:eastAsia="Arial" w:hAnsi="Arial"/>
          <w:sz w:val="20"/>
          <w:szCs w:val="20"/>
          <w:color w:val="auto"/>
        </w:rPr>
      </w:pPr>
    </w:p>
    <w:p>
      <w:pPr>
        <w:jc w:val="both"/>
        <w:ind w:firstLine="656"/>
        <w:spacing w:after="0" w:line="255" w:lineRule="auto"/>
        <w:tabs>
          <w:tab w:leader="none" w:pos="1295" w:val="left"/>
        </w:tabs>
        <w:numPr>
          <w:ilvl w:val="0"/>
          <w:numId w:val="323"/>
        </w:numPr>
        <w:rPr>
          <w:rFonts w:ascii="Arial" w:cs="Arial" w:eastAsia="Arial" w:hAnsi="Arial"/>
          <w:sz w:val="20"/>
          <w:szCs w:val="20"/>
          <w:color w:val="auto"/>
        </w:rPr>
      </w:pPr>
      <w:r>
        <w:rPr>
          <w:rFonts w:ascii="Arial" w:cs="Arial" w:eastAsia="Arial" w:hAnsi="Arial"/>
          <w:sz w:val="20"/>
          <w:szCs w:val="20"/>
          <w:b w:val="1"/>
          <w:bCs w:val="1"/>
          <w:color w:val="auto"/>
        </w:rPr>
        <w:t>Royalty Reports</w:t>
      </w:r>
      <w:r>
        <w:rPr>
          <w:rFonts w:ascii="Arial" w:cs="Arial" w:eastAsia="Arial" w:hAnsi="Arial"/>
          <w:sz w:val="20"/>
          <w:szCs w:val="20"/>
          <w:color w:val="auto"/>
        </w:rPr>
        <w:t>. After the First Commercial Sale of a Licensed Product anywhere in the world, LICENSEE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submit to UNIVERSITY annual royalty reports on or before [***] of each year. Each royalty report shall cover LICENSEE’s (and each Affiliate’s and Sublicensee’s) most recently completed calendar quarter and shall show:</w:t>
      </w:r>
    </w:p>
    <w:p>
      <w:pPr>
        <w:spacing w:after="0" w:line="195" w:lineRule="exact"/>
        <w:rPr>
          <w:rFonts w:ascii="Arial" w:cs="Arial" w:eastAsia="Arial" w:hAnsi="Arial"/>
          <w:sz w:val="20"/>
          <w:szCs w:val="20"/>
          <w:color w:val="auto"/>
        </w:rPr>
      </w:pPr>
    </w:p>
    <w:p>
      <w:pPr>
        <w:ind w:firstLine="1304"/>
        <w:spacing w:after="0" w:line="246" w:lineRule="auto"/>
        <w:tabs>
          <w:tab w:leader="none" w:pos="1943"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gross sales, deductions as provided in Paragraph 1.9, and Net Sales during the most recently completed calendar year and the royalties payable with respect thereto;</w:t>
      </w:r>
    </w:p>
    <w:p>
      <w:pPr>
        <w:spacing w:after="0" w:line="203" w:lineRule="exact"/>
        <w:rPr>
          <w:rFonts w:ascii="Arial" w:cs="Arial" w:eastAsia="Arial" w:hAnsi="Arial"/>
          <w:sz w:val="20"/>
          <w:szCs w:val="20"/>
          <w:color w:val="auto"/>
        </w:rPr>
      </w:pPr>
    </w:p>
    <w:p>
      <w:pPr>
        <w:ind w:left="1960" w:hanging="656"/>
        <w:spacing w:after="0"/>
        <w:tabs>
          <w:tab w:leader="none" w:pos="196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number of each type of Licensed Product sold;</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sublicense fees and royalties received during the most recently completed calendar year;</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method used to calculate the royalties; and</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exchange rates used.</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If no sales of Licensed Products has been made and no sublicense revenues have been received by LICENSEE during any reporting period, LICENSEE shall so report.</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b w:val="1"/>
          <w:bCs w:val="1"/>
          <w:color w:val="auto"/>
        </w:rPr>
        <w:t>Records &amp; Audits</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line="243" w:lineRule="auto"/>
        <w:tabs>
          <w:tab w:leader="none" w:pos="1295" w:val="left"/>
        </w:tabs>
        <w:numPr>
          <w:ilvl w:val="1"/>
          <w:numId w:val="324"/>
        </w:numPr>
        <w:rPr>
          <w:rFonts w:ascii="Arial" w:cs="Arial" w:eastAsia="Arial" w:hAnsi="Arial"/>
          <w:sz w:val="20"/>
          <w:szCs w:val="20"/>
          <w:color w:val="auto"/>
        </w:rPr>
      </w:pPr>
      <w:r>
        <w:rPr>
          <w:rFonts w:ascii="Arial" w:cs="Arial" w:eastAsia="Arial" w:hAnsi="Arial"/>
          <w:sz w:val="20"/>
          <w:szCs w:val="20"/>
          <w:color w:val="auto"/>
        </w:rPr>
        <w:t>LICENSEE shall keep, and shall require its Affiliates and Sublicensees to keep, accurate and correct records of all Licensed Products manufactured, used, and sold, and sublicense fees received under this Agreement. Such records shall be retained by LICENSEE for at least [***] years following a given reporting period.</w:t>
      </w:r>
    </w:p>
    <w:p>
      <w:pPr>
        <w:spacing w:after="0" w:line="205" w:lineRule="exact"/>
        <w:rPr>
          <w:rFonts w:ascii="Arial" w:cs="Arial" w:eastAsia="Arial" w:hAnsi="Arial"/>
          <w:sz w:val="20"/>
          <w:szCs w:val="20"/>
          <w:color w:val="auto"/>
        </w:rPr>
      </w:pPr>
    </w:p>
    <w:p>
      <w:pPr>
        <w:jc w:val="both"/>
        <w:ind w:firstLine="656"/>
        <w:spacing w:after="0" w:line="239" w:lineRule="auto"/>
        <w:tabs>
          <w:tab w:leader="none" w:pos="1295" w:val="left"/>
        </w:tabs>
        <w:numPr>
          <w:ilvl w:val="1"/>
          <w:numId w:val="324"/>
        </w:numPr>
        <w:rPr>
          <w:rFonts w:ascii="Arial" w:cs="Arial" w:eastAsia="Arial" w:hAnsi="Arial"/>
          <w:sz w:val="20"/>
          <w:szCs w:val="20"/>
          <w:color w:val="auto"/>
        </w:rPr>
      </w:pPr>
      <w:r>
        <w:rPr>
          <w:rFonts w:ascii="Arial" w:cs="Arial" w:eastAsia="Arial" w:hAnsi="Arial"/>
          <w:sz w:val="20"/>
          <w:szCs w:val="20"/>
          <w:color w:val="auto"/>
        </w:rPr>
        <w:t>All records shall be available during normal business hours for inspection at the expense of UNIVERSITY by UNIVERSITY’s Internal Audit Department or by a public accountant selected by UNIVERSITY and in compliance with the other terms of this Agreement for the sole purpose of verifying reports and payments. Such inspector shall not disclose to UNIVERSITY any information other than information relating to the accuracy of reports and payments made under this Agreement or other compliance issues. In the event that any such inspection shows an underpayment in excess of [***] for any</w:t>
      </w:r>
    </w:p>
    <w:p>
      <w:pPr>
        <w:spacing w:after="0" w:line="2" w:lineRule="exact"/>
        <w:rPr>
          <w:rFonts w:ascii="Arial" w:cs="Arial" w:eastAsia="Arial" w:hAnsi="Arial"/>
          <w:sz w:val="20"/>
          <w:szCs w:val="20"/>
          <w:color w:val="auto"/>
        </w:rPr>
      </w:pPr>
    </w:p>
    <w:p>
      <w:pPr>
        <w:jc w:val="both"/>
        <w:ind w:firstLine="8"/>
        <w:spacing w:after="0" w:line="239" w:lineRule="auto"/>
        <w:tabs>
          <w:tab w:leader="none" w:pos="423" w:val="left"/>
        </w:tabs>
        <w:numPr>
          <w:ilvl w:val="0"/>
          <w:numId w:val="324"/>
        </w:numPr>
        <w:rPr>
          <w:rFonts w:ascii="Arial" w:cs="Arial" w:eastAsia="Arial" w:hAnsi="Arial"/>
          <w:sz w:val="20"/>
          <w:szCs w:val="20"/>
          <w:color w:val="auto"/>
        </w:rPr>
      </w:pPr>
      <w:r>
        <w:rPr>
          <w:rFonts w:ascii="Arial" w:cs="Arial" w:eastAsia="Arial" w:hAnsi="Arial"/>
          <w:sz w:val="20"/>
          <w:szCs w:val="20"/>
          <w:color w:val="auto"/>
        </w:rPr>
        <w:t>period, then LICENSEE shall pay the cost of the audit as well as any additional sum that would have been payable to UNIVERSITY had LICENSEE reported correctly, plus an interest charge at a rate of [***] per year. Such interest shall be calculated from the date the correct payment was due to UNIVERSITY up to the date when such payment is actually made by</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LICENSEE.</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underpayment not in excess of [***] for any [***] period, LICENSEE shall pay the difference within [***] without interest charge or inspection costs.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b w:val="1"/>
          <w:bCs w:val="1"/>
          <w:color w:val="auto"/>
        </w:rPr>
        <w:t>Payments</w:t>
      </w:r>
      <w:r>
        <w:rPr>
          <w:rFonts w:ascii="Arial" w:cs="Arial" w:eastAsia="Arial" w:hAnsi="Arial"/>
          <w:sz w:val="19"/>
          <w:szCs w:val="19"/>
          <w:color w:val="auto"/>
        </w:rPr>
        <w:t>.</w:t>
      </w:r>
    </w:p>
    <w:p>
      <w:pPr>
        <w:spacing w:after="0" w:line="240" w:lineRule="exact"/>
        <w:rPr>
          <w:sz w:val="20"/>
          <w:szCs w:val="20"/>
          <w:color w:val="auto"/>
        </w:rPr>
      </w:pPr>
    </w:p>
    <w:p>
      <w:pPr>
        <w:ind w:left="1300" w:hanging="644"/>
        <w:spacing w:after="0"/>
        <w:tabs>
          <w:tab w:leader="none" w:pos="130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All fees due to UNIVERSITY shall be paid to:</w:t>
      </w:r>
    </w:p>
    <w:p>
      <w:pPr>
        <w:sectPr>
          <w:pgSz w:w="11900" w:h="16838" w:orient="portrait"/>
          <w:cols w:equalWidth="0" w:num="1">
            <w:col w:w="11240"/>
          </w:cols>
          <w:pgMar w:left="320" w:top="1432" w:right="339" w:bottom="1440" w:gutter="0" w:footer="0" w:header="0"/>
        </w:sectPr>
      </w:pPr>
    </w:p>
    <w:bookmarkStart w:id="359" w:name="page360"/>
    <w:bookmarkEnd w:id="359"/>
    <w:p>
      <w:pPr>
        <w:ind w:left="6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300" w:hanging="644"/>
        <w:spacing w:after="0"/>
        <w:tabs>
          <w:tab w:leader="none" w:pos="130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Royalty Payments.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26"/>
        </w:numPr>
        <w:rPr>
          <w:rFonts w:ascii="Arial" w:cs="Arial" w:eastAsia="Arial" w:hAnsi="Arial"/>
          <w:sz w:val="20"/>
          <w:szCs w:val="20"/>
          <w:color w:val="auto"/>
        </w:rPr>
      </w:pPr>
      <w:r>
        <w:rPr>
          <w:rFonts w:ascii="Arial" w:cs="Arial" w:eastAsia="Arial" w:hAnsi="Arial"/>
          <w:sz w:val="20"/>
          <w:szCs w:val="20"/>
          <w:color w:val="auto"/>
        </w:rPr>
        <w:t>Royalties shall accrue when Licensed Products are invoiced, or if not invoiced, when delivered to a third</w:t>
      </w:r>
    </w:p>
    <w:p>
      <w:pPr>
        <w:spacing w:after="0"/>
        <w:rPr>
          <w:rFonts w:ascii="Arial" w:cs="Arial" w:eastAsia="Arial" w:hAnsi="Arial"/>
          <w:sz w:val="20"/>
          <w:szCs w:val="20"/>
          <w:color w:val="auto"/>
        </w:rPr>
      </w:pPr>
      <w:r>
        <w:rPr>
          <w:rFonts w:ascii="Arial" w:cs="Arial" w:eastAsia="Arial" w:hAnsi="Arial"/>
          <w:sz w:val="20"/>
          <w:szCs w:val="20"/>
          <w:color w:val="auto"/>
        </w:rPr>
        <w:t>party or Affiliate.</w:t>
      </w:r>
    </w:p>
    <w:p>
      <w:pPr>
        <w:spacing w:after="0" w:line="215" w:lineRule="exact"/>
        <w:rPr>
          <w:rFonts w:ascii="Arial" w:cs="Arial" w:eastAsia="Arial" w:hAnsi="Arial"/>
          <w:sz w:val="20"/>
          <w:szCs w:val="20"/>
          <w:color w:val="auto"/>
        </w:rPr>
      </w:pPr>
    </w:p>
    <w:p>
      <w:pPr>
        <w:ind w:firstLine="1304"/>
        <w:spacing w:after="0" w:line="246" w:lineRule="auto"/>
        <w:tabs>
          <w:tab w:leader="none" w:pos="1943" w:val="left"/>
        </w:tabs>
        <w:numPr>
          <w:ilvl w:val="1"/>
          <w:numId w:val="326"/>
        </w:numPr>
        <w:rPr>
          <w:rFonts w:ascii="Arial" w:cs="Arial" w:eastAsia="Arial" w:hAnsi="Arial"/>
          <w:sz w:val="20"/>
          <w:szCs w:val="20"/>
          <w:color w:val="auto"/>
        </w:rPr>
      </w:pPr>
      <w:r>
        <w:rPr>
          <w:rFonts w:ascii="Arial" w:cs="Arial" w:eastAsia="Arial" w:hAnsi="Arial"/>
          <w:sz w:val="20"/>
          <w:szCs w:val="20"/>
          <w:color w:val="auto"/>
        </w:rPr>
        <w:t>LICENSEE shall pay earned royalties annually on or before [***] of each calendar year. Each such payment shall be for earned royalties accrued within LICENSEE’s most recently completed calendar year.</w:t>
      </w:r>
    </w:p>
    <w:p>
      <w:pPr>
        <w:spacing w:after="0" w:line="203" w:lineRule="exact"/>
        <w:rPr>
          <w:rFonts w:ascii="Arial" w:cs="Arial" w:eastAsia="Arial" w:hAnsi="Arial"/>
          <w:sz w:val="20"/>
          <w:szCs w:val="20"/>
          <w:color w:val="auto"/>
        </w:rPr>
      </w:pPr>
    </w:p>
    <w:p>
      <w:pPr>
        <w:jc w:val="both"/>
        <w:ind w:firstLine="1304"/>
        <w:spacing w:after="0" w:line="243" w:lineRule="auto"/>
        <w:tabs>
          <w:tab w:leader="none" w:pos="1943" w:val="left"/>
        </w:tabs>
        <w:numPr>
          <w:ilvl w:val="1"/>
          <w:numId w:val="326"/>
        </w:numPr>
        <w:rPr>
          <w:rFonts w:ascii="Arial" w:cs="Arial" w:eastAsia="Arial" w:hAnsi="Arial"/>
          <w:sz w:val="20"/>
          <w:szCs w:val="20"/>
          <w:color w:val="auto"/>
        </w:rPr>
      </w:pPr>
      <w:r>
        <w:rPr>
          <w:rFonts w:ascii="Arial" w:cs="Arial" w:eastAsia="Arial" w:hAnsi="Arial"/>
          <w:sz w:val="20"/>
          <w:szCs w:val="20"/>
          <w:color w:val="auto"/>
        </w:rPr>
        <w:t>LICENSEE shall pay any withholding taxes on such royalties as required by law and provide to UNIVERSITY appropriate documentation of such tax payment. LICENSEE shall use reasonable efforts to: (i) avoid or minimize any such withholding; and (ii) take advantage of any double taxation treaty as may be available.</w:t>
      </w:r>
    </w:p>
    <w:p>
      <w:pPr>
        <w:spacing w:after="0" w:line="205" w:lineRule="exact"/>
        <w:rPr>
          <w:rFonts w:ascii="Arial" w:cs="Arial" w:eastAsia="Arial" w:hAnsi="Arial"/>
          <w:sz w:val="20"/>
          <w:szCs w:val="20"/>
          <w:color w:val="auto"/>
        </w:rPr>
      </w:pPr>
    </w:p>
    <w:p>
      <w:pPr>
        <w:jc w:val="both"/>
        <w:ind w:firstLine="1304"/>
        <w:spacing w:after="0"/>
        <w:tabs>
          <w:tab w:leader="none" w:pos="1943" w:val="left"/>
        </w:tabs>
        <w:numPr>
          <w:ilvl w:val="1"/>
          <w:numId w:val="326"/>
        </w:numPr>
        <w:rPr>
          <w:rFonts w:ascii="Arial" w:cs="Arial" w:eastAsia="Arial" w:hAnsi="Arial"/>
          <w:sz w:val="20"/>
          <w:szCs w:val="20"/>
          <w:color w:val="auto"/>
        </w:rPr>
      </w:pPr>
      <w:r>
        <w:rPr>
          <w:rFonts w:ascii="Arial" w:cs="Arial" w:eastAsia="Arial" w:hAnsi="Arial"/>
          <w:sz w:val="20"/>
          <w:szCs w:val="20"/>
          <w:color w:val="auto"/>
        </w:rPr>
        <w:t>In the event that any patent or patent claim within Patent Rights is held invalid in a final decision by a patent office from which no appeal or additional patent prosecution has been or can be taken, or by a court of competent jurisdiction and last resort and from which no appeal has or can be taken, all obligation to pay royalties based solely on that patent or claim or any claim patentably indistinct therefrom shall cease as of the date of such final decision. LICENSEE shall not, however, be relieved from paying any royalties that accrued before the date of such final decision, or that are based on another patent or claim not involved in such final decision.</w:t>
      </w:r>
    </w:p>
    <w:p>
      <w:pPr>
        <w:spacing w:after="0" w:line="213" w:lineRule="exact"/>
        <w:rPr>
          <w:rFonts w:ascii="Arial" w:cs="Arial" w:eastAsia="Arial" w:hAnsi="Arial"/>
          <w:sz w:val="20"/>
          <w:szCs w:val="20"/>
          <w:color w:val="auto"/>
        </w:rPr>
      </w:pPr>
    </w:p>
    <w:p>
      <w:pPr>
        <w:jc w:val="both"/>
        <w:ind w:firstLine="656"/>
        <w:spacing w:after="0" w:line="243" w:lineRule="auto"/>
        <w:tabs>
          <w:tab w:leader="none" w:pos="1284" w:val="left"/>
        </w:tabs>
        <w:numPr>
          <w:ilvl w:val="0"/>
          <w:numId w:val="326"/>
        </w:numPr>
        <w:rPr>
          <w:rFonts w:ascii="Arial" w:cs="Arial" w:eastAsia="Arial" w:hAnsi="Arial"/>
          <w:sz w:val="20"/>
          <w:szCs w:val="20"/>
          <w:color w:val="auto"/>
        </w:rPr>
      </w:pPr>
      <w:r>
        <w:rPr>
          <w:rFonts w:ascii="Arial" w:cs="Arial" w:eastAsia="Arial" w:hAnsi="Arial"/>
          <w:sz w:val="20"/>
          <w:szCs w:val="20"/>
          <w:color w:val="auto"/>
        </w:rPr>
        <w:t>Late Payments. In the event royalty, reimbursement and/or fee payments are not received by UNIVERSITY when due, LICENSEE shall pay to UNIVERSITY interest charges at a rate of [***] per year. Such interest shall be calculated from the date payment was due until actually received by UNIVERSITY.</w:t>
      </w:r>
    </w:p>
    <w:p>
      <w:pPr>
        <w:spacing w:after="0" w:line="182"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5 PATENT MATTERS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b w:val="1"/>
          <w:bCs w:val="1"/>
          <w:color w:val="auto"/>
        </w:rPr>
        <w:t>Patent Prosecution and Maintenance.</w:t>
      </w:r>
    </w:p>
    <w:p>
      <w:pPr>
        <w:spacing w:after="0" w:line="240" w:lineRule="exact"/>
        <w:rPr>
          <w:sz w:val="20"/>
          <w:szCs w:val="20"/>
          <w:color w:val="auto"/>
        </w:rPr>
      </w:pPr>
    </w:p>
    <w:p>
      <w:pPr>
        <w:jc w:val="both"/>
        <w:ind w:firstLine="656"/>
        <w:spacing w:after="0" w:line="241" w:lineRule="auto"/>
        <w:tabs>
          <w:tab w:leader="none" w:pos="1295" w:val="left"/>
        </w:tabs>
        <w:numPr>
          <w:ilvl w:val="0"/>
          <w:numId w:val="327"/>
        </w:numPr>
        <w:rPr>
          <w:rFonts w:ascii="Arial" w:cs="Arial" w:eastAsia="Arial" w:hAnsi="Arial"/>
          <w:sz w:val="20"/>
          <w:szCs w:val="20"/>
          <w:color w:val="auto"/>
        </w:rPr>
      </w:pPr>
      <w:r>
        <w:rPr>
          <w:rFonts w:ascii="Arial" w:cs="Arial" w:eastAsia="Arial" w:hAnsi="Arial"/>
          <w:sz w:val="20"/>
          <w:szCs w:val="20"/>
          <w:color w:val="auto"/>
        </w:rPr>
        <w:t>LICENSEE, at its own expense, utilizing patent attorneys of its choice, shall be responsible for the filing, prosecution and maintenance of patent applications and patents within the Patent Rights. Any such filings shall be in the name of UNIVERSITY and LICENSEE shall be acting in the best interest of UNIVERSITY in filing, prosecuting and maintaining the Patent Rights.</w:t>
      </w:r>
    </w:p>
    <w:p>
      <w:pPr>
        <w:spacing w:after="0" w:line="210" w:lineRule="exact"/>
        <w:rPr>
          <w:rFonts w:ascii="Arial" w:cs="Arial" w:eastAsia="Arial" w:hAnsi="Arial"/>
          <w:sz w:val="20"/>
          <w:szCs w:val="20"/>
          <w:color w:val="auto"/>
        </w:rPr>
      </w:pPr>
    </w:p>
    <w:p>
      <w:pPr>
        <w:jc w:val="both"/>
        <w:ind w:firstLine="656"/>
        <w:spacing w:after="0" w:line="241" w:lineRule="auto"/>
        <w:tabs>
          <w:tab w:leader="none" w:pos="1295" w:val="left"/>
        </w:tabs>
        <w:numPr>
          <w:ilvl w:val="0"/>
          <w:numId w:val="327"/>
        </w:numPr>
        <w:rPr>
          <w:rFonts w:ascii="Arial" w:cs="Arial" w:eastAsia="Arial" w:hAnsi="Arial"/>
          <w:sz w:val="20"/>
          <w:szCs w:val="20"/>
          <w:color w:val="auto"/>
        </w:rPr>
      </w:pPr>
      <w:r>
        <w:rPr>
          <w:rFonts w:ascii="Arial" w:cs="Arial" w:eastAsia="Arial" w:hAnsi="Arial"/>
          <w:sz w:val="20"/>
          <w:szCs w:val="20"/>
          <w:color w:val="auto"/>
        </w:rPr>
        <w:t>UNIVERSITY shall fully cooperate with LICENSEE in preparing, filing, prosecuting and maintaining any patent applications and patents in the Patent Rights. LICENSEE, or its patent counsel, shall consult with UNIVERSTY as to the preparation, filing, prosecution and maintenance of Patent Rights and provide UNIVERSITY with copies of all documentation relating to such prosecution and UNIVERSITY shall keep this documentation confidential.</w:t>
      </w:r>
    </w:p>
    <w:p>
      <w:pPr>
        <w:spacing w:after="0" w:line="210" w:lineRule="exact"/>
        <w:rPr>
          <w:rFonts w:ascii="Arial" w:cs="Arial" w:eastAsia="Arial" w:hAnsi="Arial"/>
          <w:sz w:val="20"/>
          <w:szCs w:val="20"/>
          <w:color w:val="auto"/>
        </w:rPr>
      </w:pPr>
    </w:p>
    <w:p>
      <w:pPr>
        <w:jc w:val="both"/>
        <w:ind w:firstLine="656"/>
        <w:spacing w:after="0" w:line="243" w:lineRule="auto"/>
        <w:tabs>
          <w:tab w:leader="none" w:pos="1284" w:val="left"/>
        </w:tabs>
        <w:numPr>
          <w:ilvl w:val="0"/>
          <w:numId w:val="327"/>
        </w:numPr>
        <w:rPr>
          <w:rFonts w:ascii="Arial" w:cs="Arial" w:eastAsia="Arial" w:hAnsi="Arial"/>
          <w:sz w:val="20"/>
          <w:szCs w:val="20"/>
          <w:color w:val="auto"/>
        </w:rPr>
      </w:pPr>
      <w:r>
        <w:rPr>
          <w:rFonts w:ascii="Arial" w:cs="Arial" w:eastAsia="Arial" w:hAnsi="Arial"/>
          <w:sz w:val="20"/>
          <w:szCs w:val="20"/>
          <w:color w:val="auto"/>
        </w:rPr>
        <w:t>LICENSEE shall apply for an extension of the term of any patent in Patent Rights if appropriate under the US Drug Price Competition and Patent Term Restoration Act and/or European, Japanese and other foreign counterparts thereof. LICENSEE shall prepare all</w:t>
      </w:r>
    </w:p>
    <w:p>
      <w:pPr>
        <w:sectPr>
          <w:pgSz w:w="11900" w:h="16838" w:orient="portrait"/>
          <w:cols w:equalWidth="0" w:num="1">
            <w:col w:w="11240"/>
          </w:cols>
          <w:pgMar w:left="320" w:top="1432" w:right="339" w:bottom="1440" w:gutter="0" w:footer="0" w:header="0"/>
        </w:sectPr>
      </w:pPr>
    </w:p>
    <w:bookmarkStart w:id="360" w:name="page361"/>
    <w:bookmarkEnd w:id="360"/>
    <w:p>
      <w:pPr>
        <w:spacing w:after="0" w:line="246" w:lineRule="auto"/>
        <w:rPr>
          <w:sz w:val="20"/>
          <w:szCs w:val="20"/>
          <w:color w:val="auto"/>
        </w:rPr>
      </w:pPr>
      <w:r>
        <w:rPr>
          <w:rFonts w:ascii="Arial" w:cs="Arial" w:eastAsia="Arial" w:hAnsi="Arial"/>
          <w:sz w:val="20"/>
          <w:szCs w:val="20"/>
          <w:color w:val="auto"/>
        </w:rPr>
        <w:t>documents for such applications, and UNIVERSITY shall execute such documents and take any other additional action as LICENSEE reasonably requests in connection therewith.</w:t>
      </w:r>
    </w:p>
    <w:p>
      <w:pPr>
        <w:spacing w:after="0" w:line="204" w:lineRule="exact"/>
        <w:rPr>
          <w:sz w:val="20"/>
          <w:szCs w:val="20"/>
          <w:color w:val="auto"/>
        </w:rPr>
      </w:pPr>
    </w:p>
    <w:p>
      <w:pPr>
        <w:jc w:val="both"/>
        <w:ind w:right="20" w:firstLine="656"/>
        <w:spacing w:after="0" w:line="262" w:lineRule="auto"/>
        <w:tabs>
          <w:tab w:leader="none" w:pos="1295" w:val="left"/>
        </w:tabs>
        <w:numPr>
          <w:ilvl w:val="0"/>
          <w:numId w:val="328"/>
        </w:numPr>
        <w:rPr>
          <w:rFonts w:ascii="Arial" w:cs="Arial" w:eastAsia="Arial" w:hAnsi="Arial"/>
          <w:sz w:val="19"/>
          <w:szCs w:val="19"/>
          <w:color w:val="auto"/>
        </w:rPr>
      </w:pPr>
      <w:r>
        <w:rPr>
          <w:rFonts w:ascii="Arial" w:cs="Arial" w:eastAsia="Arial" w:hAnsi="Arial"/>
          <w:sz w:val="19"/>
          <w:szCs w:val="19"/>
          <w:color w:val="auto"/>
        </w:rPr>
        <w:t>LICENSEE may elect to terminate its obligations with respect to any patent application or patent in Patent Rights upon [***] written notice to UNIVERSITY. UNIVERSITY, in its sole discretion and at its sole expense, may continue prosecution and maintenance of said application or patent, and LICENSEE shall then have no further license with respect thereto.</w:t>
      </w:r>
    </w:p>
    <w:p>
      <w:pPr>
        <w:spacing w:after="0" w:line="16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b w:val="1"/>
          <w:bCs w:val="1"/>
          <w:color w:val="auto"/>
        </w:rPr>
        <w:t>Patent Infringement</w:t>
      </w:r>
      <w:r>
        <w:rPr>
          <w:rFonts w:ascii="Arial" w:cs="Arial" w:eastAsia="Arial" w:hAnsi="Arial"/>
          <w:sz w:val="19"/>
          <w:szCs w:val="19"/>
          <w:color w:val="auto"/>
        </w:rPr>
        <w:t>.</w:t>
      </w:r>
    </w:p>
    <w:p>
      <w:pPr>
        <w:spacing w:after="0" w:line="240" w:lineRule="exact"/>
        <w:rPr>
          <w:sz w:val="20"/>
          <w:szCs w:val="20"/>
          <w:color w:val="auto"/>
        </w:rPr>
      </w:pPr>
    </w:p>
    <w:p>
      <w:pPr>
        <w:jc w:val="both"/>
        <w:ind w:right="20" w:firstLine="656"/>
        <w:spacing w:after="0" w:line="241" w:lineRule="auto"/>
        <w:tabs>
          <w:tab w:leader="none" w:pos="1295" w:val="left"/>
        </w:tabs>
        <w:numPr>
          <w:ilvl w:val="0"/>
          <w:numId w:val="329"/>
        </w:numPr>
        <w:rPr>
          <w:rFonts w:ascii="Arial" w:cs="Arial" w:eastAsia="Arial" w:hAnsi="Arial"/>
          <w:sz w:val="20"/>
          <w:szCs w:val="20"/>
          <w:color w:val="auto"/>
        </w:rPr>
      </w:pPr>
      <w:r>
        <w:rPr>
          <w:rFonts w:ascii="Arial" w:cs="Arial" w:eastAsia="Arial" w:hAnsi="Arial"/>
          <w:sz w:val="20"/>
          <w:szCs w:val="20"/>
          <w:color w:val="auto"/>
        </w:rPr>
        <w:t>If LICENSEE learns of any substantial infringement of Patent Rights, LICENSEE shall so inform UNIVERSITY and provide UNIVERSITY with reasonable evidence of the infringement. Neither party shall notify a third party of the infringement of Patent Rights without the consent of the other party. Both parties shall use reasonable efforts and cooperation to terminate infringement without litigation.</w:t>
      </w:r>
    </w:p>
    <w:p>
      <w:pPr>
        <w:spacing w:after="0" w:line="210" w:lineRule="exact"/>
        <w:rPr>
          <w:rFonts w:ascii="Arial" w:cs="Arial" w:eastAsia="Arial" w:hAnsi="Arial"/>
          <w:sz w:val="20"/>
          <w:szCs w:val="20"/>
          <w:color w:val="auto"/>
        </w:rPr>
      </w:pPr>
    </w:p>
    <w:p>
      <w:pPr>
        <w:jc w:val="both"/>
        <w:ind w:firstLine="656"/>
        <w:spacing w:after="0"/>
        <w:tabs>
          <w:tab w:leader="none" w:pos="1295" w:val="left"/>
        </w:tabs>
        <w:numPr>
          <w:ilvl w:val="0"/>
          <w:numId w:val="329"/>
        </w:numPr>
        <w:rPr>
          <w:rFonts w:ascii="Arial" w:cs="Arial" w:eastAsia="Arial" w:hAnsi="Arial"/>
          <w:sz w:val="20"/>
          <w:szCs w:val="20"/>
          <w:color w:val="auto"/>
        </w:rPr>
      </w:pPr>
      <w:r>
        <w:rPr>
          <w:rFonts w:ascii="Arial" w:cs="Arial" w:eastAsia="Arial" w:hAnsi="Arial"/>
          <w:sz w:val="20"/>
          <w:szCs w:val="20"/>
          <w:color w:val="auto"/>
        </w:rPr>
        <w:t>LICENSEE may request UNIVERSITY to take legal action against such third party for the infringement of Patent Rights. Such request shall be made in writing and shall include reasonable evidence of such infringement and damages to LICENSEE. If the infringing activity has not abated [***] following LICENSEE’s request, UNIVERSITY shall elect to or not to commence suit on its own account. UNIVERSITY shall give notice of its election in writing to LICENSEE by the end of the [***] after receiving notice of such request from LICENSEE. LICENSEE may thereafter bring suit for patent infringement at its own expense, if and only if UNIVERSITY elects not to commence suit and the infringement occurred in a jurisdiction where LICENSEE has an exclusive license under this Agreement. If LICENSEE elects to bring suit, UNIVERSITY may join that suit at its own expense.</w:t>
      </w:r>
    </w:p>
    <w:p>
      <w:pPr>
        <w:spacing w:after="0" w:line="212" w:lineRule="exact"/>
        <w:rPr>
          <w:rFonts w:ascii="Arial" w:cs="Arial" w:eastAsia="Arial" w:hAnsi="Arial"/>
          <w:sz w:val="20"/>
          <w:szCs w:val="20"/>
          <w:color w:val="auto"/>
        </w:rPr>
      </w:pPr>
    </w:p>
    <w:p>
      <w:pPr>
        <w:jc w:val="both"/>
        <w:ind w:firstLine="656"/>
        <w:spacing w:after="0" w:line="241" w:lineRule="auto"/>
        <w:tabs>
          <w:tab w:leader="none" w:pos="1284" w:val="left"/>
        </w:tabs>
        <w:numPr>
          <w:ilvl w:val="0"/>
          <w:numId w:val="329"/>
        </w:numPr>
        <w:rPr>
          <w:rFonts w:ascii="Arial" w:cs="Arial" w:eastAsia="Arial" w:hAnsi="Arial"/>
          <w:sz w:val="20"/>
          <w:szCs w:val="20"/>
          <w:color w:val="auto"/>
        </w:rPr>
      </w:pPr>
      <w:r>
        <w:rPr>
          <w:rFonts w:ascii="Arial" w:cs="Arial" w:eastAsia="Arial" w:hAnsi="Arial"/>
          <w:sz w:val="20"/>
          <w:szCs w:val="20"/>
          <w:color w:val="auto"/>
        </w:rPr>
        <w:t>Recoveries from actions brought pursuant to Paragraph 5.2(b) shall belong to the party bringing suit except that in the event that LICENSEE brings suit for infringement of Patent Rights and an acceptable settlement is entered into or monetary damages are awarded in a final non-appealable judgment, [***]. Legal actions brought jointly by UNIVERSITY and LICENSEE and fully participated in by both shall be at the joint expense of the parties and all recoveries shall be shared jointly by them in proportion to the share of expense paid by each party.</w:t>
      </w:r>
    </w:p>
    <w:p>
      <w:pPr>
        <w:spacing w:after="0" w:line="208" w:lineRule="exact"/>
        <w:rPr>
          <w:rFonts w:ascii="Arial" w:cs="Arial" w:eastAsia="Arial" w:hAnsi="Arial"/>
          <w:sz w:val="20"/>
          <w:szCs w:val="20"/>
          <w:color w:val="auto"/>
        </w:rPr>
      </w:pPr>
    </w:p>
    <w:p>
      <w:pPr>
        <w:jc w:val="both"/>
        <w:ind w:firstLine="656"/>
        <w:spacing w:after="0" w:line="243" w:lineRule="auto"/>
        <w:tabs>
          <w:tab w:leader="none" w:pos="1295" w:val="left"/>
        </w:tabs>
        <w:numPr>
          <w:ilvl w:val="0"/>
          <w:numId w:val="329"/>
        </w:numPr>
        <w:rPr>
          <w:rFonts w:ascii="Arial" w:cs="Arial" w:eastAsia="Arial" w:hAnsi="Arial"/>
          <w:sz w:val="20"/>
          <w:szCs w:val="20"/>
          <w:color w:val="auto"/>
        </w:rPr>
      </w:pPr>
      <w:r>
        <w:rPr>
          <w:rFonts w:ascii="Arial" w:cs="Arial" w:eastAsia="Arial" w:hAnsi="Arial"/>
          <w:sz w:val="20"/>
          <w:szCs w:val="20"/>
          <w:color w:val="auto"/>
        </w:rPr>
        <w:t>Each party shall cooperate with the other in litigation proceedings at the expense of the party bringing suit. Litigation shall be controlled by the party bringing the suit, except that UNIVERSITY may be represented by counsel of its choice in any suit brought by LICENSEE.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b w:val="1"/>
          <w:bCs w:val="1"/>
          <w:color w:val="auto"/>
        </w:rPr>
        <w:t>Patent Marking</w:t>
      </w:r>
      <w:r>
        <w:rPr>
          <w:rFonts w:ascii="Arial" w:cs="Arial" w:eastAsia="Arial" w:hAnsi="Arial"/>
          <w:sz w:val="20"/>
          <w:szCs w:val="20"/>
          <w:color w:val="auto"/>
        </w:rPr>
        <w:t>. LICENSEE shall mark all Licensed Products made, used or sold under the terms of this Agreement, or their containers, in accordance with the applicable patent marking laws.</w:t>
      </w:r>
    </w:p>
    <w:p>
      <w:pPr>
        <w:spacing w:after="0" w:line="156"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6 GOVERNMENTAL MATTERS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Governmental Approval or Registration</w:t>
      </w:r>
      <w:r>
        <w:rPr>
          <w:rFonts w:ascii="Arial" w:cs="Arial" w:eastAsia="Arial" w:hAnsi="Arial"/>
          <w:sz w:val="20"/>
          <w:szCs w:val="20"/>
          <w:color w:val="auto"/>
        </w:rPr>
        <w:t>. If this Agreement or any associated transaction is required by the law of any nation</w:t>
      </w:r>
      <w:r>
        <w:rPr>
          <w:rFonts w:ascii="Arial" w:cs="Arial" w:eastAsia="Arial" w:hAnsi="Arial"/>
          <w:sz w:val="20"/>
          <w:szCs w:val="20"/>
          <w:b w:val="1"/>
          <w:bCs w:val="1"/>
          <w:color w:val="auto"/>
        </w:rPr>
        <w:t xml:space="preserve"> </w:t>
      </w:r>
      <w:r>
        <w:rPr>
          <w:rFonts w:ascii="Arial" w:cs="Arial" w:eastAsia="Arial" w:hAnsi="Arial"/>
          <w:sz w:val="20"/>
          <w:szCs w:val="20"/>
          <w:color w:val="auto"/>
        </w:rPr>
        <w:t>to be either approved or registered with any governmental agency, LICENSEE shall assume all legal obligations to do so. LICENSEE shall notify UNIVERSITY if it becomes aware that this Agreement is subject to any government reporting or approval requirement. LICENSEE shall make all necessary filings and pay all costs including</w:t>
      </w:r>
    </w:p>
    <w:p>
      <w:pPr>
        <w:sectPr>
          <w:pgSz w:w="11900" w:h="16838" w:orient="portrait"/>
          <w:cols w:equalWidth="0" w:num="1">
            <w:col w:w="11240"/>
          </w:cols>
          <w:pgMar w:left="320" w:top="1432" w:right="339" w:bottom="1440" w:gutter="0" w:footer="0" w:header="0"/>
        </w:sectPr>
      </w:pPr>
    </w:p>
    <w:bookmarkStart w:id="361" w:name="page362"/>
    <w:bookmarkEnd w:id="361"/>
    <w:p>
      <w:pPr>
        <w:spacing w:after="0"/>
        <w:rPr>
          <w:sz w:val="20"/>
          <w:szCs w:val="20"/>
          <w:color w:val="auto"/>
        </w:rPr>
      </w:pPr>
      <w:r>
        <w:rPr>
          <w:rFonts w:ascii="Arial" w:cs="Arial" w:eastAsia="Arial" w:hAnsi="Arial"/>
          <w:sz w:val="20"/>
          <w:szCs w:val="20"/>
          <w:color w:val="auto"/>
        </w:rPr>
        <w:t>fees, penalties, and all other out-of-pocket costs associated with such reporting or approval process.</w:t>
      </w:r>
    </w:p>
    <w:p>
      <w:pPr>
        <w:spacing w:after="0" w:line="192" w:lineRule="exact"/>
        <w:rPr>
          <w:sz w:val="20"/>
          <w:szCs w:val="20"/>
          <w:color w:val="auto"/>
        </w:rPr>
      </w:pPr>
    </w:p>
    <w:p>
      <w:pPr>
        <w:ind w:left="3360"/>
        <w:spacing w:after="0"/>
        <w:rPr>
          <w:sz w:val="20"/>
          <w:szCs w:val="20"/>
          <w:color w:val="auto"/>
        </w:rPr>
      </w:pPr>
      <w:r>
        <w:rPr>
          <w:rFonts w:ascii="Arial" w:cs="Arial" w:eastAsia="Arial" w:hAnsi="Arial"/>
          <w:sz w:val="20"/>
          <w:szCs w:val="20"/>
          <w:b w:val="1"/>
          <w:bCs w:val="1"/>
          <w:color w:val="auto"/>
        </w:rPr>
        <w:t>ARTICLE 7 TERMINATION OF THE AGREEMENT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b w:val="1"/>
          <w:bCs w:val="1"/>
          <w:color w:val="auto"/>
        </w:rPr>
        <w:t>Termination by UNIVERSITY</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tabs>
          <w:tab w:leader="none" w:pos="1295" w:val="left"/>
        </w:tabs>
        <w:numPr>
          <w:ilvl w:val="0"/>
          <w:numId w:val="330"/>
        </w:numPr>
        <w:rPr>
          <w:rFonts w:ascii="Arial" w:cs="Arial" w:eastAsia="Arial" w:hAnsi="Arial"/>
          <w:sz w:val="20"/>
          <w:szCs w:val="20"/>
          <w:color w:val="auto"/>
        </w:rPr>
      </w:pPr>
      <w:r>
        <w:rPr>
          <w:rFonts w:ascii="Arial" w:cs="Arial" w:eastAsia="Arial" w:hAnsi="Arial"/>
          <w:sz w:val="20"/>
          <w:szCs w:val="20"/>
          <w:color w:val="auto"/>
        </w:rPr>
        <w:t>If LICENSEE fails to perform or violates any term of this Agreement, then UNIVERSITY may give written notice of default (“Notice of Default”) to LICENSEE. If LICENSEE fails to cure the default within [***] of the Notice of Default, UNIVERSITY may terminate this Agreement and the license granted herein by a second written notice (“Notice of Termination”) to LICENSEE. If a Notice of Termination is sent to LICENSEE, this Agreement shall automatically terminate on the effective date of that notice. Termination shall not relieve LICENSEE of its obligation to pay any fees owed at the time of termination and shall not impair any accrued right of UNIVERSITY.</w:t>
      </w:r>
    </w:p>
    <w:p>
      <w:pPr>
        <w:spacing w:after="0" w:line="213" w:lineRule="exact"/>
        <w:rPr>
          <w:rFonts w:ascii="Arial" w:cs="Arial" w:eastAsia="Arial" w:hAnsi="Arial"/>
          <w:sz w:val="20"/>
          <w:szCs w:val="20"/>
          <w:color w:val="auto"/>
        </w:rPr>
      </w:pPr>
    </w:p>
    <w:p>
      <w:pPr>
        <w:jc w:val="both"/>
        <w:ind w:firstLine="656"/>
        <w:spacing w:after="0"/>
        <w:tabs>
          <w:tab w:leader="none" w:pos="1295" w:val="left"/>
        </w:tabs>
        <w:numPr>
          <w:ilvl w:val="0"/>
          <w:numId w:val="330"/>
        </w:numPr>
        <w:rPr>
          <w:rFonts w:ascii="Arial" w:cs="Arial" w:eastAsia="Arial" w:hAnsi="Arial"/>
          <w:sz w:val="20"/>
          <w:szCs w:val="20"/>
          <w:color w:val="auto"/>
        </w:rPr>
      </w:pPr>
      <w:r>
        <w:rPr>
          <w:rFonts w:ascii="Arial" w:cs="Arial" w:eastAsia="Arial" w:hAnsi="Arial"/>
          <w:sz w:val="20"/>
          <w:szCs w:val="20"/>
          <w:color w:val="auto"/>
        </w:rPr>
        <w:t>UNIVERSITY shall have the right to terminate this Agreement by giving written notice, in the event of filing by LICENSEE of a petition of bankruptcy or insolvency or both, or in the event of an adjudication that LICENSEE is bankrupt or insolvent or both, or after filing by LICENSEE of any petition or pleading asking reorganization, readjustment or rearrangement of its business under any law relating to bankruptcy or insolvency, or upon or after appointment of a receiver for all or substantially all of the property of LICENSEE or upon or after the making of any assignment for the benefit of creditors or upon or after the institution of any proceedings for the liquidation or winding-up of LICENSEE’s business or for the termination of its corporate charter, and this Agreement shall terminate upon the date specified in such written notice.</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b w:val="1"/>
          <w:bCs w:val="1"/>
          <w:color w:val="auto"/>
        </w:rPr>
        <w:t>Termination by Licensee</w:t>
      </w:r>
      <w:r>
        <w:rPr>
          <w:rFonts w:ascii="Arial" w:cs="Arial" w:eastAsia="Arial" w:hAnsi="Arial"/>
          <w:sz w:val="19"/>
          <w:szCs w:val="19"/>
          <w:color w:val="auto"/>
        </w:rPr>
        <w:t>.</w:t>
      </w:r>
    </w:p>
    <w:p>
      <w:pPr>
        <w:spacing w:after="0" w:line="240" w:lineRule="exact"/>
        <w:rPr>
          <w:sz w:val="20"/>
          <w:szCs w:val="20"/>
          <w:color w:val="auto"/>
        </w:rPr>
      </w:pPr>
    </w:p>
    <w:p>
      <w:pPr>
        <w:ind w:right="20" w:firstLine="656"/>
        <w:spacing w:after="0" w:line="246" w:lineRule="auto"/>
        <w:tabs>
          <w:tab w:leader="none" w:pos="1295" w:val="left"/>
        </w:tabs>
        <w:numPr>
          <w:ilvl w:val="0"/>
          <w:numId w:val="331"/>
        </w:numPr>
        <w:rPr>
          <w:rFonts w:ascii="Arial" w:cs="Arial" w:eastAsia="Arial" w:hAnsi="Arial"/>
          <w:sz w:val="20"/>
          <w:szCs w:val="20"/>
          <w:color w:val="auto"/>
        </w:rPr>
      </w:pPr>
      <w:r>
        <w:rPr>
          <w:rFonts w:ascii="Arial" w:cs="Arial" w:eastAsia="Arial" w:hAnsi="Arial"/>
          <w:sz w:val="20"/>
          <w:szCs w:val="20"/>
          <w:color w:val="auto"/>
        </w:rPr>
        <w:t>LICENSEE shall have the right at any time and for any reason to terminate this Agreement upon a [***] written notice to UNIVERSITY. Said notice shall state LICENSEE’s reason for terminating this Agreement.</w:t>
      </w:r>
    </w:p>
    <w:p>
      <w:pPr>
        <w:spacing w:after="0" w:line="203" w:lineRule="exact"/>
        <w:rPr>
          <w:rFonts w:ascii="Arial" w:cs="Arial" w:eastAsia="Arial" w:hAnsi="Arial"/>
          <w:sz w:val="20"/>
          <w:szCs w:val="20"/>
          <w:color w:val="auto"/>
        </w:rPr>
      </w:pPr>
    </w:p>
    <w:p>
      <w:pPr>
        <w:jc w:val="both"/>
        <w:ind w:firstLine="656"/>
        <w:spacing w:after="0" w:line="241" w:lineRule="auto"/>
        <w:tabs>
          <w:tab w:leader="none" w:pos="1295"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Any termination under Paragraph 7.2(a) shall not relieve LICENSEE of any obligation or liability accrued under this Agreement prior to termination or rescind any payment made to UNIVERSITY or action by LICENSEE prior to the time termination becomes effective. Termination shall not affect in any manner any rights of UNIVERSITY arising under this Agreement prior to termination.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b w:val="1"/>
          <w:bCs w:val="1"/>
          <w:color w:val="auto"/>
        </w:rPr>
        <w:t>Survival on Termination</w:t>
      </w:r>
      <w:r>
        <w:rPr>
          <w:rFonts w:ascii="Arial" w:cs="Arial" w:eastAsia="Arial" w:hAnsi="Arial"/>
          <w:sz w:val="20"/>
          <w:szCs w:val="20"/>
          <w:color w:val="auto"/>
        </w:rPr>
        <w:t>. Upon expiration or termination of the Agreement, the obligations which by their nature are intended to survive expiration or termination of the Agreement shall survive.</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b w:val="1"/>
          <w:bCs w:val="1"/>
          <w:color w:val="auto"/>
        </w:rPr>
        <w:t>Disposition of Licensed Products on Hand</w:t>
      </w:r>
      <w:r>
        <w:rPr>
          <w:rFonts w:ascii="Arial" w:cs="Arial" w:eastAsia="Arial" w:hAnsi="Arial"/>
          <w:sz w:val="20"/>
          <w:szCs w:val="20"/>
          <w:color w:val="auto"/>
        </w:rPr>
        <w:t>. Upon termination of this Agreement, LICENSEE may dispose of all previously made or partially made Licensed Product within a period of [***] of the effective date of such termination provided that the sale of such Licensed Product by LICENSEE, its Sublicensees, or Affiliates shall be subject to the terms of this Agreement, including but not limited to the rendering of reports and payment of royalties required under this Agreement.</w:t>
      </w:r>
    </w:p>
    <w:p>
      <w:pPr>
        <w:sectPr>
          <w:pgSz w:w="11900" w:h="16838" w:orient="portrait"/>
          <w:cols w:equalWidth="0" w:num="1">
            <w:col w:w="11240"/>
          </w:cols>
          <w:pgMar w:left="320" w:top="1432"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20"/>
          <w:szCs w:val="20"/>
          <w:b w:val="1"/>
          <w:bCs w:val="1"/>
          <w:color w:val="auto"/>
        </w:rPr>
        <w:t>ARTICLE 8 LIMITED WARRANTY AND INDEMNIFICATION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b w:val="1"/>
          <w:bCs w:val="1"/>
          <w:color w:val="auto"/>
        </w:rPr>
        <w:t>Limited Warranty</w:t>
      </w:r>
      <w:r>
        <w:rPr>
          <w:rFonts w:ascii="Arial" w:cs="Arial" w:eastAsia="Arial" w:hAnsi="Arial"/>
          <w:sz w:val="19"/>
          <w:szCs w:val="19"/>
          <w:color w:val="auto"/>
        </w:rPr>
        <w:t>.</w:t>
      </w:r>
    </w:p>
    <w:p>
      <w:pPr>
        <w:spacing w:after="0" w:line="240" w:lineRule="exact"/>
        <w:rPr>
          <w:sz w:val="20"/>
          <w:szCs w:val="20"/>
          <w:color w:val="auto"/>
        </w:rPr>
      </w:pPr>
    </w:p>
    <w:p>
      <w:pPr>
        <w:ind w:left="1300" w:hanging="644"/>
        <w:spacing w:after="0"/>
        <w:tabs>
          <w:tab w:leader="none" w:pos="130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UNIVERSITY warrants that it has the lawful right to grant this license.</w:t>
      </w:r>
    </w:p>
    <w:p>
      <w:pPr>
        <w:spacing w:after="0" w:line="215" w:lineRule="exact"/>
        <w:rPr>
          <w:rFonts w:ascii="Arial" w:cs="Arial" w:eastAsia="Arial" w:hAnsi="Arial"/>
          <w:sz w:val="20"/>
          <w:szCs w:val="20"/>
          <w:color w:val="auto"/>
        </w:rPr>
      </w:pPr>
    </w:p>
    <w:p>
      <w:pPr>
        <w:jc w:val="both"/>
        <w:ind w:firstLine="656"/>
        <w:spacing w:after="0" w:line="241" w:lineRule="auto"/>
        <w:tabs>
          <w:tab w:leader="none" w:pos="1295"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The license granted herein is provided “AS IS” and without WARRANTY OF MERCHANTABILITY or WARRANTY OF FITNESS FOR A PARTICULAR PURPOSE or any other warranty, express or implied. UNIVERSITY makes no representation or warranty that the Licensed Product, Licensed Method or the use of Patent Rights will not infringe any other patent or other proprietary rights.</w:t>
      </w:r>
    </w:p>
    <w:p>
      <w:pPr>
        <w:spacing w:after="0" w:line="210" w:lineRule="exact"/>
        <w:rPr>
          <w:rFonts w:ascii="Arial" w:cs="Arial" w:eastAsia="Arial" w:hAnsi="Arial"/>
          <w:sz w:val="20"/>
          <w:szCs w:val="20"/>
          <w:color w:val="auto"/>
        </w:rPr>
      </w:pPr>
    </w:p>
    <w:p>
      <w:pPr>
        <w:ind w:firstLine="656"/>
        <w:spacing w:after="0" w:line="246" w:lineRule="auto"/>
        <w:tabs>
          <w:tab w:leader="none" w:pos="1284" w:val="left"/>
        </w:tabs>
        <w:numPr>
          <w:ilvl w:val="0"/>
          <w:numId w:val="332"/>
        </w:numPr>
        <w:rPr>
          <w:rFonts w:ascii="Arial" w:cs="Arial" w:eastAsia="Arial" w:hAnsi="Arial"/>
          <w:sz w:val="20"/>
          <w:szCs w:val="20"/>
          <w:color w:val="auto"/>
        </w:rPr>
      </w:pPr>
      <w:r>
        <w:rPr>
          <w:rFonts w:ascii="Arial" w:cs="Arial" w:eastAsia="Arial" w:hAnsi="Arial"/>
          <w:sz w:val="20"/>
          <w:szCs w:val="20"/>
          <w:color w:val="auto"/>
        </w:rPr>
        <w:t>In no event shall UNIVERSITY be liable for any incidental, special or consequential damages resulting from exercise of the license granted herein or the use of the Invention, Licensed Product, or Licensed Method.</w:t>
      </w:r>
    </w:p>
    <w:p>
      <w:pPr>
        <w:spacing w:after="0" w:line="203" w:lineRule="exact"/>
        <w:rPr>
          <w:rFonts w:ascii="Arial" w:cs="Arial" w:eastAsia="Arial" w:hAnsi="Arial"/>
          <w:sz w:val="20"/>
          <w:szCs w:val="20"/>
          <w:color w:val="auto"/>
        </w:rPr>
      </w:pPr>
    </w:p>
    <w:p>
      <w:pPr>
        <w:ind w:left="1300" w:hanging="644"/>
        <w:spacing w:after="0"/>
        <w:tabs>
          <w:tab w:leader="none" w:pos="130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Nothing in this Agreement shall be construed as: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332"/>
        </w:numPr>
        <w:rPr>
          <w:rFonts w:ascii="Arial" w:cs="Arial" w:eastAsia="Arial" w:hAnsi="Arial"/>
          <w:sz w:val="20"/>
          <w:szCs w:val="20"/>
          <w:color w:val="auto"/>
        </w:rPr>
      </w:pPr>
      <w:r>
        <w:rPr>
          <w:rFonts w:ascii="Arial" w:cs="Arial" w:eastAsia="Arial" w:hAnsi="Arial"/>
          <w:sz w:val="20"/>
          <w:szCs w:val="20"/>
          <w:color w:val="auto"/>
        </w:rPr>
        <w:t>a warranty or representation by UNIVERSITY as to the validity or scope of any Patent Rights;</w:t>
      </w:r>
    </w:p>
    <w:p>
      <w:pPr>
        <w:spacing w:after="0" w:line="215" w:lineRule="exact"/>
        <w:rPr>
          <w:rFonts w:ascii="Arial" w:cs="Arial" w:eastAsia="Arial" w:hAnsi="Arial"/>
          <w:sz w:val="20"/>
          <w:szCs w:val="20"/>
          <w:color w:val="auto"/>
        </w:rPr>
      </w:pPr>
    </w:p>
    <w:p>
      <w:pPr>
        <w:ind w:firstLine="1304"/>
        <w:spacing w:after="0" w:line="246" w:lineRule="auto"/>
        <w:tabs>
          <w:tab w:leader="none" w:pos="1943" w:val="left"/>
        </w:tabs>
        <w:numPr>
          <w:ilvl w:val="1"/>
          <w:numId w:val="332"/>
        </w:numPr>
        <w:rPr>
          <w:rFonts w:ascii="Arial" w:cs="Arial" w:eastAsia="Arial" w:hAnsi="Arial"/>
          <w:sz w:val="20"/>
          <w:szCs w:val="20"/>
          <w:color w:val="auto"/>
        </w:rPr>
      </w:pPr>
      <w:r>
        <w:rPr>
          <w:rFonts w:ascii="Arial" w:cs="Arial" w:eastAsia="Arial" w:hAnsi="Arial"/>
          <w:sz w:val="20"/>
          <w:szCs w:val="20"/>
          <w:color w:val="auto"/>
        </w:rPr>
        <w:t>a warranty or representation that anything made, used, sold or otherwise disposed of under any license granted in this Agreement is or shall be free from infringement of patents of third parties;</w:t>
      </w:r>
    </w:p>
    <w:p>
      <w:pPr>
        <w:spacing w:after="0" w:line="203" w:lineRule="exact"/>
        <w:rPr>
          <w:rFonts w:ascii="Arial" w:cs="Arial" w:eastAsia="Arial" w:hAnsi="Arial"/>
          <w:sz w:val="20"/>
          <w:szCs w:val="20"/>
          <w:color w:val="auto"/>
        </w:rPr>
      </w:pPr>
    </w:p>
    <w:p>
      <w:pPr>
        <w:ind w:firstLine="1304"/>
        <w:spacing w:after="0" w:line="246" w:lineRule="auto"/>
        <w:tabs>
          <w:tab w:leader="none" w:pos="1943" w:val="left"/>
        </w:tabs>
        <w:numPr>
          <w:ilvl w:val="1"/>
          <w:numId w:val="332"/>
        </w:numPr>
        <w:rPr>
          <w:rFonts w:ascii="Arial" w:cs="Arial" w:eastAsia="Arial" w:hAnsi="Arial"/>
          <w:sz w:val="20"/>
          <w:szCs w:val="20"/>
          <w:color w:val="auto"/>
        </w:rPr>
      </w:pPr>
      <w:r>
        <w:rPr>
          <w:rFonts w:ascii="Arial" w:cs="Arial" w:eastAsia="Arial" w:hAnsi="Arial"/>
          <w:sz w:val="20"/>
          <w:szCs w:val="20"/>
          <w:color w:val="auto"/>
        </w:rPr>
        <w:t>an obligation to bring or prosecute actions or suits against third parties for patent infringement except as provided in Paragraph 5.2 hereof.</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40" w:lineRule="exact"/>
        <w:rPr>
          <w:sz w:val="20"/>
          <w:szCs w:val="20"/>
          <w:color w:val="auto"/>
        </w:rPr>
      </w:pPr>
    </w:p>
    <w:p>
      <w:pPr>
        <w:jc w:val="both"/>
        <w:ind w:firstLine="656"/>
        <w:spacing w:after="0" w:line="241" w:lineRule="auto"/>
        <w:tabs>
          <w:tab w:leader="none" w:pos="1295" w:val="left"/>
        </w:tabs>
        <w:numPr>
          <w:ilvl w:val="0"/>
          <w:numId w:val="333"/>
        </w:numPr>
        <w:rPr>
          <w:rFonts w:ascii="Arial" w:cs="Arial" w:eastAsia="Arial" w:hAnsi="Arial"/>
          <w:sz w:val="20"/>
          <w:szCs w:val="20"/>
          <w:color w:val="auto"/>
        </w:rPr>
      </w:pPr>
      <w:r>
        <w:rPr>
          <w:rFonts w:ascii="Arial" w:cs="Arial" w:eastAsia="Arial" w:hAnsi="Arial"/>
          <w:sz w:val="20"/>
          <w:szCs w:val="20"/>
          <w:color w:val="auto"/>
        </w:rPr>
        <w:t>LICENSEE shall indemnify, hold harmless and defend UNIVERSITY, its officers, employees, and agents; and the inventors of the patents and patent applications in Patent Rights and their employers against any and all claims, suits, losses, damage, costs, fees, and expenses resulting from or arising out of exercise of this license or any sublicense. This indemnification shall include, but not be limited to, any product liability.</w:t>
      </w:r>
    </w:p>
    <w:p>
      <w:pPr>
        <w:spacing w:after="0" w:line="210" w:lineRule="exact"/>
        <w:rPr>
          <w:rFonts w:ascii="Arial" w:cs="Arial" w:eastAsia="Arial" w:hAnsi="Arial"/>
          <w:sz w:val="20"/>
          <w:szCs w:val="20"/>
          <w:color w:val="auto"/>
        </w:rPr>
      </w:pPr>
    </w:p>
    <w:p>
      <w:pPr>
        <w:ind w:right="20" w:firstLine="656"/>
        <w:spacing w:after="0" w:line="246" w:lineRule="auto"/>
        <w:tabs>
          <w:tab w:leader="none" w:pos="1295" w:val="left"/>
        </w:tabs>
        <w:numPr>
          <w:ilvl w:val="0"/>
          <w:numId w:val="333"/>
        </w:numPr>
        <w:rPr>
          <w:rFonts w:ascii="Arial" w:cs="Arial" w:eastAsia="Arial" w:hAnsi="Arial"/>
          <w:sz w:val="20"/>
          <w:szCs w:val="20"/>
          <w:color w:val="auto"/>
        </w:rPr>
      </w:pPr>
      <w:r>
        <w:rPr>
          <w:rFonts w:ascii="Arial" w:cs="Arial" w:eastAsia="Arial" w:hAnsi="Arial"/>
          <w:sz w:val="20"/>
          <w:szCs w:val="20"/>
          <w:color w:val="auto"/>
        </w:rPr>
        <w:t>LICENSEE, at its sole cost and expense, shall insure its activities in connection with the work under this Agreement and obtain, keep in force and maintain insurance or an equivalent program of self insurance.</w:t>
      </w:r>
    </w:p>
    <w:p>
      <w:pPr>
        <w:spacing w:after="0" w:line="203" w:lineRule="exact"/>
        <w:rPr>
          <w:rFonts w:ascii="Arial" w:cs="Arial" w:eastAsia="Arial" w:hAnsi="Arial"/>
          <w:sz w:val="20"/>
          <w:szCs w:val="20"/>
          <w:color w:val="auto"/>
        </w:rPr>
      </w:pPr>
    </w:p>
    <w:p>
      <w:pPr>
        <w:jc w:val="both"/>
        <w:ind w:right="20" w:firstLine="656"/>
        <w:spacing w:after="0" w:line="243" w:lineRule="auto"/>
        <w:tabs>
          <w:tab w:leader="none" w:pos="1284" w:val="left"/>
        </w:tabs>
        <w:numPr>
          <w:ilvl w:val="0"/>
          <w:numId w:val="333"/>
        </w:numPr>
        <w:rPr>
          <w:rFonts w:ascii="Arial" w:cs="Arial" w:eastAsia="Arial" w:hAnsi="Arial"/>
          <w:sz w:val="20"/>
          <w:szCs w:val="20"/>
          <w:color w:val="auto"/>
        </w:rPr>
      </w:pPr>
      <w:r>
        <w:rPr>
          <w:rFonts w:ascii="Arial" w:cs="Arial" w:eastAsia="Arial" w:hAnsi="Arial"/>
          <w:sz w:val="20"/>
          <w:szCs w:val="20"/>
          <w:color w:val="auto"/>
        </w:rPr>
        <w:t>UNIVERSITY shall notify LICENSEE in writing of any claim or suit brought against UNIVERSITY in respect of which UNIVERSITY intends to invoke the provisions of this Article. LICENSEE shall keep UNIVERSITY informed on a current basis of its defense of any claims under this Article.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 USE OF NAMES AND TRADEMARKS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Nothing contained in this Agreement confers any right to use in advertising, publicity, or other promotional activities any name, trade name, trademark, or other designation of either party hereto (including contraction, abbreviation or simulation of any of the foregoing).</w:t>
      </w:r>
    </w:p>
    <w:p>
      <w:pPr>
        <w:sectPr>
          <w:pgSz w:w="11900" w:h="16838" w:orient="portrait"/>
          <w:cols w:equalWidth="0" w:num="1">
            <w:col w:w="11240"/>
          </w:cols>
          <w:pgMar w:left="320" w:top="1408" w:right="339" w:bottom="1440" w:gutter="0" w:footer="0" w:header="0"/>
        </w:sectPr>
      </w:pPr>
    </w:p>
    <w:bookmarkStart w:id="363" w:name="page364"/>
    <w:bookmarkEnd w:id="363"/>
    <w:p>
      <w:pPr>
        <w:ind w:right="20"/>
        <w:spacing w:after="0" w:line="246" w:lineRule="auto"/>
        <w:rPr>
          <w:sz w:val="20"/>
          <w:szCs w:val="20"/>
          <w:color w:val="auto"/>
        </w:rPr>
      </w:pPr>
      <w:r>
        <w:rPr>
          <w:rFonts w:ascii="Arial" w:cs="Arial" w:eastAsia="Arial" w:hAnsi="Arial"/>
          <w:sz w:val="20"/>
          <w:szCs w:val="20"/>
          <w:color w:val="auto"/>
        </w:rPr>
        <w:t>Notwithstanding the foregoing, each party may state orally or in writing, including press releases, the fact that the licence has been granted by University and that COMPANY is commercializing Patent Rights.</w:t>
      </w:r>
    </w:p>
    <w:p>
      <w:pPr>
        <w:spacing w:after="0" w:line="180"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ARTICLE 10 MISCELLANEOUS PROVISIONS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b w:val="1"/>
          <w:bCs w:val="1"/>
          <w:color w:val="auto"/>
        </w:rPr>
        <w:t>Correspondence</w:t>
      </w:r>
      <w:r>
        <w:rPr>
          <w:rFonts w:ascii="Arial" w:cs="Arial" w:eastAsia="Arial" w:hAnsi="Arial"/>
          <w:sz w:val="20"/>
          <w:szCs w:val="20"/>
          <w:color w:val="auto"/>
        </w:rPr>
        <w:t>. Any notice required to be given to either party under this Agreement shall be deemed to have been properly given and effective:</w:t>
      </w:r>
    </w:p>
    <w:p>
      <w:pPr>
        <w:spacing w:after="0" w:line="180" w:lineRule="exact"/>
        <w:rPr>
          <w:sz w:val="20"/>
          <w:szCs w:val="20"/>
          <w:color w:val="auto"/>
        </w:rPr>
      </w:pPr>
    </w:p>
    <w:p>
      <w:pPr>
        <w:ind w:left="1300" w:hanging="644"/>
        <w:spacing w:after="0"/>
        <w:tabs>
          <w:tab w:leader="none" w:pos="130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 if delivered in person, or</w:t>
      </w:r>
    </w:p>
    <w:p>
      <w:pPr>
        <w:spacing w:after="0" w:line="215" w:lineRule="exact"/>
        <w:rPr>
          <w:rFonts w:ascii="Arial" w:cs="Arial" w:eastAsia="Arial" w:hAnsi="Arial"/>
          <w:sz w:val="20"/>
          <w:szCs w:val="20"/>
          <w:color w:val="auto"/>
        </w:rPr>
      </w:pPr>
    </w:p>
    <w:p>
      <w:pPr>
        <w:ind w:right="20" w:firstLine="656"/>
        <w:spacing w:after="0" w:line="246" w:lineRule="auto"/>
        <w:tabs>
          <w:tab w:leader="none" w:pos="1295" w:val="left"/>
        </w:tabs>
        <w:numPr>
          <w:ilvl w:val="0"/>
          <w:numId w:val="334"/>
        </w:numPr>
        <w:rPr>
          <w:rFonts w:ascii="Arial" w:cs="Arial" w:eastAsia="Arial" w:hAnsi="Arial"/>
          <w:sz w:val="20"/>
          <w:szCs w:val="20"/>
          <w:color w:val="auto"/>
        </w:rPr>
      </w:pPr>
      <w:r>
        <w:rPr>
          <w:rFonts w:ascii="Arial" w:cs="Arial" w:eastAsia="Arial" w:hAnsi="Arial"/>
          <w:sz w:val="20"/>
          <w:szCs w:val="20"/>
          <w:color w:val="auto"/>
        </w:rPr>
        <w:t>[***] after mailing if mailed by registered mail, postage paid, to the respective addresses given below, or to such other address as is designated by written notice given to the other party.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sent to LICENSEE:</w:t>
      </w:r>
    </w:p>
    <w:p>
      <w:pPr>
        <w:spacing w:after="0" w:line="216" w:lineRule="exact"/>
        <w:rPr>
          <w:sz w:val="20"/>
          <w:szCs w:val="20"/>
          <w:color w:val="auto"/>
        </w:rPr>
      </w:pPr>
    </w:p>
    <w:p>
      <w:pPr>
        <w:ind w:right="1140" w:firstLine="648"/>
        <w:spacing w:after="0" w:line="246" w:lineRule="auto"/>
        <w:rPr>
          <w:sz w:val="20"/>
          <w:szCs w:val="20"/>
          <w:color w:val="auto"/>
        </w:rPr>
      </w:pPr>
      <w:r>
        <w:rPr>
          <w:rFonts w:ascii="Arial" w:cs="Arial" w:eastAsia="Arial" w:hAnsi="Arial"/>
          <w:sz w:val="20"/>
          <w:szCs w:val="20"/>
          <w:color w:val="auto"/>
        </w:rPr>
        <w:t>Molecular Partners AG, c/o Dept. of Biochemistry, University of Zurich, Winterthurerstr. 190, CH-8057 Zurich (SWITZERLAND)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sent to UNIVERSITY:</w:t>
      </w:r>
    </w:p>
    <w:p>
      <w:pPr>
        <w:spacing w:after="0" w:line="216"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University of Zurich, c/o Unitectra, Technology Transfer Office; Ref. UZ- 01/103; Mohrlistrasse 23; CH-8006 Zurich (SWITZERLAND)</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b w:val="1"/>
          <w:bCs w:val="1"/>
          <w:color w:val="auto"/>
        </w:rPr>
        <w:t>Assignability</w:t>
      </w:r>
      <w:r>
        <w:rPr>
          <w:rFonts w:ascii="Arial" w:cs="Arial" w:eastAsia="Arial" w:hAnsi="Arial"/>
          <w:sz w:val="20"/>
          <w:szCs w:val="20"/>
          <w:color w:val="auto"/>
        </w:rPr>
        <w:t>. UNIVERSITY and LICENSEE each agree that their rights and obligations under this Agreement may not be transferred or assigned to a third party without the prior written consent of the other party thereto.</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b w:val="1"/>
          <w:bCs w:val="1"/>
          <w:color w:val="auto"/>
        </w:rPr>
        <w:t>No Waiver</w:t>
      </w:r>
      <w:r>
        <w:rPr>
          <w:rFonts w:ascii="Arial" w:cs="Arial" w:eastAsia="Arial" w:hAnsi="Arial"/>
          <w:sz w:val="20"/>
          <w:szCs w:val="20"/>
          <w:color w:val="auto"/>
        </w:rPr>
        <w:t>. No waiver by either party of any breach or default of any covenant or agreement set forth in this Agreement shall be deemed a waiver as to any subsequent and/or similar breach or default.</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b w:val="1"/>
          <w:bCs w:val="1"/>
          <w:color w:val="auto"/>
        </w:rPr>
        <w:t>Governing Laws</w:t>
      </w:r>
      <w:r>
        <w:rPr>
          <w:rFonts w:ascii="Arial" w:cs="Arial" w:eastAsia="Arial" w:hAnsi="Arial"/>
          <w:sz w:val="20"/>
          <w:szCs w:val="20"/>
          <w:color w:val="auto"/>
        </w:rPr>
        <w:t>. THIS AGREEMENT SHALL BE INTERPRETED AND CONSTRUED IN ACCORDANCE WITH THE LAWS OF SWITZERLAND. For any and all disputes arising from this Agreement, the Commercial Court of the Canton of Zurich shall have exclusive jurisdiction, subject to the appeal to the Swiss Supreme Court.</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b w:val="1"/>
          <w:bCs w:val="1"/>
          <w:color w:val="auto"/>
        </w:rPr>
        <w:t>Force Majeure</w:t>
      </w:r>
      <w:r>
        <w:rPr>
          <w:rFonts w:ascii="Arial" w:cs="Arial" w:eastAsia="Arial" w:hAnsi="Arial"/>
          <w:sz w:val="20"/>
          <w:szCs w:val="20"/>
          <w:color w:val="auto"/>
        </w:rPr>
        <w:t>. A party to this Agreement may be excused from any performance required herein if such performance is rendered impossible or unfeasible due to any catastrophe or other major event beyond its reasonable control, including, without limitation, war, riot, and insurrection; laws, proclamations, edicts, ordinances, or regulations; strikes, lockouts, or other serious labor disputes; and floods, fires, explosions, or other natural disasters. When such events have abated, the non-performing party’s obligations herein shall resume.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b w:val="1"/>
          <w:bCs w:val="1"/>
          <w:color w:val="auto"/>
        </w:rPr>
        <w:t>Headings</w:t>
      </w:r>
      <w:r>
        <w:rPr>
          <w:rFonts w:ascii="Arial" w:cs="Arial" w:eastAsia="Arial" w:hAnsi="Arial"/>
          <w:sz w:val="20"/>
          <w:szCs w:val="20"/>
          <w:color w:val="auto"/>
        </w:rPr>
        <w:t>. The headings of the several sections are inserted for convenience of reference only and are not intended to be a part of or to affect the meaning or interpretation of this Agreement.</w:t>
      </w:r>
    </w:p>
    <w:p>
      <w:pPr>
        <w:sectPr>
          <w:pgSz w:w="11900" w:h="16838" w:orient="portrait"/>
          <w:cols w:equalWidth="0" w:num="1">
            <w:col w:w="11240"/>
          </w:cols>
          <w:pgMar w:left="320" w:top="1432" w:right="339" w:bottom="1440" w:gutter="0" w:footer="0" w:header="0"/>
        </w:sectPr>
      </w:pPr>
    </w:p>
    <w:bookmarkStart w:id="364" w:name="page365"/>
    <w:bookmarkEnd w:id="364"/>
    <w:p>
      <w:pPr>
        <w:jc w:val="both"/>
        <w:spacing w:after="0" w:line="255"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b w:val="1"/>
          <w:bCs w:val="1"/>
          <w:color w:val="auto"/>
        </w:rPr>
        <w:t>Entire Agreement</w:t>
      </w:r>
      <w:r>
        <w:rPr>
          <w:rFonts w:ascii="Arial" w:cs="Arial" w:eastAsia="Arial" w:hAnsi="Arial"/>
          <w:sz w:val="20"/>
          <w:szCs w:val="20"/>
          <w:color w:val="auto"/>
        </w:rPr>
        <w:t>. This Agreement embodies the entire understanding of the parties and supersedes all previous communications, representations or understandings, either oral or written, between the parties relating to the subject matter hereof.</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b w:val="1"/>
          <w:bCs w:val="1"/>
          <w:color w:val="auto"/>
        </w:rPr>
        <w:t>Amendments</w:t>
      </w:r>
      <w:r>
        <w:rPr>
          <w:rFonts w:ascii="Arial" w:cs="Arial" w:eastAsia="Arial" w:hAnsi="Arial"/>
          <w:sz w:val="20"/>
          <w:szCs w:val="20"/>
          <w:color w:val="auto"/>
        </w:rPr>
        <w:t>. No amendment or modification of this Agreement shall be valid or binding on the parties unless made in writing and signed on behalf of each party.</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10.9 </w:t>
      </w:r>
      <w:r>
        <w:rPr>
          <w:rFonts w:ascii="Arial" w:cs="Arial" w:eastAsia="Arial" w:hAnsi="Arial"/>
          <w:sz w:val="20"/>
          <w:szCs w:val="20"/>
          <w:b w:val="1"/>
          <w:bCs w:val="1"/>
          <w:color w:val="auto"/>
        </w:rPr>
        <w:t>Severability</w:t>
      </w:r>
      <w:r>
        <w:rPr>
          <w:rFonts w:ascii="Arial" w:cs="Arial" w:eastAsia="Arial" w:hAnsi="Arial"/>
          <w:sz w:val="20"/>
          <w:szCs w:val="20"/>
          <w:color w:val="auto"/>
        </w:rPr>
        <w:t>. Should some or several provisions of this Agreement be ineffective or invalid, or should there be an omission in this Agreement, the effectiveness, respectively the validity of the remaining provisions shall not be affected thereby. An ineffective, respectively, invalid provision shall be replaced by the interpretation of the agreement which comes nearest to the economic meaning and the envisaged economic purpose of the ineffective respectively, invalid provision. The same applies in the case of a contractual gap.</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240"/>
          </w:cols>
          <w:pgMar w:left="320" w:top="1408" w:right="339" w:bottom="1440" w:gutter="0" w:footer="0" w:header="0"/>
        </w:sectPr>
      </w:pPr>
    </w:p>
    <w:bookmarkStart w:id="365" w:name="page366"/>
    <w:bookmarkEnd w:id="365"/>
    <w:p>
      <w:pPr>
        <w:spacing w:after="0" w:line="246" w:lineRule="auto"/>
        <w:rPr>
          <w:sz w:val="20"/>
          <w:szCs w:val="20"/>
          <w:color w:val="auto"/>
        </w:rPr>
      </w:pPr>
      <w:r>
        <w:rPr>
          <w:rFonts w:ascii="Arial" w:cs="Arial" w:eastAsia="Arial" w:hAnsi="Arial"/>
          <w:sz w:val="20"/>
          <w:szCs w:val="20"/>
          <w:color w:val="auto"/>
        </w:rPr>
        <w:t>IN WITNESS WHEREOF, both UNIVERSITY and LICENSEE have executed this Agreement, in duplicate originals, by their respective and duly authorized officers on the day and year first above written.</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UNIVERSITY</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
        </w:trPr>
        <w:tc>
          <w:tcPr>
            <w:tcW w:w="76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r>
      <w:tr>
        <w:trPr>
          <w:trHeight w:val="281"/>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260" w:type="dxa"/>
            <w:vAlign w:val="bottom"/>
            <w:gridSpan w:val="2"/>
          </w:tcPr>
          <w:p>
            <w:pPr>
              <w:ind w:left="20"/>
              <w:spacing w:after="0"/>
              <w:rPr>
                <w:sz w:val="20"/>
                <w:szCs w:val="20"/>
                <w:color w:val="auto"/>
              </w:rPr>
            </w:pPr>
            <w:r>
              <w:rPr>
                <w:rFonts w:ascii="Arial" w:cs="Arial" w:eastAsia="Arial" w:hAnsi="Arial"/>
                <w:sz w:val="20"/>
                <w:szCs w:val="20"/>
                <w:b w:val="1"/>
                <w:bCs w:val="1"/>
                <w:color w:val="auto"/>
              </w:rPr>
              <w:t>Peter Bless</w:t>
            </w:r>
          </w:p>
        </w:tc>
        <w:tc>
          <w:tcPr>
            <w:tcW w:w="5180" w:type="dxa"/>
            <w:vAlign w:val="bottom"/>
          </w:tcPr>
          <w:p>
            <w:pPr>
              <w:ind w:left="2100"/>
              <w:spacing w:after="0"/>
              <w:rPr>
                <w:sz w:val="20"/>
                <w:szCs w:val="20"/>
                <w:color w:val="auto"/>
              </w:rPr>
            </w:pPr>
            <w:r>
              <w:rPr>
                <w:rFonts w:ascii="Arial" w:cs="Arial" w:eastAsia="Arial" w:hAnsi="Arial"/>
                <w:sz w:val="20"/>
                <w:szCs w:val="20"/>
                <w:color w:val="auto"/>
              </w:rPr>
              <w:t>(Signature)</w:t>
            </w:r>
          </w:p>
        </w:tc>
      </w:tr>
      <w:tr>
        <w:trPr>
          <w:trHeight w:val="283"/>
        </w:trPr>
        <w:tc>
          <w:tcPr>
            <w:tcW w:w="76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20"/>
                <w:szCs w:val="20"/>
                <w:b w:val="1"/>
                <w:bCs w:val="1"/>
                <w:color w:val="auto"/>
              </w:rPr>
              <w:t>Director of Administration</w:t>
            </w:r>
          </w:p>
        </w:tc>
        <w:tc>
          <w:tcPr>
            <w:tcW w:w="5180" w:type="dxa"/>
            <w:vAlign w:val="bottom"/>
          </w:tcPr>
          <w:p>
            <w:pPr>
              <w:spacing w:after="0"/>
              <w:rPr>
                <w:sz w:val="24"/>
                <w:szCs w:val="24"/>
                <w:color w:val="auto"/>
              </w:rPr>
            </w:pPr>
          </w:p>
        </w:tc>
      </w:tr>
      <w:tr>
        <w:trPr>
          <w:trHeight w:val="567"/>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7"/>
        </w:trPr>
        <w:tc>
          <w:tcPr>
            <w:tcW w:w="76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r>
      <w:tr>
        <w:trPr>
          <w:trHeight w:val="281"/>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260" w:type="dxa"/>
            <w:vAlign w:val="bottom"/>
            <w:gridSpan w:val="2"/>
          </w:tcPr>
          <w:p>
            <w:pPr>
              <w:ind w:left="20"/>
              <w:spacing w:after="0"/>
              <w:rPr>
                <w:sz w:val="20"/>
                <w:szCs w:val="20"/>
                <w:color w:val="auto"/>
              </w:rPr>
            </w:pPr>
            <w:r>
              <w:rPr>
                <w:rFonts w:ascii="Arial" w:cs="Arial" w:eastAsia="Arial" w:hAnsi="Arial"/>
                <w:sz w:val="20"/>
                <w:szCs w:val="20"/>
                <w:b w:val="1"/>
                <w:bCs w:val="1"/>
                <w:color w:val="auto"/>
              </w:rPr>
              <w:t>Prof. Alexander Borbely</w:t>
            </w:r>
          </w:p>
        </w:tc>
        <w:tc>
          <w:tcPr>
            <w:tcW w:w="5180" w:type="dxa"/>
            <w:vAlign w:val="bottom"/>
          </w:tcPr>
          <w:p>
            <w:pPr>
              <w:ind w:left="2100"/>
              <w:spacing w:after="0"/>
              <w:rPr>
                <w:sz w:val="20"/>
                <w:szCs w:val="20"/>
                <w:color w:val="auto"/>
              </w:rPr>
            </w:pPr>
            <w:r>
              <w:rPr>
                <w:rFonts w:ascii="Arial" w:cs="Arial" w:eastAsia="Arial" w:hAnsi="Arial"/>
                <w:sz w:val="20"/>
                <w:szCs w:val="20"/>
                <w:color w:val="auto"/>
              </w:rPr>
              <w:t>(Signature)</w:t>
            </w:r>
          </w:p>
        </w:tc>
      </w:tr>
      <w:tr>
        <w:trPr>
          <w:trHeight w:val="284"/>
        </w:trPr>
        <w:tc>
          <w:tcPr>
            <w:tcW w:w="76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20"/>
                <w:szCs w:val="20"/>
                <w:color w:val="auto"/>
              </w:rPr>
              <w:t>Vice President for Research</w:t>
            </w:r>
          </w:p>
        </w:tc>
        <w:tc>
          <w:tcPr>
            <w:tcW w:w="5180" w:type="dxa"/>
            <w:vAlign w:val="bottom"/>
          </w:tcPr>
          <w:p>
            <w:pPr>
              <w:spacing w:after="0"/>
              <w:rPr>
                <w:sz w:val="24"/>
                <w:szCs w:val="24"/>
                <w:color w:val="auto"/>
              </w:rPr>
            </w:pPr>
          </w:p>
        </w:tc>
      </w:tr>
      <w:tr>
        <w:trPr>
          <w:trHeight w:val="553"/>
        </w:trPr>
        <w:tc>
          <w:tcPr>
            <w:tcW w:w="6020" w:type="dxa"/>
            <w:vAlign w:val="bottom"/>
            <w:gridSpan w:val="3"/>
          </w:tcPr>
          <w:p>
            <w:pPr>
              <w:spacing w:after="0"/>
              <w:rPr>
                <w:sz w:val="20"/>
                <w:szCs w:val="20"/>
                <w:color w:val="auto"/>
              </w:rPr>
            </w:pPr>
            <w:r>
              <w:rPr>
                <w:rFonts w:ascii="Arial" w:cs="Arial" w:eastAsia="Arial" w:hAnsi="Arial"/>
                <w:sz w:val="20"/>
                <w:szCs w:val="20"/>
                <w:b w:val="1"/>
                <w:bCs w:val="1"/>
                <w:color w:val="auto"/>
              </w:rPr>
              <w:t>LICENSEE</w:t>
            </w:r>
          </w:p>
        </w:tc>
        <w:tc>
          <w:tcPr>
            <w:tcW w:w="5180" w:type="dxa"/>
            <w:vAlign w:val="bottom"/>
          </w:tcPr>
          <w:p>
            <w:pPr>
              <w:spacing w:after="0"/>
              <w:rPr>
                <w:sz w:val="24"/>
                <w:szCs w:val="24"/>
                <w:color w:val="auto"/>
              </w:rPr>
            </w:pPr>
          </w:p>
        </w:tc>
      </w:tr>
      <w:tr>
        <w:trPr>
          <w:trHeight w:val="567"/>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6"/>
        </w:trPr>
        <w:tc>
          <w:tcPr>
            <w:tcW w:w="76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r>
      <w:tr>
        <w:trPr>
          <w:trHeight w:val="268"/>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80" w:type="dxa"/>
            <w:vAlign w:val="bottom"/>
          </w:tcPr>
          <w:p>
            <w:pPr>
              <w:ind w:left="2100"/>
              <w:spacing w:after="0"/>
              <w:rPr>
                <w:sz w:val="20"/>
                <w:szCs w:val="20"/>
                <w:color w:val="auto"/>
              </w:rPr>
            </w:pPr>
            <w:r>
              <w:rPr>
                <w:rFonts w:ascii="Arial" w:cs="Arial" w:eastAsia="Arial" w:hAnsi="Arial"/>
                <w:sz w:val="20"/>
                <w:szCs w:val="20"/>
                <w:color w:val="auto"/>
              </w:rPr>
              <w:t>(Signature)</w:t>
            </w:r>
          </w:p>
        </w:tc>
      </w:tr>
      <w:tr>
        <w:trPr>
          <w:trHeight w:val="850"/>
        </w:trPr>
        <w:tc>
          <w:tcPr>
            <w:tcW w:w="760" w:type="dxa"/>
            <w:vAlign w:val="bottom"/>
          </w:tcPr>
          <w:p>
            <w:pPr>
              <w:spacing w:after="0"/>
              <w:rPr>
                <w:sz w:val="20"/>
                <w:szCs w:val="20"/>
                <w:color w:val="auto"/>
              </w:rPr>
            </w:pPr>
            <w:r>
              <w:rPr>
                <w:rFonts w:ascii="Arial" w:cs="Arial" w:eastAsia="Arial" w:hAnsi="Arial"/>
                <w:sz w:val="20"/>
                <w:szCs w:val="20"/>
                <w:color w:val="auto"/>
              </w:rPr>
              <w:t>Date:</w:t>
            </w: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7"/>
        </w:trPr>
        <w:tc>
          <w:tcPr>
            <w:tcW w:w="760" w:type="dxa"/>
            <w:vAlign w:val="bottom"/>
          </w:tcPr>
          <w:p>
            <w:pPr>
              <w:spacing w:after="0"/>
              <w:rPr>
                <w:sz w:val="3"/>
                <w:szCs w:val="3"/>
                <w:color w:val="auto"/>
              </w:rPr>
            </w:pPr>
          </w:p>
        </w:tc>
        <w:tc>
          <w:tcPr>
            <w:tcW w:w="5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r>
      <w:tr>
        <w:trPr>
          <w:trHeight w:val="267"/>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80" w:type="dxa"/>
            <w:vAlign w:val="bottom"/>
          </w:tcPr>
          <w:p>
            <w:pPr>
              <w:ind w:left="2100"/>
              <w:spacing w:after="0"/>
              <w:rPr>
                <w:sz w:val="20"/>
                <w:szCs w:val="20"/>
                <w:color w:val="auto"/>
              </w:rPr>
            </w:pPr>
            <w:r>
              <w:rPr>
                <w:rFonts w:ascii="Arial" w:cs="Arial" w:eastAsia="Arial" w:hAnsi="Arial"/>
                <w:sz w:val="20"/>
                <w:szCs w:val="20"/>
                <w:color w:val="auto"/>
              </w:rPr>
              <w:t>(Signature)</w:t>
            </w:r>
          </w:p>
        </w:tc>
      </w:tr>
    </w:tbl>
    <w:p>
      <w:pPr>
        <w:sectPr>
          <w:pgSz w:w="11900" w:h="16838" w:orient="portrait"/>
          <w:cols w:equalWidth="0" w:num="1">
            <w:col w:w="11240"/>
          </w:cols>
          <w:pgMar w:left="320" w:top="1432" w:right="339" w:bottom="1440" w:gutter="0" w:footer="0" w:header="0"/>
        </w:sectPr>
      </w:pPr>
    </w:p>
    <w:bookmarkStart w:id="366" w:name="page367"/>
    <w:bookmarkEnd w:id="366"/>
    <w:p>
      <w:pPr>
        <w:jc w:val="right"/>
        <w:ind w:right="4119"/>
        <w:spacing w:after="0"/>
        <w:rPr>
          <w:sz w:val="20"/>
          <w:szCs w:val="20"/>
          <w:color w:val="auto"/>
        </w:rPr>
      </w:pPr>
      <w:r>
        <w:rPr>
          <w:rFonts w:ascii="Arial" w:cs="Arial" w:eastAsia="Arial" w:hAnsi="Arial"/>
          <w:sz w:val="20"/>
          <w:szCs w:val="20"/>
          <w:b w:val="1"/>
          <w:bCs w:val="1"/>
          <w:color w:val="auto"/>
        </w:rPr>
        <w:t>Annex A</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List of Patent Rights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39"/>
          </w:cols>
          <w:pgMar w:left="320" w:top="1408" w:right="1440" w:bottom="1440" w:gutter="0" w:footer="0" w:header="0"/>
        </w:sectPr>
      </w:pPr>
    </w:p>
    <w:bookmarkStart w:id="367" w:name="page368"/>
    <w:bookmarkEnd w:id="367"/>
    <w:p>
      <w:pPr>
        <w:ind w:left="360" w:hanging="352"/>
        <w:spacing w:after="0"/>
        <w:tabs>
          <w:tab w:leader="none" w:pos="3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No. 1 dated November 15, 2005, to the License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University of Zurich, Rämistrasse 71, CH-8006 Zürich (“</w:t>
      </w:r>
      <w:r>
        <w:rPr>
          <w:rFonts w:ascii="Arial" w:cs="Arial" w:eastAsia="Arial" w:hAnsi="Arial"/>
          <w:sz w:val="18"/>
          <w:szCs w:val="18"/>
          <w:b w:val="1"/>
          <w:bCs w:val="1"/>
          <w:color w:val="auto"/>
        </w:rPr>
        <w:t>UNIVERSITY</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 c/o Dept. of Biochemistry, University of Zurich, Winterthurerstr. 190.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CH-8057 Zürich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ind w:left="500" w:right="1360" w:hanging="492"/>
        <w:spacing w:after="0" w:line="261" w:lineRule="auto"/>
        <w:tabs>
          <w:tab w:leader="none" w:pos="36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UNIVERSITY and LICENSEE have entered into a License Agreement, effective November 17, 2004, on “collections of (poly)peptides/proteins based on repeat modules (the “License Agreement”);</w:t>
      </w:r>
    </w:p>
    <w:p>
      <w:pPr>
        <w:spacing w:after="0" w:line="197" w:lineRule="exact"/>
        <w:rPr>
          <w:rFonts w:ascii="Arial" w:cs="Arial" w:eastAsia="Arial" w:hAnsi="Arial"/>
          <w:sz w:val="18"/>
          <w:szCs w:val="18"/>
          <w:color w:val="auto"/>
        </w:rPr>
      </w:pPr>
    </w:p>
    <w:p>
      <w:pPr>
        <w:ind w:left="500" w:right="80" w:hanging="492"/>
        <w:spacing w:after="0" w:line="256" w:lineRule="auto"/>
        <w:tabs>
          <w:tab w:leader="none" w:pos="36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LICENSEE wishes to license further patent rights owned by UNIVERSITY and UNIVERSITY agrees to license these patent rights to LICENSEE at the terms and conditions of the License Agreement; it is understood that the fees and royalties due for commercial use of such further patent rights are not cumulative with those of the License Agreement;</w:t>
      </w:r>
    </w:p>
    <w:p>
      <w:pPr>
        <w:spacing w:after="0" w:line="201" w:lineRule="exact"/>
        <w:rPr>
          <w:rFonts w:ascii="Arial" w:cs="Arial" w:eastAsia="Arial" w:hAnsi="Arial"/>
          <w:sz w:val="18"/>
          <w:szCs w:val="18"/>
          <w:color w:val="auto"/>
        </w:rPr>
      </w:pPr>
    </w:p>
    <w:p>
      <w:pPr>
        <w:ind w:left="340" w:hanging="332"/>
        <w:spacing w:after="0"/>
        <w:tabs>
          <w:tab w:leader="none" w:pos="3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parties wish to amend the License Agreement accordingly.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IT IS AGREED AS FOLLOWS:</w:t>
      </w:r>
    </w:p>
    <w:p>
      <w:pPr>
        <w:spacing w:after="0" w:line="225" w:lineRule="exact"/>
        <w:rPr>
          <w:sz w:val="20"/>
          <w:szCs w:val="20"/>
          <w:color w:val="auto"/>
        </w:rPr>
      </w:pPr>
    </w:p>
    <w:p>
      <w:pPr>
        <w:ind w:left="500" w:right="3760" w:hanging="492"/>
        <w:spacing w:after="0" w:line="500" w:lineRule="auto"/>
        <w:tabs>
          <w:tab w:leader="none" w:pos="35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Annex 1 of the License Agreement (“List of Patent Rights”) shall be amended as follows: [***]</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terms and conditions of the License Agreement shall remain in full force and effect.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This Amendment shall be effective retroactively as of July 8, 2005.</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Amendment 1</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Page 15 of 35</w:t>
      </w:r>
    </w:p>
    <w:p>
      <w:pPr>
        <w:sectPr>
          <w:pgSz w:w="11900" w:h="16838" w:orient="portrait"/>
          <w:cols w:equalWidth="0" w:num="1">
            <w:col w:w="11120"/>
          </w:cols>
          <w:pgMar w:left="320" w:top="118" w:right="459" w:bottom="1440" w:gutter="0" w:footer="0" w:header="0"/>
        </w:sectPr>
      </w:pPr>
    </w:p>
    <w:bookmarkStart w:id="368" w:name="page369"/>
    <w:bookmarkEnd w:id="368"/>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LICENSEE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gridSpan w:val="3"/>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18"/>
                <w:szCs w:val="18"/>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507"/>
        </w:trPr>
        <w:tc>
          <w:tcPr>
            <w:tcW w:w="5940" w:type="dxa"/>
            <w:vAlign w:val="bottom"/>
            <w:gridSpan w:val="3"/>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r>
      <w:tr>
        <w:trPr>
          <w:trHeight w:val="554"/>
        </w:trPr>
        <w:tc>
          <w:tcPr>
            <w:tcW w:w="5940" w:type="dxa"/>
            <w:vAlign w:val="bottom"/>
            <w:gridSpan w:val="3"/>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507"/>
        </w:trPr>
        <w:tc>
          <w:tcPr>
            <w:tcW w:w="5940" w:type="dxa"/>
            <w:vAlign w:val="bottom"/>
            <w:gridSpan w:val="3"/>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r>
      <w:tr>
        <w:trPr>
          <w:trHeight w:val="540"/>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For UNIVERSITY</w:t>
            </w:r>
          </w:p>
        </w:tc>
        <w:tc>
          <w:tcPr>
            <w:tcW w:w="5140" w:type="dxa"/>
            <w:vAlign w:val="bottom"/>
          </w:tcPr>
          <w:p>
            <w:pPr>
              <w:spacing w:after="0"/>
              <w:rPr>
                <w:sz w:val="24"/>
                <w:szCs w:val="24"/>
                <w:color w:val="auto"/>
              </w:rPr>
            </w:pPr>
          </w:p>
        </w:tc>
      </w:tr>
      <w:tr>
        <w:trPr>
          <w:trHeight w:val="553"/>
        </w:trPr>
        <w:tc>
          <w:tcPr>
            <w:tcW w:w="5940" w:type="dxa"/>
            <w:vAlign w:val="bottom"/>
            <w:gridSpan w:val="3"/>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507"/>
        </w:trPr>
        <w:tc>
          <w:tcPr>
            <w:tcW w:w="5940" w:type="dxa"/>
            <w:vAlign w:val="bottom"/>
            <w:gridSpan w:val="3"/>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r>
      <w:tr>
        <w:trPr>
          <w:trHeight w:val="283"/>
        </w:trPr>
        <w:tc>
          <w:tcPr>
            <w:tcW w:w="5940" w:type="dxa"/>
            <w:vAlign w:val="bottom"/>
            <w:gridSpan w:val="3"/>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507"/>
        </w:trPr>
        <w:tc>
          <w:tcPr>
            <w:tcW w:w="5940" w:type="dxa"/>
            <w:vAlign w:val="bottom"/>
            <w:gridSpan w:val="3"/>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Amendment 1</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Page 16 of 35</w:t>
      </w:r>
    </w:p>
    <w:p>
      <w:pPr>
        <w:sectPr>
          <w:pgSz w:w="11900" w:h="16838" w:orient="portrait"/>
          <w:cols w:equalWidth="0" w:num="1">
            <w:col w:w="11080"/>
          </w:cols>
          <w:pgMar w:left="460" w:top="1440" w:right="359" w:bottom="1440" w:gutter="0" w:footer="0" w:header="0"/>
        </w:sectPr>
      </w:pPr>
    </w:p>
    <w:bookmarkStart w:id="369" w:name="page370"/>
    <w:bookmarkEnd w:id="369"/>
    <w:p>
      <w:pPr>
        <w:ind w:left="360" w:hanging="352"/>
        <w:spacing w:after="0"/>
        <w:tabs>
          <w:tab w:leader="none" w:pos="3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No. 2 dated November 15, 2005, to the License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University of Zurich, Rämistrasse 71, CH-8005 Zürich (“</w:t>
      </w:r>
      <w:r>
        <w:rPr>
          <w:rFonts w:ascii="Arial" w:cs="Arial" w:eastAsia="Arial" w:hAnsi="Arial"/>
          <w:sz w:val="18"/>
          <w:szCs w:val="18"/>
          <w:b w:val="1"/>
          <w:bCs w:val="1"/>
          <w:color w:val="auto"/>
        </w:rPr>
        <w:t>UNIVERSITY</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 c/o Dept of Biochemistry, University of Zurich, Winterthurerstr. 190.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CH-8057 Zürich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ind w:left="500" w:right="1480" w:hanging="492"/>
        <w:spacing w:after="0" w:line="261" w:lineRule="auto"/>
        <w:tabs>
          <w:tab w:leader="none" w:pos="36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UNIVERSITY and LICENSEE have entered into a License Agreement, effective November 17, 2004, on “collections of (poly)peptides/proteins based on repeat modules (the “License Agreement”);</w:t>
      </w:r>
    </w:p>
    <w:p>
      <w:pPr>
        <w:spacing w:after="0" w:line="197" w:lineRule="exact"/>
        <w:rPr>
          <w:rFonts w:ascii="Arial" w:cs="Arial" w:eastAsia="Arial" w:hAnsi="Arial"/>
          <w:sz w:val="18"/>
          <w:szCs w:val="18"/>
          <w:color w:val="auto"/>
        </w:rPr>
      </w:pPr>
    </w:p>
    <w:p>
      <w:pPr>
        <w:ind w:left="500" w:right="460" w:hanging="492"/>
        <w:spacing w:after="0" w:line="256" w:lineRule="auto"/>
        <w:tabs>
          <w:tab w:leader="none" w:pos="3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parties wish to amend the License Agreement in order to specify Art. 2.4 of the License Agreement on the transfer of biological material that is relevant to practice the granted rights from UNIVERSITY to LICENSEE particularly in regard to biological material which forms the basis of libraries.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NOW, IT IS AGREED AS FOLLOWS:</w:t>
      </w:r>
    </w:p>
    <w:p>
      <w:pPr>
        <w:spacing w:after="0" w:line="225" w:lineRule="exact"/>
        <w:rPr>
          <w:sz w:val="20"/>
          <w:szCs w:val="20"/>
          <w:color w:val="auto"/>
        </w:rPr>
      </w:pPr>
    </w:p>
    <w:p>
      <w:pPr>
        <w:ind w:left="360" w:hanging="352"/>
        <w:spacing w:after="0"/>
        <w:tabs>
          <w:tab w:leader="none" w:pos="3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„Original Library Material” shall mean the following biological materials:</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“MATERIAL” shall mean Original Library Material and Progeny and Unmodified Derivatives thereof.</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“Progeny” shall mean unmodified descendant from the MATERIAL, such as virus from virus, cell from cell, or organism from organism.</w:t>
      </w:r>
    </w:p>
    <w:p>
      <w:pPr>
        <w:spacing w:after="0" w:line="225" w:lineRule="exact"/>
        <w:rPr>
          <w:sz w:val="20"/>
          <w:szCs w:val="20"/>
          <w:color w:val="auto"/>
        </w:rPr>
      </w:pPr>
    </w:p>
    <w:p>
      <w:pPr>
        <w:ind w:left="420" w:right="180"/>
        <w:spacing w:after="0" w:line="261" w:lineRule="auto"/>
        <w:rPr>
          <w:sz w:val="20"/>
          <w:szCs w:val="20"/>
          <w:color w:val="auto"/>
        </w:rPr>
      </w:pPr>
      <w:r>
        <w:rPr>
          <w:rFonts w:ascii="Arial" w:cs="Arial" w:eastAsia="Arial" w:hAnsi="Arial"/>
          <w:sz w:val="18"/>
          <w:szCs w:val="18"/>
          <w:color w:val="auto"/>
        </w:rPr>
        <w:t>“Unmodified Derivatives” shall mean substances created by LICENSEE which solely constitute an unmodified functional subunit of the Original Library Material or a product expressed by the Original Library Material.</w:t>
      </w:r>
    </w:p>
    <w:p>
      <w:pPr>
        <w:spacing w:after="0" w:line="198" w:lineRule="exact"/>
        <w:rPr>
          <w:sz w:val="20"/>
          <w:szCs w:val="20"/>
          <w:color w:val="auto"/>
        </w:rPr>
      </w:pPr>
    </w:p>
    <w:p>
      <w:pPr>
        <w:ind w:left="420"/>
        <w:spacing w:after="0" w:line="256" w:lineRule="auto"/>
        <w:rPr>
          <w:sz w:val="20"/>
          <w:szCs w:val="20"/>
          <w:color w:val="auto"/>
        </w:rPr>
      </w:pPr>
      <w:r>
        <w:rPr>
          <w:rFonts w:ascii="Arial" w:cs="Arial" w:eastAsia="Arial" w:hAnsi="Arial"/>
          <w:sz w:val="18"/>
          <w:szCs w:val="18"/>
          <w:color w:val="auto"/>
        </w:rPr>
        <w:t>“Modifications” shall mean combinatorial DNA libraries created by LICENSEE which contain/incorporate the MATERIAL. It is agreed that any preparation of designed ankyrin repeat protein (DARPin) libraries by LICENSEE, which use one or more of the MATERIAL shall be considered to be Modifications.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“Binders” shall mean molecules with specific binding capacity isolated from above mentioned DARPin libraries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Amendment 2</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Page 17 of 35</w:t>
      </w:r>
    </w:p>
    <w:p>
      <w:pPr>
        <w:sectPr>
          <w:pgSz w:w="11900" w:h="16838" w:orient="portrait"/>
          <w:cols w:equalWidth="0" w:num="1">
            <w:col w:w="11240"/>
          </w:cols>
          <w:pgMar w:left="320" w:top="118" w:right="339" w:bottom="1440" w:gutter="0" w:footer="0" w:header="0"/>
        </w:sectPr>
      </w:pPr>
    </w:p>
    <w:bookmarkStart w:id="370" w:name="page371"/>
    <w:bookmarkEnd w:id="370"/>
    <w:p>
      <w:pPr>
        <w:ind w:left="412"/>
        <w:spacing w:after="0"/>
        <w:rPr>
          <w:sz w:val="20"/>
          <w:szCs w:val="20"/>
          <w:color w:val="auto"/>
        </w:rPr>
      </w:pPr>
      <w:r>
        <w:rPr>
          <w:rFonts w:ascii="Arial" w:cs="Arial" w:eastAsia="Arial" w:hAnsi="Arial"/>
          <w:sz w:val="18"/>
          <w:szCs w:val="18"/>
          <w:color w:val="auto"/>
        </w:rPr>
        <w:t>“Licensed Field of Use” shall mean therapeutic use, diagnostic use and biotechnological use.</w:t>
      </w:r>
    </w:p>
    <w:p>
      <w:pPr>
        <w:spacing w:after="0" w:line="225" w:lineRule="exact"/>
        <w:rPr>
          <w:sz w:val="20"/>
          <w:szCs w:val="20"/>
          <w:color w:val="auto"/>
        </w:rPr>
      </w:pPr>
    </w:p>
    <w:p>
      <w:pPr>
        <w:ind w:left="412" w:right="440" w:hanging="412"/>
        <w:spacing w:after="0" w:line="261" w:lineRule="auto"/>
        <w:tabs>
          <w:tab w:leader="none" w:pos="35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UNIVERSITY hereby grants to LICENSEE a worldwide, exclusive license to commercially exploit the MATERIAL, Modifications </w:t>
      </w:r>
      <w:r>
        <w:rPr>
          <w:rFonts w:ascii="Arial" w:cs="Arial" w:eastAsia="Arial" w:hAnsi="Arial"/>
          <w:sz w:val="18"/>
          <w:szCs w:val="18"/>
          <w:color w:val="1B1A15"/>
        </w:rPr>
        <w:t>and</w:t>
      </w:r>
      <w:r>
        <w:rPr>
          <w:rFonts w:ascii="Arial" w:cs="Arial" w:eastAsia="Arial" w:hAnsi="Arial"/>
          <w:sz w:val="18"/>
          <w:szCs w:val="18"/>
          <w:color w:val="auto"/>
        </w:rPr>
        <w:t xml:space="preserve"> Binders in the Licensed Field of Use.</w:t>
      </w:r>
    </w:p>
    <w:p>
      <w:pPr>
        <w:spacing w:after="0" w:line="197" w:lineRule="exact"/>
        <w:rPr>
          <w:rFonts w:ascii="Arial" w:cs="Arial" w:eastAsia="Arial" w:hAnsi="Arial"/>
          <w:sz w:val="18"/>
          <w:szCs w:val="18"/>
          <w:color w:val="auto"/>
        </w:rPr>
      </w:pPr>
    </w:p>
    <w:p>
      <w:pPr>
        <w:ind w:left="352" w:hanging="352"/>
        <w:spacing w:after="0"/>
        <w:tabs>
          <w:tab w:leader="none" w:pos="352" w:val="left"/>
        </w:tabs>
        <w:numPr>
          <w:ilvl w:val="0"/>
          <w:numId w:val="341"/>
        </w:numPr>
        <w:rPr>
          <w:rFonts w:ascii="Arial" w:cs="Arial" w:eastAsia="Arial" w:hAnsi="Arial"/>
          <w:sz w:val="18"/>
          <w:szCs w:val="18"/>
          <w:color w:val="1B1A15"/>
        </w:rPr>
      </w:pPr>
      <w:r>
        <w:rPr>
          <w:rFonts w:ascii="Arial" w:cs="Arial" w:eastAsia="Arial" w:hAnsi="Arial"/>
          <w:sz w:val="18"/>
          <w:szCs w:val="18"/>
          <w:color w:val="1B1A15"/>
        </w:rPr>
        <w:t xml:space="preserve">(a) UNIVERSITY retains </w:t>
      </w:r>
      <w:r>
        <w:rPr>
          <w:rFonts w:ascii="Arial" w:cs="Arial" w:eastAsia="Arial" w:hAnsi="Arial"/>
          <w:sz w:val="18"/>
          <w:szCs w:val="18"/>
          <w:color w:val="000000"/>
        </w:rPr>
        <w:t>ownership</w:t>
      </w:r>
      <w:r>
        <w:rPr>
          <w:rFonts w:ascii="Arial" w:cs="Arial" w:eastAsia="Arial" w:hAnsi="Arial"/>
          <w:sz w:val="18"/>
          <w:szCs w:val="18"/>
          <w:color w:val="1B1A15"/>
        </w:rPr>
        <w:t xml:space="preserve"> of the MATERIAL.</w:t>
      </w:r>
    </w:p>
    <w:p>
      <w:pPr>
        <w:spacing w:after="0" w:line="225" w:lineRule="exact"/>
        <w:rPr>
          <w:rFonts w:ascii="Arial" w:cs="Arial" w:eastAsia="Arial" w:hAnsi="Arial"/>
          <w:sz w:val="18"/>
          <w:szCs w:val="18"/>
          <w:color w:val="1B1A15"/>
        </w:rPr>
      </w:pPr>
    </w:p>
    <w:p>
      <w:pPr>
        <w:ind w:left="412" w:right="60" w:hanging="7"/>
        <w:spacing w:after="0" w:line="261" w:lineRule="auto"/>
        <w:tabs>
          <w:tab w:leader="none" w:pos="682" w:val="left"/>
        </w:tabs>
        <w:numPr>
          <w:ilvl w:val="1"/>
          <w:numId w:val="341"/>
        </w:numPr>
        <w:rPr>
          <w:rFonts w:ascii="Arial" w:cs="Arial" w:eastAsia="Arial" w:hAnsi="Arial"/>
          <w:sz w:val="18"/>
          <w:szCs w:val="18"/>
          <w:color w:val="1B1A15"/>
        </w:rPr>
      </w:pPr>
      <w:r>
        <w:rPr>
          <w:rFonts w:ascii="Arial" w:cs="Arial" w:eastAsia="Arial" w:hAnsi="Arial"/>
          <w:sz w:val="18"/>
          <w:szCs w:val="18"/>
          <w:color w:val="1B1A15"/>
        </w:rPr>
        <w:t>Modifications and all subsequent libraries prepared by LICENSEE or UNIVERSITY based on Modifications shall be jointly owned by LICENSEE and UNIVERSITY.</w:t>
      </w:r>
    </w:p>
    <w:p>
      <w:pPr>
        <w:spacing w:after="0" w:line="197" w:lineRule="exact"/>
        <w:rPr>
          <w:rFonts w:ascii="Arial" w:cs="Arial" w:eastAsia="Arial" w:hAnsi="Arial"/>
          <w:sz w:val="18"/>
          <w:szCs w:val="18"/>
          <w:color w:val="1B1A15"/>
        </w:rPr>
      </w:pPr>
    </w:p>
    <w:p>
      <w:pPr>
        <w:ind w:left="672" w:hanging="267"/>
        <w:spacing w:after="0"/>
        <w:tabs>
          <w:tab w:leader="none" w:pos="672" w:val="left"/>
        </w:tabs>
        <w:numPr>
          <w:ilvl w:val="1"/>
          <w:numId w:val="341"/>
        </w:numPr>
        <w:rPr>
          <w:rFonts w:ascii="Arial" w:cs="Arial" w:eastAsia="Arial" w:hAnsi="Arial"/>
          <w:sz w:val="18"/>
          <w:szCs w:val="18"/>
          <w:color w:val="1B1A15"/>
        </w:rPr>
      </w:pPr>
      <w:r>
        <w:rPr>
          <w:rFonts w:ascii="Arial" w:cs="Arial" w:eastAsia="Arial" w:hAnsi="Arial"/>
          <w:sz w:val="18"/>
          <w:szCs w:val="18"/>
          <w:color w:val="1B1A15"/>
        </w:rPr>
        <w:t>Binders prepared from Modifications shall be owned by the party, which isolated such Binders.</w:t>
      </w:r>
    </w:p>
    <w:p>
      <w:pPr>
        <w:spacing w:after="0" w:line="225" w:lineRule="exact"/>
        <w:rPr>
          <w:rFonts w:ascii="Arial" w:cs="Arial" w:eastAsia="Arial" w:hAnsi="Arial"/>
          <w:sz w:val="18"/>
          <w:szCs w:val="18"/>
          <w:color w:val="1B1A15"/>
        </w:rPr>
      </w:pPr>
    </w:p>
    <w:p>
      <w:pPr>
        <w:ind w:left="412" w:hanging="412"/>
        <w:spacing w:after="0" w:line="254" w:lineRule="auto"/>
        <w:tabs>
          <w:tab w:leader="none" w:pos="357" w:val="left"/>
        </w:tabs>
        <w:numPr>
          <w:ilvl w:val="0"/>
          <w:numId w:val="341"/>
        </w:numPr>
        <w:rPr>
          <w:rFonts w:ascii="Arial" w:cs="Arial" w:eastAsia="Arial" w:hAnsi="Arial"/>
          <w:sz w:val="18"/>
          <w:szCs w:val="18"/>
          <w:color w:val="1B1A15"/>
        </w:rPr>
      </w:pPr>
      <w:r>
        <w:rPr>
          <w:rFonts w:ascii="Arial" w:cs="Arial" w:eastAsia="Arial" w:hAnsi="Arial"/>
          <w:sz w:val="18"/>
          <w:szCs w:val="18"/>
          <w:color w:val="1B1A15"/>
        </w:rPr>
        <w:t>(a) In consideration of the grant in Paragraph 2 above, LICENSEE hereby agrees that the financial terms set forth in Art. 3 of the License Agreement shall apply to any commercial use or sale of the MATERIAL, Modifications or Binders that fall under the definition of Licensed Product as set forth in the License Agreement. The fees and royalties due for the commercial use of such MATERIAL, Modifications or Binders are not cumulative with those of the License Agreement.</w:t>
      </w:r>
    </w:p>
    <w:p>
      <w:pPr>
        <w:spacing w:after="0" w:line="203" w:lineRule="exact"/>
        <w:rPr>
          <w:rFonts w:ascii="Arial" w:cs="Arial" w:eastAsia="Arial" w:hAnsi="Arial"/>
          <w:sz w:val="18"/>
          <w:szCs w:val="18"/>
          <w:color w:val="1B1A15"/>
        </w:rPr>
      </w:pPr>
    </w:p>
    <w:p>
      <w:pPr>
        <w:ind w:left="412" w:right="20" w:hanging="7"/>
        <w:spacing w:after="0" w:line="254" w:lineRule="auto"/>
        <w:tabs>
          <w:tab w:leader="none" w:pos="682" w:val="left"/>
        </w:tabs>
        <w:numPr>
          <w:ilvl w:val="1"/>
          <w:numId w:val="341"/>
        </w:numPr>
        <w:rPr>
          <w:rFonts w:ascii="Arial" w:cs="Arial" w:eastAsia="Arial" w:hAnsi="Arial"/>
          <w:sz w:val="18"/>
          <w:szCs w:val="18"/>
          <w:color w:val="1B1A15"/>
        </w:rPr>
      </w:pPr>
      <w:r>
        <w:rPr>
          <w:rFonts w:ascii="Arial" w:cs="Arial" w:eastAsia="Arial" w:hAnsi="Arial"/>
          <w:sz w:val="18"/>
          <w:szCs w:val="18"/>
          <w:color w:val="1B1A15"/>
        </w:rPr>
        <w:t xml:space="preserve">For any MATERIAL, Modifications or Binders which do not or not anymore fall under the definition of Licensed Product as set forth in the License Agreement: LICENSEE shall pay a reduced rate of </w:t>
      </w:r>
      <w:r>
        <w:rPr>
          <w:rFonts w:ascii="Arial" w:cs="Arial" w:eastAsia="Arial" w:hAnsi="Arial"/>
          <w:sz w:val="18"/>
          <w:szCs w:val="18"/>
          <w:color w:val="000000"/>
        </w:rPr>
        <w:t>[***]</w:t>
      </w:r>
      <w:r>
        <w:rPr>
          <w:rFonts w:ascii="Arial" w:cs="Arial" w:eastAsia="Arial" w:hAnsi="Arial"/>
          <w:sz w:val="18"/>
          <w:szCs w:val="18"/>
          <w:color w:val="1B1A15"/>
        </w:rPr>
        <w:t xml:space="preserve"> of what would be due to UNIVERSITY if such MATERIAL, Modification or Binder would constitute a Licensed Product. Payments under this Paragraph 4(b) shall only be due for the </w:t>
      </w:r>
      <w:r>
        <w:rPr>
          <w:rFonts w:ascii="Arial" w:cs="Arial" w:eastAsia="Arial" w:hAnsi="Arial"/>
          <w:sz w:val="18"/>
          <w:szCs w:val="18"/>
          <w:color w:val="000000"/>
        </w:rPr>
        <w:t>[***]</w:t>
      </w:r>
      <w:r>
        <w:rPr>
          <w:rFonts w:ascii="Arial" w:cs="Arial" w:eastAsia="Arial" w:hAnsi="Arial"/>
          <w:sz w:val="18"/>
          <w:szCs w:val="18"/>
          <w:color w:val="1B1A15"/>
        </w:rPr>
        <w:t xml:space="preserve"> after execution of this Amendment.</w:t>
      </w:r>
    </w:p>
    <w:p>
      <w:pPr>
        <w:spacing w:after="0" w:line="203" w:lineRule="exact"/>
        <w:rPr>
          <w:rFonts w:ascii="Arial" w:cs="Arial" w:eastAsia="Arial" w:hAnsi="Arial"/>
          <w:sz w:val="18"/>
          <w:szCs w:val="18"/>
          <w:color w:val="1B1A15"/>
        </w:rPr>
      </w:pPr>
    </w:p>
    <w:p>
      <w:pPr>
        <w:ind w:left="332" w:hanging="332"/>
        <w:spacing w:after="0"/>
        <w:tabs>
          <w:tab w:leader="none" w:pos="332" w:val="left"/>
        </w:tabs>
        <w:numPr>
          <w:ilvl w:val="0"/>
          <w:numId w:val="341"/>
        </w:numPr>
        <w:rPr>
          <w:rFonts w:ascii="Arial" w:cs="Arial" w:eastAsia="Arial" w:hAnsi="Arial"/>
          <w:sz w:val="18"/>
          <w:szCs w:val="18"/>
          <w:color w:val="1B1A15"/>
        </w:rPr>
      </w:pPr>
      <w:r>
        <w:rPr>
          <w:rFonts w:ascii="Arial" w:cs="Arial" w:eastAsia="Arial" w:hAnsi="Arial"/>
          <w:sz w:val="18"/>
          <w:szCs w:val="18"/>
          <w:color w:val="1B1A15"/>
        </w:rPr>
        <w:t>Any MATERIAL delivered pursuant to this Amendment is understood to be experimental in nature and may have hazardous properties.</w:t>
      </w:r>
    </w:p>
    <w:p>
      <w:pPr>
        <w:spacing w:after="0" w:line="9" w:lineRule="exact"/>
        <w:rPr>
          <w:rFonts w:ascii="Arial" w:cs="Arial" w:eastAsia="Arial" w:hAnsi="Arial"/>
          <w:sz w:val="18"/>
          <w:szCs w:val="18"/>
          <w:color w:val="1B1A15"/>
        </w:rPr>
      </w:pPr>
    </w:p>
    <w:p>
      <w:pPr>
        <w:ind w:left="412"/>
        <w:spacing w:after="0" w:line="254" w:lineRule="auto"/>
        <w:rPr>
          <w:rFonts w:ascii="Arial" w:cs="Arial" w:eastAsia="Arial" w:hAnsi="Arial"/>
          <w:sz w:val="18"/>
          <w:szCs w:val="18"/>
          <w:color w:val="1B1A15"/>
        </w:rPr>
      </w:pPr>
      <w:r>
        <w:rPr>
          <w:rFonts w:ascii="Arial" w:cs="Arial" w:eastAsia="Arial" w:hAnsi="Arial"/>
          <w:sz w:val="18"/>
          <w:szCs w:val="18"/>
          <w:color w:val="1B1A15"/>
        </w:rPr>
        <w:t xml:space="preserve">UNIVERSITY MAKES NO REPRESENTATIONS AND EXTENDS NO WARRANTIES OF ANY KIND, EITHER EXPRESS OR IMPLIED. THERE ARE NO EXPRESS OR </w:t>
      </w:r>
      <w:r>
        <w:rPr>
          <w:rFonts w:ascii="Arial" w:cs="Arial" w:eastAsia="Arial" w:hAnsi="Arial"/>
          <w:sz w:val="18"/>
          <w:szCs w:val="18"/>
          <w:color w:val="000000"/>
        </w:rPr>
        <w:t>IMPLIED</w:t>
      </w:r>
      <w:r>
        <w:rPr>
          <w:rFonts w:ascii="Arial" w:cs="Arial" w:eastAsia="Arial" w:hAnsi="Arial"/>
          <w:sz w:val="18"/>
          <w:szCs w:val="18"/>
          <w:color w:val="1B1A15"/>
        </w:rPr>
        <w:t xml:space="preserve"> WARRANTIES OF MERCHANTABILITY OR FITNESS FOR A PARTICULAR PURPOSE, OR THAT THE USE OF THE MATERIAL WILL NOT INFRINGE ANY PATENT, COPYRIGHT, TRADEMARK, OR OTHER PROPRIETARY RIGHTS.</w:t>
      </w:r>
    </w:p>
    <w:p>
      <w:pPr>
        <w:spacing w:after="0" w:line="203" w:lineRule="exact"/>
        <w:rPr>
          <w:rFonts w:ascii="Arial" w:cs="Arial" w:eastAsia="Arial" w:hAnsi="Arial"/>
          <w:sz w:val="18"/>
          <w:szCs w:val="18"/>
          <w:color w:val="1B1A15"/>
        </w:rPr>
      </w:pPr>
    </w:p>
    <w:p>
      <w:pPr>
        <w:ind w:left="332" w:hanging="332"/>
        <w:spacing w:after="0"/>
        <w:tabs>
          <w:tab w:leader="none" w:pos="332" w:val="left"/>
        </w:tabs>
        <w:numPr>
          <w:ilvl w:val="0"/>
          <w:numId w:val="341"/>
        </w:numPr>
        <w:rPr>
          <w:rFonts w:ascii="Arial" w:cs="Arial" w:eastAsia="Arial" w:hAnsi="Arial"/>
          <w:sz w:val="18"/>
          <w:szCs w:val="18"/>
          <w:color w:val="1B1A15"/>
        </w:rPr>
      </w:pPr>
      <w:r>
        <w:rPr>
          <w:rFonts w:ascii="Arial" w:cs="Arial" w:eastAsia="Arial" w:hAnsi="Arial"/>
          <w:sz w:val="18"/>
          <w:szCs w:val="18"/>
          <w:color w:val="1B1A15"/>
        </w:rPr>
        <w:t>Any Modifications delivered pursuant to this Amendment is understood to be experimental in nature and may have hazardous properties.</w:t>
      </w:r>
    </w:p>
    <w:p>
      <w:pPr>
        <w:spacing w:after="0" w:line="9" w:lineRule="exact"/>
        <w:rPr>
          <w:rFonts w:ascii="Arial" w:cs="Arial" w:eastAsia="Arial" w:hAnsi="Arial"/>
          <w:sz w:val="18"/>
          <w:szCs w:val="18"/>
          <w:color w:val="1B1A15"/>
        </w:rPr>
      </w:pPr>
    </w:p>
    <w:p>
      <w:pPr>
        <w:ind w:left="412"/>
        <w:spacing w:after="0" w:line="254" w:lineRule="auto"/>
        <w:rPr>
          <w:rFonts w:ascii="Arial" w:cs="Arial" w:eastAsia="Arial" w:hAnsi="Arial"/>
          <w:sz w:val="18"/>
          <w:szCs w:val="18"/>
          <w:color w:val="1B1A15"/>
        </w:rPr>
      </w:pPr>
      <w:r>
        <w:rPr>
          <w:rFonts w:ascii="Arial" w:cs="Arial" w:eastAsia="Arial" w:hAnsi="Arial"/>
          <w:sz w:val="18"/>
          <w:szCs w:val="18"/>
          <w:color w:val="1B1A15"/>
        </w:rPr>
        <w:t>LICENSEE MAKES NO REPRESENTATIONS AND EXTENDS NO WARRANTIES OF ANY KIND, EITHER EXPRESS OR IMPLIED. THERE ARE NO EXPRESS OR IMPLIED WARRANTIES OF MERCHANTABILITY OR FITNESS FOR A PARTICULAR PURPOSE, OR THAT THE USE OF THE MATERIAL WILL NOT INFRINGE ANY PATENT, COPYRIGHT, TRADEMARK, OR OTHER PROPRIETARY RIGHTS.</w:t>
      </w:r>
    </w:p>
    <w:p>
      <w:pPr>
        <w:spacing w:after="0" w:line="203" w:lineRule="exact"/>
        <w:rPr>
          <w:rFonts w:ascii="Arial" w:cs="Arial" w:eastAsia="Arial" w:hAnsi="Arial"/>
          <w:sz w:val="18"/>
          <w:szCs w:val="18"/>
          <w:color w:val="1B1A15"/>
        </w:rPr>
      </w:pPr>
    </w:p>
    <w:p>
      <w:pPr>
        <w:ind w:left="412" w:right="280" w:hanging="412"/>
        <w:spacing w:after="0" w:line="256" w:lineRule="auto"/>
        <w:tabs>
          <w:tab w:leader="none" w:pos="357" w:val="left"/>
        </w:tabs>
        <w:numPr>
          <w:ilvl w:val="0"/>
          <w:numId w:val="341"/>
        </w:numPr>
        <w:rPr>
          <w:rFonts w:ascii="Arial" w:cs="Arial" w:eastAsia="Arial" w:hAnsi="Arial"/>
          <w:sz w:val="18"/>
          <w:szCs w:val="18"/>
          <w:color w:val="1B1A15"/>
        </w:rPr>
      </w:pPr>
      <w:r>
        <w:rPr>
          <w:rFonts w:ascii="Arial" w:cs="Arial" w:eastAsia="Arial" w:hAnsi="Arial"/>
          <w:sz w:val="18"/>
          <w:szCs w:val="18"/>
          <w:color w:val="1B1A15"/>
        </w:rPr>
        <w:t xml:space="preserve">Except to the extent prohibited by law, LICENSEE assumes all liability for damages that may arise from its use, storage or disposal of the MATERIAL. UNIVERSITY will not be liable to LICENSEE for any loss, claim or demand made by LICENSEE, or made against LICENSEE by any other party, due to or arising from the use </w:t>
      </w:r>
      <w:r>
        <w:rPr>
          <w:rFonts w:ascii="Arial" w:cs="Arial" w:eastAsia="Arial" w:hAnsi="Arial"/>
          <w:sz w:val="18"/>
          <w:szCs w:val="18"/>
          <w:color w:val="000000"/>
        </w:rPr>
        <w:t>of</w:t>
      </w:r>
      <w:r>
        <w:rPr>
          <w:rFonts w:ascii="Arial" w:cs="Arial" w:eastAsia="Arial" w:hAnsi="Arial"/>
          <w:sz w:val="18"/>
          <w:szCs w:val="18"/>
          <w:color w:val="1B1A15"/>
        </w:rPr>
        <w:t xml:space="preserve"> the MATERIAL by LICENSEE.</w:t>
      </w:r>
    </w:p>
    <w:p>
      <w:pPr>
        <w:spacing w:after="0" w:line="201" w:lineRule="exact"/>
        <w:rPr>
          <w:rFonts w:ascii="Arial" w:cs="Arial" w:eastAsia="Arial" w:hAnsi="Arial"/>
          <w:sz w:val="18"/>
          <w:szCs w:val="18"/>
          <w:color w:val="1B1A15"/>
        </w:rPr>
      </w:pPr>
    </w:p>
    <w:p>
      <w:pPr>
        <w:ind w:left="412" w:right="80" w:hanging="412"/>
        <w:spacing w:after="0" w:line="256" w:lineRule="auto"/>
        <w:tabs>
          <w:tab w:leader="none" w:pos="357" w:val="left"/>
        </w:tabs>
        <w:numPr>
          <w:ilvl w:val="0"/>
          <w:numId w:val="341"/>
        </w:numPr>
        <w:rPr>
          <w:rFonts w:ascii="Arial" w:cs="Arial" w:eastAsia="Arial" w:hAnsi="Arial"/>
          <w:sz w:val="18"/>
          <w:szCs w:val="18"/>
          <w:color w:val="1B1A15"/>
        </w:rPr>
      </w:pPr>
      <w:r>
        <w:rPr>
          <w:rFonts w:ascii="Arial" w:cs="Arial" w:eastAsia="Arial" w:hAnsi="Arial"/>
          <w:sz w:val="18"/>
          <w:szCs w:val="18"/>
          <w:color w:val="1B1A15"/>
        </w:rPr>
        <w:t xml:space="preserve">Except to the extent prohibited by law, UNIVERSITY assumes all liability for damages that may arise from its use, storage or </w:t>
      </w:r>
      <w:r>
        <w:rPr>
          <w:rFonts w:ascii="Arial" w:cs="Arial" w:eastAsia="Arial" w:hAnsi="Arial"/>
          <w:sz w:val="18"/>
          <w:szCs w:val="18"/>
          <w:color w:val="000000"/>
        </w:rPr>
        <w:t>disposal</w:t>
      </w:r>
      <w:r>
        <w:rPr>
          <w:rFonts w:ascii="Arial" w:cs="Arial" w:eastAsia="Arial" w:hAnsi="Arial"/>
          <w:sz w:val="18"/>
          <w:szCs w:val="18"/>
          <w:color w:val="1B1A15"/>
        </w:rPr>
        <w:t xml:space="preserve"> of the Modifications. LICENSEE will not be liable to UNIVERSITY for any loss, claim or demand made by UNIVERSITY, or made against UNIVERSITY by any other party, due to or arising from the use of the Modifications by UNIVERSITY.</w:t>
      </w:r>
    </w:p>
    <w:p>
      <w:pPr>
        <w:spacing w:after="0" w:line="201" w:lineRule="exact"/>
        <w:rPr>
          <w:rFonts w:ascii="Arial" w:cs="Arial" w:eastAsia="Arial" w:hAnsi="Arial"/>
          <w:sz w:val="18"/>
          <w:szCs w:val="18"/>
          <w:color w:val="1B1A15"/>
        </w:rPr>
      </w:pPr>
    </w:p>
    <w:p>
      <w:pPr>
        <w:ind w:left="352" w:hanging="352"/>
        <w:spacing w:after="0"/>
        <w:tabs>
          <w:tab w:leader="none" w:pos="352" w:val="left"/>
        </w:tabs>
        <w:numPr>
          <w:ilvl w:val="0"/>
          <w:numId w:val="341"/>
        </w:numPr>
        <w:rPr>
          <w:rFonts w:ascii="Arial" w:cs="Arial" w:eastAsia="Arial" w:hAnsi="Arial"/>
          <w:sz w:val="18"/>
          <w:szCs w:val="18"/>
          <w:color w:val="1B1A15"/>
        </w:rPr>
      </w:pPr>
      <w:r>
        <w:rPr>
          <w:rFonts w:ascii="Arial" w:cs="Arial" w:eastAsia="Arial" w:hAnsi="Arial"/>
          <w:sz w:val="18"/>
          <w:szCs w:val="18"/>
          <w:color w:val="1B1A15"/>
        </w:rPr>
        <w:t>For the use of MATERIAL and Modifications the parties agree to provide appropriate</w:t>
      </w:r>
    </w:p>
    <w:p>
      <w:pPr>
        <w:spacing w:after="0" w:line="9" w:lineRule="exact"/>
        <w:rPr>
          <w:sz w:val="20"/>
          <w:szCs w:val="20"/>
          <w:color w:val="auto"/>
        </w:rPr>
      </w:pPr>
    </w:p>
    <w:p>
      <w:pPr>
        <w:ind w:left="412"/>
        <w:spacing w:after="0"/>
        <w:rPr>
          <w:sz w:val="20"/>
          <w:szCs w:val="20"/>
          <w:color w:val="auto"/>
        </w:rPr>
      </w:pPr>
      <w:r>
        <w:rPr>
          <w:rFonts w:ascii="Arial" w:cs="Arial" w:eastAsia="Arial" w:hAnsi="Arial"/>
          <w:sz w:val="18"/>
          <w:szCs w:val="18"/>
          <w:color w:val="1B1A15"/>
        </w:rPr>
        <w:t xml:space="preserve">acknowledgment of the </w:t>
      </w:r>
      <w:r>
        <w:rPr>
          <w:rFonts w:ascii="Arial" w:cs="Arial" w:eastAsia="Arial" w:hAnsi="Arial"/>
          <w:sz w:val="18"/>
          <w:szCs w:val="18"/>
          <w:color w:val="000000"/>
        </w:rPr>
        <w:t>source</w:t>
      </w:r>
      <w:r>
        <w:rPr>
          <w:rFonts w:ascii="Arial" w:cs="Arial" w:eastAsia="Arial" w:hAnsi="Arial"/>
          <w:sz w:val="18"/>
          <w:szCs w:val="18"/>
          <w:color w:val="1B1A15"/>
        </w:rPr>
        <w:t xml:space="preserve"> of the MATERIAL or Modifications in all publications.</w:t>
      </w:r>
    </w:p>
    <w:p>
      <w:pPr>
        <w:spacing w:after="0" w:line="225" w:lineRule="exact"/>
        <w:rPr>
          <w:sz w:val="20"/>
          <w:szCs w:val="20"/>
          <w:color w:val="auto"/>
        </w:rPr>
      </w:pPr>
    </w:p>
    <w:p>
      <w:pPr>
        <w:ind w:left="412" w:right="580" w:hanging="412"/>
        <w:spacing w:after="0" w:line="261" w:lineRule="auto"/>
        <w:tabs>
          <w:tab w:leader="none" w:pos="457" w:val="left"/>
        </w:tabs>
        <w:numPr>
          <w:ilvl w:val="0"/>
          <w:numId w:val="342"/>
        </w:numPr>
        <w:rPr>
          <w:rFonts w:ascii="Arial" w:cs="Arial" w:eastAsia="Arial" w:hAnsi="Arial"/>
          <w:sz w:val="18"/>
          <w:szCs w:val="18"/>
          <w:color w:val="1B1A15"/>
        </w:rPr>
      </w:pPr>
      <w:r>
        <w:rPr>
          <w:rFonts w:ascii="Arial" w:cs="Arial" w:eastAsia="Arial" w:hAnsi="Arial"/>
          <w:sz w:val="18"/>
          <w:szCs w:val="18"/>
          <w:color w:val="1B1A15"/>
        </w:rPr>
        <w:t xml:space="preserve">LICENSEE agrees to use </w:t>
      </w:r>
      <w:r>
        <w:rPr>
          <w:rFonts w:ascii="Arial" w:cs="Arial" w:eastAsia="Arial" w:hAnsi="Arial"/>
          <w:sz w:val="18"/>
          <w:szCs w:val="18"/>
          <w:color w:val="000000"/>
        </w:rPr>
        <w:t>the</w:t>
      </w:r>
      <w:r>
        <w:rPr>
          <w:rFonts w:ascii="Arial" w:cs="Arial" w:eastAsia="Arial" w:hAnsi="Arial"/>
          <w:sz w:val="18"/>
          <w:szCs w:val="18"/>
          <w:color w:val="1B1A15"/>
        </w:rPr>
        <w:t xml:space="preserve"> MATERIAL in compliance with all applicable statutes and regulations including, for example, those relating to research involving the use of animals or recombinant DNA.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12"/>
        <w:spacing w:after="0"/>
        <w:rPr>
          <w:sz w:val="20"/>
          <w:szCs w:val="20"/>
          <w:color w:val="auto"/>
        </w:rPr>
      </w:pPr>
      <w:r>
        <w:rPr>
          <w:rFonts w:ascii="Arial" w:cs="Arial" w:eastAsia="Arial" w:hAnsi="Arial"/>
          <w:sz w:val="16"/>
          <w:szCs w:val="16"/>
          <w:color w:val="auto"/>
        </w:rPr>
        <w:t>Amendment 2</w:t>
      </w:r>
    </w:p>
    <w:p>
      <w:pPr>
        <w:spacing w:after="0" w:line="5" w:lineRule="exact"/>
        <w:rPr>
          <w:sz w:val="20"/>
          <w:szCs w:val="20"/>
          <w:color w:val="auto"/>
        </w:rPr>
      </w:pPr>
    </w:p>
    <w:p>
      <w:pPr>
        <w:ind w:left="5112"/>
        <w:spacing w:after="0"/>
        <w:rPr>
          <w:sz w:val="20"/>
          <w:szCs w:val="20"/>
          <w:color w:val="auto"/>
        </w:rPr>
      </w:pPr>
      <w:r>
        <w:rPr>
          <w:rFonts w:ascii="Arial" w:cs="Arial" w:eastAsia="Arial" w:hAnsi="Arial"/>
          <w:sz w:val="16"/>
          <w:szCs w:val="16"/>
          <w:color w:val="auto"/>
        </w:rPr>
        <w:t>Page 18 of 35</w:t>
      </w:r>
    </w:p>
    <w:p>
      <w:pPr>
        <w:sectPr>
          <w:pgSz w:w="11900" w:h="16838" w:orient="portrait"/>
          <w:cols w:equalWidth="0" w:num="1">
            <w:col w:w="11212"/>
          </w:cols>
          <w:pgMar w:left="328" w:top="1435" w:right="359" w:bottom="1440" w:gutter="0" w:footer="0" w:header="0"/>
        </w:sectPr>
      </w:pPr>
    </w:p>
    <w:bookmarkStart w:id="371" w:name="page372"/>
    <w:bookmarkEnd w:id="371"/>
    <w:p>
      <w:pPr>
        <w:ind w:left="412" w:right="240" w:hanging="412"/>
        <w:spacing w:after="0" w:line="261" w:lineRule="auto"/>
        <w:tabs>
          <w:tab w:leader="none" w:pos="457" w:val="left"/>
        </w:tabs>
        <w:numPr>
          <w:ilvl w:val="0"/>
          <w:numId w:val="343"/>
        </w:numPr>
        <w:rPr>
          <w:rFonts w:ascii="Arial" w:cs="Arial" w:eastAsia="Arial" w:hAnsi="Arial"/>
          <w:sz w:val="18"/>
          <w:szCs w:val="18"/>
          <w:color w:val="1B1A15"/>
        </w:rPr>
      </w:pPr>
      <w:r>
        <w:rPr>
          <w:rFonts w:ascii="Arial" w:cs="Arial" w:eastAsia="Arial" w:hAnsi="Arial"/>
          <w:sz w:val="18"/>
          <w:szCs w:val="18"/>
          <w:color w:val="1B1A15"/>
        </w:rPr>
        <w:t xml:space="preserve">UNIVERSITY agrees to use the Modifications in compliance with all applicable statutes and regulations including, for example, those relating to research involving the use of animals or </w:t>
      </w:r>
      <w:r>
        <w:rPr>
          <w:rFonts w:ascii="Arial" w:cs="Arial" w:eastAsia="Arial" w:hAnsi="Arial"/>
          <w:sz w:val="18"/>
          <w:szCs w:val="18"/>
          <w:color w:val="000000"/>
        </w:rPr>
        <w:t>recombinant</w:t>
      </w:r>
      <w:r>
        <w:rPr>
          <w:rFonts w:ascii="Arial" w:cs="Arial" w:eastAsia="Arial" w:hAnsi="Arial"/>
          <w:sz w:val="18"/>
          <w:szCs w:val="18"/>
          <w:color w:val="1B1A15"/>
        </w:rPr>
        <w:t xml:space="preserve"> DNA.</w:t>
      </w:r>
    </w:p>
    <w:p>
      <w:pPr>
        <w:spacing w:after="0" w:line="197" w:lineRule="exact"/>
        <w:rPr>
          <w:rFonts w:ascii="Arial" w:cs="Arial" w:eastAsia="Arial" w:hAnsi="Arial"/>
          <w:sz w:val="18"/>
          <w:szCs w:val="18"/>
          <w:color w:val="1B1A15"/>
        </w:rPr>
      </w:pPr>
    </w:p>
    <w:p>
      <w:pPr>
        <w:ind w:left="412" w:right="840" w:hanging="412"/>
        <w:spacing w:after="0" w:line="256" w:lineRule="auto"/>
        <w:tabs>
          <w:tab w:leader="none" w:pos="45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 consideration of the grant in Paragraph 2 above, LICENSEE agrees to grant back to UNIVERSITY half of the material of Modifications assembled by LICENSEE. UNIVERSITY shall be allowed to use such material in accordance with Art. 13 of this Amendment.</w:t>
      </w:r>
    </w:p>
    <w:p>
      <w:pPr>
        <w:spacing w:after="0" w:line="201" w:lineRule="exact"/>
        <w:rPr>
          <w:rFonts w:ascii="Arial" w:cs="Arial" w:eastAsia="Arial" w:hAnsi="Arial"/>
          <w:sz w:val="18"/>
          <w:szCs w:val="18"/>
          <w:color w:val="auto"/>
        </w:rPr>
      </w:pPr>
    </w:p>
    <w:p>
      <w:pPr>
        <w:ind w:left="452" w:hanging="452"/>
        <w:spacing w:after="0"/>
        <w:tabs>
          <w:tab w:leader="none" w:pos="452" w:val="left"/>
        </w:tabs>
        <w:numPr>
          <w:ilvl w:val="0"/>
          <w:numId w:val="343"/>
        </w:numPr>
        <w:rPr>
          <w:rFonts w:ascii="Arial" w:cs="Arial" w:eastAsia="Arial" w:hAnsi="Arial"/>
          <w:sz w:val="18"/>
          <w:szCs w:val="18"/>
          <w:color w:val="auto"/>
        </w:rPr>
      </w:pPr>
      <w:r>
        <w:rPr>
          <w:rFonts w:ascii="Arial" w:cs="Arial" w:eastAsia="Arial" w:hAnsi="Arial"/>
          <w:sz w:val="18"/>
          <w:szCs w:val="18"/>
          <w:color w:val="auto"/>
        </w:rPr>
        <w:t>UNIVERSITY reserves the right to</w:t>
      </w:r>
    </w:p>
    <w:p>
      <w:pPr>
        <w:spacing w:after="0" w:line="225" w:lineRule="exact"/>
        <w:rPr>
          <w:rFonts w:ascii="Arial" w:cs="Arial" w:eastAsia="Arial" w:hAnsi="Arial"/>
          <w:sz w:val="18"/>
          <w:szCs w:val="18"/>
          <w:color w:val="auto"/>
        </w:rPr>
      </w:pPr>
    </w:p>
    <w:p>
      <w:pPr>
        <w:ind w:left="672" w:hanging="267"/>
        <w:spacing w:after="0"/>
        <w:tabs>
          <w:tab w:leader="none" w:pos="67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xml:space="preserve">use the MATERIAL, Modifications and Binders prepared by UNIVERSITY far educational and research </w:t>
      </w:r>
      <w:r>
        <w:rPr>
          <w:rFonts w:ascii="Arial" w:cs="Arial" w:eastAsia="Arial" w:hAnsi="Arial"/>
          <w:sz w:val="18"/>
          <w:szCs w:val="18"/>
          <w:color w:val="1B1A15"/>
        </w:rPr>
        <w:t>purposes free of charge;</w:t>
      </w:r>
    </w:p>
    <w:p>
      <w:pPr>
        <w:spacing w:after="0" w:line="225" w:lineRule="exact"/>
        <w:rPr>
          <w:rFonts w:ascii="Arial" w:cs="Arial" w:eastAsia="Arial" w:hAnsi="Arial"/>
          <w:sz w:val="18"/>
          <w:szCs w:val="18"/>
          <w:color w:val="auto"/>
        </w:rPr>
      </w:pPr>
    </w:p>
    <w:p>
      <w:pPr>
        <w:ind w:left="412" w:right="320" w:hanging="7"/>
        <w:spacing w:after="0" w:line="261" w:lineRule="auto"/>
        <w:tabs>
          <w:tab w:leader="none" w:pos="682" w:val="left"/>
        </w:tabs>
        <w:numPr>
          <w:ilvl w:val="1"/>
          <w:numId w:val="343"/>
        </w:numPr>
        <w:rPr>
          <w:rFonts w:ascii="Arial" w:cs="Arial" w:eastAsia="Arial" w:hAnsi="Arial"/>
          <w:sz w:val="18"/>
          <w:szCs w:val="18"/>
          <w:color w:val="1B1A15"/>
        </w:rPr>
      </w:pPr>
      <w:r>
        <w:rPr>
          <w:rFonts w:ascii="Arial" w:cs="Arial" w:eastAsia="Arial" w:hAnsi="Arial"/>
          <w:sz w:val="18"/>
          <w:szCs w:val="18"/>
          <w:color w:val="1B1A15"/>
        </w:rPr>
        <w:t>publish or otherwise disseminate any information on the MATERIAL, Modifications and Binders prepared by UNIVERSITY at any time:</w:t>
      </w:r>
    </w:p>
    <w:p>
      <w:pPr>
        <w:spacing w:after="0" w:line="197" w:lineRule="exact"/>
        <w:rPr>
          <w:rFonts w:ascii="Arial" w:cs="Arial" w:eastAsia="Arial" w:hAnsi="Arial"/>
          <w:sz w:val="18"/>
          <w:szCs w:val="18"/>
          <w:color w:val="1B1A15"/>
        </w:rPr>
      </w:pPr>
    </w:p>
    <w:p>
      <w:pPr>
        <w:ind w:left="412" w:right="60" w:hanging="7"/>
        <w:spacing w:after="0" w:line="261" w:lineRule="auto"/>
        <w:tabs>
          <w:tab w:leader="none" w:pos="672" w:val="left"/>
        </w:tabs>
        <w:numPr>
          <w:ilvl w:val="1"/>
          <w:numId w:val="343"/>
        </w:numPr>
        <w:rPr>
          <w:rFonts w:ascii="Arial" w:cs="Arial" w:eastAsia="Arial" w:hAnsi="Arial"/>
          <w:sz w:val="18"/>
          <w:szCs w:val="18"/>
          <w:color w:val="1B1A15"/>
        </w:rPr>
      </w:pPr>
      <w:r>
        <w:rPr>
          <w:rFonts w:ascii="Arial" w:cs="Arial" w:eastAsia="Arial" w:hAnsi="Arial"/>
          <w:sz w:val="18"/>
          <w:szCs w:val="18"/>
          <w:color w:val="1B1A15"/>
        </w:rPr>
        <w:t>use Modifications in collaborative research projects with non-commercial third parties, provided that such projects shall be governed by collaborative research agreements between UNIVERSITY and the third party comprising a detailed research plan;</w:t>
      </w:r>
    </w:p>
    <w:p>
      <w:pPr>
        <w:spacing w:after="0" w:line="197" w:lineRule="exact"/>
        <w:rPr>
          <w:rFonts w:ascii="Arial" w:cs="Arial" w:eastAsia="Arial" w:hAnsi="Arial"/>
          <w:sz w:val="18"/>
          <w:szCs w:val="18"/>
          <w:color w:val="1B1A15"/>
        </w:rPr>
      </w:pPr>
    </w:p>
    <w:p>
      <w:pPr>
        <w:ind w:left="412" w:hanging="7"/>
        <w:spacing w:after="0" w:line="254" w:lineRule="auto"/>
        <w:tabs>
          <w:tab w:leader="none" w:pos="682" w:val="left"/>
        </w:tabs>
        <w:numPr>
          <w:ilvl w:val="1"/>
          <w:numId w:val="343"/>
        </w:numPr>
        <w:rPr>
          <w:rFonts w:ascii="Arial" w:cs="Arial" w:eastAsia="Arial" w:hAnsi="Arial"/>
          <w:sz w:val="18"/>
          <w:szCs w:val="18"/>
          <w:color w:val="1B1A15"/>
        </w:rPr>
      </w:pPr>
      <w:r>
        <w:rPr>
          <w:rFonts w:ascii="Arial" w:cs="Arial" w:eastAsia="Arial" w:hAnsi="Arial"/>
          <w:sz w:val="18"/>
          <w:szCs w:val="18"/>
          <w:color w:val="1B1A15"/>
        </w:rPr>
        <w:t xml:space="preserve">and </w:t>
      </w:r>
      <w:r>
        <w:rPr>
          <w:rFonts w:ascii="Arial" w:cs="Arial" w:eastAsia="Arial" w:hAnsi="Arial"/>
          <w:sz w:val="18"/>
          <w:szCs w:val="18"/>
          <w:color w:val="000000"/>
        </w:rPr>
        <w:t>allow other nonprofit institutions to use the MATERIAL, Modifications and Binders prepared by UNIVERSITY for educational and</w:t>
      </w:r>
      <w:r>
        <w:rPr>
          <w:rFonts w:ascii="Arial" w:cs="Arial" w:eastAsia="Arial" w:hAnsi="Arial"/>
          <w:sz w:val="18"/>
          <w:szCs w:val="18"/>
          <w:color w:val="1B1A15"/>
        </w:rPr>
        <w:t xml:space="preserve"> </w:t>
      </w:r>
      <w:r>
        <w:rPr>
          <w:rFonts w:ascii="Arial" w:cs="Arial" w:eastAsia="Arial" w:hAnsi="Arial"/>
          <w:sz w:val="18"/>
          <w:szCs w:val="18"/>
          <w:color w:val="000000"/>
        </w:rPr>
        <w:t>non-commercial research purposes in their facilities free of charge, provided that Modifications shall be transferred to third non-commercial parties only if UNIVERSITY concludes in good faith that such transfer is essential for a collaborative research project and only under the following provisions:</w:t>
      </w:r>
    </w:p>
    <w:p>
      <w:pPr>
        <w:spacing w:after="0" w:line="20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32" w:hanging="432"/>
        <w:spacing w:after="0"/>
        <w:tabs>
          <w:tab w:leader="none" w:pos="43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All terms and conditions of the License Agreement and its Amendment No. 1 shall remain in full force and effect.</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This Amendment shall be effective retroactively as of November 17,2004.</w:t>
      </w:r>
    </w:p>
    <w:p>
      <w:pPr>
        <w:spacing w:after="0" w:line="225" w:lineRule="exact"/>
        <w:rPr>
          <w:rFonts w:ascii="Arial" w:cs="Arial" w:eastAsia="Arial" w:hAnsi="Arial"/>
          <w:sz w:val="18"/>
          <w:szCs w:val="18"/>
          <w:color w:val="auto"/>
        </w:rPr>
      </w:pPr>
    </w:p>
    <w:p>
      <w:pPr>
        <w:ind w:left="5152"/>
        <w:spacing w:after="0"/>
        <w:rPr>
          <w:rFonts w:ascii="Arial" w:cs="Arial" w:eastAsia="Arial" w:hAnsi="Arial"/>
          <w:sz w:val="18"/>
          <w:szCs w:val="18"/>
          <w:color w:val="auto"/>
        </w:rPr>
      </w:pPr>
      <w:r>
        <w:rPr>
          <w:rFonts w:ascii="Arial" w:cs="Arial" w:eastAsia="Arial" w:hAnsi="Arial"/>
          <w:sz w:val="18"/>
          <w:szCs w:val="18"/>
          <w:color w:val="auto"/>
        </w:rPr>
        <w:t>*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112"/>
        <w:spacing w:after="0"/>
        <w:rPr>
          <w:sz w:val="20"/>
          <w:szCs w:val="20"/>
          <w:color w:val="auto"/>
        </w:rPr>
      </w:pPr>
      <w:r>
        <w:rPr>
          <w:rFonts w:ascii="Arial" w:cs="Arial" w:eastAsia="Arial" w:hAnsi="Arial"/>
          <w:sz w:val="16"/>
          <w:szCs w:val="16"/>
          <w:color w:val="auto"/>
        </w:rPr>
        <w:t>Amendment 2</w:t>
      </w:r>
    </w:p>
    <w:p>
      <w:pPr>
        <w:spacing w:after="0" w:line="5" w:lineRule="exact"/>
        <w:rPr>
          <w:sz w:val="20"/>
          <w:szCs w:val="20"/>
          <w:color w:val="auto"/>
        </w:rPr>
      </w:pPr>
    </w:p>
    <w:p>
      <w:pPr>
        <w:ind w:left="5112"/>
        <w:spacing w:after="0"/>
        <w:rPr>
          <w:sz w:val="20"/>
          <w:szCs w:val="20"/>
          <w:color w:val="auto"/>
        </w:rPr>
      </w:pPr>
      <w:r>
        <w:rPr>
          <w:rFonts w:ascii="Arial" w:cs="Arial" w:eastAsia="Arial" w:hAnsi="Arial"/>
          <w:sz w:val="16"/>
          <w:szCs w:val="16"/>
          <w:color w:val="auto"/>
        </w:rPr>
        <w:t>Page 19 of 35</w:t>
      </w:r>
    </w:p>
    <w:p>
      <w:pPr>
        <w:sectPr>
          <w:pgSz w:w="11900" w:h="16838" w:orient="portrait"/>
          <w:cols w:equalWidth="0" w:num="1">
            <w:col w:w="11212"/>
          </w:cols>
          <w:pgMar w:left="328" w:top="1435" w:right="359" w:bottom="1440" w:gutter="0" w:footer="0" w:header="0"/>
        </w:sectPr>
      </w:pPr>
    </w:p>
    <w:bookmarkStart w:id="372" w:name="page373"/>
    <w:bookmarkEnd w:id="372"/>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LICENSEE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gridSpan w:val="3"/>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18"/>
                <w:szCs w:val="18"/>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507"/>
        </w:trPr>
        <w:tc>
          <w:tcPr>
            <w:tcW w:w="5940" w:type="dxa"/>
            <w:vAlign w:val="bottom"/>
            <w:gridSpan w:val="3"/>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r>
      <w:tr>
        <w:trPr>
          <w:trHeight w:val="553"/>
        </w:trPr>
        <w:tc>
          <w:tcPr>
            <w:tcW w:w="5940" w:type="dxa"/>
            <w:vAlign w:val="bottom"/>
            <w:gridSpan w:val="3"/>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507"/>
        </w:trPr>
        <w:tc>
          <w:tcPr>
            <w:tcW w:w="5940" w:type="dxa"/>
            <w:vAlign w:val="bottom"/>
            <w:gridSpan w:val="3"/>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r>
      <w:tr>
        <w:trPr>
          <w:trHeight w:val="540"/>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For UNIVERSITY</w:t>
            </w:r>
          </w:p>
        </w:tc>
        <w:tc>
          <w:tcPr>
            <w:tcW w:w="5140" w:type="dxa"/>
            <w:vAlign w:val="bottom"/>
          </w:tcPr>
          <w:p>
            <w:pPr>
              <w:spacing w:after="0"/>
              <w:rPr>
                <w:sz w:val="24"/>
                <w:szCs w:val="24"/>
                <w:color w:val="auto"/>
              </w:rPr>
            </w:pPr>
          </w:p>
        </w:tc>
      </w:tr>
      <w:tr>
        <w:trPr>
          <w:trHeight w:val="553"/>
        </w:trPr>
        <w:tc>
          <w:tcPr>
            <w:tcW w:w="5940" w:type="dxa"/>
            <w:vAlign w:val="bottom"/>
            <w:gridSpan w:val="3"/>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507"/>
        </w:trPr>
        <w:tc>
          <w:tcPr>
            <w:tcW w:w="5940" w:type="dxa"/>
            <w:vAlign w:val="bottom"/>
            <w:gridSpan w:val="3"/>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r>
      <w:tr>
        <w:trPr>
          <w:trHeight w:val="283"/>
        </w:trPr>
        <w:tc>
          <w:tcPr>
            <w:tcW w:w="5940" w:type="dxa"/>
            <w:vAlign w:val="bottom"/>
            <w:gridSpan w:val="3"/>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506"/>
        </w:trPr>
        <w:tc>
          <w:tcPr>
            <w:tcW w:w="5940" w:type="dxa"/>
            <w:vAlign w:val="bottom"/>
            <w:gridSpan w:val="3"/>
          </w:tcPr>
          <w:p>
            <w:pPr>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50"/>
        </w:trPr>
        <w:tc>
          <w:tcPr>
            <w:tcW w:w="7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Amendment 2</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Page 20 of 35</w:t>
      </w:r>
    </w:p>
    <w:p>
      <w:pPr>
        <w:sectPr>
          <w:pgSz w:w="11900" w:h="16838" w:orient="portrait"/>
          <w:cols w:equalWidth="0" w:num="1">
            <w:col w:w="11080"/>
          </w:cols>
          <w:pgMar w:left="460" w:top="1440" w:right="359" w:bottom="1440" w:gutter="0" w:footer="0" w:header="0"/>
        </w:sectPr>
      </w:pPr>
    </w:p>
    <w:bookmarkStart w:id="373" w:name="page374"/>
    <w:bookmarkEnd w:id="373"/>
    <w:p>
      <w:pPr>
        <w:ind w:left="360" w:hanging="352"/>
        <w:spacing w:after="0"/>
        <w:tabs>
          <w:tab w:leader="none" w:pos="3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No. 3 dated November 15, 2005, to the License Agreement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between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University of Zurich, Rämistrasse 71, CH-8006 Zürich (“UNIVERSITY”) and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Molecular Partners AG, c/o Dept. of Biochemistry, University of Zurich, Winterthurerstr. 190. CH-8057 Zürich (“</w:t>
      </w:r>
      <w:r>
        <w:rPr>
          <w:rFonts w:ascii="Arial" w:cs="Arial" w:eastAsia="Arial" w:hAnsi="Arial"/>
          <w:sz w:val="20"/>
          <w:szCs w:val="20"/>
          <w:b w:val="1"/>
          <w:bCs w:val="1"/>
          <w:color w:val="auto"/>
        </w:rPr>
        <w:t>LICENSEE</w:t>
      </w:r>
      <w:r>
        <w:rPr>
          <w:rFonts w:ascii="Arial" w:cs="Arial" w:eastAsia="Arial" w:hAnsi="Arial"/>
          <w:sz w:val="20"/>
          <w:szCs w:val="20"/>
          <w:color w:val="auto"/>
        </w:rPr>
        <w: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216" w:lineRule="exact"/>
        <w:rPr>
          <w:sz w:val="20"/>
          <w:szCs w:val="20"/>
          <w:color w:val="auto"/>
        </w:rPr>
      </w:pPr>
    </w:p>
    <w:p>
      <w:pPr>
        <w:ind w:left="340" w:right="340"/>
        <w:spacing w:after="0" w:line="246" w:lineRule="auto"/>
        <w:rPr>
          <w:sz w:val="20"/>
          <w:szCs w:val="20"/>
          <w:color w:val="auto"/>
        </w:rPr>
      </w:pPr>
      <w:r>
        <w:rPr>
          <w:rFonts w:ascii="Arial" w:cs="Arial" w:eastAsia="Arial" w:hAnsi="Arial"/>
          <w:sz w:val="20"/>
          <w:szCs w:val="20"/>
          <w:color w:val="auto"/>
        </w:rPr>
        <w:t>a. UNIVERSITY and LICENSEE have entered into a License Agreement, effective November 17, 2004, on “collections of (poly)peptides/proteins based on repeat modules (the “License Agreement”);</w:t>
      </w:r>
    </w:p>
    <w:p>
      <w:pPr>
        <w:spacing w:after="0" w:line="96" w:lineRule="exact"/>
        <w:rPr>
          <w:sz w:val="20"/>
          <w:szCs w:val="20"/>
          <w:color w:val="auto"/>
        </w:rPr>
      </w:pPr>
    </w:p>
    <w:p>
      <w:pPr>
        <w:ind w:left="340" w:right="100"/>
        <w:spacing w:after="0" w:line="246" w:lineRule="auto"/>
        <w:rPr>
          <w:sz w:val="20"/>
          <w:szCs w:val="20"/>
          <w:color w:val="auto"/>
        </w:rPr>
      </w:pPr>
      <w:r>
        <w:rPr>
          <w:rFonts w:ascii="Arial" w:cs="Arial" w:eastAsia="Arial" w:hAnsi="Arial"/>
          <w:sz w:val="20"/>
          <w:szCs w:val="20"/>
          <w:color w:val="auto"/>
        </w:rPr>
        <w:t>b. The parties wish to amend the License Agreement in order to specify Art. 2.4 of the License Agreement on the transfer of biological material that is relevant to practice the granted rights from UNIVERSITY to LICENSEE.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NOW, IT IS AGREED AS FOLLOWS:</w:t>
      </w:r>
    </w:p>
    <w:p>
      <w:pPr>
        <w:spacing w:after="0" w:line="216" w:lineRule="exact"/>
        <w:rPr>
          <w:sz w:val="20"/>
          <w:szCs w:val="20"/>
          <w:color w:val="auto"/>
        </w:rPr>
      </w:pPr>
    </w:p>
    <w:p>
      <w:pPr>
        <w:ind w:left="320" w:hanging="312"/>
        <w:spacing w:after="0"/>
        <w:tabs>
          <w:tab w:leader="none" w:pos="320" w:val="left"/>
        </w:tabs>
        <w:numPr>
          <w:ilvl w:val="0"/>
          <w:numId w:val="346"/>
        </w:numPr>
        <w:rPr>
          <w:rFonts w:ascii="Arial" w:cs="Arial" w:eastAsia="Arial" w:hAnsi="Arial"/>
          <w:sz w:val="20"/>
          <w:szCs w:val="20"/>
          <w:color w:val="auto"/>
        </w:rPr>
      </w:pPr>
      <w:r>
        <w:rPr>
          <w:rFonts w:ascii="Arial" w:cs="Arial" w:eastAsia="Arial" w:hAnsi="Arial"/>
          <w:sz w:val="20"/>
          <w:szCs w:val="20"/>
          <w:color w:val="auto"/>
        </w:rPr>
        <w:t>Definitions:</w:t>
      </w:r>
    </w:p>
    <w:p>
      <w:pPr>
        <w:spacing w:after="0" w:line="215" w:lineRule="exact"/>
        <w:rPr>
          <w:rFonts w:ascii="Arial" w:cs="Arial" w:eastAsia="Arial" w:hAnsi="Arial"/>
          <w:sz w:val="20"/>
          <w:szCs w:val="20"/>
          <w:color w:val="auto"/>
        </w:rPr>
      </w:pPr>
    </w:p>
    <w:p>
      <w:pPr>
        <w:ind w:left="660" w:right="5380" w:hanging="324"/>
        <w:spacing w:after="0" w:line="464" w:lineRule="auto"/>
        <w:rPr>
          <w:rFonts w:ascii="Arial" w:cs="Arial" w:eastAsia="Arial" w:hAnsi="Arial"/>
          <w:sz w:val="20"/>
          <w:szCs w:val="20"/>
          <w:color w:val="auto"/>
        </w:rPr>
      </w:pPr>
      <w:r>
        <w:rPr>
          <w:rFonts w:ascii="Arial" w:cs="Arial" w:eastAsia="Arial" w:hAnsi="Arial"/>
          <w:sz w:val="20"/>
          <w:szCs w:val="20"/>
          <w:color w:val="auto"/>
        </w:rPr>
        <w:t>“Original Material” shall mean the following biological materials: [***]</w:t>
      </w:r>
    </w:p>
    <w:p>
      <w:pPr>
        <w:spacing w:after="0" w:line="1" w:lineRule="exact"/>
        <w:rPr>
          <w:rFonts w:ascii="Arial" w:cs="Arial" w:eastAsia="Arial" w:hAnsi="Arial"/>
          <w:sz w:val="20"/>
          <w:szCs w:val="20"/>
          <w:color w:val="auto"/>
        </w:rPr>
      </w:pPr>
    </w:p>
    <w:p>
      <w:pPr>
        <w:ind w:left="340"/>
        <w:spacing w:after="0"/>
        <w:rPr>
          <w:rFonts w:ascii="Arial" w:cs="Arial" w:eastAsia="Arial" w:hAnsi="Arial"/>
          <w:sz w:val="20"/>
          <w:szCs w:val="20"/>
          <w:color w:val="auto"/>
        </w:rPr>
      </w:pPr>
      <w:r>
        <w:rPr>
          <w:rFonts w:ascii="Arial" w:cs="Arial" w:eastAsia="Arial" w:hAnsi="Arial"/>
          <w:sz w:val="20"/>
          <w:szCs w:val="20"/>
          <w:color w:val="auto"/>
        </w:rPr>
        <w:t>“MATERIAL” shall mean Original Material and Progeny and Unmodified Derivatives thereof.</w:t>
      </w:r>
    </w:p>
    <w:p>
      <w:pPr>
        <w:spacing w:after="0" w:line="215" w:lineRule="exact"/>
        <w:rPr>
          <w:rFonts w:ascii="Arial" w:cs="Arial" w:eastAsia="Arial" w:hAnsi="Arial"/>
          <w:sz w:val="20"/>
          <w:szCs w:val="20"/>
          <w:color w:val="auto"/>
        </w:rPr>
      </w:pPr>
    </w:p>
    <w:p>
      <w:pPr>
        <w:ind w:left="340"/>
        <w:spacing w:after="0" w:line="246" w:lineRule="auto"/>
        <w:rPr>
          <w:rFonts w:ascii="Arial" w:cs="Arial" w:eastAsia="Arial" w:hAnsi="Arial"/>
          <w:sz w:val="20"/>
          <w:szCs w:val="20"/>
          <w:color w:val="auto"/>
        </w:rPr>
      </w:pPr>
      <w:r>
        <w:rPr>
          <w:rFonts w:ascii="Arial" w:cs="Arial" w:eastAsia="Arial" w:hAnsi="Arial"/>
          <w:sz w:val="20"/>
          <w:szCs w:val="20"/>
          <w:color w:val="auto"/>
        </w:rPr>
        <w:t>“Progeny” shall mean unmodified descendant from the MATERIAL, such as virus from virus, cell from cell, or organism from organism.</w:t>
      </w:r>
    </w:p>
    <w:p>
      <w:pPr>
        <w:spacing w:after="0" w:line="203" w:lineRule="exact"/>
        <w:rPr>
          <w:rFonts w:ascii="Arial" w:cs="Arial" w:eastAsia="Arial" w:hAnsi="Arial"/>
          <w:sz w:val="20"/>
          <w:szCs w:val="20"/>
          <w:color w:val="auto"/>
        </w:rPr>
      </w:pPr>
    </w:p>
    <w:p>
      <w:pPr>
        <w:ind w:left="340"/>
        <w:spacing w:after="0" w:line="246" w:lineRule="auto"/>
        <w:rPr>
          <w:rFonts w:ascii="Arial" w:cs="Arial" w:eastAsia="Arial" w:hAnsi="Arial"/>
          <w:sz w:val="20"/>
          <w:szCs w:val="20"/>
          <w:color w:val="auto"/>
        </w:rPr>
      </w:pPr>
      <w:r>
        <w:rPr>
          <w:rFonts w:ascii="Arial" w:cs="Arial" w:eastAsia="Arial" w:hAnsi="Arial"/>
          <w:sz w:val="20"/>
          <w:szCs w:val="20"/>
          <w:color w:val="auto"/>
        </w:rPr>
        <w:t>“Unmodified Derivatives” shall mean substances created by LICENSEE which constitute an unmodified functional subunit of the Original Biological Material or a product expressed by the Original Biological Material.</w:t>
      </w:r>
    </w:p>
    <w:p>
      <w:pPr>
        <w:spacing w:after="0" w:line="203" w:lineRule="exact"/>
        <w:rPr>
          <w:rFonts w:ascii="Arial" w:cs="Arial" w:eastAsia="Arial" w:hAnsi="Arial"/>
          <w:sz w:val="20"/>
          <w:szCs w:val="20"/>
          <w:color w:val="auto"/>
        </w:rPr>
      </w:pPr>
    </w:p>
    <w:p>
      <w:pPr>
        <w:ind w:left="340" w:right="1820"/>
        <w:spacing w:after="0" w:line="489" w:lineRule="auto"/>
        <w:rPr>
          <w:rFonts w:ascii="Arial" w:cs="Arial" w:eastAsia="Arial" w:hAnsi="Arial"/>
          <w:sz w:val="20"/>
          <w:szCs w:val="20"/>
          <w:color w:val="auto"/>
        </w:rPr>
      </w:pPr>
      <w:r>
        <w:rPr>
          <w:rFonts w:ascii="Arial" w:cs="Arial" w:eastAsia="Arial" w:hAnsi="Arial"/>
          <w:sz w:val="19"/>
          <w:szCs w:val="19"/>
          <w:color w:val="auto"/>
        </w:rPr>
        <w:t>“Modifications” shall mean substances created by LICENSEE which contain/incorporate the MATERIAL. “Licensed Field of Use” shall mean therapeutic use, diagnostic use and biotechnological use.</w:t>
      </w:r>
    </w:p>
    <w:p>
      <w:pPr>
        <w:jc w:val="both"/>
        <w:ind w:left="340" w:hanging="332"/>
        <w:spacing w:after="0" w:line="243" w:lineRule="auto"/>
        <w:tabs>
          <w:tab w:leader="none" w:pos="329" w:val="left"/>
        </w:tabs>
        <w:numPr>
          <w:ilvl w:val="0"/>
          <w:numId w:val="346"/>
        </w:numPr>
        <w:rPr>
          <w:rFonts w:ascii="Arial" w:cs="Arial" w:eastAsia="Arial" w:hAnsi="Arial"/>
          <w:sz w:val="20"/>
          <w:szCs w:val="20"/>
          <w:color w:val="auto"/>
        </w:rPr>
      </w:pPr>
      <w:r>
        <w:rPr>
          <w:rFonts w:ascii="Arial" w:cs="Arial" w:eastAsia="Arial" w:hAnsi="Arial"/>
          <w:sz w:val="20"/>
          <w:szCs w:val="20"/>
          <w:color w:val="auto"/>
        </w:rPr>
        <w:t>UNIVERSITY hereby grants to LICENSEE a worldwide, license to commercially exploit the MATERIAL in the Licensed Field of Use. Such license shall be exclusive for the biological material defined under Group A above and non-exclusive for the biological material defined under Group B above.</w:t>
      </w:r>
    </w:p>
    <w:p>
      <w:pPr>
        <w:spacing w:after="0" w:line="205" w:lineRule="exact"/>
        <w:rPr>
          <w:rFonts w:ascii="Arial" w:cs="Arial" w:eastAsia="Arial" w:hAnsi="Arial"/>
          <w:sz w:val="20"/>
          <w:szCs w:val="20"/>
          <w:color w:val="auto"/>
        </w:rPr>
      </w:pPr>
    </w:p>
    <w:p>
      <w:pPr>
        <w:ind w:left="380" w:hanging="372"/>
        <w:spacing w:after="0"/>
        <w:tabs>
          <w:tab w:leader="none" w:pos="380" w:val="left"/>
        </w:tabs>
        <w:numPr>
          <w:ilvl w:val="0"/>
          <w:numId w:val="346"/>
        </w:numPr>
        <w:rPr>
          <w:rFonts w:ascii="Arial" w:cs="Arial" w:eastAsia="Arial" w:hAnsi="Arial"/>
          <w:sz w:val="20"/>
          <w:szCs w:val="20"/>
          <w:color w:val="auto"/>
        </w:rPr>
      </w:pPr>
      <w:r>
        <w:rPr>
          <w:rFonts w:ascii="Arial" w:cs="Arial" w:eastAsia="Arial" w:hAnsi="Arial"/>
          <w:sz w:val="20"/>
          <w:szCs w:val="20"/>
          <w:color w:val="auto"/>
        </w:rPr>
        <w:t>UNIVERSITY retains ownership of the MATERIAL.</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1"/>
          <w:numId w:val="346"/>
        </w:numPr>
        <w:rPr>
          <w:rFonts w:ascii="Arial" w:cs="Arial" w:eastAsia="Arial" w:hAnsi="Arial"/>
          <w:sz w:val="20"/>
          <w:szCs w:val="20"/>
          <w:color w:val="auto"/>
        </w:rPr>
      </w:pPr>
      <w:r>
        <w:rPr>
          <w:rFonts w:ascii="Arial" w:cs="Arial" w:eastAsia="Arial" w:hAnsi="Arial"/>
          <w:sz w:val="20"/>
          <w:szCs w:val="20"/>
          <w:color w:val="auto"/>
        </w:rPr>
        <w:t>Modifications shall be owned by LICENSEE.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Amendment 3</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Page 21 of 35</w:t>
      </w:r>
    </w:p>
    <w:p>
      <w:pPr>
        <w:sectPr>
          <w:pgSz w:w="11900" w:h="16838" w:orient="portrait"/>
          <w:cols w:equalWidth="0" w:num="1">
            <w:col w:w="11240"/>
          </w:cols>
          <w:pgMar w:left="320" w:top="118" w:right="339" w:bottom="1440" w:gutter="0" w:footer="0" w:header="0"/>
        </w:sectPr>
      </w:pPr>
    </w:p>
    <w:bookmarkStart w:id="374" w:name="page375"/>
    <w:bookmarkEnd w:id="374"/>
    <w:p>
      <w:pPr>
        <w:jc w:val="both"/>
        <w:ind w:left="332" w:hanging="332"/>
        <w:spacing w:after="0" w:line="241" w:lineRule="auto"/>
        <w:tabs>
          <w:tab w:leader="none" w:pos="321" w:val="left"/>
        </w:tabs>
        <w:numPr>
          <w:ilvl w:val="0"/>
          <w:numId w:val="347"/>
        </w:numPr>
        <w:rPr>
          <w:rFonts w:ascii="Arial" w:cs="Arial" w:eastAsia="Arial" w:hAnsi="Arial"/>
          <w:sz w:val="20"/>
          <w:szCs w:val="20"/>
          <w:color w:val="auto"/>
        </w:rPr>
      </w:pPr>
      <w:r>
        <w:rPr>
          <w:rFonts w:ascii="Arial" w:cs="Arial" w:eastAsia="Arial" w:hAnsi="Arial"/>
          <w:sz w:val="20"/>
          <w:szCs w:val="20"/>
          <w:color w:val="auto"/>
        </w:rPr>
        <w:t>(a) In consideration of the grant in Paragraph 2 above, LICENSEE hereby agrees that the financial terms set forth in Art. 3 of the License Agreement shall apply to any commercial use or sale of the MATERIAL or Modifications that fall under the definition of Licensed Product as set forth in the License Agreement. The fees and royalties due for the commercial use of such MATERIAL or Modifications are not cumulative with those of the License Agreement.</w:t>
      </w:r>
    </w:p>
    <w:p>
      <w:pPr>
        <w:spacing w:after="0" w:line="210" w:lineRule="exact"/>
        <w:rPr>
          <w:rFonts w:ascii="Arial" w:cs="Arial" w:eastAsia="Arial" w:hAnsi="Arial"/>
          <w:sz w:val="20"/>
          <w:szCs w:val="20"/>
          <w:color w:val="auto"/>
        </w:rPr>
      </w:pPr>
    </w:p>
    <w:p>
      <w:pPr>
        <w:jc w:val="both"/>
        <w:ind w:left="332" w:hanging="8"/>
        <w:spacing w:after="0" w:line="241" w:lineRule="auto"/>
        <w:tabs>
          <w:tab w:leader="none" w:pos="659" w:val="left"/>
        </w:tabs>
        <w:numPr>
          <w:ilvl w:val="1"/>
          <w:numId w:val="347"/>
        </w:numPr>
        <w:rPr>
          <w:rFonts w:ascii="Arial" w:cs="Arial" w:eastAsia="Arial" w:hAnsi="Arial"/>
          <w:sz w:val="20"/>
          <w:szCs w:val="20"/>
          <w:color w:val="auto"/>
        </w:rPr>
      </w:pPr>
      <w:r>
        <w:rPr>
          <w:rFonts w:ascii="Arial" w:cs="Arial" w:eastAsia="Arial" w:hAnsi="Arial"/>
          <w:sz w:val="20"/>
          <w:szCs w:val="20"/>
          <w:color w:val="auto"/>
        </w:rPr>
        <w:t>For any MATERIAL, or Modifications which does not fall under the definition of Licensed Product as set forth in the License Agreement: LICENSEE shall pay a reduced rate of [***] of what would be due to UNIVERSITY if such MATERIAL or Modification would constitute a Licensed Product. Payments under this Paragraph 4(b) shall only be due for the [***] after execution of this Amendment.</w:t>
      </w:r>
    </w:p>
    <w:p>
      <w:pPr>
        <w:spacing w:after="0" w:line="210" w:lineRule="exact"/>
        <w:rPr>
          <w:rFonts w:ascii="Arial" w:cs="Arial" w:eastAsia="Arial" w:hAnsi="Arial"/>
          <w:sz w:val="20"/>
          <w:szCs w:val="20"/>
          <w:color w:val="auto"/>
        </w:rPr>
      </w:pPr>
    </w:p>
    <w:p>
      <w:pPr>
        <w:jc w:val="both"/>
        <w:ind w:left="332" w:hanging="332"/>
        <w:spacing w:after="0" w:line="241" w:lineRule="auto"/>
        <w:tabs>
          <w:tab w:leader="none" w:pos="321" w:val="left"/>
        </w:tabs>
        <w:numPr>
          <w:ilvl w:val="0"/>
          <w:numId w:val="347"/>
        </w:numPr>
        <w:rPr>
          <w:rFonts w:ascii="Arial" w:cs="Arial" w:eastAsia="Arial" w:hAnsi="Arial"/>
          <w:sz w:val="20"/>
          <w:szCs w:val="20"/>
          <w:color w:val="auto"/>
        </w:rPr>
      </w:pPr>
      <w:r>
        <w:rPr>
          <w:rFonts w:ascii="Arial" w:cs="Arial" w:eastAsia="Arial" w:hAnsi="Arial"/>
          <w:sz w:val="20"/>
          <w:szCs w:val="20"/>
          <w:color w:val="auto"/>
        </w:rPr>
        <w:t>Any MATERIAL delivered pursuant to this Amendment is understood to be experimental in nature and may have hazardous properties. UNIVERSITY MAKES NO REPRESENTATIONS AND EXTENDS NO WARRANTIES OF ANY KIND, EITHER EXPRESS OR IMPLIED. THERE ARE NO EXPRESS OR IMPLIED WARRANTIES OF MERCHANTABILITY OR FITNESS FOR A PARTICULAR PURPOSE, OR THAT THE USE OF THE MATERIAL WILL NOT INFRINGE ANY PATENT, COPYRIGHT, TRADEMARK, OR OTHER PROPRIETARY RIGHTS.</w:t>
      </w:r>
    </w:p>
    <w:p>
      <w:pPr>
        <w:spacing w:after="0" w:line="208" w:lineRule="exact"/>
        <w:rPr>
          <w:rFonts w:ascii="Arial" w:cs="Arial" w:eastAsia="Arial" w:hAnsi="Arial"/>
          <w:sz w:val="20"/>
          <w:szCs w:val="20"/>
          <w:color w:val="auto"/>
        </w:rPr>
      </w:pPr>
    </w:p>
    <w:p>
      <w:pPr>
        <w:jc w:val="both"/>
        <w:ind w:left="332" w:hanging="332"/>
        <w:spacing w:after="0" w:line="239" w:lineRule="auto"/>
        <w:tabs>
          <w:tab w:leader="none" w:pos="321" w:val="left"/>
        </w:tabs>
        <w:numPr>
          <w:ilvl w:val="0"/>
          <w:numId w:val="347"/>
        </w:numPr>
        <w:rPr>
          <w:rFonts w:ascii="Arial" w:cs="Arial" w:eastAsia="Arial" w:hAnsi="Arial"/>
          <w:sz w:val="20"/>
          <w:szCs w:val="20"/>
          <w:color w:val="auto"/>
        </w:rPr>
      </w:pPr>
      <w:r>
        <w:rPr>
          <w:rFonts w:ascii="Arial" w:cs="Arial" w:eastAsia="Arial" w:hAnsi="Arial"/>
          <w:sz w:val="20"/>
          <w:szCs w:val="20"/>
          <w:color w:val="auto"/>
        </w:rPr>
        <w:t>Any Modifications delivered pursuant to this Amendment is understood to be experimental in nature and may have hazardous properties. LICENSEE MAKES NO REPRESENTATIONS AND EXTENDS NO WARRANTIES OF ANY KIND,</w:t>
      </w:r>
    </w:p>
    <w:p>
      <w:pPr>
        <w:jc w:val="both"/>
        <w:ind w:left="332"/>
        <w:spacing w:after="0" w:line="243" w:lineRule="auto"/>
        <w:rPr>
          <w:rFonts w:ascii="Arial" w:cs="Arial" w:eastAsia="Arial" w:hAnsi="Arial"/>
          <w:sz w:val="20"/>
          <w:szCs w:val="20"/>
          <w:color w:val="auto"/>
        </w:rPr>
      </w:pPr>
      <w:r>
        <w:rPr>
          <w:rFonts w:ascii="Arial" w:cs="Arial" w:eastAsia="Arial" w:hAnsi="Arial"/>
          <w:sz w:val="20"/>
          <w:szCs w:val="20"/>
          <w:color w:val="auto"/>
        </w:rPr>
        <w:t>EITHER EXPRESS OR IMPLIED. THERE ARE NO EXPRESS OR IMPLIED WARRANTIES OF MERCHANTABILITY OR FITNESS FOR A PARTICULAR PURPOSE, OR THAT THE USE OF THE Modifications WILL NOT INFRINGE ANY PATENT, COPYRIGHT, TRADEMARK, OR OTHER PROPRIETARY RIGHTS.</w:t>
      </w:r>
    </w:p>
    <w:p>
      <w:pPr>
        <w:spacing w:after="0" w:line="205" w:lineRule="exact"/>
        <w:rPr>
          <w:rFonts w:ascii="Arial" w:cs="Arial" w:eastAsia="Arial" w:hAnsi="Arial"/>
          <w:sz w:val="20"/>
          <w:szCs w:val="20"/>
          <w:color w:val="auto"/>
        </w:rPr>
      </w:pPr>
    </w:p>
    <w:p>
      <w:pPr>
        <w:jc w:val="both"/>
        <w:ind w:left="332" w:hanging="332"/>
        <w:spacing w:after="0" w:line="262" w:lineRule="auto"/>
        <w:tabs>
          <w:tab w:leader="none" w:pos="321" w:val="left"/>
        </w:tabs>
        <w:numPr>
          <w:ilvl w:val="0"/>
          <w:numId w:val="347"/>
        </w:numPr>
        <w:rPr>
          <w:rFonts w:ascii="Arial" w:cs="Arial" w:eastAsia="Arial" w:hAnsi="Arial"/>
          <w:sz w:val="19"/>
          <w:szCs w:val="19"/>
          <w:color w:val="auto"/>
        </w:rPr>
      </w:pPr>
      <w:r>
        <w:rPr>
          <w:rFonts w:ascii="Arial" w:cs="Arial" w:eastAsia="Arial" w:hAnsi="Arial"/>
          <w:sz w:val="19"/>
          <w:szCs w:val="19"/>
          <w:color w:val="auto"/>
        </w:rPr>
        <w:t>Except to the extent prohibited by law, LICENSEE assumes all liability for damages that may arise from its use, storage or disposal of the MATERIAL. UNIVERSITY will not be liable to LICENSEE for any loss, claim or demand made by LICENSEE, or made against LICENSEE by any other party, due to or arising from the use of the MATERIAL by LICENSEE.</w:t>
      </w:r>
    </w:p>
    <w:p>
      <w:pPr>
        <w:spacing w:after="0" w:line="188" w:lineRule="exact"/>
        <w:rPr>
          <w:rFonts w:ascii="Arial" w:cs="Arial" w:eastAsia="Arial" w:hAnsi="Arial"/>
          <w:sz w:val="19"/>
          <w:szCs w:val="19"/>
          <w:color w:val="auto"/>
        </w:rPr>
      </w:pPr>
    </w:p>
    <w:p>
      <w:pPr>
        <w:jc w:val="both"/>
        <w:ind w:left="332" w:hanging="332"/>
        <w:spacing w:after="0" w:line="239" w:lineRule="auto"/>
        <w:tabs>
          <w:tab w:leader="none" w:pos="321" w:val="left"/>
        </w:tabs>
        <w:numPr>
          <w:ilvl w:val="0"/>
          <w:numId w:val="347"/>
        </w:numPr>
        <w:rPr>
          <w:rFonts w:ascii="Arial" w:cs="Arial" w:eastAsia="Arial" w:hAnsi="Arial"/>
          <w:sz w:val="20"/>
          <w:szCs w:val="20"/>
          <w:color w:val="auto"/>
        </w:rPr>
      </w:pPr>
      <w:r>
        <w:rPr>
          <w:rFonts w:ascii="Arial" w:cs="Arial" w:eastAsia="Arial" w:hAnsi="Arial"/>
          <w:sz w:val="20"/>
          <w:szCs w:val="20"/>
          <w:color w:val="auto"/>
        </w:rPr>
        <w:t>Except to the extent prohibited by law, UNIVERSITY assumes all liability for damages that may arise from its use, storage or disposal of the Modifications. LICENSEE will not be liable to UNIVERSITY for any loss, claim or demand made by UNIVERSITY, or made against UNIVERSITY by any other party, due to or arising from the use of the Modifications by</w:t>
      </w:r>
    </w:p>
    <w:p>
      <w:pPr>
        <w:spacing w:after="0" w:line="1" w:lineRule="exact"/>
        <w:rPr>
          <w:rFonts w:ascii="Arial" w:cs="Arial" w:eastAsia="Arial" w:hAnsi="Arial"/>
          <w:sz w:val="20"/>
          <w:szCs w:val="20"/>
          <w:color w:val="auto"/>
        </w:rPr>
      </w:pPr>
    </w:p>
    <w:p>
      <w:pPr>
        <w:ind w:left="332"/>
        <w:spacing w:after="0"/>
        <w:rPr>
          <w:rFonts w:ascii="Arial" w:cs="Arial" w:eastAsia="Arial" w:hAnsi="Arial"/>
          <w:sz w:val="20"/>
          <w:szCs w:val="20"/>
          <w:color w:val="auto"/>
        </w:rPr>
      </w:pPr>
      <w:r>
        <w:rPr>
          <w:rFonts w:ascii="Arial" w:cs="Arial" w:eastAsia="Arial" w:hAnsi="Arial"/>
          <w:sz w:val="20"/>
          <w:szCs w:val="20"/>
          <w:color w:val="auto"/>
        </w:rPr>
        <w:t>UNIVERSITY.</w:t>
      </w:r>
    </w:p>
    <w:p>
      <w:pPr>
        <w:spacing w:after="0" w:line="215" w:lineRule="exact"/>
        <w:rPr>
          <w:rFonts w:ascii="Arial" w:cs="Arial" w:eastAsia="Arial" w:hAnsi="Arial"/>
          <w:sz w:val="20"/>
          <w:szCs w:val="20"/>
          <w:color w:val="auto"/>
        </w:rPr>
      </w:pPr>
    </w:p>
    <w:p>
      <w:pPr>
        <w:ind w:left="332" w:hanging="332"/>
        <w:spacing w:after="0" w:line="246" w:lineRule="auto"/>
        <w:tabs>
          <w:tab w:leader="none" w:pos="321" w:val="left"/>
        </w:tabs>
        <w:numPr>
          <w:ilvl w:val="0"/>
          <w:numId w:val="347"/>
        </w:numPr>
        <w:rPr>
          <w:rFonts w:ascii="Arial" w:cs="Arial" w:eastAsia="Arial" w:hAnsi="Arial"/>
          <w:sz w:val="20"/>
          <w:szCs w:val="20"/>
          <w:color w:val="auto"/>
        </w:rPr>
      </w:pPr>
      <w:r>
        <w:rPr>
          <w:rFonts w:ascii="Arial" w:cs="Arial" w:eastAsia="Arial" w:hAnsi="Arial"/>
          <w:sz w:val="20"/>
          <w:szCs w:val="20"/>
          <w:color w:val="auto"/>
        </w:rPr>
        <w:t>For the use of MATERIAL and Modifications the parties agree to provide appropriate acknowledgment of the source of the MATERIAL or Modification in all publications.</w:t>
      </w:r>
    </w:p>
    <w:p>
      <w:pPr>
        <w:spacing w:after="0" w:line="203" w:lineRule="exact"/>
        <w:rPr>
          <w:rFonts w:ascii="Arial" w:cs="Arial" w:eastAsia="Arial" w:hAnsi="Arial"/>
          <w:sz w:val="20"/>
          <w:szCs w:val="20"/>
          <w:color w:val="auto"/>
        </w:rPr>
      </w:pPr>
    </w:p>
    <w:p>
      <w:pPr>
        <w:ind w:left="332" w:hanging="332"/>
        <w:spacing w:after="0" w:line="246" w:lineRule="auto"/>
        <w:tabs>
          <w:tab w:leader="none" w:pos="323" w:val="left"/>
        </w:tabs>
        <w:numPr>
          <w:ilvl w:val="0"/>
          <w:numId w:val="347"/>
        </w:numPr>
        <w:rPr>
          <w:rFonts w:ascii="Arial" w:cs="Arial" w:eastAsia="Arial" w:hAnsi="Arial"/>
          <w:sz w:val="20"/>
          <w:szCs w:val="20"/>
          <w:color w:val="auto"/>
        </w:rPr>
      </w:pPr>
      <w:r>
        <w:rPr>
          <w:rFonts w:ascii="Arial" w:cs="Arial" w:eastAsia="Arial" w:hAnsi="Arial"/>
          <w:sz w:val="20"/>
          <w:szCs w:val="20"/>
          <w:color w:val="auto"/>
        </w:rPr>
        <w:t>LICENSEE agrees to use the MATERIAL in compliance with all applicable statutes and regulations including, for example, those relating to research involving the use of animals or recombinant DNA.</w:t>
      </w:r>
    </w:p>
    <w:p>
      <w:pPr>
        <w:spacing w:after="0" w:line="203" w:lineRule="exact"/>
        <w:rPr>
          <w:rFonts w:ascii="Arial" w:cs="Arial" w:eastAsia="Arial" w:hAnsi="Arial"/>
          <w:sz w:val="20"/>
          <w:szCs w:val="20"/>
          <w:color w:val="auto"/>
        </w:rPr>
      </w:pPr>
    </w:p>
    <w:p>
      <w:pPr>
        <w:ind w:left="332" w:hanging="332"/>
        <w:spacing w:after="0" w:line="246" w:lineRule="auto"/>
        <w:tabs>
          <w:tab w:leader="none" w:pos="323" w:val="left"/>
        </w:tabs>
        <w:numPr>
          <w:ilvl w:val="0"/>
          <w:numId w:val="347"/>
        </w:numPr>
        <w:rPr>
          <w:rFonts w:ascii="Arial" w:cs="Arial" w:eastAsia="Arial" w:hAnsi="Arial"/>
          <w:sz w:val="20"/>
          <w:szCs w:val="20"/>
          <w:color w:val="auto"/>
        </w:rPr>
      </w:pPr>
      <w:r>
        <w:rPr>
          <w:rFonts w:ascii="Arial" w:cs="Arial" w:eastAsia="Arial" w:hAnsi="Arial"/>
          <w:sz w:val="20"/>
          <w:szCs w:val="20"/>
          <w:color w:val="auto"/>
        </w:rPr>
        <w:t>UNIVERSITY agrees to use the Modifications in compliance with all applicable statutes and regulations including, for example, those relating to research involving the use of animals or recombinant DNA.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12"/>
        <w:spacing w:after="0"/>
        <w:rPr>
          <w:sz w:val="20"/>
          <w:szCs w:val="20"/>
          <w:color w:val="auto"/>
        </w:rPr>
      </w:pPr>
      <w:r>
        <w:rPr>
          <w:rFonts w:ascii="Arial" w:cs="Arial" w:eastAsia="Arial" w:hAnsi="Arial"/>
          <w:sz w:val="16"/>
          <w:szCs w:val="16"/>
          <w:color w:val="auto"/>
        </w:rPr>
        <w:t>Amendment 3</w:t>
      </w:r>
    </w:p>
    <w:p>
      <w:pPr>
        <w:spacing w:after="0" w:line="5" w:lineRule="exact"/>
        <w:rPr>
          <w:sz w:val="20"/>
          <w:szCs w:val="20"/>
          <w:color w:val="auto"/>
        </w:rPr>
      </w:pPr>
    </w:p>
    <w:p>
      <w:pPr>
        <w:ind w:left="5112"/>
        <w:spacing w:after="0"/>
        <w:rPr>
          <w:sz w:val="20"/>
          <w:szCs w:val="20"/>
          <w:color w:val="auto"/>
        </w:rPr>
      </w:pPr>
      <w:r>
        <w:rPr>
          <w:rFonts w:ascii="Arial" w:cs="Arial" w:eastAsia="Arial" w:hAnsi="Arial"/>
          <w:sz w:val="16"/>
          <w:szCs w:val="16"/>
          <w:color w:val="auto"/>
        </w:rPr>
        <w:t>Page 22 of 35</w:t>
      </w:r>
    </w:p>
    <w:p>
      <w:pPr>
        <w:sectPr>
          <w:pgSz w:w="11900" w:h="16838" w:orient="portrait"/>
          <w:cols w:equalWidth="0" w:num="1">
            <w:col w:w="11232"/>
          </w:cols>
          <w:pgMar w:left="328" w:top="1432" w:right="339" w:bottom="1440" w:gutter="0" w:footer="0" w:header="0"/>
        </w:sectPr>
      </w:pPr>
    </w:p>
    <w:bookmarkStart w:id="375" w:name="page376"/>
    <w:bookmarkEnd w:id="375"/>
    <w:p>
      <w:pPr>
        <w:jc w:val="both"/>
        <w:ind w:left="332" w:hanging="332"/>
        <w:spacing w:after="0" w:line="241" w:lineRule="auto"/>
        <w:tabs>
          <w:tab w:leader="none" w:pos="323" w:val="left"/>
        </w:tabs>
        <w:numPr>
          <w:ilvl w:val="0"/>
          <w:numId w:val="348"/>
        </w:numPr>
        <w:rPr>
          <w:rFonts w:ascii="Arial" w:cs="Arial" w:eastAsia="Arial" w:hAnsi="Arial"/>
          <w:sz w:val="20"/>
          <w:szCs w:val="20"/>
          <w:color w:val="auto"/>
        </w:rPr>
      </w:pPr>
      <w:r>
        <w:rPr>
          <w:rFonts w:ascii="Arial" w:cs="Arial" w:eastAsia="Arial" w:hAnsi="Arial"/>
          <w:sz w:val="20"/>
          <w:szCs w:val="20"/>
          <w:color w:val="auto"/>
        </w:rPr>
        <w:t>In recognition of the rights granted by UNIVERSITY to LICENSEE by this Agreement, LICENSEE agrees to provide samples of Modifications to UNIVERSITY until [***], unless such transfer is not possible because a third party claims rights in such Modifications or parts thereof. UNIVERSITY shall have the right to use such samples in accordance with the following provisions:</w:t>
      </w:r>
    </w:p>
    <w:p>
      <w:pPr>
        <w:spacing w:after="0" w:line="210" w:lineRule="exact"/>
        <w:rPr>
          <w:rFonts w:ascii="Arial" w:cs="Arial" w:eastAsia="Arial" w:hAnsi="Arial"/>
          <w:sz w:val="20"/>
          <w:szCs w:val="20"/>
          <w:color w:val="auto"/>
        </w:rPr>
      </w:pPr>
    </w:p>
    <w:p>
      <w:pPr>
        <w:ind w:left="332" w:hanging="8"/>
        <w:spacing w:after="0" w:line="246" w:lineRule="auto"/>
        <w:tabs>
          <w:tab w:leader="none" w:pos="655" w:val="left"/>
        </w:tabs>
        <w:numPr>
          <w:ilvl w:val="1"/>
          <w:numId w:val="348"/>
        </w:numPr>
        <w:rPr>
          <w:rFonts w:ascii="Arial" w:cs="Arial" w:eastAsia="Arial" w:hAnsi="Arial"/>
          <w:sz w:val="20"/>
          <w:szCs w:val="20"/>
          <w:color w:val="auto"/>
        </w:rPr>
      </w:pPr>
      <w:r>
        <w:rPr>
          <w:rFonts w:ascii="Arial" w:cs="Arial" w:eastAsia="Arial" w:hAnsi="Arial"/>
          <w:sz w:val="20"/>
          <w:szCs w:val="20"/>
          <w:color w:val="auto"/>
        </w:rPr>
        <w:t>use for educational and research purposes internally and in collaborative research projects with non-commercial third parties;</w:t>
      </w:r>
    </w:p>
    <w:p>
      <w:pPr>
        <w:spacing w:after="0" w:line="203" w:lineRule="exact"/>
        <w:rPr>
          <w:rFonts w:ascii="Arial" w:cs="Arial" w:eastAsia="Arial" w:hAnsi="Arial"/>
          <w:sz w:val="20"/>
          <w:szCs w:val="20"/>
          <w:color w:val="auto"/>
        </w:rPr>
      </w:pPr>
    </w:p>
    <w:p>
      <w:pPr>
        <w:jc w:val="both"/>
        <w:ind w:left="332" w:hanging="8"/>
        <w:spacing w:after="0" w:line="241" w:lineRule="auto"/>
        <w:tabs>
          <w:tab w:leader="none" w:pos="655" w:val="left"/>
        </w:tabs>
        <w:numPr>
          <w:ilvl w:val="1"/>
          <w:numId w:val="348"/>
        </w:numPr>
        <w:rPr>
          <w:rFonts w:ascii="Arial" w:cs="Arial" w:eastAsia="Arial" w:hAnsi="Arial"/>
          <w:sz w:val="20"/>
          <w:szCs w:val="20"/>
          <w:color w:val="auto"/>
        </w:rPr>
      </w:pPr>
      <w:r>
        <w:rPr>
          <w:rFonts w:ascii="Arial" w:cs="Arial" w:eastAsia="Arial" w:hAnsi="Arial"/>
          <w:sz w:val="20"/>
          <w:szCs w:val="20"/>
          <w:color w:val="auto"/>
        </w:rPr>
        <w:t>allow other nonprofit institutions to use the samples for educational and noncommercial research purposes in their facilities free of charge, provided that they shall be transferred to third non-commercial parties only if UNIVERSITY concludes in good faith that such transfer is essential for a collaborative research project and only under the provision that the third party will only be allowed to use the samples to carry out its tasks in the collaboration and not for any further use.</w:t>
      </w:r>
    </w:p>
    <w:p>
      <w:pPr>
        <w:spacing w:after="0" w:line="210" w:lineRule="exact"/>
        <w:rPr>
          <w:rFonts w:ascii="Arial" w:cs="Arial" w:eastAsia="Arial" w:hAnsi="Arial"/>
          <w:sz w:val="20"/>
          <w:szCs w:val="20"/>
          <w:color w:val="auto"/>
        </w:rPr>
      </w:pPr>
    </w:p>
    <w:p>
      <w:pPr>
        <w:ind w:left="312" w:hanging="312"/>
        <w:spacing w:after="0"/>
        <w:tabs>
          <w:tab w:leader="none" w:pos="312" w:val="left"/>
        </w:tabs>
        <w:numPr>
          <w:ilvl w:val="0"/>
          <w:numId w:val="348"/>
        </w:numPr>
        <w:rPr>
          <w:rFonts w:ascii="Arial" w:cs="Arial" w:eastAsia="Arial" w:hAnsi="Arial"/>
          <w:sz w:val="20"/>
          <w:szCs w:val="20"/>
          <w:color w:val="auto"/>
        </w:rPr>
      </w:pPr>
      <w:r>
        <w:rPr>
          <w:rFonts w:ascii="Arial" w:cs="Arial" w:eastAsia="Arial" w:hAnsi="Arial"/>
          <w:sz w:val="20"/>
          <w:szCs w:val="20"/>
          <w:color w:val="auto"/>
        </w:rPr>
        <w:t>UNIVERSITY reserves the right to</w:t>
      </w:r>
    </w:p>
    <w:p>
      <w:pPr>
        <w:spacing w:after="0" w:line="215" w:lineRule="exact"/>
        <w:rPr>
          <w:rFonts w:ascii="Arial" w:cs="Arial" w:eastAsia="Arial" w:hAnsi="Arial"/>
          <w:sz w:val="20"/>
          <w:szCs w:val="20"/>
          <w:color w:val="auto"/>
        </w:rPr>
      </w:pPr>
    </w:p>
    <w:p>
      <w:pPr>
        <w:ind w:left="652" w:hanging="328"/>
        <w:spacing w:after="0"/>
        <w:tabs>
          <w:tab w:leader="none" w:pos="652" w:val="left"/>
        </w:tabs>
        <w:numPr>
          <w:ilvl w:val="1"/>
          <w:numId w:val="348"/>
        </w:numPr>
        <w:rPr>
          <w:rFonts w:ascii="Arial" w:cs="Arial" w:eastAsia="Arial" w:hAnsi="Arial"/>
          <w:sz w:val="20"/>
          <w:szCs w:val="20"/>
          <w:color w:val="auto"/>
        </w:rPr>
      </w:pPr>
      <w:r>
        <w:rPr>
          <w:rFonts w:ascii="Arial" w:cs="Arial" w:eastAsia="Arial" w:hAnsi="Arial"/>
          <w:sz w:val="20"/>
          <w:szCs w:val="20"/>
          <w:color w:val="auto"/>
        </w:rPr>
        <w:t>use the MATERIAL for educational and research purposes free of charge;</w:t>
      </w:r>
    </w:p>
    <w:p>
      <w:pPr>
        <w:spacing w:after="0" w:line="215" w:lineRule="exact"/>
        <w:rPr>
          <w:rFonts w:ascii="Arial" w:cs="Arial" w:eastAsia="Arial" w:hAnsi="Arial"/>
          <w:sz w:val="20"/>
          <w:szCs w:val="20"/>
          <w:color w:val="auto"/>
        </w:rPr>
      </w:pPr>
    </w:p>
    <w:p>
      <w:pPr>
        <w:ind w:left="652" w:hanging="328"/>
        <w:spacing w:after="0"/>
        <w:tabs>
          <w:tab w:leader="none" w:pos="652" w:val="left"/>
        </w:tabs>
        <w:numPr>
          <w:ilvl w:val="1"/>
          <w:numId w:val="348"/>
        </w:numPr>
        <w:rPr>
          <w:rFonts w:ascii="Arial" w:cs="Arial" w:eastAsia="Arial" w:hAnsi="Arial"/>
          <w:sz w:val="20"/>
          <w:szCs w:val="20"/>
          <w:color w:val="auto"/>
        </w:rPr>
      </w:pPr>
      <w:r>
        <w:rPr>
          <w:rFonts w:ascii="Arial" w:cs="Arial" w:eastAsia="Arial" w:hAnsi="Arial"/>
          <w:sz w:val="20"/>
          <w:szCs w:val="20"/>
          <w:color w:val="auto"/>
        </w:rPr>
        <w:t>publish or otherwise disseminate any information on the MATERIAL at any time;</w:t>
      </w:r>
    </w:p>
    <w:p>
      <w:pPr>
        <w:spacing w:after="0" w:line="215" w:lineRule="exact"/>
        <w:rPr>
          <w:rFonts w:ascii="Arial" w:cs="Arial" w:eastAsia="Arial" w:hAnsi="Arial"/>
          <w:sz w:val="20"/>
          <w:szCs w:val="20"/>
          <w:color w:val="auto"/>
        </w:rPr>
      </w:pPr>
    </w:p>
    <w:p>
      <w:pPr>
        <w:ind w:left="332" w:hanging="8"/>
        <w:spacing w:after="0" w:line="246" w:lineRule="auto"/>
        <w:tabs>
          <w:tab w:leader="none" w:pos="644" w:val="left"/>
        </w:tabs>
        <w:numPr>
          <w:ilvl w:val="1"/>
          <w:numId w:val="348"/>
        </w:numPr>
        <w:rPr>
          <w:rFonts w:ascii="Arial" w:cs="Arial" w:eastAsia="Arial" w:hAnsi="Arial"/>
          <w:sz w:val="20"/>
          <w:szCs w:val="20"/>
          <w:color w:val="auto"/>
        </w:rPr>
      </w:pPr>
      <w:r>
        <w:rPr>
          <w:rFonts w:ascii="Arial" w:cs="Arial" w:eastAsia="Arial" w:hAnsi="Arial"/>
          <w:sz w:val="20"/>
          <w:szCs w:val="20"/>
          <w:color w:val="auto"/>
        </w:rPr>
        <w:t>and allow other nonprofit institutions to use the MATERIAL for educational and noncommercial research purposes in their facilities free of charge.</w:t>
      </w:r>
    </w:p>
    <w:p>
      <w:pPr>
        <w:spacing w:after="0" w:line="203" w:lineRule="exact"/>
        <w:rPr>
          <w:rFonts w:ascii="Arial" w:cs="Arial" w:eastAsia="Arial" w:hAnsi="Arial"/>
          <w:sz w:val="20"/>
          <w:szCs w:val="20"/>
          <w:color w:val="auto"/>
        </w:rPr>
      </w:pPr>
    </w:p>
    <w:p>
      <w:pPr>
        <w:ind w:left="312" w:hanging="312"/>
        <w:spacing w:after="0"/>
        <w:tabs>
          <w:tab w:leader="none" w:pos="312" w:val="left"/>
        </w:tabs>
        <w:numPr>
          <w:ilvl w:val="0"/>
          <w:numId w:val="348"/>
        </w:numPr>
        <w:rPr>
          <w:rFonts w:ascii="Arial" w:cs="Arial" w:eastAsia="Arial" w:hAnsi="Arial"/>
          <w:sz w:val="20"/>
          <w:szCs w:val="20"/>
          <w:color w:val="auto"/>
        </w:rPr>
      </w:pPr>
      <w:r>
        <w:rPr>
          <w:rFonts w:ascii="Arial" w:cs="Arial" w:eastAsia="Arial" w:hAnsi="Arial"/>
          <w:sz w:val="20"/>
          <w:szCs w:val="20"/>
          <w:color w:val="auto"/>
        </w:rPr>
        <w:t>All terms and conditions of the License Agreement and its Amendments No. 1 and 2 shall remain in full force and effect.</w:t>
      </w:r>
    </w:p>
    <w:p>
      <w:pPr>
        <w:spacing w:after="0" w:line="215" w:lineRule="exact"/>
        <w:rPr>
          <w:rFonts w:ascii="Arial" w:cs="Arial" w:eastAsia="Arial" w:hAnsi="Arial"/>
          <w:sz w:val="20"/>
          <w:szCs w:val="20"/>
          <w:color w:val="auto"/>
        </w:rPr>
      </w:pPr>
    </w:p>
    <w:p>
      <w:pPr>
        <w:ind w:left="312" w:hanging="312"/>
        <w:spacing w:after="0"/>
        <w:tabs>
          <w:tab w:leader="none" w:pos="312" w:val="left"/>
        </w:tabs>
        <w:numPr>
          <w:ilvl w:val="0"/>
          <w:numId w:val="348"/>
        </w:numPr>
        <w:rPr>
          <w:rFonts w:ascii="Arial" w:cs="Arial" w:eastAsia="Arial" w:hAnsi="Arial"/>
          <w:sz w:val="20"/>
          <w:szCs w:val="20"/>
          <w:color w:val="auto"/>
        </w:rPr>
      </w:pPr>
      <w:r>
        <w:rPr>
          <w:rFonts w:ascii="Arial" w:cs="Arial" w:eastAsia="Arial" w:hAnsi="Arial"/>
          <w:sz w:val="20"/>
          <w:szCs w:val="20"/>
          <w:color w:val="auto"/>
        </w:rPr>
        <w:t>This Amendment shall be effective retroactively as of November 17, 2004.</w:t>
      </w:r>
    </w:p>
    <w:p>
      <w:pPr>
        <w:spacing w:after="0" w:line="215" w:lineRule="exact"/>
        <w:rPr>
          <w:rFonts w:ascii="Arial" w:cs="Arial" w:eastAsia="Arial" w:hAnsi="Arial"/>
          <w:sz w:val="20"/>
          <w:szCs w:val="20"/>
          <w:color w:val="auto"/>
        </w:rPr>
      </w:pPr>
    </w:p>
    <w:p>
      <w:pPr>
        <w:ind w:left="4992"/>
        <w:spacing w:after="0"/>
        <w:rPr>
          <w:rFonts w:ascii="Arial" w:cs="Arial" w:eastAsia="Arial" w:hAnsi="Arial"/>
          <w:sz w:val="20"/>
          <w:szCs w:val="20"/>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12"/>
        <w:spacing w:after="0"/>
        <w:rPr>
          <w:sz w:val="20"/>
          <w:szCs w:val="20"/>
          <w:color w:val="auto"/>
        </w:rPr>
      </w:pPr>
      <w:r>
        <w:rPr>
          <w:rFonts w:ascii="Arial" w:cs="Arial" w:eastAsia="Arial" w:hAnsi="Arial"/>
          <w:sz w:val="16"/>
          <w:szCs w:val="16"/>
          <w:color w:val="auto"/>
        </w:rPr>
        <w:t>Amendment 3</w:t>
      </w:r>
    </w:p>
    <w:p>
      <w:pPr>
        <w:spacing w:after="0" w:line="5" w:lineRule="exact"/>
        <w:rPr>
          <w:sz w:val="20"/>
          <w:szCs w:val="20"/>
          <w:color w:val="auto"/>
        </w:rPr>
      </w:pPr>
    </w:p>
    <w:p>
      <w:pPr>
        <w:ind w:left="5112"/>
        <w:spacing w:after="0"/>
        <w:rPr>
          <w:sz w:val="20"/>
          <w:szCs w:val="20"/>
          <w:color w:val="auto"/>
        </w:rPr>
      </w:pPr>
      <w:r>
        <w:rPr>
          <w:rFonts w:ascii="Arial" w:cs="Arial" w:eastAsia="Arial" w:hAnsi="Arial"/>
          <w:sz w:val="16"/>
          <w:szCs w:val="16"/>
          <w:color w:val="auto"/>
        </w:rPr>
        <w:t>Page 23 of 35</w:t>
      </w:r>
    </w:p>
    <w:p>
      <w:pPr>
        <w:sectPr>
          <w:pgSz w:w="11900" w:h="16838" w:orient="portrait"/>
          <w:cols w:equalWidth="0" w:num="1">
            <w:col w:w="11232"/>
          </w:cols>
          <w:pgMar w:left="328" w:top="1432" w:right="339" w:bottom="1440" w:gutter="0" w:footer="0" w:header="0"/>
        </w:sectPr>
      </w:pPr>
    </w:p>
    <w:bookmarkStart w:id="376" w:name="page377"/>
    <w:bookmarkEnd w:id="376"/>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LICENSEE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53"/>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40"/>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For UNIVERSITY</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Prof. Andreas Plückthun</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Prof. Alexander Borbély</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Amendment 3</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Page 24 of 35</w:t>
      </w:r>
    </w:p>
    <w:p>
      <w:pPr>
        <w:sectPr>
          <w:pgSz w:w="11900" w:h="16838" w:orient="portrait"/>
          <w:cols w:equalWidth="0" w:num="1">
            <w:col w:w="11080"/>
          </w:cols>
          <w:pgMar w:left="460" w:top="1440" w:right="359" w:bottom="1440" w:gutter="0" w:footer="0" w:header="0"/>
        </w:sectPr>
      </w:pPr>
    </w:p>
    <w:bookmarkStart w:id="377" w:name="page378"/>
    <w:bookmarkEnd w:id="377"/>
    <w:p>
      <w:pPr>
        <w:ind w:left="360" w:hanging="352"/>
        <w:spacing w:after="0"/>
        <w:tabs>
          <w:tab w:leader="none" w:pos="3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No. 4 dated May 31st, 2007, to the License Agreement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University of Zurich, Ramistrasse 71, 8006 Zurich (“</w:t>
      </w:r>
      <w:r>
        <w:rPr>
          <w:rFonts w:ascii="Arial" w:cs="Arial" w:eastAsia="Arial" w:hAnsi="Arial"/>
          <w:sz w:val="18"/>
          <w:szCs w:val="18"/>
          <w:b w:val="1"/>
          <w:bCs w:val="1"/>
          <w:color w:val="auto"/>
        </w:rPr>
        <w:t>UNIVERSITY</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 Grabenstrasse 11a, 8952 Zurich-Schlieren (“</w:t>
      </w:r>
      <w:r>
        <w:rPr>
          <w:rFonts w:ascii="Arial" w:cs="Arial" w:eastAsia="Arial" w:hAnsi="Arial"/>
          <w:sz w:val="18"/>
          <w:szCs w:val="18"/>
          <w:b w:val="1"/>
          <w:bCs w:val="1"/>
          <w:color w:val="auto"/>
        </w:rPr>
        <w:t>LICENSEE</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25" w:lineRule="exact"/>
        <w:rPr>
          <w:sz w:val="20"/>
          <w:szCs w:val="20"/>
          <w:color w:val="auto"/>
        </w:rPr>
      </w:pPr>
    </w:p>
    <w:p>
      <w:pPr>
        <w:ind w:left="660" w:right="420" w:hanging="652"/>
        <w:spacing w:after="0" w:line="261" w:lineRule="auto"/>
        <w:tabs>
          <w:tab w:leader="none" w:pos="36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UNIVERSITY and LICENSEE have entered into a License Agreement, effective November 17, 2004, on Patent Rights in the field of collections of (poly)peptides/proteins based on repeat modules (the “Agreement”);</w:t>
      </w:r>
    </w:p>
    <w:p>
      <w:pPr>
        <w:spacing w:after="0" w:line="197" w:lineRule="exact"/>
        <w:rPr>
          <w:rFonts w:ascii="Arial" w:cs="Arial" w:eastAsia="Arial" w:hAnsi="Arial"/>
          <w:sz w:val="18"/>
          <w:szCs w:val="18"/>
          <w:color w:val="auto"/>
        </w:rPr>
      </w:pPr>
    </w:p>
    <w:p>
      <w:pPr>
        <w:ind w:left="360" w:hanging="352"/>
        <w:spacing w:after="0"/>
        <w:tabs>
          <w:tab w:leader="none" w:pos="3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parties wish to amend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IT IS AGREED AS FOLLOWS:</w:t>
      </w:r>
    </w:p>
    <w:p>
      <w:pPr>
        <w:spacing w:after="0" w:line="225" w:lineRule="exact"/>
        <w:rPr>
          <w:sz w:val="20"/>
          <w:szCs w:val="20"/>
          <w:color w:val="auto"/>
        </w:rPr>
      </w:pPr>
    </w:p>
    <w:p>
      <w:pPr>
        <w:ind w:left="640" w:hanging="632"/>
        <w:spacing w:after="0"/>
        <w:tabs>
          <w:tab w:leader="none" w:pos="6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Clause No. 3.1.(a) shall be replaced by the following:</w:t>
      </w:r>
    </w:p>
    <w:p>
      <w:pPr>
        <w:spacing w:after="0" w:line="203"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recognition of LICENSEE being a startup business and partially in lieu of cash, a </w:t>
      </w:r>
      <w:r>
        <w:rPr>
          <w:rFonts w:ascii="Arial" w:cs="Arial" w:eastAsia="Arial" w:hAnsi="Arial"/>
          <w:sz w:val="18"/>
          <w:szCs w:val="18"/>
          <w:b w:val="1"/>
          <w:bCs w:val="1"/>
          <w:color w:val="auto"/>
        </w:rPr>
        <w:t>license issue fee</w:t>
      </w:r>
      <w:r>
        <w:rPr>
          <w:rFonts w:ascii="Arial" w:cs="Arial" w:eastAsia="Arial" w:hAnsi="Arial"/>
          <w:sz w:val="18"/>
          <w:szCs w:val="18"/>
          <w:color w:val="auto"/>
        </w:rPr>
        <w:t xml:space="preserve"> in the form of [***] shares with a nominal value of CHF [***] of LICENSEE’s common stock representing [***]% of the LICENSEE’s total authorized equity capital of CHF [***]. The stock or if stocks are not issued physically a copy of the updated share register shall be delivered to UNIVERSITY within [***] of execution of this Agreement. In the event of a capital increase the UNIVERSITY’s equity position may be diluted, however such dilution shall in no event be greater than that of [***] and furthermore UNIVERSITY’s equity position shall not be diluted below [***]% of the total outstanding stock of LICENSEE until LICENSEE has accrued total funds of CHF [***] in form of equity capital (valued on the basis of valuations underlying arm’s length and bona fide capital increases and/or share transfers in accordance with the LICENSEE’S shareholders agreement). Shares issued to University shall provide as far as applicable for equal but proportionate rights and restrictions as the Founder’s shares. UNIVERSITY shall adhere to the LICENSEE’S shareholders agreement and such other agreements as may be required or amended from time to time to give effect to this paragraph. The Founders of the LICENSEE are Patrick Amstutz, Hans Kaspar Binz, Patrik Forrer, Martin Alexander Kawe, Andreas Pluckthun, Michael Tobias Stumpp and Christian Zahnd.</w:t>
      </w:r>
    </w:p>
    <w:p>
      <w:pPr>
        <w:spacing w:after="0" w:line="211" w:lineRule="exact"/>
        <w:rPr>
          <w:rFonts w:ascii="Arial" w:cs="Arial" w:eastAsia="Arial" w:hAnsi="Arial"/>
          <w:sz w:val="18"/>
          <w:szCs w:val="18"/>
          <w:color w:val="auto"/>
        </w:rPr>
      </w:pPr>
    </w:p>
    <w:p>
      <w:pPr>
        <w:ind w:left="640" w:hanging="632"/>
        <w:spacing w:after="0"/>
        <w:tabs>
          <w:tab w:leader="none" w:pos="6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Clause No. 3.1.(c) shall be replaced by the following:</w:t>
      </w:r>
    </w:p>
    <w:p>
      <w:pPr>
        <w:spacing w:after="0" w:line="2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On all </w:t>
      </w:r>
      <w:r>
        <w:rPr>
          <w:rFonts w:ascii="Arial" w:cs="Arial" w:eastAsia="Arial" w:hAnsi="Arial"/>
          <w:sz w:val="18"/>
          <w:szCs w:val="18"/>
          <w:b w:val="1"/>
          <w:bCs w:val="1"/>
          <w:color w:val="auto"/>
        </w:rPr>
        <w:t>sublicense fees</w:t>
      </w:r>
      <w:r>
        <w:rPr>
          <w:rFonts w:ascii="Arial" w:cs="Arial" w:eastAsia="Arial" w:hAnsi="Arial"/>
          <w:sz w:val="18"/>
          <w:szCs w:val="18"/>
          <w:color w:val="auto"/>
        </w:rPr>
        <w:t xml:space="preserve"> received by LICENSEE from each Sublicensee that are not earned royalties:</w:t>
      </w:r>
    </w:p>
    <w:p>
      <w:pPr>
        <w:spacing w:after="0" w:line="247" w:lineRule="exact"/>
        <w:rPr>
          <w:rFonts w:ascii="Arial" w:cs="Arial" w:eastAsia="Arial" w:hAnsi="Arial"/>
          <w:sz w:val="18"/>
          <w:szCs w:val="18"/>
          <w:color w:val="auto"/>
        </w:rPr>
      </w:pPr>
    </w:p>
    <w:p>
      <w:pPr>
        <w:ind w:left="920" w:hanging="264"/>
        <w:spacing w:after="0"/>
        <w:tabs>
          <w:tab w:leader="none" w:pos="9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on fraction &lt; [***] CHF for particular sublicense by particular Sublicensee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on fraction&gt;= [***] CHF and&lt; [***] CHF for particular sublicense by particular Sublicensee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on fraction&gt;= [***] CHF and&lt; [***] CHF for particular sublicense by particular Sublicensee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on fraction &gt;= [***] CHF and &lt; [***] CHF for particular sublicense by particular Sublicensee</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on fraction&gt;= [***] CHF for particular sublicense by particular Sublicensee</w:t>
      </w:r>
    </w:p>
    <w:p>
      <w:pPr>
        <w:spacing w:after="0" w:line="225"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It is understood that payments from Sublicensees to LICENSEE dedicated for direct use for the financing of research or product development under a joint research or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Amendment 4</w:t>
      </w:r>
    </w:p>
    <w:p>
      <w:pPr>
        <w:spacing w:after="0" w:line="5"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Page 25 of 35</w:t>
      </w:r>
    </w:p>
    <w:p>
      <w:pPr>
        <w:sectPr>
          <w:pgSz w:w="11900" w:h="16838" w:orient="portrait"/>
          <w:cols w:equalWidth="0" w:num="1">
            <w:col w:w="11240"/>
          </w:cols>
          <w:pgMar w:left="320" w:top="118" w:right="339" w:bottom="1440" w:gutter="0" w:footer="0" w:header="0"/>
        </w:sectPr>
      </w:pPr>
    </w:p>
    <w:bookmarkStart w:id="378" w:name="page379"/>
    <w:bookmarkEnd w:id="378"/>
    <w:p>
      <w:pPr>
        <w:ind w:left="360" w:hanging="352"/>
        <w:spacing w:after="0"/>
        <w:tabs>
          <w:tab w:leader="none" w:pos="3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not be considered sublicense fees and no compensation for UNIVERSITY shall be due on such payments.</w:t>
      </w:r>
    </w:p>
    <w:p>
      <w:pPr>
        <w:spacing w:after="0" w:line="225" w:lineRule="exact"/>
        <w:rPr>
          <w:sz w:val="20"/>
          <w:szCs w:val="20"/>
          <w:color w:val="auto"/>
        </w:rPr>
      </w:pPr>
    </w:p>
    <w:p>
      <w:pPr>
        <w:ind w:left="640" w:hanging="632"/>
        <w:spacing w:after="0"/>
        <w:tabs>
          <w:tab w:leader="none" w:pos="6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Agreement shall be amended with a Clause No. 3.1 (f) reading as follows:</w:t>
      </w:r>
    </w:p>
    <w:p>
      <w:pPr>
        <w:spacing w:after="0" w:line="2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LICENSEE shall pay UNIVERSITY an </w:t>
      </w:r>
      <w:r>
        <w:rPr>
          <w:rFonts w:ascii="Arial" w:cs="Arial" w:eastAsia="Arial" w:hAnsi="Arial"/>
          <w:sz w:val="18"/>
          <w:szCs w:val="18"/>
          <w:b w:val="1"/>
          <w:bCs w:val="1"/>
          <w:color w:val="auto"/>
        </w:rPr>
        <w:t>annual minimum payment</w:t>
      </w:r>
      <w:r>
        <w:rPr>
          <w:rFonts w:ascii="Arial" w:cs="Arial" w:eastAsia="Arial" w:hAnsi="Arial"/>
          <w:sz w:val="18"/>
          <w:szCs w:val="18"/>
          <w:color w:val="auto"/>
        </w:rPr>
        <w:t xml:space="preserve"> on or before November 17 of each year as follows:</w:t>
      </w:r>
    </w:p>
    <w:p>
      <w:pPr>
        <w:spacing w:after="0" w:line="247" w:lineRule="exact"/>
        <w:rPr>
          <w:rFonts w:ascii="Arial" w:cs="Arial" w:eastAsia="Arial" w:hAnsi="Arial"/>
          <w:sz w:val="18"/>
          <w:szCs w:val="18"/>
          <w:color w:val="auto"/>
        </w:rPr>
      </w:pPr>
    </w:p>
    <w:p>
      <w:pPr>
        <w:ind w:left="760" w:hanging="104"/>
        <w:spacing w:after="0"/>
        <w:tabs>
          <w:tab w:leader="none" w:pos="7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2007 and 2008: CHF [***].- each year</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2009 and 2010: CHF [***].- each year</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as from 2011 each year: CHF 50’000.-</w:t>
      </w:r>
    </w:p>
    <w:p>
      <w:pPr>
        <w:spacing w:after="0" w:line="225" w:lineRule="exact"/>
        <w:rPr>
          <w:sz w:val="20"/>
          <w:szCs w:val="20"/>
          <w:color w:val="auto"/>
        </w:rPr>
      </w:pPr>
    </w:p>
    <w:p>
      <w:pPr>
        <w:ind w:left="660" w:right="400"/>
        <w:spacing w:after="0" w:line="261" w:lineRule="auto"/>
        <w:rPr>
          <w:sz w:val="20"/>
          <w:szCs w:val="20"/>
          <w:color w:val="auto"/>
        </w:rPr>
      </w:pPr>
      <w:r>
        <w:rPr>
          <w:rFonts w:ascii="Arial" w:cs="Arial" w:eastAsia="Arial" w:hAnsi="Arial"/>
          <w:sz w:val="18"/>
          <w:szCs w:val="18"/>
          <w:color w:val="auto"/>
        </w:rPr>
        <w:t>Any payments due to UNIVERSITY in the same calendar year in accordance with clauses 3.1 (b), (c) and (d) shall be deductible from such annual minimum payments.</w:t>
      </w:r>
    </w:p>
    <w:p>
      <w:pPr>
        <w:spacing w:after="0" w:line="198" w:lineRule="exact"/>
        <w:rPr>
          <w:sz w:val="20"/>
          <w:szCs w:val="20"/>
          <w:color w:val="auto"/>
        </w:rPr>
      </w:pPr>
    </w:p>
    <w:p>
      <w:pPr>
        <w:ind w:left="640" w:hanging="632"/>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Clause No. 9 (“Use of Names and Trademarks”) shall be replaced to read: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ARTICLE 9. USE OF NAMES AND TRADEMARKS AND DISCLOSURE OF THIS AGREEMENT</w:t>
      </w:r>
    </w:p>
    <w:p>
      <w:pPr>
        <w:spacing w:after="0" w:line="225"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9.1 Nothing contained in this Agreement confers any right to use in advertising, publicity, or other promotional activities any name, trade name, trademark, or other designation of either party hereto (including contraction, abbreviation or simulation of any of the foregoing).</w:t>
      </w:r>
    </w:p>
    <w:p>
      <w:pPr>
        <w:spacing w:after="0" w:line="201" w:lineRule="exact"/>
        <w:rPr>
          <w:rFonts w:ascii="Arial" w:cs="Arial" w:eastAsia="Arial" w:hAnsi="Arial"/>
          <w:sz w:val="18"/>
          <w:szCs w:val="18"/>
          <w:color w:val="auto"/>
        </w:rPr>
      </w:pPr>
    </w:p>
    <w:p>
      <w:pPr>
        <w:ind w:left="660"/>
        <w:spacing w:after="0" w:line="261" w:lineRule="auto"/>
        <w:rPr>
          <w:rFonts w:ascii="Arial" w:cs="Arial" w:eastAsia="Arial" w:hAnsi="Arial"/>
          <w:sz w:val="18"/>
          <w:szCs w:val="18"/>
          <w:color w:val="auto"/>
        </w:rPr>
      </w:pPr>
      <w:r>
        <w:rPr>
          <w:rFonts w:ascii="Arial" w:cs="Arial" w:eastAsia="Arial" w:hAnsi="Arial"/>
          <w:sz w:val="18"/>
          <w:szCs w:val="18"/>
          <w:color w:val="auto"/>
        </w:rPr>
        <w:t>9.2 UNIVERSITY may disclose to the inventors the terms and conditions of this Agreement upon their request. If such disclosure is made, UNIVERSITY shall request the Inventors not to disclose such terms and conditions to others.</w:t>
      </w:r>
    </w:p>
    <w:p>
      <w:pPr>
        <w:spacing w:after="0" w:line="197"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9.3 UNIVERSITY may acknowledge the existence of this Agreement and the extent of the grant in Article 2 to third parties, but UNIVERSITY shall not disclose the financial terms of this Agreement to third parties, except where UNIVERSITY is required by law to do so.</w:t>
      </w:r>
    </w:p>
    <w:p>
      <w:pPr>
        <w:spacing w:after="0" w:line="201"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9.4 LICENSEE may disclose to potential investors the terms and conditions of this Agreement. If such disclosure is made, LICENSEE shall request the potential investors to keep such information confidential and not to disclose such terms and conditions to third parties.</w:t>
      </w:r>
    </w:p>
    <w:p>
      <w:pPr>
        <w:spacing w:after="0" w:line="201" w:lineRule="exact"/>
        <w:rPr>
          <w:rFonts w:ascii="Arial" w:cs="Arial" w:eastAsia="Arial" w:hAnsi="Arial"/>
          <w:sz w:val="18"/>
          <w:szCs w:val="18"/>
          <w:color w:val="auto"/>
        </w:rPr>
      </w:pPr>
    </w:p>
    <w:p>
      <w:pPr>
        <w:jc w:val="both"/>
        <w:ind w:left="660"/>
        <w:spacing w:after="0" w:line="256" w:lineRule="auto"/>
        <w:rPr>
          <w:rFonts w:ascii="Arial" w:cs="Arial" w:eastAsia="Arial" w:hAnsi="Arial"/>
          <w:sz w:val="18"/>
          <w:szCs w:val="18"/>
          <w:color w:val="auto"/>
        </w:rPr>
      </w:pPr>
      <w:r>
        <w:rPr>
          <w:rFonts w:ascii="Arial" w:cs="Arial" w:eastAsia="Arial" w:hAnsi="Arial"/>
          <w:sz w:val="18"/>
          <w:szCs w:val="18"/>
          <w:color w:val="auto"/>
        </w:rPr>
        <w:t>9.5 LICENSEE may acknowledge the existence of this Agreement and the extent of the grant in Article 2 to third parties, but LICENSEE shall not disclose the financial terms of this Agreement to third parties, except as stated in Article 9.4 or where LICENSEE is required by law to do so.</w:t>
      </w:r>
    </w:p>
    <w:p>
      <w:pPr>
        <w:spacing w:after="0" w:line="201" w:lineRule="exact"/>
        <w:rPr>
          <w:rFonts w:ascii="Arial" w:cs="Arial" w:eastAsia="Arial" w:hAnsi="Arial"/>
          <w:sz w:val="18"/>
          <w:szCs w:val="18"/>
          <w:color w:val="auto"/>
        </w:rPr>
      </w:pPr>
    </w:p>
    <w:p>
      <w:pPr>
        <w:ind w:left="640" w:hanging="632"/>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Clause No. 10.2 (“Assignability”) shall be replaced to read:</w:t>
      </w:r>
    </w:p>
    <w:p>
      <w:pPr>
        <w:spacing w:after="0" w:line="2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Assignability</w:t>
      </w:r>
      <w:r>
        <w:rPr>
          <w:rFonts w:ascii="Arial" w:cs="Arial" w:eastAsia="Arial" w:hAnsi="Arial"/>
          <w:sz w:val="18"/>
          <w:szCs w:val="18"/>
          <w:color w:val="auto"/>
        </w:rPr>
        <w:t>. This Agreement shall not be assigned by LICENSEE except:</w:t>
      </w:r>
    </w:p>
    <w:p>
      <w:pPr>
        <w:spacing w:after="0" w:line="247" w:lineRule="exact"/>
        <w:rPr>
          <w:rFonts w:ascii="Arial" w:cs="Arial" w:eastAsia="Arial" w:hAnsi="Arial"/>
          <w:sz w:val="18"/>
          <w:szCs w:val="18"/>
          <w:color w:val="auto"/>
        </w:rPr>
      </w:pPr>
    </w:p>
    <w:p>
      <w:pPr>
        <w:ind w:left="1080" w:hanging="424"/>
        <w:spacing w:after="0"/>
        <w:tabs>
          <w:tab w:leader="none" w:pos="108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with the prior written consent of UNIVERSITY, which consent shall not be unreasonably withheld or delayed; or</w:t>
      </w:r>
    </w:p>
    <w:p>
      <w:pPr>
        <w:spacing w:after="0" w:line="225" w:lineRule="exact"/>
        <w:rPr>
          <w:rFonts w:ascii="Arial" w:cs="Arial" w:eastAsia="Arial" w:hAnsi="Arial"/>
          <w:sz w:val="18"/>
          <w:szCs w:val="18"/>
          <w:color w:val="auto"/>
        </w:rPr>
      </w:pPr>
    </w:p>
    <w:p>
      <w:pPr>
        <w:ind w:left="660" w:hanging="4"/>
        <w:spacing w:after="0" w:line="261" w:lineRule="auto"/>
        <w:tabs>
          <w:tab w:leader="none" w:pos="1094" w:val="left"/>
        </w:tabs>
        <w:numPr>
          <w:ilvl w:val="1"/>
          <w:numId w:val="354"/>
        </w:numPr>
        <w:rPr>
          <w:rFonts w:ascii="Arial" w:cs="Arial" w:eastAsia="Arial" w:hAnsi="Arial"/>
          <w:sz w:val="18"/>
          <w:szCs w:val="18"/>
          <w:color w:val="auto"/>
        </w:rPr>
      </w:pPr>
      <w:r>
        <w:rPr>
          <w:rFonts w:ascii="Arial" w:cs="Arial" w:eastAsia="Arial" w:hAnsi="Arial"/>
          <w:sz w:val="18"/>
          <w:szCs w:val="18"/>
          <w:color w:val="auto"/>
        </w:rPr>
        <w:t>without UNIVERSITY’s consent if assigned as part of a sale or transfer of all or substantially all of the assets or the business of LICENSEE relating to operations which concern this Agreement.</w:t>
      </w:r>
    </w:p>
    <w:p>
      <w:pPr>
        <w:spacing w:after="0" w:line="197" w:lineRule="exact"/>
        <w:rPr>
          <w:rFonts w:ascii="Arial" w:cs="Arial" w:eastAsia="Arial" w:hAnsi="Arial"/>
          <w:sz w:val="18"/>
          <w:szCs w:val="18"/>
          <w:color w:val="auto"/>
        </w:rPr>
      </w:pPr>
    </w:p>
    <w:p>
      <w:pPr>
        <w:ind w:left="640" w:hanging="632"/>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other terms and conditions of the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Amendment 4</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26 of 35</w:t>
      </w:r>
    </w:p>
    <w:p>
      <w:pPr>
        <w:sectPr>
          <w:pgSz w:w="11900" w:h="16838" w:orient="portrait"/>
          <w:cols w:equalWidth="0" w:num="1">
            <w:col w:w="11240"/>
          </w:cols>
          <w:pgMar w:left="320" w:top="118" w:right="339" w:bottom="1440" w:gutter="0" w:footer="0" w:header="0"/>
        </w:sectPr>
      </w:pPr>
    </w:p>
    <w:bookmarkStart w:id="379" w:name="page380"/>
    <w:bookmarkEnd w:id="379"/>
    <w:p>
      <w:pPr>
        <w:ind w:left="360" w:hanging="352"/>
        <w:spacing w:after="0"/>
        <w:tabs>
          <w:tab w:leader="none" w:pos="3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This Amendment shall be effective retroactively as of January 1, 2007.</w:t>
      </w:r>
    </w:p>
    <w:p>
      <w:pPr>
        <w:spacing w:after="0" w:line="225" w:lineRule="exact"/>
        <w:rPr>
          <w:rFonts w:ascii="Arial" w:cs="Arial" w:eastAsia="Arial" w:hAnsi="Arial"/>
          <w:sz w:val="18"/>
          <w:szCs w:val="18"/>
          <w:color w:val="auto"/>
        </w:rPr>
      </w:pPr>
    </w:p>
    <w:p>
      <w:pPr>
        <w:ind w:left="52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Amendment 4</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27 of 35</w:t>
      </w:r>
    </w:p>
    <w:p>
      <w:pPr>
        <w:sectPr>
          <w:pgSz w:w="11900" w:h="16838" w:orient="portrait"/>
          <w:cols w:equalWidth="0" w:num="1">
            <w:col w:w="11120"/>
          </w:cols>
          <w:pgMar w:left="320" w:top="118" w:right="459" w:bottom="1440" w:gutter="0" w:footer="0" w:header="0"/>
        </w:sectPr>
      </w:pPr>
    </w:p>
    <w:bookmarkStart w:id="380" w:name="page381"/>
    <w:bookmarkEnd w:id="380"/>
    <w:p>
      <w:pPr>
        <w:ind w:left="360" w:hanging="352"/>
        <w:spacing w:after="0"/>
        <w:tabs>
          <w:tab w:leader="none" w:pos="3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For LICENSEE (Molecular Partners AG)</w:t>
      </w:r>
    </w:p>
    <w:p>
      <w:pPr>
        <w:spacing w:after="0" w:line="364" w:lineRule="exact"/>
        <w:rPr>
          <w:sz w:val="20"/>
          <w:szCs w:val="20"/>
          <w:color w:val="auto"/>
        </w:rPr>
      </w:pPr>
    </w:p>
    <w:tbl>
      <w:tblPr>
        <w:tblLayout w:type="fixed"/>
        <w:tblInd w:w="14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6"/>
        </w:trPr>
        <w:tc>
          <w:tcPr>
            <w:tcW w:w="740" w:type="dxa"/>
            <w:vAlign w:val="bottom"/>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53"/>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40"/>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For UNIVERSITY</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Peter Bless</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200" w:type="dxa"/>
            <w:vAlign w:val="bottom"/>
            <w:gridSpan w:val="2"/>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 of Administration</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Prof. Heini Murer</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Amendment 4</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28 of 35</w:t>
      </w:r>
    </w:p>
    <w:p>
      <w:pPr>
        <w:sectPr>
          <w:pgSz w:w="11900" w:h="16838" w:orient="portrait"/>
          <w:cols w:equalWidth="0" w:num="1">
            <w:col w:w="11220"/>
          </w:cols>
          <w:pgMar w:left="320" w:top="118" w:right="359" w:bottom="1440" w:gutter="0" w:footer="0" w:header="0"/>
        </w:sectPr>
      </w:pPr>
    </w:p>
    <w:bookmarkStart w:id="381" w:name="page382"/>
    <w:bookmarkEnd w:id="381"/>
    <w:p>
      <w:pPr>
        <w:ind w:left="360" w:hanging="352"/>
        <w:spacing w:after="0"/>
        <w:tabs>
          <w:tab w:leader="none" w:pos="36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No. 5 dated October 3, 2007, to the License Agreement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between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University of Z</w:t>
      </w:r>
      <w:r>
        <w:rPr>
          <w:rFonts w:ascii="Arial" w:cs="Arial" w:eastAsia="Arial" w:hAnsi="Arial"/>
          <w:sz w:val="20"/>
          <w:szCs w:val="20"/>
          <w:color w:val="151512"/>
        </w:rPr>
        <w:t>u</w:t>
      </w:r>
      <w:r>
        <w:rPr>
          <w:rFonts w:ascii="Arial" w:cs="Arial" w:eastAsia="Arial" w:hAnsi="Arial"/>
          <w:sz w:val="20"/>
          <w:szCs w:val="20"/>
          <w:color w:val="auto"/>
        </w:rPr>
        <w:t>rich, Rämistrasse 71, CH-8006 Z</w:t>
      </w:r>
      <w:r>
        <w:rPr>
          <w:rFonts w:ascii="Arial" w:cs="Arial" w:eastAsia="Arial" w:hAnsi="Arial"/>
          <w:sz w:val="20"/>
          <w:szCs w:val="20"/>
          <w:color w:val="151512"/>
        </w:rPr>
        <w:t>ü</w:t>
      </w:r>
      <w:r>
        <w:rPr>
          <w:rFonts w:ascii="Arial" w:cs="Arial" w:eastAsia="Arial" w:hAnsi="Arial"/>
          <w:sz w:val="20"/>
          <w:szCs w:val="20"/>
          <w:color w:val="auto"/>
        </w:rPr>
        <w:t>rich ("</w:t>
      </w:r>
      <w:r>
        <w:rPr>
          <w:rFonts w:ascii="Arial" w:cs="Arial" w:eastAsia="Arial" w:hAnsi="Arial"/>
          <w:sz w:val="20"/>
          <w:szCs w:val="20"/>
          <w:b w:val="1"/>
          <w:bCs w:val="1"/>
          <w:color w:val="auto"/>
        </w:rPr>
        <w:t>UNIVERSITY</w:t>
      </w:r>
      <w:r>
        <w:rPr>
          <w:rFonts w:ascii="Arial" w:cs="Arial" w:eastAsia="Arial" w:hAnsi="Arial"/>
          <w:sz w:val="20"/>
          <w:szCs w:val="20"/>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Molecular Partners AG, Grabenstrasse 11a, CH-8952 Z</w:t>
      </w:r>
      <w:r>
        <w:rPr>
          <w:rFonts w:ascii="Arial" w:cs="Arial" w:eastAsia="Arial" w:hAnsi="Arial"/>
          <w:sz w:val="20"/>
          <w:szCs w:val="20"/>
          <w:color w:val="151512"/>
        </w:rPr>
        <w:t>ü</w:t>
      </w:r>
      <w:r>
        <w:rPr>
          <w:rFonts w:ascii="Arial" w:cs="Arial" w:eastAsia="Arial" w:hAnsi="Arial"/>
          <w:sz w:val="20"/>
          <w:szCs w:val="20"/>
          <w:color w:val="auto"/>
        </w:rPr>
        <w:t>rich-Schlieren ("</w:t>
      </w:r>
      <w:r>
        <w:rPr>
          <w:rFonts w:ascii="Arial" w:cs="Arial" w:eastAsia="Arial" w:hAnsi="Arial"/>
          <w:sz w:val="20"/>
          <w:szCs w:val="20"/>
          <w:b w:val="1"/>
          <w:bCs w:val="1"/>
          <w:color w:val="auto"/>
        </w:rPr>
        <w:t>LICENSEE</w:t>
      </w:r>
      <w:r>
        <w:rPr>
          <w:rFonts w:ascii="Arial" w:cs="Arial" w:eastAsia="Arial" w:hAnsi="Arial"/>
          <w:sz w:val="20"/>
          <w:szCs w:val="20"/>
          <w:color w:val="auto"/>
        </w:rPr>
        <w: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216" w:lineRule="exact"/>
        <w:rPr>
          <w:sz w:val="20"/>
          <w:szCs w:val="20"/>
          <w:color w:val="auto"/>
        </w:rPr>
      </w:pPr>
    </w:p>
    <w:p>
      <w:pPr>
        <w:ind w:left="660" w:right="380" w:hanging="652"/>
        <w:spacing w:after="0" w:line="246" w:lineRule="auto"/>
        <w:tabs>
          <w:tab w:leader="none" w:pos="397" w:val="left"/>
        </w:tabs>
        <w:numPr>
          <w:ilvl w:val="0"/>
          <w:numId w:val="359"/>
        </w:numPr>
        <w:rPr>
          <w:rFonts w:ascii="Arial" w:cs="Arial" w:eastAsia="Arial" w:hAnsi="Arial"/>
          <w:sz w:val="20"/>
          <w:szCs w:val="20"/>
          <w:color w:val="auto"/>
        </w:rPr>
      </w:pPr>
      <w:r>
        <w:rPr>
          <w:rFonts w:ascii="Arial" w:cs="Arial" w:eastAsia="Arial" w:hAnsi="Arial"/>
          <w:sz w:val="20"/>
          <w:szCs w:val="20"/>
          <w:color w:val="auto"/>
        </w:rPr>
        <w:t>UNIVERSITY and LICENSEE have entered into a License Agreement, effective November 17, 2004, on "collections of (poly)peptides/proteins based on repeat modules (the "License Agreement");</w:t>
      </w:r>
    </w:p>
    <w:p>
      <w:pPr>
        <w:spacing w:after="0" w:line="203" w:lineRule="exact"/>
        <w:rPr>
          <w:rFonts w:ascii="Arial" w:cs="Arial" w:eastAsia="Arial" w:hAnsi="Arial"/>
          <w:sz w:val="20"/>
          <w:szCs w:val="20"/>
          <w:color w:val="auto"/>
        </w:rPr>
      </w:pPr>
    </w:p>
    <w:p>
      <w:pPr>
        <w:ind w:left="660" w:right="140" w:hanging="652"/>
        <w:spacing w:after="0" w:line="243" w:lineRule="auto"/>
        <w:tabs>
          <w:tab w:leader="none" w:pos="393" w:val="left"/>
        </w:tabs>
        <w:numPr>
          <w:ilvl w:val="0"/>
          <w:numId w:val="359"/>
        </w:numPr>
        <w:rPr>
          <w:rFonts w:ascii="Arial" w:cs="Arial" w:eastAsia="Arial" w:hAnsi="Arial"/>
          <w:sz w:val="20"/>
          <w:szCs w:val="20"/>
          <w:color w:val="auto"/>
        </w:rPr>
      </w:pPr>
      <w:r>
        <w:rPr>
          <w:rFonts w:ascii="Arial" w:cs="Arial" w:eastAsia="Arial" w:hAnsi="Arial"/>
          <w:sz w:val="20"/>
          <w:szCs w:val="20"/>
          <w:color w:val="auto"/>
        </w:rPr>
        <w:t>The parties have collaborated in the CTI-Project No. 7505.1 DCS-LS, "Designed Repeat Proteins: Novel Receptor Molecules for Life Science, Diagnostics and Therapy" and on April 26, 2006, have executed a contract governing such CTI-Project (the "CTI-Project Contract")</w:t>
      </w:r>
    </w:p>
    <w:p>
      <w:pPr>
        <w:spacing w:after="0" w:line="205" w:lineRule="exact"/>
        <w:rPr>
          <w:rFonts w:ascii="Arial" w:cs="Arial" w:eastAsia="Arial" w:hAnsi="Arial"/>
          <w:sz w:val="20"/>
          <w:szCs w:val="20"/>
          <w:color w:val="auto"/>
        </w:rPr>
      </w:pPr>
    </w:p>
    <w:p>
      <w:pPr>
        <w:ind w:left="660" w:right="140" w:hanging="652"/>
        <w:spacing w:after="0" w:line="241" w:lineRule="auto"/>
        <w:tabs>
          <w:tab w:leader="none" w:pos="386" w:val="left"/>
        </w:tabs>
        <w:numPr>
          <w:ilvl w:val="0"/>
          <w:numId w:val="359"/>
        </w:numPr>
        <w:rPr>
          <w:rFonts w:ascii="Arial" w:cs="Arial" w:eastAsia="Arial" w:hAnsi="Arial"/>
          <w:sz w:val="20"/>
          <w:szCs w:val="20"/>
          <w:color w:val="auto"/>
        </w:rPr>
      </w:pPr>
      <w:r>
        <w:rPr>
          <w:rFonts w:ascii="Arial" w:cs="Arial" w:eastAsia="Arial" w:hAnsi="Arial"/>
          <w:sz w:val="20"/>
          <w:szCs w:val="20"/>
          <w:color w:val="auto"/>
        </w:rPr>
        <w:t>LICENSEE wishes to license patent rights owned by UNIVERSITY and developed in the course of the CTI-Project and UNIVERSITY agrees to license these patent rights to LICENSEE, as set forth in the CTI-Project Contract, at the terms and conditions of the License Agreement; it is understood that the fees and royalties due for commercial use of such further patent rights are not cumulative with those of the License Agreement;</w:t>
      </w:r>
    </w:p>
    <w:p>
      <w:pPr>
        <w:spacing w:after="0" w:line="210" w:lineRule="exact"/>
        <w:rPr>
          <w:rFonts w:ascii="Arial" w:cs="Arial" w:eastAsia="Arial" w:hAnsi="Arial"/>
          <w:sz w:val="20"/>
          <w:szCs w:val="20"/>
          <w:color w:val="auto"/>
        </w:rPr>
      </w:pPr>
    </w:p>
    <w:p>
      <w:pPr>
        <w:ind w:left="380" w:hanging="372"/>
        <w:spacing w:after="0"/>
        <w:tabs>
          <w:tab w:leader="none" w:pos="38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The parties wish to amend the License Agreement accordingly.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NOW, IT IS AGREED AS FOLLOWS:</w:t>
      </w:r>
    </w:p>
    <w:p>
      <w:pPr>
        <w:spacing w:after="0" w:line="216" w:lineRule="exact"/>
        <w:rPr>
          <w:sz w:val="20"/>
          <w:szCs w:val="20"/>
          <w:color w:val="auto"/>
        </w:rPr>
      </w:pPr>
    </w:p>
    <w:p>
      <w:pPr>
        <w:ind w:left="660" w:right="3000" w:hanging="652"/>
        <w:spacing w:after="0" w:line="464" w:lineRule="auto"/>
        <w:tabs>
          <w:tab w:leader="none" w:pos="386" w:val="left"/>
        </w:tabs>
        <w:numPr>
          <w:ilvl w:val="0"/>
          <w:numId w:val="360"/>
        </w:numPr>
        <w:rPr>
          <w:rFonts w:ascii="Arial" w:cs="Arial" w:eastAsia="Arial" w:hAnsi="Arial"/>
          <w:sz w:val="20"/>
          <w:szCs w:val="20"/>
          <w:color w:val="auto"/>
        </w:rPr>
      </w:pPr>
      <w:r>
        <w:rPr>
          <w:rFonts w:ascii="Arial" w:cs="Arial" w:eastAsia="Arial" w:hAnsi="Arial"/>
          <w:sz w:val="20"/>
          <w:szCs w:val="20"/>
          <w:color w:val="auto"/>
        </w:rPr>
        <w:t>Annex 1 of the License Agreement ("List of Patent Rights") shall be amended as follows: [***]</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All terms and conditions of the License Agreement shall remain in full force and effect.</w:t>
      </w:r>
    </w:p>
    <w:p>
      <w:pPr>
        <w:spacing w:after="0" w:line="215" w:lineRule="exact"/>
        <w:rPr>
          <w:rFonts w:ascii="Arial" w:cs="Arial" w:eastAsia="Arial" w:hAnsi="Arial"/>
          <w:sz w:val="20"/>
          <w:szCs w:val="20"/>
          <w:color w:val="auto"/>
        </w:rPr>
      </w:pPr>
    </w:p>
    <w:p>
      <w:pPr>
        <w:ind w:left="380" w:hanging="372"/>
        <w:spacing w:after="0"/>
        <w:tabs>
          <w:tab w:leader="none" w:pos="38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This Amendment shall be effective retroactively as of September 24, 2007.</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Amendment 5</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29 of 35</w:t>
      </w:r>
    </w:p>
    <w:p>
      <w:pPr>
        <w:sectPr>
          <w:pgSz w:w="11900" w:h="16838" w:orient="portrait"/>
          <w:cols w:equalWidth="0" w:num="1">
            <w:col w:w="11120"/>
          </w:cols>
          <w:pgMar w:left="320" w:top="118" w:right="459" w:bottom="1440" w:gutter="0" w:footer="0" w:header="0"/>
        </w:sectPr>
      </w:pPr>
    </w:p>
    <w:bookmarkStart w:id="382" w:name="page383"/>
    <w:bookmarkEnd w:id="382"/>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LICENSEE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23495</wp:posOffset>
            </wp:positionV>
            <wp:extent cx="32486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53"/>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40"/>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For UNIVERSITY</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Prof. A. Plückthun</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Prof. H Murer</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Prorektor MNW</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Amendment 5</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30 of 35</w:t>
      </w:r>
    </w:p>
    <w:p>
      <w:pPr>
        <w:sectPr>
          <w:pgSz w:w="11900" w:h="16838" w:orient="portrait"/>
          <w:cols w:equalWidth="0" w:num="1">
            <w:col w:w="11080"/>
          </w:cols>
          <w:pgMar w:left="460" w:top="1440" w:right="359" w:bottom="1440" w:gutter="0" w:footer="0" w:header="0"/>
        </w:sectPr>
      </w:pPr>
    </w:p>
    <w:bookmarkStart w:id="383" w:name="page384"/>
    <w:bookmarkEnd w:id="383"/>
    <w:p>
      <w:pPr>
        <w:ind w:left="360" w:hanging="352"/>
        <w:spacing w:after="0"/>
        <w:tabs>
          <w:tab w:leader="none" w:pos="3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No. 6 dated June 15, 2012, to the License Agreement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between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The University of Zurich, Rämistrasse 71, CH-8006 Zürich ("</w:t>
      </w:r>
      <w:r>
        <w:rPr>
          <w:rFonts w:ascii="Arial" w:cs="Arial" w:eastAsia="Arial" w:hAnsi="Arial"/>
          <w:sz w:val="20"/>
          <w:szCs w:val="20"/>
          <w:b w:val="1"/>
          <w:bCs w:val="1"/>
          <w:color w:val="auto"/>
        </w:rPr>
        <w:t>UNIVERSITY</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Molecular Partners AG, Grabenstrasse 11a, CH-8952 Zürich-Schlieren ("</w:t>
      </w:r>
      <w:r>
        <w:rPr>
          <w:rFonts w:ascii="Arial" w:cs="Arial" w:eastAsia="Arial" w:hAnsi="Arial"/>
          <w:sz w:val="20"/>
          <w:szCs w:val="20"/>
          <w:b w:val="1"/>
          <w:bCs w:val="1"/>
          <w:color w:val="auto"/>
        </w:rPr>
        <w:t>LICENSEE</w:t>
      </w:r>
      <w:r>
        <w:rPr>
          <w:rFonts w:ascii="Arial" w:cs="Arial" w:eastAsia="Arial" w:hAnsi="Arial"/>
          <w:sz w:val="20"/>
          <w:szCs w:val="20"/>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WHEREAS</w:t>
      </w:r>
    </w:p>
    <w:p>
      <w:pPr>
        <w:spacing w:after="0" w:line="189" w:lineRule="exact"/>
        <w:rPr>
          <w:sz w:val="20"/>
          <w:szCs w:val="20"/>
          <w:color w:val="auto"/>
        </w:rPr>
      </w:pPr>
    </w:p>
    <w:p>
      <w:pPr>
        <w:ind w:left="660" w:right="480" w:hanging="652"/>
        <w:spacing w:after="0" w:line="246" w:lineRule="auto"/>
        <w:tabs>
          <w:tab w:leader="none" w:pos="397" w:val="left"/>
        </w:tabs>
        <w:numPr>
          <w:ilvl w:val="0"/>
          <w:numId w:val="362"/>
        </w:numPr>
        <w:rPr>
          <w:rFonts w:ascii="Arial" w:cs="Arial" w:eastAsia="Arial" w:hAnsi="Arial"/>
          <w:sz w:val="20"/>
          <w:szCs w:val="20"/>
          <w:color w:val="auto"/>
        </w:rPr>
      </w:pPr>
      <w:r>
        <w:rPr>
          <w:rFonts w:ascii="Arial" w:cs="Arial" w:eastAsia="Arial" w:hAnsi="Arial"/>
          <w:sz w:val="20"/>
          <w:szCs w:val="20"/>
          <w:color w:val="auto"/>
        </w:rPr>
        <w:t>UNIVERSITY and LICENSEE have entered into a License Agreement, effective November 17, 2004, on "collections of (poly) peptides/proteins based on repeat modules (the "License Agreement");</w:t>
      </w:r>
    </w:p>
    <w:p>
      <w:pPr>
        <w:spacing w:after="0" w:line="163" w:lineRule="exact"/>
        <w:rPr>
          <w:rFonts w:ascii="Arial" w:cs="Arial" w:eastAsia="Arial" w:hAnsi="Arial"/>
          <w:sz w:val="20"/>
          <w:szCs w:val="20"/>
          <w:color w:val="auto"/>
        </w:rPr>
      </w:pPr>
    </w:p>
    <w:p>
      <w:pPr>
        <w:ind w:left="380" w:hanging="372"/>
        <w:spacing w:after="0"/>
        <w:tabs>
          <w:tab w:leader="none" w:pos="380"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The parties wish to amend the License Agreement in order to clarify section 3.1.(c)</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NOW, IT IS AGREED AS FOLLOWS:</w:t>
      </w:r>
    </w:p>
    <w:p>
      <w:pPr>
        <w:spacing w:after="0" w:line="189" w:lineRule="exact"/>
        <w:rPr>
          <w:sz w:val="20"/>
          <w:szCs w:val="20"/>
          <w:color w:val="auto"/>
        </w:rPr>
      </w:pPr>
    </w:p>
    <w:p>
      <w:pPr>
        <w:ind w:left="1040" w:hanging="384"/>
        <w:spacing w:after="0"/>
        <w:tabs>
          <w:tab w:leader="none" w:pos="1040" w:val="left"/>
        </w:tabs>
        <w:numPr>
          <w:ilvl w:val="0"/>
          <w:numId w:val="363"/>
        </w:numPr>
        <w:rPr>
          <w:rFonts w:ascii="Arial" w:cs="Arial" w:eastAsia="Arial" w:hAnsi="Arial"/>
          <w:sz w:val="20"/>
          <w:szCs w:val="20"/>
          <w:color w:val="auto"/>
        </w:rPr>
      </w:pPr>
      <w:r>
        <w:rPr>
          <w:rFonts w:ascii="Arial" w:cs="Arial" w:eastAsia="Arial" w:hAnsi="Arial"/>
          <w:sz w:val="20"/>
          <w:szCs w:val="20"/>
          <w:color w:val="auto"/>
        </w:rPr>
        <w:t>Clause No. 3.1.(c) of the License Agreement shall be replaced by the following:</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On all </w:t>
      </w:r>
      <w:r>
        <w:rPr>
          <w:rFonts w:ascii="Arial" w:cs="Arial" w:eastAsia="Arial" w:hAnsi="Arial"/>
          <w:sz w:val="20"/>
          <w:szCs w:val="20"/>
          <w:b w:val="1"/>
          <w:bCs w:val="1"/>
          <w:color w:val="auto"/>
        </w:rPr>
        <w:t>Net Sublicense Fees</w:t>
      </w:r>
      <w:r>
        <w:rPr>
          <w:rFonts w:ascii="Arial" w:cs="Arial" w:eastAsia="Arial" w:hAnsi="Arial"/>
          <w:sz w:val="20"/>
          <w:szCs w:val="20"/>
          <w:color w:val="auto"/>
        </w:rPr>
        <w:t xml:space="preserve"> received by LICENSEE from each Sublicensee that are not earned royalties:</w:t>
      </w:r>
    </w:p>
    <w:p>
      <w:pPr>
        <w:spacing w:after="0" w:line="199" w:lineRule="exact"/>
        <w:rPr>
          <w:sz w:val="20"/>
          <w:szCs w:val="20"/>
          <w:color w:val="auto"/>
        </w:rPr>
      </w:pPr>
    </w:p>
    <w:p>
      <w:pPr>
        <w:ind w:left="780" w:hanging="124"/>
        <w:spacing w:after="0"/>
        <w:tabs>
          <w:tab w:leader="none" w:pos="78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 on fraction &lt; [***] CHF for particular sublicense agreement by particular Sublicensee</w:t>
      </w:r>
    </w:p>
    <w:p>
      <w:pPr>
        <w:ind w:left="780" w:hanging="124"/>
        <w:spacing w:after="0"/>
        <w:tabs>
          <w:tab w:leader="none" w:pos="78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 on fraction &gt;= [***] CHF and &lt; [***] CHF for particular sublicense agreement by particular Sublicensee</w:t>
      </w:r>
    </w:p>
    <w:p>
      <w:pPr>
        <w:ind w:left="780" w:hanging="124"/>
        <w:spacing w:after="0"/>
        <w:tabs>
          <w:tab w:leader="none" w:pos="78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 on fraction &gt;= [***] CHF and &lt; [***] CHF for particular sublicense agreement by particular Sublicensee</w:t>
      </w:r>
    </w:p>
    <w:p>
      <w:pPr>
        <w:ind w:left="780" w:hanging="124"/>
        <w:spacing w:after="0"/>
        <w:tabs>
          <w:tab w:leader="none" w:pos="78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 on fraction &gt;= [***] CHF and &lt; [***] CHF for particular sublicense agreement by particular Sublicensee</w:t>
      </w:r>
    </w:p>
    <w:p>
      <w:pPr>
        <w:ind w:left="780" w:hanging="124"/>
        <w:spacing w:after="0"/>
        <w:tabs>
          <w:tab w:leader="none" w:pos="78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 on fraction &gt;= [***] CHF for particular sublicense agreement by particular Sublicensee</w:t>
      </w:r>
    </w:p>
    <w:p>
      <w:pPr>
        <w:spacing w:after="0" w:line="216" w:lineRule="exact"/>
        <w:rPr>
          <w:sz w:val="20"/>
          <w:szCs w:val="20"/>
          <w:color w:val="auto"/>
        </w:rPr>
      </w:pPr>
    </w:p>
    <w:p>
      <w:pPr>
        <w:ind w:left="660"/>
        <w:spacing w:after="0" w:line="241" w:lineRule="auto"/>
        <w:rPr>
          <w:sz w:val="20"/>
          <w:szCs w:val="20"/>
          <w:color w:val="auto"/>
        </w:rPr>
      </w:pPr>
      <w:r>
        <w:rPr>
          <w:rFonts w:ascii="Arial" w:cs="Arial" w:eastAsia="Arial" w:hAnsi="Arial"/>
          <w:sz w:val="20"/>
          <w:szCs w:val="20"/>
          <w:color w:val="auto"/>
        </w:rPr>
        <w:t>Net Sublicense Fees shall be total sublicense fees received by LICENSEE under a particular sublicense agreement less the sum of the following out of pocket costs actually paid to third parties and directly related to such sublicense agreements as evidenced by respective invoices. i) costs of consultants negotiating the respective sublicense agreement on behalf of LICENSEE and ii) costs of legal counseling.</w:t>
      </w:r>
    </w:p>
    <w:p>
      <w:pPr>
        <w:spacing w:after="0" w:line="183" w:lineRule="exact"/>
        <w:rPr>
          <w:sz w:val="20"/>
          <w:szCs w:val="20"/>
          <w:color w:val="auto"/>
        </w:rPr>
      </w:pPr>
    </w:p>
    <w:p>
      <w:pPr>
        <w:ind w:left="660" w:right="200"/>
        <w:spacing w:after="0" w:line="243" w:lineRule="auto"/>
        <w:rPr>
          <w:sz w:val="20"/>
          <w:szCs w:val="20"/>
          <w:color w:val="auto"/>
        </w:rPr>
      </w:pPr>
      <w:r>
        <w:rPr>
          <w:rFonts w:ascii="Arial" w:cs="Arial" w:eastAsia="Arial" w:hAnsi="Arial"/>
          <w:sz w:val="20"/>
          <w:szCs w:val="20"/>
          <w:color w:val="auto"/>
        </w:rPr>
        <w:t>It is understood that payments from Sublicensees to LICENSEE dedicated for direct use for the financing of future research or product development under a joint research or development agreement shall not be considered sublicense fees and no compensation for UNIVERSITY shall be due on such payments.</w:t>
      </w:r>
    </w:p>
    <w:p>
      <w:pPr>
        <w:spacing w:after="0" w:line="165" w:lineRule="exact"/>
        <w:rPr>
          <w:sz w:val="20"/>
          <w:szCs w:val="20"/>
          <w:color w:val="auto"/>
        </w:rPr>
      </w:pPr>
    </w:p>
    <w:p>
      <w:pPr>
        <w:ind w:left="380" w:hanging="372"/>
        <w:spacing w:after="0"/>
        <w:tabs>
          <w:tab w:leader="none" w:pos="380" w:val="left"/>
        </w:tabs>
        <w:numPr>
          <w:ilvl w:val="0"/>
          <w:numId w:val="365"/>
        </w:numPr>
        <w:rPr>
          <w:rFonts w:ascii="Arial" w:cs="Arial" w:eastAsia="Arial" w:hAnsi="Arial"/>
          <w:sz w:val="20"/>
          <w:szCs w:val="20"/>
          <w:color w:val="auto"/>
        </w:rPr>
      </w:pPr>
      <w:r>
        <w:rPr>
          <w:rFonts w:ascii="Arial" w:cs="Arial" w:eastAsia="Arial" w:hAnsi="Arial"/>
          <w:sz w:val="20"/>
          <w:szCs w:val="20"/>
          <w:color w:val="auto"/>
        </w:rPr>
        <w:t>All terms and conditions of the License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Amendment 6</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31 of 35</w:t>
      </w:r>
    </w:p>
    <w:p>
      <w:pPr>
        <w:sectPr>
          <w:pgSz w:w="11900" w:h="16838" w:orient="portrait"/>
          <w:cols w:equalWidth="0" w:num="1">
            <w:col w:w="11220"/>
          </w:cols>
          <w:pgMar w:left="320" w:top="118" w:right="359" w:bottom="1440" w:gutter="0" w:footer="0" w:header="0"/>
        </w:sectPr>
      </w:pPr>
    </w:p>
    <w:bookmarkStart w:id="384" w:name="page385"/>
    <w:bookmarkEnd w:id="384"/>
    <w:p>
      <w:pPr>
        <w:ind w:left="652" w:hanging="652"/>
        <w:spacing w:after="0" w:line="246" w:lineRule="auto"/>
        <w:tabs>
          <w:tab w:leader="none" w:pos="385" w:val="left"/>
        </w:tabs>
        <w:numPr>
          <w:ilvl w:val="0"/>
          <w:numId w:val="366"/>
        </w:numPr>
        <w:rPr>
          <w:rFonts w:ascii="Arial" w:cs="Arial" w:eastAsia="Arial" w:hAnsi="Arial"/>
          <w:sz w:val="20"/>
          <w:szCs w:val="20"/>
          <w:color w:val="auto"/>
        </w:rPr>
      </w:pPr>
      <w:r>
        <w:rPr>
          <w:rFonts w:ascii="Arial" w:cs="Arial" w:eastAsia="Arial" w:hAnsi="Arial"/>
          <w:sz w:val="20"/>
          <w:szCs w:val="20"/>
          <w:color w:val="auto"/>
        </w:rPr>
        <w:t>This Amendment shall be effective as of June 15, 2012. It is agreed that out of pocket costs accrued before the effective date of this Amendment shall not be deductible from sublicense fees.</w:t>
      </w:r>
    </w:p>
    <w:p>
      <w:pPr>
        <w:spacing w:after="0" w:line="163" w:lineRule="exact"/>
        <w:rPr>
          <w:sz w:val="20"/>
          <w:szCs w:val="20"/>
          <w:color w:val="auto"/>
        </w:rPr>
      </w:pPr>
    </w:p>
    <w:p>
      <w:pPr>
        <w:jc w:val="center"/>
        <w:ind w:right="-371"/>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52"/>
        <w:spacing w:after="0"/>
        <w:rPr>
          <w:sz w:val="20"/>
          <w:szCs w:val="20"/>
          <w:color w:val="auto"/>
        </w:rPr>
      </w:pPr>
      <w:r>
        <w:rPr>
          <w:rFonts w:ascii="Arial" w:cs="Arial" w:eastAsia="Arial" w:hAnsi="Arial"/>
          <w:sz w:val="18"/>
          <w:szCs w:val="18"/>
          <w:color w:val="auto"/>
        </w:rPr>
        <w:t>Amendment 6</w:t>
      </w:r>
    </w:p>
    <w:p>
      <w:pPr>
        <w:spacing w:after="0" w:line="9" w:lineRule="exact"/>
        <w:rPr>
          <w:sz w:val="20"/>
          <w:szCs w:val="20"/>
          <w:color w:val="auto"/>
        </w:rPr>
      </w:pPr>
    </w:p>
    <w:p>
      <w:pPr>
        <w:ind w:left="5052"/>
        <w:spacing w:after="0"/>
        <w:rPr>
          <w:sz w:val="20"/>
          <w:szCs w:val="20"/>
          <w:color w:val="auto"/>
        </w:rPr>
      </w:pPr>
      <w:r>
        <w:rPr>
          <w:rFonts w:ascii="Arial" w:cs="Arial" w:eastAsia="Arial" w:hAnsi="Arial"/>
          <w:sz w:val="18"/>
          <w:szCs w:val="18"/>
          <w:color w:val="auto"/>
        </w:rPr>
        <w:t>Page 32 of 35</w:t>
      </w:r>
    </w:p>
    <w:p>
      <w:pPr>
        <w:sectPr>
          <w:pgSz w:w="11900" w:h="16838" w:orient="portrait"/>
          <w:cols w:equalWidth="0" w:num="1">
            <w:col w:w="10872"/>
          </w:cols>
          <w:pgMar w:left="328" w:top="1432" w:right="699" w:bottom="1440" w:gutter="0" w:footer="0" w:header="0"/>
        </w:sectPr>
      </w:pPr>
    </w:p>
    <w:bookmarkStart w:id="385" w:name="page386"/>
    <w:bookmarkEnd w:id="385"/>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LICENSEE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53"/>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vMerge w:val="continue"/>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(Printed Name and Title/Position)</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40"/>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For UNIVERSITY</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Prof. Dr. Daniel Wyler</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200" w:type="dxa"/>
            <w:vAlign w:val="bottom"/>
            <w:gridSpan w:val="2"/>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Stefan Schnyder</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5200" w:type="dxa"/>
            <w:vAlign w:val="bottom"/>
            <w:gridSpan w:val="2"/>
          </w:tcPr>
          <w:p>
            <w:pPr>
              <w:ind w:left="20"/>
              <w:spacing w:after="0"/>
              <w:rPr>
                <w:sz w:val="20"/>
                <w:szCs w:val="20"/>
                <w:color w:val="auto"/>
              </w:rPr>
            </w:pPr>
            <w:r>
              <w:rPr>
                <w:rFonts w:ascii="Arial" w:cs="Arial" w:eastAsia="Arial" w:hAnsi="Arial"/>
                <w:sz w:val="18"/>
                <w:szCs w:val="18"/>
                <w:color w:val="auto"/>
              </w:rPr>
              <w:t>Director Finance, HR &amp; Infrastructure</w:t>
            </w:r>
          </w:p>
        </w:tc>
        <w:tc>
          <w:tcPr>
            <w:tcW w:w="5140" w:type="dxa"/>
            <w:vAlign w:val="bottom"/>
          </w:tcPr>
          <w:p>
            <w:pPr>
              <w:ind w:left="2100"/>
              <w:spacing w:after="0"/>
              <w:rPr>
                <w:sz w:val="20"/>
                <w:szCs w:val="20"/>
                <w:color w:val="auto"/>
              </w:rPr>
            </w:pPr>
            <w:r>
              <w:rPr>
                <w:rFonts w:ascii="Arial" w:cs="Arial" w:eastAsia="Arial" w:hAnsi="Arial"/>
                <w:sz w:val="18"/>
                <w:szCs w:val="18"/>
                <w:b w:val="1"/>
                <w:bCs w:val="1"/>
                <w:i w:val="1"/>
                <w:iCs w:val="1"/>
                <w:color w:val="auto"/>
              </w:rPr>
              <w:t>(Signature)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Amendment 6</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33 of 35</w:t>
      </w:r>
    </w:p>
    <w:p>
      <w:pPr>
        <w:sectPr>
          <w:pgSz w:w="11900" w:h="16838" w:orient="portrait"/>
          <w:cols w:equalWidth="0" w:num="1">
            <w:col w:w="11080"/>
          </w:cols>
          <w:pgMar w:left="460" w:top="1440" w:right="359" w:bottom="1440" w:gutter="0" w:footer="0" w:header="0"/>
        </w:sectPr>
      </w:pPr>
    </w:p>
    <w:bookmarkStart w:id="386" w:name="page387"/>
    <w:bookmarkEnd w:id="386"/>
    <w:p>
      <w:pPr>
        <w:ind w:right="120" w:firstLine="8"/>
        <w:spacing w:after="0" w:line="317" w:lineRule="auto"/>
        <w:tabs>
          <w:tab w:leader="none" w:pos="380"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Amendment No. 7</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to the License Agreement dated November 17, 2004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between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The University of Zurich</w:t>
      </w:r>
      <w:r>
        <w:rPr>
          <w:rFonts w:ascii="Arial" w:cs="Arial" w:eastAsia="Arial" w:hAnsi="Arial"/>
          <w:sz w:val="20"/>
          <w:szCs w:val="20"/>
          <w:color w:val="auto"/>
        </w:rPr>
        <w:t>, having a business address at Rämistrasse 71, 8006 Zürich, Switzerland (hereinafter referred to as</w:t>
      </w:r>
      <w:r>
        <w:rPr>
          <w:rFonts w:ascii="Arial" w:cs="Arial" w:eastAsia="Arial" w:hAnsi="Arial"/>
          <w:sz w:val="20"/>
          <w:szCs w:val="20"/>
          <w:b w:val="1"/>
          <w:bCs w:val="1"/>
          <w:color w:val="auto"/>
        </w:rPr>
        <w:t xml:space="preserve"> University</w:t>
      </w:r>
      <w:r>
        <w:rPr>
          <w:rFonts w:ascii="Arial" w:cs="Arial" w:eastAsia="Arial" w:hAnsi="Arial"/>
          <w:sz w:val="20"/>
          <w:szCs w:val="20"/>
          <w:color w:val="auto"/>
        </w:rPr>
        <w:t>) on the one part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Molecular Partners AG</w:t>
      </w:r>
      <w:r>
        <w:rPr>
          <w:rFonts w:ascii="Arial" w:cs="Arial" w:eastAsia="Arial" w:hAnsi="Arial"/>
          <w:sz w:val="20"/>
          <w:szCs w:val="20"/>
          <w:color w:val="auto"/>
        </w:rPr>
        <w:t>, having a business address at Wagistrasse 14, 8952 Schlieren, Switzerland (hereinafter referred to as</w:t>
      </w:r>
      <w:r>
        <w:rPr>
          <w:rFonts w:ascii="Arial" w:cs="Arial" w:eastAsia="Arial" w:hAnsi="Arial"/>
          <w:sz w:val="20"/>
          <w:szCs w:val="20"/>
          <w:b w:val="1"/>
          <w:bCs w:val="1"/>
          <w:color w:val="auto"/>
        </w:rPr>
        <w:t xml:space="preserve"> Licensee</w:t>
      </w:r>
      <w:r>
        <w:rPr>
          <w:rFonts w:ascii="Arial" w:cs="Arial" w:eastAsia="Arial" w:hAnsi="Arial"/>
          <w:sz w:val="20"/>
          <w:szCs w:val="20"/>
          <w:color w:val="auto"/>
        </w:rPr>
        <w:t>) on the other part.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(University and Licensee hereinafter individually referred to as </w:t>
      </w:r>
      <w:r>
        <w:rPr>
          <w:rFonts w:ascii="Arial" w:cs="Arial" w:eastAsia="Arial" w:hAnsi="Arial"/>
          <w:sz w:val="20"/>
          <w:szCs w:val="20"/>
          <w:b w:val="1"/>
          <w:bCs w:val="1"/>
          <w:color w:val="auto"/>
        </w:rPr>
        <w:t>Party</w:t>
      </w:r>
      <w:r>
        <w:rPr>
          <w:rFonts w:ascii="Arial" w:cs="Arial" w:eastAsia="Arial" w:hAnsi="Arial"/>
          <w:sz w:val="20"/>
          <w:szCs w:val="20"/>
          <w:color w:val="auto"/>
        </w:rPr>
        <w:t xml:space="preserve"> collectively as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200" w:lineRule="exact"/>
        <w:rPr>
          <w:sz w:val="20"/>
          <w:szCs w:val="20"/>
          <w:color w:val="auto"/>
        </w:rPr>
      </w:pPr>
    </w:p>
    <w:p>
      <w:pPr>
        <w:spacing w:after="0" w:line="364"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 xml:space="preserve">WHEREAS, University and Licensee concluded on November 17, 2004 a License Agreement, as amended by an Amendment No. 1 dated November 15, 2005 (the </w:t>
      </w:r>
      <w:r>
        <w:rPr>
          <w:rFonts w:ascii="Arial" w:cs="Arial" w:eastAsia="Arial" w:hAnsi="Arial"/>
          <w:sz w:val="20"/>
          <w:szCs w:val="20"/>
          <w:b w:val="1"/>
          <w:bCs w:val="1"/>
          <w:color w:val="auto"/>
        </w:rPr>
        <w:t>Amendment 1</w:t>
      </w:r>
      <w:r>
        <w:rPr>
          <w:rFonts w:ascii="Arial" w:cs="Arial" w:eastAsia="Arial" w:hAnsi="Arial"/>
          <w:sz w:val="20"/>
          <w:szCs w:val="20"/>
          <w:color w:val="auto"/>
        </w:rPr>
        <w:t xml:space="preserve">), by an Amendment No. 2 dated November 15, 2005 (the </w:t>
      </w:r>
      <w:r>
        <w:rPr>
          <w:rFonts w:ascii="Arial" w:cs="Arial" w:eastAsia="Arial" w:hAnsi="Arial"/>
          <w:sz w:val="20"/>
          <w:szCs w:val="20"/>
          <w:b w:val="1"/>
          <w:bCs w:val="1"/>
          <w:color w:val="auto"/>
        </w:rPr>
        <w:t>Amendment 2</w:t>
      </w:r>
      <w:r>
        <w:rPr>
          <w:rFonts w:ascii="Arial" w:cs="Arial" w:eastAsia="Arial" w:hAnsi="Arial"/>
          <w:sz w:val="20"/>
          <w:szCs w:val="20"/>
          <w:color w:val="auto"/>
        </w:rPr>
        <w:t xml:space="preserve">), by an Amendment No. 3 dated November 15, 2005 (the </w:t>
      </w:r>
      <w:r>
        <w:rPr>
          <w:rFonts w:ascii="Arial" w:cs="Arial" w:eastAsia="Arial" w:hAnsi="Arial"/>
          <w:sz w:val="20"/>
          <w:szCs w:val="20"/>
          <w:b w:val="1"/>
          <w:bCs w:val="1"/>
          <w:color w:val="auto"/>
        </w:rPr>
        <w:t>Amendment 3</w:t>
      </w:r>
      <w:r>
        <w:rPr>
          <w:rFonts w:ascii="Arial" w:cs="Arial" w:eastAsia="Arial" w:hAnsi="Arial"/>
          <w:sz w:val="20"/>
          <w:szCs w:val="20"/>
          <w:color w:val="auto"/>
        </w:rPr>
        <w:t>), by an Amendment No. 4 dated May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2007 (the </w:t>
      </w:r>
      <w:r>
        <w:rPr>
          <w:rFonts w:ascii="Arial" w:cs="Arial" w:eastAsia="Arial" w:hAnsi="Arial"/>
          <w:sz w:val="20"/>
          <w:szCs w:val="20"/>
          <w:b w:val="1"/>
          <w:bCs w:val="1"/>
          <w:color w:val="auto"/>
        </w:rPr>
        <w:t>Amendment 4</w:t>
      </w:r>
      <w:r>
        <w:rPr>
          <w:rFonts w:ascii="Arial" w:cs="Arial" w:eastAsia="Arial" w:hAnsi="Arial"/>
          <w:sz w:val="20"/>
          <w:szCs w:val="20"/>
          <w:color w:val="auto"/>
        </w:rPr>
        <w:t>), by an Amendment No. 5 dated October 3, 2007 (the</w:t>
      </w:r>
      <w:r>
        <w:rPr>
          <w:rFonts w:ascii="Arial" w:cs="Arial" w:eastAsia="Arial" w:hAnsi="Arial"/>
          <w:sz w:val="20"/>
          <w:szCs w:val="20"/>
          <w:b w:val="1"/>
          <w:bCs w:val="1"/>
          <w:color w:val="auto"/>
        </w:rPr>
        <w:t xml:space="preserve"> Amendment 5</w:t>
      </w:r>
      <w:r>
        <w:rPr>
          <w:rFonts w:ascii="Arial" w:cs="Arial" w:eastAsia="Arial" w:hAnsi="Arial"/>
          <w:sz w:val="20"/>
          <w:szCs w:val="20"/>
          <w:color w:val="auto"/>
        </w:rPr>
        <w:t>) and by an Amendment No. 6 dated June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15, 2012 (the </w:t>
      </w:r>
      <w:r>
        <w:rPr>
          <w:rFonts w:ascii="Arial" w:cs="Arial" w:eastAsia="Arial" w:hAnsi="Arial"/>
          <w:sz w:val="20"/>
          <w:szCs w:val="20"/>
          <w:b w:val="1"/>
          <w:bCs w:val="1"/>
          <w:color w:val="auto"/>
        </w:rPr>
        <w:t>Amendment 6</w:t>
      </w:r>
      <w:r>
        <w:rPr>
          <w:rFonts w:ascii="Arial" w:cs="Arial" w:eastAsia="Arial" w:hAnsi="Arial"/>
          <w:sz w:val="20"/>
          <w:szCs w:val="20"/>
          <w:color w:val="auto"/>
        </w:rPr>
        <w:t xml:space="preserve">) (together,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 xml:space="preserve">WHEREAS by means of the present amendment (the </w:t>
      </w:r>
      <w:r>
        <w:rPr>
          <w:rFonts w:ascii="Arial" w:cs="Arial" w:eastAsia="Arial" w:hAnsi="Arial"/>
          <w:sz w:val="20"/>
          <w:szCs w:val="20"/>
          <w:b w:val="1"/>
          <w:bCs w:val="1"/>
          <w:color w:val="auto"/>
        </w:rPr>
        <w:t>Amendment 7</w:t>
      </w:r>
      <w:r>
        <w:rPr>
          <w:rFonts w:ascii="Arial" w:cs="Arial" w:eastAsia="Arial" w:hAnsi="Arial"/>
          <w:sz w:val="20"/>
          <w:szCs w:val="20"/>
          <w:color w:val="auto"/>
        </w:rPr>
        <w:t>), the Parties intend to remove from the list of Patent Rights under the Agreement (i) [***] and (ii) [***]; and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WHEREAS, unless otherwise specified, capitalized terms shall have the meaning as set forth in the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Parties agree as follows:</w:t>
      </w:r>
    </w:p>
    <w:p>
      <w:pPr>
        <w:spacing w:after="0" w:line="215" w:lineRule="exact"/>
        <w:rPr>
          <w:sz w:val="20"/>
          <w:szCs w:val="20"/>
          <w:color w:val="auto"/>
        </w:rPr>
      </w:pPr>
    </w:p>
    <w:p>
      <w:pPr>
        <w:ind w:left="660" w:hanging="331"/>
        <w:spacing w:after="0"/>
        <w:tabs>
          <w:tab w:leader="none" w:pos="66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The following Patent Rights shall be removed from the list of Patent Rights (Annex A) under the Agreement: (i) [***] and</w:t>
      </w:r>
    </w:p>
    <w:p>
      <w:pPr>
        <w:ind w:left="920" w:hanging="269"/>
        <w:spacing w:after="0"/>
        <w:tabs>
          <w:tab w:leader="none" w:pos="920" w:val="left"/>
        </w:tabs>
        <w:numPr>
          <w:ilvl w:val="1"/>
          <w:numId w:val="368"/>
        </w:numPr>
        <w:rPr>
          <w:rFonts w:ascii="Arial" w:cs="Arial" w:eastAsia="Arial" w:hAnsi="Arial"/>
          <w:sz w:val="20"/>
          <w:szCs w:val="20"/>
          <w:color w:val="auto"/>
        </w:rPr>
      </w:pPr>
      <w:r>
        <w:rPr>
          <w:rFonts w:ascii="Arial" w:cs="Arial" w:eastAsia="Arial" w:hAnsi="Arial"/>
          <w:sz w:val="20"/>
          <w:szCs w:val="20"/>
          <w:color w:val="auto"/>
        </w:rPr>
        <w:t>[***]. Therefore, Annex A of the Agreement shall be amended and replaced as follows:</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20"/>
          <w:szCs w:val="20"/>
          <w:u w:val="single" w:color="auto"/>
          <w:color w:val="auto"/>
        </w:rPr>
        <w:t>List of Patent Rights</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hanging="331"/>
        <w:spacing w:after="0" w:line="243" w:lineRule="auto"/>
        <w:tabs>
          <w:tab w:leader="none" w:pos="666" w:val="left"/>
        </w:tabs>
        <w:numPr>
          <w:ilvl w:val="0"/>
          <w:numId w:val="369"/>
        </w:numPr>
        <w:rPr>
          <w:rFonts w:ascii="Arial" w:cs="Arial" w:eastAsia="Arial" w:hAnsi="Arial"/>
          <w:sz w:val="20"/>
          <w:szCs w:val="20"/>
          <w:color w:val="auto"/>
        </w:rPr>
      </w:pPr>
      <w:r>
        <w:rPr>
          <w:rFonts w:ascii="Arial" w:cs="Arial" w:eastAsia="Arial" w:hAnsi="Arial"/>
          <w:sz w:val="20"/>
          <w:szCs w:val="20"/>
          <w:color w:val="auto"/>
        </w:rPr>
        <w:t>Amendment 1 and Amendment 5 of the Agreement shall be cancelled herewith. The Patent Rights licensed by University to Licensee under Amendment 1 [***] will continue to be licensed to Licensee under a separate license agreement to be entered into by the Parties concurrently herewith.</w:t>
      </w:r>
    </w:p>
    <w:p>
      <w:pPr>
        <w:spacing w:after="0" w:line="205" w:lineRule="exact"/>
        <w:rPr>
          <w:rFonts w:ascii="Arial" w:cs="Arial" w:eastAsia="Arial" w:hAnsi="Arial"/>
          <w:sz w:val="20"/>
          <w:szCs w:val="20"/>
          <w:color w:val="auto"/>
        </w:rPr>
      </w:pPr>
    </w:p>
    <w:p>
      <w:pPr>
        <w:jc w:val="both"/>
        <w:ind w:left="660" w:hanging="331"/>
        <w:spacing w:after="0" w:line="243" w:lineRule="auto"/>
        <w:tabs>
          <w:tab w:leader="none" w:pos="666" w:val="left"/>
        </w:tabs>
        <w:numPr>
          <w:ilvl w:val="0"/>
          <w:numId w:val="369"/>
        </w:numPr>
        <w:rPr>
          <w:rFonts w:ascii="Arial" w:cs="Arial" w:eastAsia="Arial" w:hAnsi="Arial"/>
          <w:sz w:val="20"/>
          <w:szCs w:val="20"/>
          <w:color w:val="auto"/>
        </w:rPr>
      </w:pPr>
      <w:r>
        <w:rPr>
          <w:rFonts w:ascii="Arial" w:cs="Arial" w:eastAsia="Arial" w:hAnsi="Arial"/>
          <w:sz w:val="20"/>
          <w:szCs w:val="20"/>
          <w:color w:val="auto"/>
        </w:rPr>
        <w:t>As a prerequisite for University to enter into this Amendment 7 Licensee represents and warrants that the Patent Rights licensed by University to Licensee under Amendment 1 [***] have not been used to develop or produce products of Licensee which are in preclinical or clinical development, particularly not for Licensee's products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Amendment 7</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34 of 35</w:t>
      </w:r>
    </w:p>
    <w:p>
      <w:pPr>
        <w:sectPr>
          <w:pgSz w:w="11900" w:h="16838" w:orient="portrait"/>
          <w:cols w:equalWidth="0" w:num="1">
            <w:col w:w="11240"/>
          </w:cols>
          <w:pgMar w:left="320" w:top="118" w:right="339" w:bottom="1440" w:gutter="0" w:footer="0" w:header="0"/>
        </w:sectPr>
      </w:pPr>
    </w:p>
    <w:bookmarkStart w:id="387" w:name="page388"/>
    <w:bookmarkEnd w:id="387"/>
    <w:p>
      <w:pPr>
        <w:ind w:right="120" w:firstLine="8"/>
        <w:spacing w:after="0" w:line="317" w:lineRule="auto"/>
        <w:tabs>
          <w:tab w:leader="none" w:pos="380" w:val="left"/>
        </w:tabs>
        <w:numPr>
          <w:ilvl w:val="0"/>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 CERTAIN CONFIDENTIAL INFORMATION CONTAINED IN THIS DOCUMENT, MARKED BY [***], HAS BEEN OMITTED BECAUSE IT IS BOTH (I) NOT MATERIAL AND (II) IS THE TYPE THAT THE REGISTRANT TREATS AS PRIVATE OR CONFIDENTIAL.</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389" w:lineRule="exact"/>
        <w:rPr>
          <w:rFonts w:ascii="Arial" w:cs="Arial" w:eastAsia="Arial" w:hAnsi="Arial"/>
          <w:sz w:val="17"/>
          <w:szCs w:val="17"/>
          <w:b w:val="1"/>
          <w:bCs w:val="1"/>
          <w:color w:val="auto"/>
        </w:rPr>
      </w:pPr>
    </w:p>
    <w:p>
      <w:pPr>
        <w:ind w:left="660" w:hanging="331"/>
        <w:spacing w:after="0"/>
        <w:tabs>
          <w:tab w:leader="none" w:pos="660" w:val="left"/>
        </w:tabs>
        <w:numPr>
          <w:ilvl w:val="1"/>
          <w:numId w:val="370"/>
        </w:numPr>
        <w:rPr>
          <w:rFonts w:ascii="Arial" w:cs="Arial" w:eastAsia="Arial" w:hAnsi="Arial"/>
          <w:sz w:val="20"/>
          <w:szCs w:val="20"/>
          <w:color w:val="auto"/>
        </w:rPr>
      </w:pPr>
      <w:r>
        <w:rPr>
          <w:rFonts w:ascii="Arial" w:cs="Arial" w:eastAsia="Arial" w:hAnsi="Arial"/>
          <w:sz w:val="20"/>
          <w:szCs w:val="20"/>
          <w:color w:val="auto"/>
        </w:rPr>
        <w:t xml:space="preserve">The Amendment 7 shall enter into force on November 15, 2019 (the </w:t>
      </w:r>
      <w:r>
        <w:rPr>
          <w:rFonts w:ascii="Arial" w:cs="Arial" w:eastAsia="Arial" w:hAnsi="Arial"/>
          <w:sz w:val="20"/>
          <w:szCs w:val="20"/>
          <w:b w:val="1"/>
          <w:bCs w:val="1"/>
          <w:color w:val="auto"/>
        </w:rPr>
        <w:t>Amendment 7 Effective Date</w:t>
      </w:r>
      <w:r>
        <w:rPr>
          <w:rFonts w:ascii="Arial" w:cs="Arial" w:eastAsia="Arial" w:hAnsi="Arial"/>
          <w:sz w:val="20"/>
          <w:szCs w:val="20"/>
          <w:color w:val="auto"/>
        </w:rPr>
        <w:t>).</w:t>
      </w:r>
    </w:p>
    <w:p>
      <w:pPr>
        <w:spacing w:after="0" w:line="239" w:lineRule="exact"/>
        <w:rPr>
          <w:rFonts w:ascii="Arial" w:cs="Arial" w:eastAsia="Arial" w:hAnsi="Arial"/>
          <w:sz w:val="20"/>
          <w:szCs w:val="20"/>
          <w:color w:val="auto"/>
        </w:rPr>
      </w:pPr>
    </w:p>
    <w:p>
      <w:pPr>
        <w:ind w:left="660" w:hanging="331"/>
        <w:spacing w:after="0"/>
        <w:tabs>
          <w:tab w:leader="none" w:pos="660" w:val="left"/>
        </w:tabs>
        <w:numPr>
          <w:ilvl w:val="1"/>
          <w:numId w:val="370"/>
        </w:numPr>
        <w:rPr>
          <w:rFonts w:ascii="Arial" w:cs="Arial" w:eastAsia="Arial" w:hAnsi="Arial"/>
          <w:sz w:val="20"/>
          <w:szCs w:val="20"/>
          <w:color w:val="auto"/>
        </w:rPr>
      </w:pPr>
      <w:r>
        <w:rPr>
          <w:rFonts w:ascii="Arial" w:cs="Arial" w:eastAsia="Arial" w:hAnsi="Arial"/>
          <w:sz w:val="20"/>
          <w:szCs w:val="20"/>
          <w:color w:val="auto"/>
        </w:rPr>
        <w:t>Except as expressly amended herein, the Agreement shall remain in full force and effect.</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executed this Amendment by their duly authorised representatives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Effective Date.</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420" w:val="left"/>
        </w:tabs>
        <w:rPr>
          <w:sz w:val="20"/>
          <w:szCs w:val="20"/>
          <w:color w:val="auto"/>
        </w:rPr>
      </w:pPr>
      <w:r>
        <w:rPr>
          <w:rFonts w:ascii="Arial" w:cs="Arial" w:eastAsia="Arial" w:hAnsi="Arial"/>
          <w:sz w:val="20"/>
          <w:szCs w:val="20"/>
          <w:b w:val="1"/>
          <w:bCs w:val="1"/>
          <w:color w:val="auto"/>
        </w:rPr>
        <w:t>Molecular Partners AG</w:t>
      </w:r>
      <w:r>
        <w:rPr>
          <w:sz w:val="20"/>
          <w:szCs w:val="20"/>
          <w:color w:val="auto"/>
        </w:rPr>
        <w:tab/>
      </w:r>
      <w:r>
        <w:rPr>
          <w:rFonts w:ascii="Arial" w:cs="Arial" w:eastAsia="Arial" w:hAnsi="Arial"/>
          <w:sz w:val="19"/>
          <w:szCs w:val="19"/>
          <w:b w:val="1"/>
          <w:bCs w:val="1"/>
          <w:color w:val="auto"/>
        </w:rPr>
        <w:t>The University of Zurich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531495</wp:posOffset>
            </wp:positionV>
            <wp:extent cx="2888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1671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gridSpan w:val="2"/>
          </w:tcPr>
          <w:p>
            <w:pPr>
              <w:ind w:left="20"/>
              <w:spacing w:after="0"/>
              <w:rPr>
                <w:sz w:val="20"/>
                <w:szCs w:val="20"/>
                <w:color w:val="auto"/>
              </w:rPr>
            </w:pPr>
            <w:r>
              <w:rPr>
                <w:rFonts w:ascii="Arial" w:cs="Arial" w:eastAsia="Arial" w:hAnsi="Arial"/>
                <w:sz w:val="20"/>
                <w:szCs w:val="20"/>
                <w:color w:val="auto"/>
              </w:rPr>
              <w:t>Print name:</w:t>
            </w:r>
          </w:p>
        </w:tc>
        <w:tc>
          <w:tcPr>
            <w:tcW w:w="4560" w:type="dxa"/>
            <w:vAlign w:val="bottom"/>
          </w:tcPr>
          <w:p>
            <w:pPr>
              <w:ind w:left="20"/>
              <w:spacing w:after="0"/>
              <w:rPr>
                <w:sz w:val="20"/>
                <w:szCs w:val="20"/>
                <w:color w:val="auto"/>
              </w:rPr>
            </w:pPr>
            <w:r>
              <w:rPr>
                <w:rFonts w:ascii="Arial" w:cs="Arial" w:eastAsia="Arial" w:hAnsi="Arial"/>
                <w:sz w:val="20"/>
                <w:szCs w:val="20"/>
                <w:color w:val="auto"/>
              </w:rPr>
              <w:t>Print name: Prof. Dr. Michael Schaepman</w:t>
            </w:r>
          </w:p>
        </w:tc>
      </w:tr>
      <w:tr>
        <w:trPr>
          <w:trHeight w:val="311"/>
        </w:trPr>
        <w:tc>
          <w:tcPr>
            <w:tcW w:w="5420" w:type="dxa"/>
            <w:vAlign w:val="bottom"/>
            <w:gridSpan w:val="2"/>
          </w:tcPr>
          <w:p>
            <w:pPr>
              <w:ind w:left="20"/>
              <w:spacing w:after="0"/>
              <w:rPr>
                <w:sz w:val="20"/>
                <w:szCs w:val="20"/>
                <w:color w:val="auto"/>
              </w:rPr>
            </w:pPr>
            <w:r>
              <w:rPr>
                <w:rFonts w:ascii="Arial" w:cs="Arial" w:eastAsia="Arial" w:hAnsi="Arial"/>
                <w:sz w:val="20"/>
                <w:szCs w:val="20"/>
                <w:color w:val="auto"/>
              </w:rPr>
              <w:t>Title:</w:t>
            </w:r>
          </w:p>
        </w:tc>
        <w:tc>
          <w:tcPr>
            <w:tcW w:w="4560" w:type="dxa"/>
            <w:vAlign w:val="bottom"/>
          </w:tcPr>
          <w:p>
            <w:pPr>
              <w:ind w:left="20"/>
              <w:spacing w:after="0"/>
              <w:rPr>
                <w:sz w:val="20"/>
                <w:szCs w:val="20"/>
                <w:color w:val="auto"/>
              </w:rPr>
            </w:pPr>
            <w:r>
              <w:rPr>
                <w:rFonts w:ascii="Arial" w:cs="Arial" w:eastAsia="Arial" w:hAnsi="Arial"/>
                <w:sz w:val="20"/>
                <w:szCs w:val="20"/>
                <w:color w:val="auto"/>
              </w:rPr>
              <w:t>Title: Vice President Research</w:t>
            </w:r>
          </w:p>
        </w:tc>
      </w:tr>
      <w:tr>
        <w:trPr>
          <w:trHeight w:val="310"/>
        </w:trPr>
        <w:tc>
          <w:tcPr>
            <w:tcW w:w="5420" w:type="dxa"/>
            <w:vAlign w:val="bottom"/>
            <w:gridSpan w:val="2"/>
          </w:tcPr>
          <w:p>
            <w:pPr>
              <w:ind w:left="20"/>
              <w:spacing w:after="0"/>
              <w:rPr>
                <w:sz w:val="20"/>
                <w:szCs w:val="20"/>
                <w:color w:val="auto"/>
              </w:rPr>
            </w:pPr>
            <w:r>
              <w:rPr>
                <w:rFonts w:ascii="Arial" w:cs="Arial" w:eastAsia="Arial" w:hAnsi="Arial"/>
                <w:sz w:val="20"/>
                <w:szCs w:val="20"/>
                <w:color w:val="auto"/>
              </w:rPr>
              <w:t>Date:</w:t>
            </w:r>
          </w:p>
        </w:tc>
        <w:tc>
          <w:tcPr>
            <w:tcW w:w="4560" w:type="dxa"/>
            <w:vAlign w:val="bottom"/>
          </w:tcPr>
          <w:p>
            <w:pPr>
              <w:ind w:left="20"/>
              <w:spacing w:after="0"/>
              <w:rPr>
                <w:sz w:val="20"/>
                <w:szCs w:val="20"/>
                <w:color w:val="auto"/>
              </w:rPr>
            </w:pPr>
            <w:r>
              <w:rPr>
                <w:rFonts w:ascii="Arial" w:cs="Arial" w:eastAsia="Arial" w:hAnsi="Arial"/>
                <w:sz w:val="20"/>
                <w:szCs w:val="20"/>
                <w:color w:val="auto"/>
              </w:rPr>
              <w:t>Date:</w:t>
            </w:r>
          </w:p>
        </w:tc>
      </w:tr>
      <w:tr>
        <w:trPr>
          <w:trHeight w:val="577"/>
        </w:trPr>
        <w:tc>
          <w:tcPr>
            <w:tcW w:w="2640" w:type="dxa"/>
            <w:vAlign w:val="bottom"/>
            <w:tcBorders>
              <w:bottom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68"/>
        </w:trPr>
        <w:tc>
          <w:tcPr>
            <w:tcW w:w="5420" w:type="dxa"/>
            <w:vAlign w:val="bottom"/>
            <w:gridSpan w:val="2"/>
          </w:tcPr>
          <w:p>
            <w:pPr>
              <w:ind w:left="20"/>
              <w:spacing w:after="0"/>
              <w:rPr>
                <w:sz w:val="20"/>
                <w:szCs w:val="20"/>
                <w:color w:val="auto"/>
              </w:rPr>
            </w:pPr>
            <w:r>
              <w:rPr>
                <w:rFonts w:ascii="Arial" w:cs="Arial" w:eastAsia="Arial" w:hAnsi="Arial"/>
                <w:sz w:val="20"/>
                <w:szCs w:val="20"/>
                <w:color w:val="auto"/>
              </w:rPr>
              <w:t>Print name:</w:t>
            </w:r>
          </w:p>
        </w:tc>
        <w:tc>
          <w:tcPr>
            <w:tcW w:w="4560" w:type="dxa"/>
            <w:vAlign w:val="bottom"/>
          </w:tcPr>
          <w:p>
            <w:pPr>
              <w:ind w:left="20"/>
              <w:spacing w:after="0"/>
              <w:rPr>
                <w:sz w:val="20"/>
                <w:szCs w:val="20"/>
                <w:color w:val="auto"/>
              </w:rPr>
            </w:pPr>
            <w:r>
              <w:rPr>
                <w:rFonts w:ascii="Arial" w:cs="Arial" w:eastAsia="Arial" w:hAnsi="Arial"/>
                <w:sz w:val="20"/>
                <w:szCs w:val="20"/>
                <w:color w:val="auto"/>
              </w:rPr>
              <w:t>Print name: Stefan Schnyder</w:t>
            </w:r>
          </w:p>
        </w:tc>
      </w:tr>
      <w:tr>
        <w:trPr>
          <w:trHeight w:val="310"/>
        </w:trPr>
        <w:tc>
          <w:tcPr>
            <w:tcW w:w="5420" w:type="dxa"/>
            <w:vAlign w:val="bottom"/>
            <w:gridSpan w:val="2"/>
          </w:tcPr>
          <w:p>
            <w:pPr>
              <w:ind w:left="20"/>
              <w:spacing w:after="0"/>
              <w:rPr>
                <w:sz w:val="20"/>
                <w:szCs w:val="20"/>
                <w:color w:val="auto"/>
              </w:rPr>
            </w:pPr>
            <w:r>
              <w:rPr>
                <w:rFonts w:ascii="Arial" w:cs="Arial" w:eastAsia="Arial" w:hAnsi="Arial"/>
                <w:sz w:val="20"/>
                <w:szCs w:val="20"/>
                <w:color w:val="auto"/>
              </w:rPr>
              <w:t>Title:</w:t>
            </w:r>
          </w:p>
        </w:tc>
        <w:tc>
          <w:tcPr>
            <w:tcW w:w="4560" w:type="dxa"/>
            <w:vAlign w:val="bottom"/>
          </w:tcPr>
          <w:p>
            <w:pPr>
              <w:ind w:left="20"/>
              <w:spacing w:after="0"/>
              <w:rPr>
                <w:sz w:val="20"/>
                <w:szCs w:val="20"/>
                <w:color w:val="auto"/>
              </w:rPr>
            </w:pPr>
            <w:r>
              <w:rPr>
                <w:rFonts w:ascii="Arial" w:cs="Arial" w:eastAsia="Arial" w:hAnsi="Arial"/>
                <w:sz w:val="20"/>
                <w:szCs w:val="20"/>
                <w:color w:val="auto"/>
              </w:rPr>
              <w:t>Title: Director Finances &amp; HR</w:t>
            </w:r>
          </w:p>
        </w:tc>
      </w:tr>
      <w:tr>
        <w:trPr>
          <w:trHeight w:val="310"/>
        </w:trPr>
        <w:tc>
          <w:tcPr>
            <w:tcW w:w="5420" w:type="dxa"/>
            <w:vAlign w:val="bottom"/>
            <w:gridSpan w:val="2"/>
          </w:tcPr>
          <w:p>
            <w:pPr>
              <w:ind w:left="20"/>
              <w:spacing w:after="0"/>
              <w:rPr>
                <w:sz w:val="20"/>
                <w:szCs w:val="20"/>
                <w:color w:val="auto"/>
              </w:rPr>
            </w:pPr>
            <w:r>
              <w:rPr>
                <w:rFonts w:ascii="Arial" w:cs="Arial" w:eastAsia="Arial" w:hAnsi="Arial"/>
                <w:sz w:val="20"/>
                <w:szCs w:val="20"/>
                <w:color w:val="auto"/>
              </w:rPr>
              <w:t>Date:</w:t>
            </w:r>
          </w:p>
        </w:tc>
        <w:tc>
          <w:tcPr>
            <w:tcW w:w="4560" w:type="dxa"/>
            <w:vAlign w:val="bottom"/>
          </w:tcPr>
          <w:p>
            <w:pPr>
              <w:ind w:left="20"/>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Amendment 7</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Page 35 of 35</w:t>
      </w:r>
    </w:p>
    <w:p>
      <w:pPr>
        <w:sectPr>
          <w:pgSz w:w="11900" w:h="16838" w:orient="portrait"/>
          <w:cols w:equalWidth="0" w:num="1">
            <w:col w:w="11240"/>
          </w:cols>
          <w:pgMar w:left="320" w:top="118" w:right="3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10.3</w:t>
      </w:r>
    </w:p>
    <w:p>
      <w:pPr>
        <w:spacing w:after="0" w:line="67" w:lineRule="exact"/>
        <w:rPr>
          <w:sz w:val="20"/>
          <w:szCs w:val="20"/>
          <w:color w:val="auto"/>
        </w:rPr>
      </w:pPr>
    </w:p>
    <w:p>
      <w:pPr>
        <w:ind w:right="180" w:firstLine="8"/>
        <w:spacing w:after="0" w:line="277" w:lineRule="auto"/>
        <w:tabs>
          <w:tab w:leader="none" w:pos="31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AND COLLABORATION AGREEMENT</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License and Collaboration Agreement</w:t>
      </w:r>
      <w:r>
        <w:rPr>
          <w:rFonts w:ascii="Arial" w:cs="Arial" w:eastAsia="Arial" w:hAnsi="Arial"/>
          <w:sz w:val="21"/>
          <w:szCs w:val="21"/>
          <w:color w:val="auto"/>
        </w:rPr>
        <w:t xml:space="preserve">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as of May 3, 2011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by and between (a) </w:t>
      </w:r>
      <w:r>
        <w:rPr>
          <w:rFonts w:ascii="Arial" w:cs="Arial" w:eastAsia="Arial" w:hAnsi="Arial"/>
          <w:sz w:val="21"/>
          <w:szCs w:val="21"/>
          <w:b w:val="1"/>
          <w:bCs w:val="1"/>
          <w:color w:val="auto"/>
        </w:rPr>
        <w:t>Molecular Partners AG</w:t>
      </w:r>
      <w:r>
        <w:rPr>
          <w:rFonts w:ascii="Arial" w:cs="Arial" w:eastAsia="Arial" w:hAnsi="Arial"/>
          <w:sz w:val="21"/>
          <w:szCs w:val="21"/>
          <w:color w:val="auto"/>
        </w:rPr>
        <w:t>, a corporation organized and existing under the laws of Switzerland and having its principal place of business at Wagistrasse 14 8952, Zürich-Schlieren, Switzerland (“</w:t>
      </w:r>
      <w:r>
        <w:rPr>
          <w:rFonts w:ascii="Arial" w:cs="Arial" w:eastAsia="Arial" w:hAnsi="Arial"/>
          <w:sz w:val="21"/>
          <w:szCs w:val="21"/>
          <w:b w:val="1"/>
          <w:bCs w:val="1"/>
          <w:color w:val="auto"/>
        </w:rPr>
        <w:t>Molecular Partners</w:t>
      </w:r>
      <w:r>
        <w:rPr>
          <w:rFonts w:ascii="Arial" w:cs="Arial" w:eastAsia="Arial" w:hAnsi="Arial"/>
          <w:sz w:val="21"/>
          <w:szCs w:val="21"/>
          <w:color w:val="auto"/>
        </w:rPr>
        <w:t xml:space="preserve">”) and (b) </w:t>
      </w:r>
      <w:r>
        <w:rPr>
          <w:rFonts w:ascii="Arial" w:cs="Arial" w:eastAsia="Arial" w:hAnsi="Arial"/>
          <w:sz w:val="21"/>
          <w:szCs w:val="21"/>
          <w:b w:val="1"/>
          <w:bCs w:val="1"/>
          <w:color w:val="auto"/>
        </w:rPr>
        <w:t>Allergan,</w:t>
      </w:r>
      <w:r>
        <w:rPr>
          <w:rFonts w:ascii="Arial" w:cs="Arial" w:eastAsia="Arial" w:hAnsi="Arial"/>
          <w:sz w:val="21"/>
          <w:szCs w:val="21"/>
          <w:color w:val="auto"/>
        </w:rPr>
        <w:t xml:space="preserve"> </w:t>
      </w:r>
      <w:r>
        <w:rPr>
          <w:rFonts w:ascii="Arial" w:cs="Arial" w:eastAsia="Arial" w:hAnsi="Arial"/>
          <w:sz w:val="21"/>
          <w:szCs w:val="21"/>
          <w:b w:val="1"/>
          <w:bCs w:val="1"/>
          <w:color w:val="auto"/>
        </w:rPr>
        <w:t>Inc.</w:t>
      </w:r>
      <w:r>
        <w:rPr>
          <w:rFonts w:ascii="Arial" w:cs="Arial" w:eastAsia="Arial" w:hAnsi="Arial"/>
          <w:sz w:val="21"/>
          <w:szCs w:val="21"/>
          <w:color w:val="auto"/>
        </w:rPr>
        <w:t>, a Delaware corporation having a place of business at 2525 Dupont Drive, Irvine, California 92612 USA, and</w:t>
      </w:r>
      <w:r>
        <w:rPr>
          <w:rFonts w:ascii="Arial" w:cs="Arial" w:eastAsia="Arial" w:hAnsi="Arial"/>
          <w:sz w:val="21"/>
          <w:szCs w:val="21"/>
          <w:b w:val="1"/>
          <w:bCs w:val="1"/>
          <w:color w:val="auto"/>
        </w:rPr>
        <w:t xml:space="preserve"> Allergan Sales, LLC</w:t>
      </w:r>
      <w:r>
        <w:rPr>
          <w:rFonts w:ascii="Arial" w:cs="Arial" w:eastAsia="Arial" w:hAnsi="Arial"/>
          <w:sz w:val="21"/>
          <w:szCs w:val="21"/>
          <w:color w:val="auto"/>
        </w:rPr>
        <w:t>, a Delaware Limited Liability Company having a place of business at 2525 Dupont Drive, Irvine, California 92612</w:t>
      </w:r>
      <w:r>
        <w:rPr>
          <w:rFonts w:ascii="Arial" w:cs="Arial" w:eastAsia="Arial" w:hAnsi="Arial"/>
          <w:sz w:val="21"/>
          <w:szCs w:val="21"/>
          <w:b w:val="1"/>
          <w:bCs w:val="1"/>
          <w:color w:val="auto"/>
        </w:rPr>
        <w:t xml:space="preserve"> </w:t>
      </w:r>
      <w:r>
        <w:rPr>
          <w:rFonts w:ascii="Arial" w:cs="Arial" w:eastAsia="Arial" w:hAnsi="Arial"/>
          <w:sz w:val="21"/>
          <w:szCs w:val="21"/>
          <w:color w:val="auto"/>
        </w:rPr>
        <w:t>USA (Allergan, Inc. and Allergan Sales, LLC, together “</w:t>
      </w:r>
      <w:r>
        <w:rPr>
          <w:rFonts w:ascii="Arial" w:cs="Arial" w:eastAsia="Arial" w:hAnsi="Arial"/>
          <w:sz w:val="21"/>
          <w:szCs w:val="21"/>
          <w:b w:val="1"/>
          <w:bCs w:val="1"/>
          <w:color w:val="auto"/>
        </w:rPr>
        <w:t>Allergan</w:t>
      </w:r>
      <w:r>
        <w:rPr>
          <w:rFonts w:ascii="Arial" w:cs="Arial" w:eastAsia="Arial" w:hAnsi="Arial"/>
          <w:sz w:val="21"/>
          <w:szCs w:val="21"/>
          <w:color w:val="auto"/>
        </w:rPr>
        <w:t>”). Molecular Partners and Allergan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Molecular Partners is developing its proprietary product designated as MP0112 and other DARPin</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Compounds (each, as defined below);</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Allergan possesses resources and expertise in the development and commercialization of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in the field of ophthalmology; and</w:t>
      </w:r>
    </w:p>
    <w:p>
      <w:pPr>
        <w:spacing w:after="0" w:line="162"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Allergan desires to obtain a license under Molecular Partners’ proprietary technology and intellectual</w:t>
      </w:r>
      <w:r>
        <w:rPr>
          <w:rFonts w:ascii="Arial" w:cs="Arial" w:eastAsia="Arial" w:hAnsi="Arial"/>
          <w:sz w:val="21"/>
          <w:szCs w:val="21"/>
          <w:b w:val="1"/>
          <w:bCs w:val="1"/>
          <w:color w:val="auto"/>
        </w:rPr>
        <w:t xml:space="preserve"> </w:t>
      </w:r>
      <w:r>
        <w:rPr>
          <w:rFonts w:ascii="Arial" w:cs="Arial" w:eastAsia="Arial" w:hAnsi="Arial"/>
          <w:sz w:val="21"/>
          <w:szCs w:val="21"/>
          <w:color w:val="auto"/>
        </w:rPr>
        <w:t>property for the development and commercialization of Licensed Products (defined below) in the Field (defined below) upon the terms and conditions set forth herein, and Molecular Partners desires to grant such license.</w:t>
      </w:r>
    </w:p>
    <w:p>
      <w:pPr>
        <w:spacing w:after="0" w:line="15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and conditions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the Parties agree as follows:</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Acquiror</w:t>
      </w:r>
      <w:r>
        <w:rPr>
          <w:rFonts w:ascii="Arial" w:cs="Arial" w:eastAsia="Arial" w:hAnsi="Arial"/>
          <w:sz w:val="19"/>
          <w:szCs w:val="19"/>
          <w:color w:val="auto"/>
        </w:rPr>
        <w:t>” has the meaning set forth in Section 15.6(a).</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particular Party, a person, corporation, partnership, or other entity that controls,</w:t>
      </w:r>
      <w:r>
        <w:rPr>
          <w:rFonts w:ascii="Arial" w:cs="Arial" w:eastAsia="Arial" w:hAnsi="Arial"/>
          <w:sz w:val="19"/>
          <w:szCs w:val="19"/>
          <w:b w:val="1"/>
          <w:bCs w:val="1"/>
          <w:color w:val="auto"/>
        </w:rPr>
        <w:t xml:space="preserve"> </w:t>
      </w:r>
      <w:r>
        <w:rPr>
          <w:rFonts w:ascii="Arial" w:cs="Arial" w:eastAsia="Arial" w:hAnsi="Arial"/>
          <w:sz w:val="19"/>
          <w:szCs w:val="19"/>
          <w:color w:val="auto"/>
        </w:rPr>
        <w:t>is controlled by or is under common control with such Party. For the purposes of this definition, the word “control” (including, with correlative meaning, the terms “controlled by” or “under common control with”) shall mean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Allergan Indemnitees</w:t>
      </w:r>
      <w:r>
        <w:rPr>
          <w:rFonts w:ascii="Arial" w:cs="Arial" w:eastAsia="Arial" w:hAnsi="Arial"/>
          <w:sz w:val="19"/>
          <w:szCs w:val="19"/>
          <w:color w:val="auto"/>
        </w:rPr>
        <w:t>” has the meaning set forth in Section 11.1.</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Allergan Modification</w:t>
      </w:r>
      <w:r>
        <w:rPr>
          <w:rFonts w:ascii="Arial" w:cs="Arial" w:eastAsia="Arial" w:hAnsi="Arial"/>
          <w:sz w:val="19"/>
          <w:szCs w:val="19"/>
          <w:color w:val="auto"/>
        </w:rPr>
        <w:t>” has the meaning set forth in Section 4.7(b).</w:t>
      </w:r>
    </w:p>
    <w:p>
      <w:pPr>
        <w:sectPr>
          <w:pgSz w:w="11900" w:h="16838" w:orient="portrait"/>
          <w:cols w:equalWidth="0" w:num="1">
            <w:col w:w="11240"/>
          </w:cols>
          <w:pgMar w:left="320" w:top="121" w:right="339" w:bottom="1440" w:gutter="0" w:footer="0" w:header="0"/>
        </w:sectPr>
      </w:pPr>
    </w:p>
    <w:bookmarkStart w:id="389" w:name="page390"/>
    <w:bookmarkEnd w:id="389"/>
    <w:p>
      <w:pPr>
        <w:ind w:left="660"/>
        <w:spacing w:after="0"/>
        <w:tabs>
          <w:tab w:leader="none" w:pos="112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Allergan Withholding Tax Action</w:t>
      </w:r>
      <w:r>
        <w:rPr>
          <w:rFonts w:ascii="Arial" w:cs="Arial" w:eastAsia="Arial" w:hAnsi="Arial"/>
          <w:sz w:val="19"/>
          <w:szCs w:val="19"/>
          <w:color w:val="auto"/>
        </w:rPr>
        <w:t>” has the meaning set forth in Section 8.11(c).</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AMD</w:t>
      </w:r>
      <w:r>
        <w:rPr>
          <w:rFonts w:ascii="Arial" w:cs="Arial" w:eastAsia="Arial" w:hAnsi="Arial"/>
          <w:sz w:val="19"/>
          <w:szCs w:val="19"/>
          <w:color w:val="auto"/>
        </w:rPr>
        <w:t>” means age-related macular degeneration.</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b w:val="1"/>
          <w:bCs w:val="1"/>
          <w:color w:val="auto"/>
        </w:rPr>
        <w:t>Asia</w:t>
      </w:r>
      <w:r>
        <w:rPr>
          <w:rFonts w:ascii="Arial" w:cs="Arial" w:eastAsia="Arial" w:hAnsi="Arial"/>
          <w:sz w:val="22"/>
          <w:szCs w:val="22"/>
          <w:color w:val="auto"/>
        </w:rPr>
        <w:t>” means China, India, Indonesia, Japan, South Korea, and Taiwan, as their boundaries are defined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and including any successors of the foregoing countries to the extent substantially including the boundaries of the countries set forth above as of the Effective Date.</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1.8 </w:t>
      </w:r>
      <w:r>
        <w:rPr>
          <w:rFonts w:ascii="Arial" w:cs="Arial" w:eastAsia="Arial" w:hAnsi="Arial"/>
          <w:sz w:val="19"/>
          <w:szCs w:val="19"/>
          <w:color w:val="auto"/>
        </w:rPr>
        <w:t>“</w:t>
      </w:r>
      <w:r>
        <w:rPr>
          <w:rFonts w:ascii="Arial" w:cs="Arial" w:eastAsia="Arial" w:hAnsi="Arial"/>
          <w:sz w:val="19"/>
          <w:szCs w:val="19"/>
          <w:b w:val="1"/>
          <w:bCs w:val="1"/>
          <w:color w:val="auto"/>
        </w:rPr>
        <w:t>Biosimilar</w:t>
      </w:r>
      <w:r>
        <w:rPr>
          <w:rFonts w:ascii="Arial" w:cs="Arial" w:eastAsia="Arial" w:hAnsi="Arial"/>
          <w:sz w:val="19"/>
          <w:szCs w:val="19"/>
          <w:color w:val="auto"/>
        </w:rPr>
        <w:t>” means a biological or drug product that (a) is biosimilar to or interchangeable with a Licensed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as described in 42 U.S.C. § 262(k)(2)(A)(i), or an equivalent determination by the applicable Regulatory Authorities outside the U.S., or any other equivalent provision that comes into force during the Term, (b) relies on or references Information, including safety or efficacy data, in the Regulatory Materials for a Licensed Product, (c) is the subject of a notice with respect to a Licensed Product under 42 U.S.C. § 262(l)(2) or any other equivalent provision that comes into force during the Term, or (d) is an A/B Rated product with respect to a Licensed Product. For clarity, a product may be a Biosimilar with respect to a Licensed Product regardless of whether it is subject to regulation as a biologic or drug product and regardless of the route used to obtain approval (for example, whether by Abbreviated New Drug Application, BLA or under 42 U.S.C. § 262). For the purposes of this definition, “</w:t>
      </w:r>
      <w:r>
        <w:rPr>
          <w:rFonts w:ascii="Arial" w:cs="Arial" w:eastAsia="Arial" w:hAnsi="Arial"/>
          <w:sz w:val="19"/>
          <w:szCs w:val="19"/>
          <w:b w:val="1"/>
          <w:bCs w:val="1"/>
          <w:color w:val="auto"/>
        </w:rPr>
        <w:t>A/B Rated</w:t>
      </w:r>
      <w:r>
        <w:rPr>
          <w:rFonts w:ascii="Arial" w:cs="Arial" w:eastAsia="Arial" w:hAnsi="Arial"/>
          <w:sz w:val="19"/>
          <w:szCs w:val="19"/>
          <w:color w:val="auto"/>
        </w:rPr>
        <w:t>” means, inside the U.S., “therapeutically equivalent” as determined by the FDA, applying the definition of “therapeutically equivalent” set forth in the preface to the then-current edition of the FDA publication “Approved Drug Products With Therapeutic Equivalence Evaluations” and, outside the U.S., such equivalent determination by the applicable Regulatory Authorities as is necessary to permit pharmacists or other individuals authorized to dispense biological or drug products under applicable Law to substitute one product for another product in the absence of specific instruction from a physician or other authorized prescriber under applicable Law.</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1.9 </w:t>
      </w:r>
      <w:r>
        <w:rPr>
          <w:rFonts w:ascii="Arial" w:cs="Arial" w:eastAsia="Arial" w:hAnsi="Arial"/>
          <w:sz w:val="22"/>
          <w:szCs w:val="22"/>
          <w:color w:val="auto"/>
        </w:rPr>
        <w:t>“</w:t>
      </w:r>
      <w:r>
        <w:rPr>
          <w:rFonts w:ascii="Arial" w:cs="Arial" w:eastAsia="Arial" w:hAnsi="Arial"/>
          <w:sz w:val="22"/>
          <w:szCs w:val="22"/>
          <w:b w:val="1"/>
          <w:bCs w:val="1"/>
          <w:color w:val="auto"/>
        </w:rPr>
        <w:t>BLA</w:t>
      </w:r>
      <w:r>
        <w:rPr>
          <w:rFonts w:ascii="Arial" w:cs="Arial" w:eastAsia="Arial" w:hAnsi="Arial"/>
          <w:sz w:val="22"/>
          <w:szCs w:val="22"/>
          <w:color w:val="auto"/>
        </w:rPr>
        <w:t>” means a Biologics License Application (or supplement thereto) or similar application that is submitted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FDA, or a foreign equivalent of the FDA, for marketing approval of a Licensed Product in the U.S. or any other country in the Territory, respectively.</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weekday that is not a legal holiday in either Zurich, Switzerland or New York, NY,</w:t>
      </w:r>
      <w:r>
        <w:rPr>
          <w:rFonts w:ascii="Arial" w:cs="Arial" w:eastAsia="Arial" w:hAnsi="Arial"/>
          <w:sz w:val="22"/>
          <w:szCs w:val="22"/>
          <w:b w:val="1"/>
          <w:bCs w:val="1"/>
          <w:color w:val="auto"/>
        </w:rPr>
        <w:t xml:space="preserve"> </w:t>
      </w:r>
      <w:r>
        <w:rPr>
          <w:rFonts w:ascii="Arial" w:cs="Arial" w:eastAsia="Arial" w:hAnsi="Arial"/>
          <w:sz w:val="22"/>
          <w:szCs w:val="22"/>
          <w:color w:val="auto"/>
        </w:rPr>
        <w:t>USA and is not a day on which banking institutions in such cities are required by Law to be closed.</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respective periods of three (3) consecutive calendar months ending on March 31,</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September 30 and December 31; provided, however, that (a) the first Calendar Quarter of any particular period shall extend from the commencement of such period to the end of the first complete Calendar Quarter thereafter; and (b) the last Calendar Quarter shall end upon the expiration or termination of this Agreement.</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(a) for the first Calendar Year of the Term, the period beginning on the Effective Date and</w:t>
      </w:r>
      <w:r>
        <w:rPr>
          <w:rFonts w:ascii="Arial" w:cs="Arial" w:eastAsia="Arial" w:hAnsi="Arial"/>
          <w:sz w:val="22"/>
          <w:szCs w:val="22"/>
          <w:b w:val="1"/>
          <w:bCs w:val="1"/>
          <w:color w:val="auto"/>
        </w:rPr>
        <w:t xml:space="preserve"> </w:t>
      </w:r>
      <w:r>
        <w:rPr>
          <w:rFonts w:ascii="Arial" w:cs="Arial" w:eastAsia="Arial" w:hAnsi="Arial"/>
          <w:sz w:val="22"/>
          <w:szCs w:val="22"/>
          <w:color w:val="auto"/>
        </w:rPr>
        <w:t>ending on December 31, 2011, (b) for each Calendar Year</w:t>
      </w:r>
    </w:p>
    <w:p>
      <w:pPr>
        <w:sectPr>
          <w:pgSz w:w="11900" w:h="16838" w:orient="portrait"/>
          <w:cols w:equalWidth="0" w:num="1">
            <w:col w:w="11240"/>
          </w:cols>
          <w:pgMar w:left="320" w:top="1421" w:right="339" w:bottom="1440" w:gutter="0" w:footer="0" w:header="0"/>
        </w:sectPr>
      </w:pPr>
    </w:p>
    <w:bookmarkStart w:id="390" w:name="page391"/>
    <w:bookmarkEnd w:id="390"/>
    <w:p>
      <w:pPr>
        <w:jc w:val="both"/>
        <w:spacing w:after="0" w:line="312" w:lineRule="auto"/>
        <w:rPr>
          <w:sz w:val="20"/>
          <w:szCs w:val="20"/>
          <w:color w:val="auto"/>
        </w:rPr>
      </w:pPr>
      <w:r>
        <w:rPr>
          <w:rFonts w:ascii="Arial" w:cs="Arial" w:eastAsia="Arial" w:hAnsi="Arial"/>
          <w:sz w:val="19"/>
          <w:szCs w:val="19"/>
          <w:color w:val="auto"/>
        </w:rPr>
        <w:t>of the Term thereafter, each successive period beginning on January 1 and ending twelve (12) consecutive calendar months later on December 31, and (c) for the last Calendar Year of the Term, the period beginning on January 1 of the Calendar Year in which the Agreement expires or terminates and ending on the effective date of expiration or termination of this Agreement.</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the occurrence of any of the following: (a) a Party enters into a merger, consolidation,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sale or sale or transfer of all or substantially all of its assets to which this Agreement relates, or other similar transaction or series of transactions with a Third Party; or (b) any transaction or series of related transactions in which any Third Party or group of Third Parties acquires beneficial ownership of securities of a Party representing more than fifty percent (50%) of the combined voting power of the then outstanding securities of such Party. Notwithstanding Section 1.13(a) or (b), a stock sale to underwriters of a public offering of a Party’s capital stock or other Third Parties solely for the purpose of financing or a transaction solely to change the domicile of a Party shall not constitute a Change of Control.</w:t>
      </w:r>
    </w:p>
    <w:p>
      <w:pPr>
        <w:spacing w:after="0" w:line="14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has the meaning set forth in Section 11.1.</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any human clinical trial of a Licensed Product, such as those described in 21 C.F.R. §</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312.21, or a human clinical trial prescribed by the Regulatory Authorities in a foreign country, including phase IV clinical trials.</w:t>
      </w:r>
    </w:p>
    <w:p>
      <w:pPr>
        <w:spacing w:after="0" w:line="2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Licensed Product that includes a Licensed Compound and at least one (1)</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therapeutically active pharmaceutical ingredient other than a Licensed Compound.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b w:val="1"/>
          <w:bCs w:val="1"/>
          <w:color w:val="auto"/>
        </w:rPr>
        <w:t>Commercialization</w:t>
      </w:r>
      <w:r>
        <w:rPr>
          <w:rFonts w:ascii="Arial" w:cs="Arial" w:eastAsia="Arial" w:hAnsi="Arial"/>
          <w:sz w:val="22"/>
          <w:szCs w:val="22"/>
          <w:color w:val="auto"/>
        </w:rPr>
        <w:t>” means the marketing, promotion, sale or distribution of a Licensed Product in the Field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Territory. “</w:t>
      </w:r>
      <w:r>
        <w:rPr>
          <w:rFonts w:ascii="Arial" w:cs="Arial" w:eastAsia="Arial" w:hAnsi="Arial"/>
          <w:sz w:val="22"/>
          <w:szCs w:val="22"/>
          <w:b w:val="1"/>
          <w:bCs w:val="1"/>
          <w:color w:val="auto"/>
        </w:rPr>
        <w:t>Commercialize</w:t>
      </w:r>
      <w:r>
        <w:rPr>
          <w:rFonts w:ascii="Arial" w:cs="Arial" w:eastAsia="Arial" w:hAnsi="Arial"/>
          <w:sz w:val="22"/>
          <w:szCs w:val="22"/>
          <w:color w:val="auto"/>
        </w:rPr>
        <w:t>” has a correlative meaning.</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1.18 </w:t>
      </w:r>
      <w:r>
        <w:rPr>
          <w:rFonts w:ascii="Arial" w:cs="Arial" w:eastAsia="Arial" w:hAnsi="Arial"/>
          <w:sz w:val="21"/>
          <w:szCs w:val="21"/>
          <w:color w:val="auto"/>
        </w:rPr>
        <w:t>“</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means, with respect to a Party’s obligations under this Agreement, efforts</w:t>
      </w:r>
      <w:r>
        <w:rPr>
          <w:rFonts w:ascii="Arial" w:cs="Arial" w:eastAsia="Arial" w:hAnsi="Arial"/>
          <w:sz w:val="21"/>
          <w:szCs w:val="21"/>
          <w:b w:val="1"/>
          <w:bCs w:val="1"/>
          <w:color w:val="auto"/>
        </w:rPr>
        <w:t xml:space="preserve"> </w:t>
      </w:r>
      <w:r>
        <w:rPr>
          <w:rFonts w:ascii="Arial" w:cs="Arial" w:eastAsia="Arial" w:hAnsi="Arial"/>
          <w:sz w:val="21"/>
          <w:szCs w:val="21"/>
          <w:color w:val="auto"/>
        </w:rPr>
        <w:t>consistent with the efforts and resources normally used by a similarly situated pharmaceutical or biotechnology company in the exercise of its reasonable business discretion relating to the development or commercialization of a pharmaceutical product with similar product characteristics that is of similar market potential at a similar stage of development or commercialization, taking into account issues of efficacy, safety, patent and regulatory exclusivity, product profile, anticipated or approved labeling, present and future market potential, competitive market conditions, the proprietary position of the compound or product, the regulatory structure involved, and other technical, legal, scientific, medical or commercial factors, and the profitability of the product, including in light of pricing and reimbursement issues.</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1.19 </w:t>
      </w: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of a Party means any and all Information of such Party that is disclosed to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under this Agreement, except as otherwise set forth in the last sentence of Section 12.1, whether in oral, written, graphic, or electronic form, regardless of whether any of the foregoing are marked “confidential” or “proprietary”. All Information disclosed by a Party pursuant to the Mutual Non-Disclosure Agreement between the Parties</w:t>
      </w:r>
    </w:p>
    <w:p>
      <w:pPr>
        <w:sectPr>
          <w:pgSz w:w="11900" w:h="16838" w:orient="portrait"/>
          <w:cols w:equalWidth="0" w:num="1">
            <w:col w:w="11240"/>
          </w:cols>
          <w:pgMar w:left="320" w:top="1427" w:right="339" w:bottom="1440" w:gutter="0" w:footer="0" w:header="0"/>
        </w:sectPr>
      </w:pPr>
    </w:p>
    <w:bookmarkStart w:id="391" w:name="page392"/>
    <w:bookmarkEnd w:id="391"/>
    <w:p>
      <w:pPr>
        <w:jc w:val="both"/>
        <w:spacing w:after="0" w:line="269" w:lineRule="auto"/>
        <w:rPr>
          <w:sz w:val="20"/>
          <w:szCs w:val="20"/>
          <w:color w:val="auto"/>
        </w:rPr>
      </w:pPr>
      <w:r>
        <w:rPr>
          <w:rFonts w:ascii="Arial" w:cs="Arial" w:eastAsia="Arial" w:hAnsi="Arial"/>
          <w:sz w:val="22"/>
          <w:szCs w:val="22"/>
          <w:color w:val="auto"/>
        </w:rPr>
        <w:t>effective as of August 11, 2009, as amended on August 12, 2010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shall be deemed to be such Party’s Confidential Information disclosed hereunder.</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with respect to any Information or intellectual property right, that a Party (a) owns or (b) has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grant to the other Party access, a license, or a sublicense (as applicable) to such Information or intellectual property right on the terms and conditions set forth in this Agreement without violating the terms of any then-existing agreement or other arrangement with any Third Party.</w:t>
      </w:r>
    </w:p>
    <w:p>
      <w:pPr>
        <w:spacing w:after="0" w:line="180"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1.21 </w:t>
      </w:r>
      <w:r>
        <w:rPr>
          <w:rFonts w:ascii="Arial" w:cs="Arial" w:eastAsia="Arial" w:hAnsi="Arial"/>
          <w:sz w:val="22"/>
          <w:szCs w:val="22"/>
          <w:color w:val="auto"/>
        </w:rPr>
        <w:t>“</w:t>
      </w:r>
      <w:r>
        <w:rPr>
          <w:rFonts w:ascii="Arial" w:cs="Arial" w:eastAsia="Arial" w:hAnsi="Arial"/>
          <w:sz w:val="22"/>
          <w:szCs w:val="22"/>
          <w:b w:val="1"/>
          <w:bCs w:val="1"/>
          <w:color w:val="auto"/>
        </w:rPr>
        <w:t>DARPin Compound</w:t>
      </w:r>
      <w:r>
        <w:rPr>
          <w:rFonts w:ascii="Arial" w:cs="Arial" w:eastAsia="Arial" w:hAnsi="Arial"/>
          <w:sz w:val="22"/>
          <w:szCs w:val="22"/>
          <w:color w:val="auto"/>
        </w:rPr>
        <w:t>” means any compound comprising a *** as described or otherwise disclosed in Patent ***</w:t>
      </w:r>
      <w:r>
        <w:rPr>
          <w:rFonts w:ascii="Arial" w:cs="Arial" w:eastAsia="Arial" w:hAnsi="Arial"/>
          <w:sz w:val="22"/>
          <w:szCs w:val="22"/>
          <w:b w:val="1"/>
          <w:bCs w:val="1"/>
          <w:color w:val="auto"/>
        </w:rPr>
        <w:t xml:space="preserve"> </w:t>
      </w:r>
      <w:r>
        <w:rPr>
          <w:rFonts w:ascii="Arial" w:cs="Arial" w:eastAsia="Arial" w:hAnsi="Arial"/>
          <w:sz w:val="22"/>
          <w:szCs w:val="22"/>
          <w:color w:val="auto"/>
        </w:rPr>
        <w:t>and any compound claimed in *** or any patent application claiming priority directly from ***.</w:t>
      </w:r>
    </w:p>
    <w:p>
      <w:pPr>
        <w:spacing w:after="0" w:line="16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1.22 </w:t>
      </w:r>
      <w:r>
        <w:rPr>
          <w:rFonts w:ascii="Arial" w:cs="Arial" w:eastAsia="Arial" w:hAnsi="Arial"/>
          <w:sz w:val="21"/>
          <w:szCs w:val="21"/>
          <w:color w:val="auto"/>
        </w:rPr>
        <w:t>“</w:t>
      </w:r>
      <w:r>
        <w:rPr>
          <w:rFonts w:ascii="Arial" w:cs="Arial" w:eastAsia="Arial" w:hAnsi="Arial"/>
          <w:sz w:val="21"/>
          <w:szCs w:val="21"/>
          <w:b w:val="1"/>
          <w:bCs w:val="1"/>
          <w:color w:val="auto"/>
        </w:rPr>
        <w:t>Development</w:t>
      </w:r>
      <w:r>
        <w:rPr>
          <w:rFonts w:ascii="Arial" w:cs="Arial" w:eastAsia="Arial" w:hAnsi="Arial"/>
          <w:sz w:val="21"/>
          <w:szCs w:val="21"/>
          <w:color w:val="auto"/>
        </w:rPr>
        <w:t>” means all activities that relate to obtaining, maintaining or expanding Regulatory Approval for a</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Product, including preclinical testing, toxicology, formulation, Clinical Trials, preparation, submission, review, and development of data or information for the purpose of submission to a Governmental Authority to obtain, maintain or expand Regulatory Approval for a Licensed Product, and including the activities to modify a Licensed Compound as provided in Section 4.7, but excluding research that is intended to evaluate DARPin Compounds generally and not specifically a particular Licensed Compound or Licensed Product. “</w:t>
      </w:r>
      <w:r>
        <w:rPr>
          <w:rFonts w:ascii="Arial" w:cs="Arial" w:eastAsia="Arial" w:hAnsi="Arial"/>
          <w:sz w:val="21"/>
          <w:szCs w:val="21"/>
          <w:b w:val="1"/>
          <w:bCs w:val="1"/>
          <w:color w:val="auto"/>
        </w:rPr>
        <w:t>Develop</w:t>
      </w:r>
      <w:r>
        <w:rPr>
          <w:rFonts w:ascii="Arial" w:cs="Arial" w:eastAsia="Arial" w:hAnsi="Arial"/>
          <w:sz w:val="21"/>
          <w:szCs w:val="21"/>
          <w:color w:val="auto"/>
        </w:rPr>
        <w:t>” has a correlative meaning.</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Plan</w:t>
      </w:r>
      <w:r>
        <w:rPr>
          <w:rFonts w:ascii="Arial" w:cs="Arial" w:eastAsia="Arial" w:hAnsi="Arial"/>
          <w:sz w:val="19"/>
          <w:szCs w:val="19"/>
          <w:color w:val="auto"/>
        </w:rPr>
        <w:t>” has the meaning set forth in Section 4.1(a).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DME</w:t>
      </w:r>
      <w:r>
        <w:rPr>
          <w:rFonts w:ascii="Arial" w:cs="Arial" w:eastAsia="Arial" w:hAnsi="Arial"/>
          <w:sz w:val="19"/>
          <w:szCs w:val="19"/>
          <w:color w:val="auto"/>
        </w:rPr>
        <w:t>” means diabetic macular edema.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means a U.S. dollar, and “</w:t>
      </w:r>
      <w:r>
        <w:rPr>
          <w:rFonts w:ascii="Arial" w:cs="Arial" w:eastAsia="Arial" w:hAnsi="Arial"/>
          <w:sz w:val="19"/>
          <w:szCs w:val="19"/>
          <w:b w:val="1"/>
          <w:bCs w:val="1"/>
          <w:color w:val="auto"/>
        </w:rPr>
        <w:t>$</w:t>
      </w:r>
      <w:r>
        <w:rPr>
          <w:rFonts w:ascii="Arial" w:cs="Arial" w:eastAsia="Arial" w:hAnsi="Arial"/>
          <w:sz w:val="19"/>
          <w:szCs w:val="19"/>
          <w:color w:val="auto"/>
        </w:rPr>
        <w:t>” shall be interpreted accordingly.</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color w:val="auto"/>
        </w:rPr>
        <w:t>Domain Name</w:t>
      </w:r>
      <w:r>
        <w:rPr>
          <w:rFonts w:ascii="Arial" w:cs="Arial" w:eastAsia="Arial" w:hAnsi="Arial"/>
          <w:sz w:val="22"/>
          <w:szCs w:val="22"/>
          <w:color w:val="auto"/>
        </w:rPr>
        <w:t>” means any identification label that defines a realm of administrative autonomy, authority, or</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on the Internet that is identical or similar to any Trademark.</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Drug Delivery System</w:t>
      </w:r>
      <w:r>
        <w:rPr>
          <w:rFonts w:ascii="Arial" w:cs="Arial" w:eastAsia="Arial" w:hAnsi="Arial"/>
          <w:sz w:val="22"/>
          <w:szCs w:val="22"/>
          <w:color w:val="auto"/>
        </w:rPr>
        <w:t>” means a substrate, encapsulant, mechanical device, ocular implant, or other means for</w:t>
      </w:r>
      <w:r>
        <w:rPr>
          <w:rFonts w:ascii="Arial" w:cs="Arial" w:eastAsia="Arial" w:hAnsi="Arial"/>
          <w:sz w:val="22"/>
          <w:szCs w:val="22"/>
          <w:b w:val="1"/>
          <w:bCs w:val="1"/>
          <w:color w:val="auto"/>
        </w:rPr>
        <w:t xml:space="preserve"> </w:t>
      </w:r>
      <w:r>
        <w:rPr>
          <w:rFonts w:ascii="Arial" w:cs="Arial" w:eastAsia="Arial" w:hAnsi="Arial"/>
          <w:sz w:val="22"/>
          <w:szCs w:val="22"/>
          <w:color w:val="auto"/>
        </w:rPr>
        <w:t>delivering a compound to the eye or eyelid of a patient.</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entity.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or “</w:t>
      </w:r>
      <w:r>
        <w:rPr>
          <w:rFonts w:ascii="Arial" w:cs="Arial" w:eastAsia="Arial" w:hAnsi="Arial"/>
          <w:sz w:val="22"/>
          <w:szCs w:val="22"/>
          <w:b w:val="1"/>
          <w:bCs w:val="1"/>
          <w:color w:val="auto"/>
        </w:rPr>
        <w:t>European Union</w:t>
      </w:r>
      <w:r>
        <w:rPr>
          <w:rFonts w:ascii="Arial" w:cs="Arial" w:eastAsia="Arial" w:hAnsi="Arial"/>
          <w:sz w:val="22"/>
          <w:szCs w:val="22"/>
          <w:color w:val="auto"/>
        </w:rPr>
        <w:t>” means the European Union member states as then constituted.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the European Union member states are Austria, Belgium, Bulgaria, Cyprus, Czech Republic, Denmark, Estonia, Finland, France, Germany, Greece, Hungary, Ireland, Italy, Latvia, Lithuania, Luxembourg, Malta, Netherlands, Poland, Portugal, Romania, Slovakia, Slovenia, Spain, Sweden, and United Kingdom.</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color w:val="auto"/>
        </w:rPr>
        <w:t>Exclusive DARPin</w:t>
      </w:r>
      <w:r>
        <w:rPr>
          <w:rFonts w:ascii="Arial" w:cs="Arial" w:eastAsia="Arial" w:hAnsi="Arial"/>
          <w:sz w:val="22"/>
          <w:szCs w:val="22"/>
          <w:color w:val="auto"/>
        </w:rPr>
        <w:t>” means any DARPin Compound that inhibits any VEGF Receptor or VEGF Isoform with an</w:t>
      </w:r>
      <w:r>
        <w:rPr>
          <w:rFonts w:ascii="Arial" w:cs="Arial" w:eastAsia="Arial" w:hAnsi="Arial"/>
          <w:sz w:val="22"/>
          <w:szCs w:val="22"/>
          <w:b w:val="1"/>
          <w:bCs w:val="1"/>
          <w:color w:val="auto"/>
        </w:rPr>
        <w:t xml:space="preserve"> </w:t>
      </w:r>
      <w:r>
        <w:rPr>
          <w:rFonts w:ascii="Arial" w:cs="Arial" w:eastAsia="Arial" w:hAnsi="Arial"/>
          <w:sz w:val="22"/>
          <w:szCs w:val="22"/>
          <w:color w:val="auto"/>
        </w:rPr>
        <w:t>IC50 value below 100 nM as demonstrated in a validated Allergan assay, but excluding any DARPin Compound that achieves its therapeutic, preventative</w:t>
      </w:r>
    </w:p>
    <w:p>
      <w:pPr>
        <w:sectPr>
          <w:pgSz w:w="11900" w:h="16838" w:orient="portrait"/>
          <w:cols w:equalWidth="0" w:num="1">
            <w:col w:w="11240"/>
          </w:cols>
          <w:pgMar w:left="320" w:top="1421" w:right="339" w:bottom="1440" w:gutter="0" w:footer="0" w:header="0"/>
        </w:sectPr>
      </w:pPr>
    </w:p>
    <w:bookmarkStart w:id="392" w:name="page393"/>
    <w:bookmarkEnd w:id="392"/>
    <w:p>
      <w:pPr>
        <w:jc w:val="both"/>
        <w:spacing w:after="0" w:line="263" w:lineRule="auto"/>
        <w:rPr>
          <w:sz w:val="20"/>
          <w:szCs w:val="20"/>
          <w:color w:val="auto"/>
        </w:rPr>
      </w:pPr>
      <w:r>
        <w:rPr>
          <w:rFonts w:ascii="Arial" w:cs="Arial" w:eastAsia="Arial" w:hAnsi="Arial"/>
          <w:sz w:val="22"/>
          <w:szCs w:val="22"/>
          <w:color w:val="auto"/>
        </w:rPr>
        <w:t>or diagnostic effect by binding a first protein that is a VEGF Isoform or a VEGF Receptor and at least one additional protein other than a VEGF Isoform or VEGF Receptor.</w:t>
      </w:r>
    </w:p>
    <w:p>
      <w:pPr>
        <w:spacing w:after="0" w:line="16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with respect to Molecular Partners, its Chief Executive Officer, and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Allergan, its Executive Vice President, Research and Development.</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IND</w:t>
      </w:r>
      <w:r>
        <w:rPr>
          <w:rFonts w:ascii="Arial" w:cs="Arial" w:eastAsia="Arial" w:hAnsi="Arial"/>
          <w:sz w:val="19"/>
          <w:szCs w:val="19"/>
          <w:color w:val="auto"/>
        </w:rPr>
        <w:t>” has the meaning set forth in Section 5.2.</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b w:val="1"/>
          <w:bCs w:val="1"/>
          <w:color w:val="auto"/>
        </w:rPr>
        <w:t>FD&amp;C Act</w:t>
      </w:r>
      <w:r>
        <w:rPr>
          <w:rFonts w:ascii="Arial" w:cs="Arial" w:eastAsia="Arial" w:hAnsi="Arial"/>
          <w:sz w:val="22"/>
          <w:szCs w:val="22"/>
          <w:color w:val="auto"/>
        </w:rPr>
        <w:t>” means the U.S. Federal Food, Drug and Cosmetic Act, as amended, and applicable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 by the FDA.</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entity.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the treatment, amelioration, mitigation, or prevention of diseases or conditions of the eyes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adnexa (for example, eye lids and lacrimal glands) with a product in any and all dosage forms and modes of administration (including topical application or direct injection either directly or through a Drug Delivery System) other than through Systemic Delivery.</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Licensed Product, the first sale to a Third Party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in a given regulatory jurisdiction following the receipt of Regulatory Approval.</w:t>
      </w:r>
    </w:p>
    <w:p>
      <w:pPr>
        <w:spacing w:after="0" w:line="1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the equivalent of a full-time professional individual’s work, at one thousand nine hundred fifty</w:t>
      </w:r>
      <w:r>
        <w:rPr>
          <w:rFonts w:ascii="Arial" w:cs="Arial" w:eastAsia="Arial" w:hAnsi="Arial"/>
          <w:sz w:val="22"/>
          <w:szCs w:val="22"/>
          <w:b w:val="1"/>
          <w:bCs w:val="1"/>
          <w:color w:val="auto"/>
        </w:rPr>
        <w:t xml:space="preserve"> </w:t>
      </w:r>
      <w:r>
        <w:rPr>
          <w:rFonts w:ascii="Arial" w:cs="Arial" w:eastAsia="Arial" w:hAnsi="Arial"/>
          <w:sz w:val="22"/>
          <w:szCs w:val="22"/>
          <w:color w:val="auto"/>
        </w:rPr>
        <w:t>(1,950) hours per year, as adjusted to account for permitted time off, for a twelve (12)-month period, performing activities pursuant to this Agreement. In the case that any full time personnel of Molecular Partners works partially on work pursuant to this Agreement and partially on other work in a given time period, then the full-time equivalent to be attributed to such individual’s work hereunder shall be calculated based upon the percentage of such individual’s total work time in such time period that such individual spent working under this Agreement and the percentage of a twelve (12)-month period that such time period equals. In the event that any part-time personnel of Molecular Partners works under this Agreement, the full time equivalent to be attributed to such work shall reflect appropriate adjustment for such personnel’s reduced total work time relative to full time personnel. FTE efforts shall include professional, scientific or technical work only and shall not include general corporate and administrative overhead. Molecular Partners shall track FTEs using its standard practice and normal systems and methodologies.</w:t>
      </w:r>
    </w:p>
    <w:p>
      <w:pPr>
        <w:spacing w:after="0" w:line="19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1.38 </w:t>
      </w: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the rate of FTE costs incurred by Molecular Partners, which for the purpose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initially be set at an annual rate of *** per FTE. The FTE Rate shall be changed annually commencing January 1, 2012 to reflect any year-to-year percentage increase or decrease in the Swiss National Consumer Price Index as quoted by the Swiss Federal Statistical Office (Landesindex der Konsumentenpreise gemäss Bundesamt für Statistik BFS; www.lik.bfs.admin.ch) after the Effective Date.</w:t>
      </w:r>
    </w:p>
    <w:p>
      <w:pPr>
        <w:sectPr>
          <w:pgSz w:w="11900" w:h="16838" w:orient="portrait"/>
          <w:cols w:equalWidth="0" w:num="1">
            <w:col w:w="11240"/>
          </w:cols>
          <w:pgMar w:left="320" w:top="1427" w:right="339" w:bottom="1440" w:gutter="0" w:footer="0" w:header="0"/>
        </w:sectPr>
      </w:pPr>
    </w:p>
    <w:bookmarkStart w:id="393" w:name="page394"/>
    <w:bookmarkEnd w:id="393"/>
    <w:p>
      <w:pPr>
        <w:ind w:left="660"/>
        <w:spacing w:after="0"/>
        <w:tabs>
          <w:tab w:leader="none" w:pos="124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U.S. applied on a consistent basis.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1.40 </w:t>
      </w:r>
      <w:r>
        <w:rPr>
          <w:rFonts w:ascii="Arial" w:cs="Arial" w:eastAsia="Arial" w:hAnsi="Arial"/>
          <w:sz w:val="21"/>
          <w:szCs w:val="21"/>
          <w:color w:val="auto"/>
        </w:rPr>
        <w:t>“</w:t>
      </w:r>
      <w:r>
        <w:rPr>
          <w:rFonts w:ascii="Arial" w:cs="Arial" w:eastAsia="Arial" w:hAnsi="Arial"/>
          <w:sz w:val="21"/>
          <w:szCs w:val="21"/>
          <w:b w:val="1"/>
          <w:bCs w:val="1"/>
          <w:color w:val="auto"/>
        </w:rPr>
        <w:t>GCP</w:t>
      </w:r>
      <w:r>
        <w:rPr>
          <w:rFonts w:ascii="Arial" w:cs="Arial" w:eastAsia="Arial" w:hAnsi="Arial"/>
          <w:sz w:val="21"/>
          <w:szCs w:val="21"/>
          <w:color w:val="auto"/>
        </w:rPr>
        <w:t>” or “</w:t>
      </w:r>
      <w:r>
        <w:rPr>
          <w:rFonts w:ascii="Arial" w:cs="Arial" w:eastAsia="Arial" w:hAnsi="Arial"/>
          <w:sz w:val="21"/>
          <w:szCs w:val="21"/>
          <w:b w:val="1"/>
          <w:bCs w:val="1"/>
          <w:color w:val="auto"/>
        </w:rPr>
        <w:t>Good Clinical Practices</w:t>
      </w:r>
      <w:r>
        <w:rPr>
          <w:rFonts w:ascii="Arial" w:cs="Arial" w:eastAsia="Arial" w:hAnsi="Arial"/>
          <w:sz w:val="21"/>
          <w:szCs w:val="21"/>
          <w:color w:val="auto"/>
        </w:rPr>
        <w:t>” means the then-current standards, practices and procedures promulgated or</w:t>
      </w:r>
      <w:r>
        <w:rPr>
          <w:rFonts w:ascii="Arial" w:cs="Arial" w:eastAsia="Arial" w:hAnsi="Arial"/>
          <w:sz w:val="21"/>
          <w:szCs w:val="21"/>
          <w:b w:val="1"/>
          <w:bCs w:val="1"/>
          <w:color w:val="auto"/>
        </w:rPr>
        <w:t xml:space="preserve"> </w:t>
      </w:r>
      <w:r>
        <w:rPr>
          <w:rFonts w:ascii="Arial" w:cs="Arial" w:eastAsia="Arial" w:hAnsi="Arial"/>
          <w:sz w:val="21"/>
          <w:szCs w:val="21"/>
          <w:color w:val="auto"/>
        </w:rPr>
        <w:t>endorsed by the FDA as set forth in the guidelines entitled “</w:t>
      </w:r>
      <w:r>
        <w:rPr>
          <w:rFonts w:ascii="Arial" w:cs="Arial" w:eastAsia="Arial" w:hAnsi="Arial"/>
          <w:sz w:val="21"/>
          <w:szCs w:val="21"/>
          <w:b w:val="1"/>
          <w:bCs w:val="1"/>
          <w:color w:val="auto"/>
        </w:rPr>
        <w:t>Guidance for Industry E6 Good Clinical Practice: Consolidated</w:t>
      </w:r>
      <w:r>
        <w:rPr>
          <w:rFonts w:ascii="Arial" w:cs="Arial" w:eastAsia="Arial" w:hAnsi="Arial"/>
          <w:sz w:val="21"/>
          <w:szCs w:val="21"/>
          <w:color w:val="auto"/>
        </w:rPr>
        <w:t xml:space="preserve"> </w:t>
      </w:r>
      <w:r>
        <w:rPr>
          <w:rFonts w:ascii="Arial" w:cs="Arial" w:eastAsia="Arial" w:hAnsi="Arial"/>
          <w:sz w:val="21"/>
          <w:szCs w:val="21"/>
          <w:b w:val="1"/>
          <w:bCs w:val="1"/>
          <w:color w:val="auto"/>
        </w:rPr>
        <w:t>Guidance,</w:t>
      </w:r>
      <w:r>
        <w:rPr>
          <w:rFonts w:ascii="Arial" w:cs="Arial" w:eastAsia="Arial" w:hAnsi="Arial"/>
          <w:sz w:val="21"/>
          <w:szCs w:val="21"/>
          <w:color w:val="auto"/>
        </w:rPr>
        <w:t>” including related regulatory requirements imposed by the FDA and comparable regulatory standards, practices and</w:t>
      </w:r>
      <w:r>
        <w:rPr>
          <w:rFonts w:ascii="Arial" w:cs="Arial" w:eastAsia="Arial" w:hAnsi="Arial"/>
          <w:sz w:val="21"/>
          <w:szCs w:val="21"/>
          <w:b w:val="1"/>
          <w:bCs w:val="1"/>
          <w:color w:val="auto"/>
        </w:rPr>
        <w:t xml:space="preserve"> </w:t>
      </w:r>
      <w:r>
        <w:rPr>
          <w:rFonts w:ascii="Arial" w:cs="Arial" w:eastAsia="Arial" w:hAnsi="Arial"/>
          <w:sz w:val="21"/>
          <w:szCs w:val="21"/>
          <w:color w:val="auto"/>
        </w:rPr>
        <w:t>procedures promulgated by the EMA or other Regulatory Authority applicable to the Territory, as they may be updated from time to time, including applicable quality guidelines promulgated under the ICH.</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color w:val="auto"/>
        </w:rPr>
        <w:t>Generic Competition</w:t>
      </w:r>
      <w:r>
        <w:rPr>
          <w:rFonts w:ascii="Arial" w:cs="Arial" w:eastAsia="Arial" w:hAnsi="Arial"/>
          <w:sz w:val="22"/>
          <w:szCs w:val="22"/>
          <w:color w:val="auto"/>
        </w:rPr>
        <w:t>” means, with respect to a Licensed Product in a given country in the Territory, that during</w:t>
      </w:r>
      <w:r>
        <w:rPr>
          <w:rFonts w:ascii="Arial" w:cs="Arial" w:eastAsia="Arial" w:hAnsi="Arial"/>
          <w:sz w:val="22"/>
          <w:szCs w:val="22"/>
          <w:b w:val="1"/>
          <w:bCs w:val="1"/>
          <w:color w:val="auto"/>
        </w:rPr>
        <w:t xml:space="preserve"> </w:t>
      </w:r>
      <w:r>
        <w:rPr>
          <w:rFonts w:ascii="Arial" w:cs="Arial" w:eastAsia="Arial" w:hAnsi="Arial"/>
          <w:sz w:val="22"/>
          <w:szCs w:val="22"/>
          <w:color w:val="auto"/>
        </w:rPr>
        <w:t>three (3) consecutive calendar months, one (1) or more Generic Products with respect to such Licensed Product are sold in such country and units of such Generic Product(s) sold account for more than *** of the aggregate of all units of such Licensed Product and all units of such Generic Product(s) sold in such country.</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1.42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on a country-by-country and Licensed Product-by-Licensed Product basis, any</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biological or drug product sold by a Third Party that is used in the Field, other than pursuant to a sublicense from Allergan, its Affiliates or its Sublicensees, that either: (a) contains the same active ingredients as the applicable Licensed Product, (b) contains a DARPin Compound and is Biosimilar with respect to the applicable Licensed Product or (c) contains any ***.</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color w:val="auto"/>
        </w:rPr>
        <w:t>“</w:t>
      </w:r>
      <w:r>
        <w:rPr>
          <w:rFonts w:ascii="Arial" w:cs="Arial" w:eastAsia="Arial" w:hAnsi="Arial"/>
          <w:sz w:val="22"/>
          <w:szCs w:val="22"/>
          <w:b w:val="1"/>
          <w:bCs w:val="1"/>
          <w:color w:val="auto"/>
        </w:rPr>
        <w:t>GLP</w:t>
      </w:r>
      <w:r>
        <w:rPr>
          <w:rFonts w:ascii="Arial" w:cs="Arial" w:eastAsia="Arial" w:hAnsi="Arial"/>
          <w:sz w:val="22"/>
          <w:szCs w:val="22"/>
          <w:color w:val="auto"/>
        </w:rPr>
        <w:t>” or “</w:t>
      </w:r>
      <w:r>
        <w:rPr>
          <w:rFonts w:ascii="Arial" w:cs="Arial" w:eastAsia="Arial" w:hAnsi="Arial"/>
          <w:sz w:val="22"/>
          <w:szCs w:val="22"/>
          <w:b w:val="1"/>
          <w:bCs w:val="1"/>
          <w:color w:val="auto"/>
        </w:rPr>
        <w:t>Good Laboratory Practices</w:t>
      </w:r>
      <w:r>
        <w:rPr>
          <w:rFonts w:ascii="Arial" w:cs="Arial" w:eastAsia="Arial" w:hAnsi="Arial"/>
          <w:sz w:val="22"/>
          <w:szCs w:val="22"/>
          <w:color w:val="auto"/>
        </w:rPr>
        <w:t>” means the then-current good laboratory practice standards promulgated</w:t>
      </w:r>
      <w:r>
        <w:rPr>
          <w:rFonts w:ascii="Arial" w:cs="Arial" w:eastAsia="Arial" w:hAnsi="Arial"/>
          <w:sz w:val="22"/>
          <w:szCs w:val="22"/>
          <w:b w:val="1"/>
          <w:bCs w:val="1"/>
          <w:color w:val="auto"/>
        </w:rPr>
        <w:t xml:space="preserve"> </w:t>
      </w:r>
      <w:r>
        <w:rPr>
          <w:rFonts w:ascii="Arial" w:cs="Arial" w:eastAsia="Arial" w:hAnsi="Arial"/>
          <w:sz w:val="22"/>
          <w:szCs w:val="22"/>
          <w:color w:val="auto"/>
        </w:rPr>
        <w:t>or endorsed by the FDA as defined in 21 C.F.R. Part 58, and comparable regulatory standards promulgated by the EMA or other Regulatory Authority applicable to the Territory, as they may be updated from time to time, including applicable quality guidelines promulgated under the ICH.</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1.44 </w:t>
      </w:r>
      <w:r>
        <w:rPr>
          <w:rFonts w:ascii="Arial" w:cs="Arial" w:eastAsia="Arial" w:hAnsi="Arial"/>
          <w:sz w:val="21"/>
          <w:szCs w:val="21"/>
          <w:color w:val="auto"/>
        </w:rPr>
        <w:t>“</w:t>
      </w:r>
      <w:r>
        <w:rPr>
          <w:rFonts w:ascii="Arial" w:cs="Arial" w:eastAsia="Arial" w:hAnsi="Arial"/>
          <w:sz w:val="21"/>
          <w:szCs w:val="21"/>
          <w:b w:val="1"/>
          <w:bCs w:val="1"/>
          <w:color w:val="auto"/>
        </w:rPr>
        <w:t>GMP</w:t>
      </w:r>
      <w:r>
        <w:rPr>
          <w:rFonts w:ascii="Arial" w:cs="Arial" w:eastAsia="Arial" w:hAnsi="Arial"/>
          <w:sz w:val="21"/>
          <w:szCs w:val="21"/>
          <w:color w:val="auto"/>
        </w:rPr>
        <w:t>” or “</w:t>
      </w:r>
      <w:r>
        <w:rPr>
          <w:rFonts w:ascii="Arial" w:cs="Arial" w:eastAsia="Arial" w:hAnsi="Arial"/>
          <w:sz w:val="21"/>
          <w:szCs w:val="21"/>
          <w:b w:val="1"/>
          <w:bCs w:val="1"/>
          <w:color w:val="auto"/>
        </w:rPr>
        <w:t>Good Manufacturing Practices</w:t>
      </w:r>
      <w:r>
        <w:rPr>
          <w:rFonts w:ascii="Arial" w:cs="Arial" w:eastAsia="Arial" w:hAnsi="Arial"/>
          <w:sz w:val="21"/>
          <w:szCs w:val="21"/>
          <w:color w:val="auto"/>
        </w:rPr>
        <w:t>” means the then-current Good Manufacturing Practices required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FDA, as set forth in the FD&amp;C Act and the regulations promulgated thereunder, for the manufacture and testing of pharmaceutical materials, and comparable laws or regulations applicable to the manufacture and testing of pharmaceutical materials promulgated by other Regulatory Authorities, as they may be updated from time to time.</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multi-national, federal, state, local, municipal, provincial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of any nature (including any governmental division, prefecture, subdivision, department, agency, bureau, branch, office, commission, council, court or other tribunal).</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Handover Plan</w:t>
      </w:r>
      <w:r>
        <w:rPr>
          <w:rFonts w:ascii="Arial" w:cs="Arial" w:eastAsia="Arial" w:hAnsi="Arial"/>
          <w:sz w:val="19"/>
          <w:szCs w:val="19"/>
          <w:color w:val="auto"/>
        </w:rPr>
        <w:t>” means that plan attached to this Agreement as Exhibit C.</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ICH</w:t>
      </w:r>
      <w:r>
        <w:rPr>
          <w:rFonts w:ascii="Arial" w:cs="Arial" w:eastAsia="Arial" w:hAnsi="Arial"/>
          <w:sz w:val="19"/>
          <w:szCs w:val="19"/>
          <w:color w:val="auto"/>
        </w:rPr>
        <w:t>” means International Conference on Harmonisation.</w:t>
      </w:r>
    </w:p>
    <w:p>
      <w:pPr>
        <w:sectPr>
          <w:pgSz w:w="11900" w:h="16838" w:orient="portrait"/>
          <w:cols w:equalWidth="0" w:num="1">
            <w:col w:w="11240"/>
          </w:cols>
          <w:pgMar w:left="320" w:top="1421" w:right="339" w:bottom="1440" w:gutter="0" w:footer="0" w:header="0"/>
        </w:sectPr>
      </w:pPr>
    </w:p>
    <w:bookmarkStart w:id="394" w:name="page395"/>
    <w:bookmarkEnd w:id="394"/>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1.48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an Investigational New Drug Application as defined in the FD&amp;C Act and applicable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 by the FDA, or (b) the equivalent application to the equivalent agency in any other regulatory jurisdiction, the filing of which is necessary to Initiate or conduct a Clinical Trial of a pharmaceutical product in humans in such jurisdiction.</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11.3.</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set forth in Section 11.3.</w:t>
      </w:r>
    </w:p>
    <w:p>
      <w:pPr>
        <w:spacing w:after="0" w:line="22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1.51 </w:t>
      </w:r>
      <w:r>
        <w:rPr>
          <w:rFonts w:ascii="Arial" w:cs="Arial" w:eastAsia="Arial" w:hAnsi="Arial"/>
          <w:sz w:val="19"/>
          <w:szCs w:val="19"/>
          <w:color w:val="auto"/>
        </w:rPr>
        <w:t>“</w:t>
      </w:r>
      <w:r>
        <w:rPr>
          <w:rFonts w:ascii="Arial" w:cs="Arial" w:eastAsia="Arial" w:hAnsi="Arial"/>
          <w:sz w:val="19"/>
          <w:szCs w:val="19"/>
          <w:b w:val="1"/>
          <w:bCs w:val="1"/>
          <w:color w:val="auto"/>
        </w:rPr>
        <w:t>Indication</w:t>
      </w:r>
      <w:r>
        <w:rPr>
          <w:rFonts w:ascii="Arial" w:cs="Arial" w:eastAsia="Arial" w:hAnsi="Arial"/>
          <w:sz w:val="19"/>
          <w:szCs w:val="19"/>
          <w:color w:val="auto"/>
        </w:rPr>
        <w:t>” means a separately defined, well-categorized class of human disease or condition for which a</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Regulatory Approval Application (including any extensions or supplements) may be filed with a Regulatory Authority.</w:t>
      </w:r>
    </w:p>
    <w:p>
      <w:pPr>
        <w:spacing w:after="0" w:line="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means any and all data, results, technology, business or financial information or information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type whatsoever, in any tangible or intangible form, including know-how, trade secrets, practices, techniques, methods, processes, developments, specifications, formulations, or formulae of any type or kind (patentable or otherwise), software, algorithms, marketing reports, expertise, technology, test data (including pharmacological, biological, chemical, biochemical, clinical test data and data resulting from non-clinical studies), chemistry, manufacture and control (“</w:t>
      </w:r>
      <w:r>
        <w:rPr>
          <w:rFonts w:ascii="Arial" w:cs="Arial" w:eastAsia="Arial" w:hAnsi="Arial"/>
          <w:sz w:val="22"/>
          <w:szCs w:val="22"/>
          <w:b w:val="1"/>
          <w:bCs w:val="1"/>
          <w:color w:val="auto"/>
        </w:rPr>
        <w:t>CMC</w:t>
      </w:r>
      <w:r>
        <w:rPr>
          <w:rFonts w:ascii="Arial" w:cs="Arial" w:eastAsia="Arial" w:hAnsi="Arial"/>
          <w:sz w:val="22"/>
          <w:szCs w:val="22"/>
          <w:color w:val="auto"/>
        </w:rPr>
        <w:t>”) information, stability data and other study data and procedures.</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of a Clinical Trial means the first dosing of the first subject in such Clinical Trial. “</w:t>
      </w:r>
      <w:r>
        <w:rPr>
          <w:rFonts w:ascii="Arial" w:cs="Arial" w:eastAsia="Arial" w:hAnsi="Arial"/>
          <w:sz w:val="22"/>
          <w:szCs w:val="22"/>
          <w:b w:val="1"/>
          <w:bCs w:val="1"/>
          <w:color w:val="auto"/>
        </w:rPr>
        <w:t>Initiate</w:t>
      </w:r>
      <w:r>
        <w:rPr>
          <w:rFonts w:ascii="Arial" w:cs="Arial" w:eastAsia="Arial" w:hAnsi="Arial"/>
          <w:sz w:val="22"/>
          <w:szCs w:val="22"/>
          <w:color w:val="auto"/>
        </w:rPr>
        <w:t>” has a</w:t>
      </w:r>
      <w:r>
        <w:rPr>
          <w:rFonts w:ascii="Arial" w:cs="Arial" w:eastAsia="Arial" w:hAnsi="Arial"/>
          <w:sz w:val="22"/>
          <w:szCs w:val="22"/>
          <w:b w:val="1"/>
          <w:bCs w:val="1"/>
          <w:color w:val="auto"/>
        </w:rPr>
        <w:t xml:space="preserve"> </w:t>
      </w:r>
      <w:r>
        <w:rPr>
          <w:rFonts w:ascii="Arial" w:cs="Arial" w:eastAsia="Arial" w:hAnsi="Arial"/>
          <w:sz w:val="22"/>
          <w:szCs w:val="22"/>
          <w:color w:val="auto"/>
        </w:rPr>
        <w:t>correlative meaning.</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has the meaning set forth in Section 9.1.</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Invention</w:t>
      </w:r>
      <w:r>
        <w:rPr>
          <w:rFonts w:ascii="Arial" w:cs="Arial" w:eastAsia="Arial" w:hAnsi="Arial"/>
          <w:sz w:val="19"/>
          <w:szCs w:val="19"/>
          <w:color w:val="auto"/>
        </w:rPr>
        <w:t>” has the meaning set forth in Section 9.3(b).</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w:t>
      </w:r>
      <w:r>
        <w:rPr>
          <w:rFonts w:ascii="Arial" w:cs="Arial" w:eastAsia="Arial" w:hAnsi="Arial"/>
          <w:sz w:val="19"/>
          <w:szCs w:val="19"/>
          <w:color w:val="auto"/>
        </w:rPr>
        <w:t>” has the meaning set forth in Section 9.3(b).</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has the meaning set forth in Section 3.1.</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1.58 </w:t>
      </w:r>
      <w:r>
        <w:rPr>
          <w:rFonts w:ascii="Arial" w:cs="Arial" w:eastAsia="Arial" w:hAnsi="Arial"/>
          <w:sz w:val="21"/>
          <w:szCs w:val="21"/>
          <w:color w:val="auto"/>
        </w:rPr>
        <w:t>“</w:t>
      </w:r>
      <w:r>
        <w:rPr>
          <w:rFonts w:ascii="Arial" w:cs="Arial" w:eastAsia="Arial" w:hAnsi="Arial"/>
          <w:sz w:val="21"/>
          <w:szCs w:val="21"/>
          <w:b w:val="1"/>
          <w:bCs w:val="1"/>
          <w:color w:val="auto"/>
        </w:rPr>
        <w:t>JSC Term</w:t>
      </w:r>
      <w:r>
        <w:rPr>
          <w:rFonts w:ascii="Arial" w:cs="Arial" w:eastAsia="Arial" w:hAnsi="Arial"/>
          <w:sz w:val="21"/>
          <w:szCs w:val="21"/>
          <w:color w:val="auto"/>
        </w:rPr>
        <w:t>” means the period commencing on the Effective Date and ending on the later of (i) the date of</w:t>
      </w:r>
      <w:r>
        <w:rPr>
          <w:rFonts w:ascii="Arial" w:cs="Arial" w:eastAsia="Arial" w:hAnsi="Arial"/>
          <w:sz w:val="21"/>
          <w:szCs w:val="21"/>
          <w:b w:val="1"/>
          <w:bCs w:val="1"/>
          <w:color w:val="auto"/>
        </w:rPr>
        <w:t xml:space="preserve"> </w:t>
      </w:r>
      <w:r>
        <w:rPr>
          <w:rFonts w:ascii="Arial" w:cs="Arial" w:eastAsia="Arial" w:hAnsi="Arial"/>
          <w:sz w:val="21"/>
          <w:szCs w:val="21"/>
          <w:color w:val="auto"/>
        </w:rPr>
        <w:t>Initiation of the first Phase 3 Clinical Trial or (ii) the completion of all Phase 2 Clinical Trials conducted by Allergan under the Development Plan for *** for the Initial Licensed Compounds and any Modified Licensed Compounds that includes a Sequence Modification (defined below) performed under Section 4.7(a) by Molecular Partners.</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Laws</w:t>
      </w:r>
      <w:r>
        <w:rPr>
          <w:rFonts w:ascii="Arial" w:cs="Arial" w:eastAsia="Arial" w:hAnsi="Arial"/>
          <w:sz w:val="22"/>
          <w:szCs w:val="22"/>
          <w:color w:val="auto"/>
        </w:rPr>
        <w:t>” means all laws, statutes, rules, regulations, ordinances and other pronouncements having the effect of law</w:t>
      </w:r>
      <w:r>
        <w:rPr>
          <w:rFonts w:ascii="Arial" w:cs="Arial" w:eastAsia="Arial" w:hAnsi="Arial"/>
          <w:sz w:val="22"/>
          <w:szCs w:val="22"/>
          <w:b w:val="1"/>
          <w:bCs w:val="1"/>
          <w:color w:val="auto"/>
        </w:rPr>
        <w:t xml:space="preserve"> </w:t>
      </w:r>
      <w:r>
        <w:rPr>
          <w:rFonts w:ascii="Arial" w:cs="Arial" w:eastAsia="Arial" w:hAnsi="Arial"/>
          <w:sz w:val="22"/>
          <w:szCs w:val="22"/>
          <w:color w:val="auto"/>
        </w:rPr>
        <w:t>of any federal, national, multinational, state, provincial, county, city or other political subdivision.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Licensed Compound</w:t>
      </w:r>
      <w:r>
        <w:rPr>
          <w:rFonts w:ascii="Arial" w:cs="Arial" w:eastAsia="Arial" w:hAnsi="Arial"/>
          <w:sz w:val="22"/>
          <w:szCs w:val="22"/>
          <w:color w:val="auto"/>
        </w:rPr>
        <w:t>” means (a) MP0112 and certain other specified DARPin Compounds, in each case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on Exhibit A, (collectively, the “</w:t>
      </w:r>
      <w:r>
        <w:rPr>
          <w:rFonts w:ascii="Arial" w:cs="Arial" w:eastAsia="Arial" w:hAnsi="Arial"/>
          <w:sz w:val="22"/>
          <w:szCs w:val="22"/>
          <w:b w:val="1"/>
          <w:bCs w:val="1"/>
          <w:color w:val="auto"/>
        </w:rPr>
        <w:t>Initial Licensed Compounds</w:t>
      </w:r>
      <w:r>
        <w:rPr>
          <w:rFonts w:ascii="Arial" w:cs="Arial" w:eastAsia="Arial" w:hAnsi="Arial"/>
          <w:sz w:val="22"/>
          <w:szCs w:val="22"/>
          <w:color w:val="auto"/>
        </w:rPr>
        <w:t>”) or (b) any DARPin Compound that is developed by Molecular Partners and/or</w:t>
      </w:r>
    </w:p>
    <w:p>
      <w:pPr>
        <w:sectPr>
          <w:pgSz w:w="11900" w:h="16838" w:orient="portrait"/>
          <w:cols w:equalWidth="0" w:num="1">
            <w:col w:w="11240"/>
          </w:cols>
          <w:pgMar w:left="320" w:top="1421" w:right="339" w:bottom="1440" w:gutter="0" w:footer="0" w:header="0"/>
        </w:sectPr>
      </w:pPr>
    </w:p>
    <w:bookmarkStart w:id="395" w:name="page396"/>
    <w:bookmarkEnd w:id="395"/>
    <w:p>
      <w:pPr>
        <w:spacing w:after="0"/>
        <w:rPr>
          <w:sz w:val="20"/>
          <w:szCs w:val="20"/>
          <w:color w:val="auto"/>
        </w:rPr>
      </w:pPr>
      <w:r>
        <w:rPr>
          <w:rFonts w:ascii="Arial" w:cs="Arial" w:eastAsia="Arial" w:hAnsi="Arial"/>
          <w:sz w:val="19"/>
          <w:szCs w:val="19"/>
          <w:color w:val="auto"/>
        </w:rPr>
        <w:t>Allergan pursuant to Section 4.7 in accordance with the terms and conditions thereof (a “</w:t>
      </w:r>
      <w:r>
        <w:rPr>
          <w:rFonts w:ascii="Arial" w:cs="Arial" w:eastAsia="Arial" w:hAnsi="Arial"/>
          <w:sz w:val="19"/>
          <w:szCs w:val="19"/>
          <w:b w:val="1"/>
          <w:bCs w:val="1"/>
          <w:color w:val="auto"/>
        </w:rPr>
        <w:t>Modified Licensed Compound</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pharmaceutical product containing a Licensed Compound alone or in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other therapeutically active ingredients.</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Product Marks</w:t>
      </w:r>
      <w:r>
        <w:rPr>
          <w:rFonts w:ascii="Arial" w:cs="Arial" w:eastAsia="Arial" w:hAnsi="Arial"/>
          <w:sz w:val="19"/>
          <w:szCs w:val="19"/>
          <w:color w:val="auto"/>
        </w:rPr>
        <w:t>” has the meaning set forth in Section 9.11(a).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22"/>
          <w:szCs w:val="22"/>
          <w:color w:val="auto"/>
        </w:rPr>
        <w:t>“</w:t>
      </w:r>
      <w:r>
        <w:rPr>
          <w:rFonts w:ascii="Arial" w:cs="Arial" w:eastAsia="Arial" w:hAnsi="Arial"/>
          <w:sz w:val="22"/>
          <w:szCs w:val="22"/>
          <w:b w:val="1"/>
          <w:bCs w:val="1"/>
          <w:color w:val="auto"/>
        </w:rPr>
        <w:t>Major European Market Country(ies)</w:t>
      </w:r>
      <w:r>
        <w:rPr>
          <w:rFonts w:ascii="Arial" w:cs="Arial" w:eastAsia="Arial" w:hAnsi="Arial"/>
          <w:sz w:val="22"/>
          <w:szCs w:val="22"/>
          <w:color w:val="auto"/>
        </w:rPr>
        <w:t>” means any of the following countries: France, Germany, Italy, Spain,</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United Kingdom.</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1.64 </w:t>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means all activities related to the manufacturing of a Licensed Compound or Licensed Product, or</w:t>
      </w:r>
      <w:r>
        <w:rPr>
          <w:rFonts w:ascii="Arial" w:cs="Arial" w:eastAsia="Arial" w:hAnsi="Arial"/>
          <w:sz w:val="19"/>
          <w:szCs w:val="19"/>
          <w:b w:val="1"/>
          <w:bCs w:val="1"/>
          <w:color w:val="auto"/>
        </w:rPr>
        <w:t xml:space="preserve"> </w:t>
      </w:r>
      <w:r>
        <w:rPr>
          <w:rFonts w:ascii="Arial" w:cs="Arial" w:eastAsia="Arial" w:hAnsi="Arial"/>
          <w:sz w:val="19"/>
          <w:szCs w:val="19"/>
          <w:color w:val="auto"/>
        </w:rPr>
        <w:t>any ingredient thereof, including test method development and stability testing, formulation, process development, manufacturing scale-up, manufacturing any Licensed Compound or Licensed Product in bulk or finished form for Development, manufacturing finished Licensed Product for Commercialization, packaging, in-process and finished Licensed Product testing, release of Licensed Product or any component or ingredient thereof, quality assurance activities related to manufacturing and release of Licensed Product, and regulatory activities related to any of the foregoing. “</w:t>
      </w:r>
      <w:r>
        <w:rPr>
          <w:rFonts w:ascii="Arial" w:cs="Arial" w:eastAsia="Arial" w:hAnsi="Arial"/>
          <w:sz w:val="19"/>
          <w:szCs w:val="19"/>
          <w:b w:val="1"/>
          <w:bCs w:val="1"/>
          <w:color w:val="auto"/>
        </w:rPr>
        <w:t>Manufacturing</w:t>
      </w:r>
      <w:r>
        <w:rPr>
          <w:rFonts w:ascii="Arial" w:cs="Arial" w:eastAsia="Arial" w:hAnsi="Arial"/>
          <w:sz w:val="19"/>
          <w:szCs w:val="19"/>
          <w:color w:val="auto"/>
        </w:rPr>
        <w:t>” has a correlative meaning.</w:t>
      </w:r>
    </w:p>
    <w:p>
      <w:pPr>
        <w:spacing w:after="0" w:line="14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MHLW</w:t>
      </w:r>
      <w:r>
        <w:rPr>
          <w:rFonts w:ascii="Arial" w:cs="Arial" w:eastAsia="Arial" w:hAnsi="Arial"/>
          <w:sz w:val="19"/>
          <w:szCs w:val="19"/>
          <w:color w:val="auto"/>
        </w:rPr>
        <w:t>” means the Japanese Ministry of Health, Labour and Welfare or any successor entity.</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 Indemnitees</w:t>
      </w:r>
      <w:r>
        <w:rPr>
          <w:rFonts w:ascii="Arial" w:cs="Arial" w:eastAsia="Arial" w:hAnsi="Arial"/>
          <w:sz w:val="19"/>
          <w:szCs w:val="19"/>
          <w:color w:val="auto"/>
        </w:rPr>
        <w:t>” has the meaning set forth in Section 11.2.</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Molecular Partners Know-How</w:t>
      </w:r>
      <w:r>
        <w:rPr>
          <w:rFonts w:ascii="Arial" w:cs="Arial" w:eastAsia="Arial" w:hAnsi="Arial"/>
          <w:sz w:val="22"/>
          <w:szCs w:val="22"/>
          <w:color w:val="auto"/>
        </w:rPr>
        <w:t>” means all Information that is Controlled by Molecular Partners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or during the Term and is directly related to the Development, Manufacturing, or Commercialization of Licensed Compounds or Licensed Products in the Field. For clarity, Molecular Partners Know-How excludes Information contained within the Molecular Partners Patents.</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1.68 </w:t>
      </w:r>
      <w:r>
        <w:rPr>
          <w:rFonts w:ascii="Arial" w:cs="Arial" w:eastAsia="Arial" w:hAnsi="Arial"/>
          <w:sz w:val="21"/>
          <w:szCs w:val="21"/>
          <w:color w:val="auto"/>
        </w:rPr>
        <w:t>“</w:t>
      </w:r>
      <w:r>
        <w:rPr>
          <w:rFonts w:ascii="Arial" w:cs="Arial" w:eastAsia="Arial" w:hAnsi="Arial"/>
          <w:sz w:val="21"/>
          <w:szCs w:val="21"/>
          <w:b w:val="1"/>
          <w:bCs w:val="1"/>
          <w:color w:val="auto"/>
        </w:rPr>
        <w:t>Molecular Partners Patent</w:t>
      </w:r>
      <w:r>
        <w:rPr>
          <w:rFonts w:ascii="Arial" w:cs="Arial" w:eastAsia="Arial" w:hAnsi="Arial"/>
          <w:sz w:val="21"/>
          <w:szCs w:val="21"/>
          <w:color w:val="auto"/>
        </w:rPr>
        <w:t>” means any Patent (other than a Joint Patent) that (a) is Controlled by Molecular</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 as of the Effective Date or at any time during the Term, and (b) that would otherwise be infringed, absent a license, by the manufacture, use, sale, offer for sale, importation, and Development, Manufacture, or Commercialization of any Licensed Compound or Licensed Product. “</w:t>
      </w:r>
      <w:r>
        <w:rPr>
          <w:rFonts w:ascii="Arial" w:cs="Arial" w:eastAsia="Arial" w:hAnsi="Arial"/>
          <w:sz w:val="21"/>
          <w:szCs w:val="21"/>
          <w:b w:val="1"/>
          <w:bCs w:val="1"/>
          <w:color w:val="auto"/>
        </w:rPr>
        <w:t>Molecular Partners Patent</w:t>
      </w:r>
      <w:r>
        <w:rPr>
          <w:rFonts w:ascii="Arial" w:cs="Arial" w:eastAsia="Arial" w:hAnsi="Arial"/>
          <w:sz w:val="21"/>
          <w:szCs w:val="21"/>
          <w:color w:val="auto"/>
        </w:rPr>
        <w:t>” includes the Patents set forth on Exhibits F and G; any Patent that claims priority, directly or indirectly, from the Patents set forth on Exhibits F and G; and any Patent from which the Patents set forth on Exhibits F and G claim priority, directly or indirectly.</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 Platform Patents</w:t>
      </w:r>
      <w:r>
        <w:rPr>
          <w:rFonts w:ascii="Arial" w:cs="Arial" w:eastAsia="Arial" w:hAnsi="Arial"/>
          <w:sz w:val="19"/>
          <w:szCs w:val="19"/>
          <w:color w:val="auto"/>
        </w:rPr>
        <w:t>” has the meaning set forth in Section 9.4(a)(i).</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 Product Patents</w:t>
      </w:r>
      <w:r>
        <w:rPr>
          <w:rFonts w:ascii="Arial" w:cs="Arial" w:eastAsia="Arial" w:hAnsi="Arial"/>
          <w:sz w:val="19"/>
          <w:szCs w:val="19"/>
          <w:color w:val="auto"/>
        </w:rPr>
        <w:t>” has the meaning set forth in Section 9.4(a)(ii).</w:t>
      </w:r>
    </w:p>
    <w:p>
      <w:pPr>
        <w:sectPr>
          <w:pgSz w:w="11900" w:h="16838" w:orient="portrait"/>
          <w:cols w:equalWidth="0" w:num="1">
            <w:col w:w="11240"/>
          </w:cols>
          <w:pgMar w:left="320" w:top="1421" w:right="339" w:bottom="1440" w:gutter="0" w:footer="0" w:header="0"/>
        </w:sectPr>
      </w:pPr>
    </w:p>
    <w:bookmarkStart w:id="396" w:name="page397"/>
    <w:bookmarkEnd w:id="396"/>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1.71 </w:t>
      </w:r>
      <w:r>
        <w:rPr>
          <w:rFonts w:ascii="Arial" w:cs="Arial" w:eastAsia="Arial" w:hAnsi="Arial"/>
          <w:sz w:val="22"/>
          <w:szCs w:val="22"/>
          <w:color w:val="auto"/>
        </w:rPr>
        <w:t>“</w:t>
      </w:r>
      <w:r>
        <w:rPr>
          <w:rFonts w:ascii="Arial" w:cs="Arial" w:eastAsia="Arial" w:hAnsi="Arial"/>
          <w:sz w:val="22"/>
          <w:szCs w:val="22"/>
          <w:b w:val="1"/>
          <w:bCs w:val="1"/>
          <w:color w:val="auto"/>
        </w:rPr>
        <w:t>Molecular Partners Technology</w:t>
      </w:r>
      <w:r>
        <w:rPr>
          <w:rFonts w:ascii="Arial" w:cs="Arial" w:eastAsia="Arial" w:hAnsi="Arial"/>
          <w:sz w:val="22"/>
          <w:szCs w:val="22"/>
          <w:color w:val="auto"/>
        </w:rPr>
        <w:t>” means the Molecular Partners Know-How, Molecular Partners Patents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Molecular Partners’ interest in the Joint Patents.</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MP0112</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Necessary License</w:t>
      </w:r>
      <w:r>
        <w:rPr>
          <w:rFonts w:ascii="Arial" w:cs="Arial" w:eastAsia="Arial" w:hAnsi="Arial"/>
          <w:sz w:val="19"/>
          <w:szCs w:val="19"/>
          <w:color w:val="auto"/>
        </w:rPr>
        <w:t>” has the meaning set forth in Section 8.5(b).</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with respect to a given period of time, gross sales of Licensed Product by Allergan,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and Sublicensees in such period, less the following deductions which are actually incurred, allowed, paid, accrued or specifically allocated to such gross sales amounts of Licensed Product:</w:t>
      </w:r>
    </w:p>
    <w:p>
      <w:pPr>
        <w:spacing w:after="0" w:line="182" w:lineRule="exact"/>
        <w:rPr>
          <w:sz w:val="20"/>
          <w:szCs w:val="20"/>
          <w:color w:val="auto"/>
        </w:rPr>
      </w:pPr>
    </w:p>
    <w:p>
      <w:pPr>
        <w:ind w:firstLine="1304"/>
        <w:spacing w:after="0" w:line="263" w:lineRule="auto"/>
        <w:tabs>
          <w:tab w:leader="none" w:pos="1899"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credits or allowances actually granted for damaged Licensed Product, returns or rejections of Licensed Product, price adjustments and billing errors;</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24"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governmental and other rebates (or equivalents thereof) granted to managed health care organizations; pharmacy benefit managers (or equivalents thereof); federal, state/provincial, local and other governments, their agencies and purchasers and reimbursers; or to trade customers;</w:t>
      </w:r>
    </w:p>
    <w:p>
      <w:pPr>
        <w:spacing w:after="0" w:line="185" w:lineRule="exact"/>
        <w:rPr>
          <w:rFonts w:ascii="Arial" w:cs="Arial" w:eastAsia="Arial" w:hAnsi="Arial"/>
          <w:sz w:val="22"/>
          <w:szCs w:val="22"/>
          <w:b w:val="1"/>
          <w:bCs w:val="1"/>
          <w:color w:val="auto"/>
        </w:rPr>
      </w:pPr>
    </w:p>
    <w:p>
      <w:pPr>
        <w:ind w:left="1760" w:hanging="456"/>
        <w:spacing w:after="0"/>
        <w:tabs>
          <w:tab w:leader="none" w:pos="1760"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normal and customary trade, cash and quantity discounts, allowances and credits;</w:t>
      </w:r>
    </w:p>
    <w:p>
      <w:pPr>
        <w:spacing w:after="0" w:line="219" w:lineRule="exact"/>
        <w:rPr>
          <w:rFonts w:ascii="Arial" w:cs="Arial" w:eastAsia="Arial" w:hAnsi="Arial"/>
          <w:sz w:val="22"/>
          <w:szCs w:val="22"/>
          <w:b w:val="1"/>
          <w:bCs w:val="1"/>
          <w:color w:val="auto"/>
        </w:rPr>
      </w:pPr>
    </w:p>
    <w:p>
      <w:pPr>
        <w:ind w:left="1780" w:hanging="476"/>
        <w:spacing w:after="0"/>
        <w:tabs>
          <w:tab w:leader="none" w:pos="1780"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distribution services agreement fees allowed or paid to Third Party distributors;</w:t>
      </w:r>
    </w:p>
    <w:p>
      <w:pPr>
        <w:spacing w:after="0" w:line="219" w:lineRule="exact"/>
        <w:rPr>
          <w:rFonts w:ascii="Arial" w:cs="Arial" w:eastAsia="Arial" w:hAnsi="Arial"/>
          <w:sz w:val="22"/>
          <w:szCs w:val="22"/>
          <w:b w:val="1"/>
          <w:bCs w:val="1"/>
          <w:color w:val="auto"/>
        </w:rPr>
      </w:pPr>
    </w:p>
    <w:p>
      <w:pPr>
        <w:ind w:firstLine="1304"/>
        <w:spacing w:after="0" w:line="263" w:lineRule="auto"/>
        <w:tabs>
          <w:tab w:leader="none" w:pos="1779"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transportation costs, including insurance, for outbound freight related to delivery of Licensed Product to the extent included in the gross amount invoiced;</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755"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sales taxes, value added taxes and other taxes (other than income) applied to the sale of Licensed Product to the extent included in the gross amount invoiced; and</w:t>
      </w:r>
    </w:p>
    <w:p>
      <w:pPr>
        <w:spacing w:after="0" w:line="174" w:lineRule="exact"/>
        <w:rPr>
          <w:rFonts w:ascii="Arial" w:cs="Arial" w:eastAsia="Arial" w:hAnsi="Arial"/>
          <w:sz w:val="22"/>
          <w:szCs w:val="22"/>
          <w:b w:val="1"/>
          <w:bCs w:val="1"/>
          <w:color w:val="auto"/>
        </w:rPr>
      </w:pPr>
    </w:p>
    <w:p>
      <w:pPr>
        <w:ind w:left="1780" w:hanging="476"/>
        <w:spacing w:after="0"/>
        <w:tabs>
          <w:tab w:leader="none" w:pos="1780" w:val="left"/>
        </w:tabs>
        <w:numPr>
          <w:ilvl w:val="0"/>
          <w:numId w:val="372"/>
        </w:numPr>
        <w:rPr>
          <w:rFonts w:ascii="Arial" w:cs="Arial" w:eastAsia="Arial" w:hAnsi="Arial"/>
          <w:sz w:val="22"/>
          <w:szCs w:val="22"/>
          <w:b w:val="1"/>
          <w:bCs w:val="1"/>
          <w:color w:val="auto"/>
        </w:rPr>
      </w:pPr>
      <w:r>
        <w:rPr>
          <w:rFonts w:ascii="Arial" w:cs="Arial" w:eastAsia="Arial" w:hAnsi="Arial"/>
          <w:sz w:val="22"/>
          <w:szCs w:val="22"/>
          <w:color w:val="auto"/>
        </w:rPr>
        <w:t>any other items that reduce gross sales amounts as required by GAAP.</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Sales of Licensed Product between or among Allergan and its Affiliates or Sublicensees shall be excluded from the computation of Net Sales, but the subsequent final sales of Licensed Product to Third Parties by such Affiliates and Sublicensees shall be included in the computation of Net Sales.</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Notwithstanding the foregoing, in the event a Licensed Product is sold in a country in the Territory as a Combination Product, Net Sales of the Combination Product will be calculated as follows:</w:t>
      </w:r>
    </w:p>
    <w:p>
      <w:pPr>
        <w:spacing w:after="0" w:line="175" w:lineRule="exact"/>
        <w:rPr>
          <w:sz w:val="20"/>
          <w:szCs w:val="20"/>
          <w:color w:val="auto"/>
        </w:rPr>
      </w:pPr>
    </w:p>
    <w:p>
      <w:pPr>
        <w:jc w:val="both"/>
        <w:ind w:firstLine="1952"/>
        <w:spacing w:after="0" w:line="312" w:lineRule="auto"/>
        <w:tabs>
          <w:tab w:leader="none" w:pos="2377" w:val="left"/>
        </w:tabs>
        <w:numPr>
          <w:ilvl w:val="0"/>
          <w:numId w:val="373"/>
        </w:numPr>
        <w:rPr>
          <w:rFonts w:ascii="Arial" w:cs="Arial" w:eastAsia="Arial" w:hAnsi="Arial"/>
          <w:sz w:val="19"/>
          <w:szCs w:val="19"/>
          <w:b w:val="1"/>
          <w:bCs w:val="1"/>
          <w:color w:val="auto"/>
        </w:rPr>
      </w:pPr>
      <w:r>
        <w:rPr>
          <w:rFonts w:ascii="Arial" w:cs="Arial" w:eastAsia="Arial" w:hAnsi="Arial"/>
          <w:sz w:val="19"/>
          <w:szCs w:val="19"/>
          <w:color w:val="auto"/>
        </w:rPr>
        <w:t>If Licensed Product and other active component(s) each are sold separately in such country, Net Sales will be calculated by multiplying the total Net Sales (as described above) of the Combination Product by the fraction A/(A+B), where A is the average gross selling price in such country of the Licensed Product sold separately in the same</w:t>
      </w:r>
    </w:p>
    <w:p>
      <w:pPr>
        <w:sectPr>
          <w:pgSz w:w="11900" w:h="16838" w:orient="portrait"/>
          <w:cols w:equalWidth="0" w:num="1">
            <w:col w:w="11240"/>
          </w:cols>
          <w:pgMar w:left="320" w:top="1421" w:right="339" w:bottom="1440" w:gutter="0" w:footer="0" w:header="0"/>
        </w:sectPr>
      </w:pPr>
    </w:p>
    <w:bookmarkStart w:id="397" w:name="page398"/>
    <w:bookmarkEnd w:id="397"/>
    <w:p>
      <w:pPr>
        <w:spacing w:after="0" w:line="263" w:lineRule="auto"/>
        <w:rPr>
          <w:sz w:val="20"/>
          <w:szCs w:val="20"/>
          <w:color w:val="auto"/>
        </w:rPr>
      </w:pPr>
      <w:r>
        <w:rPr>
          <w:rFonts w:ascii="Arial" w:cs="Arial" w:eastAsia="Arial" w:hAnsi="Arial"/>
          <w:sz w:val="22"/>
          <w:szCs w:val="22"/>
          <w:color w:val="auto"/>
        </w:rPr>
        <w:t>formulation and dosage, and B is the sum of the average gross selling prices in such country of such other active component(s) sold separately in the same formulation and dosage, during the applicable Calendar Year.</w:t>
      </w:r>
    </w:p>
    <w:p>
      <w:pPr>
        <w:spacing w:after="0" w:line="175" w:lineRule="exact"/>
        <w:rPr>
          <w:sz w:val="20"/>
          <w:szCs w:val="20"/>
          <w:color w:val="auto"/>
        </w:rPr>
      </w:pPr>
    </w:p>
    <w:p>
      <w:pPr>
        <w:jc w:val="both"/>
        <w:ind w:firstLine="1952"/>
        <w:spacing w:after="0" w:line="248" w:lineRule="auto"/>
        <w:tabs>
          <w:tab w:leader="none" w:pos="2572" w:val="left"/>
        </w:tabs>
        <w:numPr>
          <w:ilvl w:val="0"/>
          <w:numId w:val="374"/>
        </w:numPr>
        <w:rPr>
          <w:rFonts w:ascii="Arial" w:cs="Arial" w:eastAsia="Arial" w:hAnsi="Arial"/>
          <w:sz w:val="22"/>
          <w:szCs w:val="22"/>
          <w:b w:val="1"/>
          <w:bCs w:val="1"/>
          <w:color w:val="auto"/>
        </w:rPr>
      </w:pPr>
      <w:r>
        <w:rPr>
          <w:rFonts w:ascii="Arial" w:cs="Arial" w:eastAsia="Arial" w:hAnsi="Arial"/>
          <w:sz w:val="22"/>
          <w:szCs w:val="22"/>
          <w:color w:val="auto"/>
        </w:rPr>
        <w:t>If the Licensed Product is sold independently of the other active component(s) therein in such country, but the average gross selling price of such other active component(s) cannot be determined, Net Sales will be calculated by multiplying the total Net Sales (as described above) of the Combination Product by the fraction A/C where A is the average gross selling price in such country of such Licensed Product sold independently and C is the average gross selling price in such country of the entire Combination Product.</w:t>
      </w:r>
    </w:p>
    <w:p>
      <w:pPr>
        <w:spacing w:after="0" w:line="191" w:lineRule="exact"/>
        <w:rPr>
          <w:rFonts w:ascii="Arial" w:cs="Arial" w:eastAsia="Arial" w:hAnsi="Arial"/>
          <w:sz w:val="22"/>
          <w:szCs w:val="22"/>
          <w:b w:val="1"/>
          <w:bCs w:val="1"/>
          <w:color w:val="auto"/>
        </w:rPr>
      </w:pPr>
    </w:p>
    <w:p>
      <w:pPr>
        <w:jc w:val="both"/>
        <w:ind w:firstLine="1952"/>
        <w:spacing w:after="0" w:line="248" w:lineRule="auto"/>
        <w:tabs>
          <w:tab w:leader="none" w:pos="2592" w:val="left"/>
        </w:tabs>
        <w:numPr>
          <w:ilvl w:val="0"/>
          <w:numId w:val="374"/>
        </w:numPr>
        <w:rPr>
          <w:rFonts w:ascii="Arial" w:cs="Arial" w:eastAsia="Arial" w:hAnsi="Arial"/>
          <w:sz w:val="22"/>
          <w:szCs w:val="22"/>
          <w:b w:val="1"/>
          <w:bCs w:val="1"/>
          <w:color w:val="auto"/>
        </w:rPr>
      </w:pPr>
      <w:r>
        <w:rPr>
          <w:rFonts w:ascii="Arial" w:cs="Arial" w:eastAsia="Arial" w:hAnsi="Arial"/>
          <w:sz w:val="22"/>
          <w:szCs w:val="22"/>
          <w:color w:val="auto"/>
        </w:rPr>
        <w:t>If the other active component(s) are sold independently of the Licensed Product therein in such country, but the average gross selling price of such Licensed Product cannot be determined, Net Sales will be calculated by multiplying the total Net Sales (as described above) of the Combination Product by the fraction [1-B/C], where B is the average gross selling price in the Territory of such other active component(s) and C is the average gross selling price in the Territory of the entire Combination Product.</w:t>
      </w:r>
    </w:p>
    <w:p>
      <w:pPr>
        <w:spacing w:after="0" w:line="191" w:lineRule="exact"/>
        <w:rPr>
          <w:rFonts w:ascii="Arial" w:cs="Arial" w:eastAsia="Arial" w:hAnsi="Arial"/>
          <w:sz w:val="22"/>
          <w:szCs w:val="22"/>
          <w:b w:val="1"/>
          <w:bCs w:val="1"/>
          <w:color w:val="auto"/>
        </w:rPr>
      </w:pPr>
    </w:p>
    <w:p>
      <w:pPr>
        <w:jc w:val="both"/>
        <w:ind w:firstLine="1952"/>
        <w:spacing w:after="0" w:line="253" w:lineRule="auto"/>
        <w:tabs>
          <w:tab w:leader="none" w:pos="2566" w:val="left"/>
        </w:tabs>
        <w:numPr>
          <w:ilvl w:val="0"/>
          <w:numId w:val="374"/>
        </w:numPr>
        <w:rPr>
          <w:rFonts w:ascii="Arial" w:cs="Arial" w:eastAsia="Arial" w:hAnsi="Arial"/>
          <w:sz w:val="22"/>
          <w:szCs w:val="22"/>
          <w:b w:val="1"/>
          <w:bCs w:val="1"/>
          <w:color w:val="auto"/>
        </w:rPr>
      </w:pPr>
      <w:r>
        <w:rPr>
          <w:rFonts w:ascii="Arial" w:cs="Arial" w:eastAsia="Arial" w:hAnsi="Arial"/>
          <w:sz w:val="22"/>
          <w:szCs w:val="22"/>
          <w:color w:val="auto"/>
        </w:rPr>
        <w:t>If neither the Licensed Product nor the other active component(s) are sold independently in such country, the Parties shall determine Net Sales for such Combination Product by mutual agreement based on the relative contribution of the Licensed Product and the other active ingredient(s) in the Combination Product.</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For purposes of the foregoing, in the Calendar Year during which a Combination Product is first sold in a country, a forecasted average gross selling price shall be used for the Licensed Product and the other active component(s), to be determined in good faith mutually by the Parties. Any over or under payment due to a difference between forecasted and actual average gross selling prices in such country shall be paid or credited, as applicable, in the first royalty payment of the following Calendar Year. In the following Calendar Year the average gross selling price of both the Licensed Product and the other active component(s) included in the Combination Product in the previous Calendar Year shall apply.</w:t>
      </w:r>
    </w:p>
    <w:p>
      <w:pPr>
        <w:spacing w:after="0" w:line="1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Allergan, its Affiliates, and Sublicensees will not sell any Licensed Product in combination with or as part of a bundle with other products, or offer packaged arrangements to customers that include a Licensed Product, in such a manner as to disproportionately discount the selling price of such Licensed Product as compared with the weighted-average discount applied to the other products, as a percent of the respective list prices (or if not available, a good faith estimate thereof) of such products and the Licensed Product prior to applying the discount.</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color w:val="auto"/>
        </w:rPr>
        <w:t>Patents</w:t>
      </w:r>
      <w:r>
        <w:rPr>
          <w:rFonts w:ascii="Arial" w:cs="Arial" w:eastAsia="Arial" w:hAnsi="Arial"/>
          <w:sz w:val="22"/>
          <w:szCs w:val="22"/>
          <w:color w:val="auto"/>
        </w:rPr>
        <w:t>” means (a) pending patent applications, issued patents, utility models and designs; (b) reissues,</w:t>
      </w:r>
      <w:r>
        <w:rPr>
          <w:rFonts w:ascii="Arial" w:cs="Arial" w:eastAsia="Arial" w:hAnsi="Arial"/>
          <w:sz w:val="22"/>
          <w:szCs w:val="22"/>
          <w:b w:val="1"/>
          <w:bCs w:val="1"/>
          <w:color w:val="auto"/>
        </w:rPr>
        <w:t xml:space="preserve"> </w:t>
      </w:r>
      <w:r>
        <w:rPr>
          <w:rFonts w:ascii="Arial" w:cs="Arial" w:eastAsia="Arial" w:hAnsi="Arial"/>
          <w:sz w:val="22"/>
          <w:szCs w:val="22"/>
          <w:color w:val="auto"/>
        </w:rPr>
        <w:t>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sectPr>
          <w:pgSz w:w="11900" w:h="16838" w:orient="portrait"/>
          <w:cols w:equalWidth="0" w:num="1">
            <w:col w:w="11240"/>
          </w:cols>
          <w:pgMar w:left="320" w:top="1427" w:right="339" w:bottom="1440" w:gutter="0" w:footer="0" w:header="0"/>
        </w:sectPr>
      </w:pPr>
    </w:p>
    <w:bookmarkStart w:id="398" w:name="page399"/>
    <w:bookmarkEnd w:id="398"/>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1.76 </w:t>
      </w:r>
      <w:r>
        <w:rPr>
          <w:rFonts w:ascii="Arial" w:cs="Arial" w:eastAsia="Arial" w:hAnsi="Arial"/>
          <w:sz w:val="19"/>
          <w:szCs w:val="19"/>
          <w:color w:val="auto"/>
        </w:rPr>
        <w:t>“</w:t>
      </w:r>
      <w:r>
        <w:rPr>
          <w:rFonts w:ascii="Arial" w:cs="Arial" w:eastAsia="Arial" w:hAnsi="Arial"/>
          <w:sz w:val="19"/>
          <w:szCs w:val="19"/>
          <w:b w:val="1"/>
          <w:bCs w:val="1"/>
          <w:color w:val="auto"/>
        </w:rPr>
        <w:t>Phase 2 Clinical Trial</w:t>
      </w:r>
      <w:r>
        <w:rPr>
          <w:rFonts w:ascii="Arial" w:cs="Arial" w:eastAsia="Arial" w:hAnsi="Arial"/>
          <w:sz w:val="19"/>
          <w:szCs w:val="19"/>
          <w:color w:val="auto"/>
        </w:rPr>
        <w:t>” means a Clinical Trial of a Licensed Product in the Field designed to determine the safe</w:t>
      </w:r>
      <w:r>
        <w:rPr>
          <w:rFonts w:ascii="Arial" w:cs="Arial" w:eastAsia="Arial" w:hAnsi="Arial"/>
          <w:sz w:val="19"/>
          <w:szCs w:val="19"/>
          <w:b w:val="1"/>
          <w:bCs w:val="1"/>
          <w:color w:val="auto"/>
        </w:rPr>
        <w:t xml:space="preserve"> </w:t>
      </w:r>
      <w:r>
        <w:rPr>
          <w:rFonts w:ascii="Arial" w:cs="Arial" w:eastAsia="Arial" w:hAnsi="Arial"/>
          <w:sz w:val="19"/>
          <w:szCs w:val="19"/>
          <w:color w:val="auto"/>
        </w:rPr>
        <w:t>and effective dose range in the proposed therapeutic indication as and to the extent defined for the U.S. in 21 C.F.R. § 312.21(b), as amended from time to time, or equivalent law or regulation in regulatory jurisdictions outside the U.S.</w:t>
      </w:r>
    </w:p>
    <w:p>
      <w:pPr>
        <w:spacing w:after="0" w:line="12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w:t>
      </w:r>
      <w:r>
        <w:rPr>
          <w:rFonts w:ascii="Arial" w:cs="Arial" w:eastAsia="Arial" w:hAnsi="Arial"/>
          <w:sz w:val="22"/>
          <w:szCs w:val="22"/>
          <w:b w:val="1"/>
          <w:bCs w:val="1"/>
          <w:color w:val="auto"/>
        </w:rPr>
        <w:t>Phase 3 Clinical Trial</w:t>
      </w:r>
      <w:r>
        <w:rPr>
          <w:rFonts w:ascii="Arial" w:cs="Arial" w:eastAsia="Arial" w:hAnsi="Arial"/>
          <w:sz w:val="22"/>
          <w:szCs w:val="22"/>
          <w:color w:val="auto"/>
        </w:rPr>
        <w:t>” means a pivotal Clinical Trial of a Licensed Product in the Field with a defined dose or a</w:t>
      </w:r>
      <w:r>
        <w:rPr>
          <w:rFonts w:ascii="Arial" w:cs="Arial" w:eastAsia="Arial" w:hAnsi="Arial"/>
          <w:sz w:val="22"/>
          <w:szCs w:val="22"/>
          <w:b w:val="1"/>
          <w:bCs w:val="1"/>
          <w:color w:val="auto"/>
        </w:rPr>
        <w:t xml:space="preserve"> </w:t>
      </w:r>
      <w:r>
        <w:rPr>
          <w:rFonts w:ascii="Arial" w:cs="Arial" w:eastAsia="Arial" w:hAnsi="Arial"/>
          <w:sz w:val="22"/>
          <w:szCs w:val="22"/>
          <w:color w:val="auto"/>
        </w:rPr>
        <w:t>set of defined doses of such Licensed Product on sufficient numbers of human patients designed to confirm with statistical significance the safety and efficacy of such Licensed Product and to support a Regulatory Approval for the proposed Indication as and to the extent defined for the U.S. in 21 C.F.R. § 312.21(c), as amended from time to time, or equivalent law or regulation in regulatory jurisdictions outside the U.S.</w:t>
      </w:r>
    </w:p>
    <w:p>
      <w:pPr>
        <w:spacing w:after="0" w:line="18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Infringement</w:t>
      </w:r>
      <w:r>
        <w:rPr>
          <w:rFonts w:ascii="Arial" w:cs="Arial" w:eastAsia="Arial" w:hAnsi="Arial"/>
          <w:sz w:val="19"/>
          <w:szCs w:val="19"/>
          <w:color w:val="auto"/>
        </w:rPr>
        <w:t>” has the meaning set forth in Section 9.5(a).</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1.79 </w:t>
      </w:r>
      <w:r>
        <w:rPr>
          <w:rFonts w:ascii="Arial" w:cs="Arial" w:eastAsia="Arial" w:hAnsi="Arial"/>
          <w:sz w:val="19"/>
          <w:szCs w:val="19"/>
          <w:color w:val="auto"/>
        </w:rPr>
        <w:t>“</w:t>
      </w:r>
      <w:r>
        <w:rPr>
          <w:rFonts w:ascii="Arial" w:cs="Arial" w:eastAsia="Arial" w:hAnsi="Arial"/>
          <w:sz w:val="19"/>
          <w:szCs w:val="19"/>
          <w:b w:val="1"/>
          <w:bCs w:val="1"/>
          <w:color w:val="auto"/>
        </w:rPr>
        <w:t>Regulatory Approval</w:t>
      </w:r>
      <w:r>
        <w:rPr>
          <w:rFonts w:ascii="Arial" w:cs="Arial" w:eastAsia="Arial" w:hAnsi="Arial"/>
          <w:sz w:val="19"/>
          <w:szCs w:val="19"/>
          <w:color w:val="auto"/>
        </w:rPr>
        <w:t>” means all approvals from the relevant Regulatory Authority in a given country or</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jurisdiction of the Regulatory Approval Application for a Licensed Product in the Field, including all licenses, registrations, and pricing or reimbursement approvals, that are necessary for the sale of such Licensed Product, including clinical testing, manufacture, distribution, or use of such Licensed Product, in such country or regulatory jurisdiction.</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1.80 </w:t>
      </w:r>
      <w:r>
        <w:rPr>
          <w:rFonts w:ascii="Arial" w:cs="Arial" w:eastAsia="Arial" w:hAnsi="Arial"/>
          <w:sz w:val="22"/>
          <w:szCs w:val="22"/>
          <w:color w:val="auto"/>
        </w:rPr>
        <w:t>“</w:t>
      </w:r>
      <w:r>
        <w:rPr>
          <w:rFonts w:ascii="Arial" w:cs="Arial" w:eastAsia="Arial" w:hAnsi="Arial"/>
          <w:sz w:val="22"/>
          <w:szCs w:val="22"/>
          <w:b w:val="1"/>
          <w:bCs w:val="1"/>
          <w:color w:val="auto"/>
        </w:rPr>
        <w:t>Regulatory Approval Application</w:t>
      </w:r>
      <w:r>
        <w:rPr>
          <w:rFonts w:ascii="Arial" w:cs="Arial" w:eastAsia="Arial" w:hAnsi="Arial"/>
          <w:sz w:val="22"/>
          <w:szCs w:val="22"/>
          <w:color w:val="auto"/>
        </w:rPr>
        <w:t>” means an application to the appropriate Regulatory Authority for approval to</w:t>
      </w:r>
      <w:r>
        <w:rPr>
          <w:rFonts w:ascii="Arial" w:cs="Arial" w:eastAsia="Arial" w:hAnsi="Arial"/>
          <w:sz w:val="22"/>
          <w:szCs w:val="22"/>
          <w:b w:val="1"/>
          <w:bCs w:val="1"/>
          <w:color w:val="auto"/>
        </w:rPr>
        <w:t xml:space="preserve"> </w:t>
      </w:r>
      <w:r>
        <w:rPr>
          <w:rFonts w:ascii="Arial" w:cs="Arial" w:eastAsia="Arial" w:hAnsi="Arial"/>
          <w:sz w:val="22"/>
          <w:szCs w:val="22"/>
          <w:color w:val="auto"/>
        </w:rPr>
        <w:t>sell a Licensed Product in any particular jurisdiction, including a BLA in the U.S.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in a particular country or jurisdiction, any applicable Governmental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that has the authority to regulate the manufacture, marketing, testing, pricing, or sale of drug products in such country or jurisdiction.</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under applicable Law with respect to a Licensed Product in a country or jurisdiction in the Territory to prevent Third Parties from Commercializing such Licensed Product in such country or jurisdiction, other than a Patent right, including orphan drug exclusivity, pediatric exclusivity, rights conferred in the U.S. under the Hatch-Waxman Act or the FDA Modernization Act of 1997, in the EU under Directive 2001/83/EC, or rights similar thereto in other countries or regulatory jurisdictions in the Territory.</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1.83 </w:t>
      </w: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regulatory applications, submissions, notifications, communications,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correspondence, registrations, Regulatory Approvals or other filings made to, received from or otherwise conducted with a Regulatory Authority in order to Develop, Manufacture, or Commercialize a Licensed Product in a particular country or jurisdiction.</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Remedial Action</w:t>
      </w:r>
      <w:r>
        <w:rPr>
          <w:rFonts w:ascii="Arial" w:cs="Arial" w:eastAsia="Arial" w:hAnsi="Arial"/>
          <w:sz w:val="19"/>
          <w:szCs w:val="19"/>
          <w:color w:val="auto"/>
        </w:rPr>
        <w:t>” has the meaning set forth in Section 5.6.</w:t>
      </w:r>
    </w:p>
    <w:p>
      <w:pPr>
        <w:sectPr>
          <w:pgSz w:w="11900" w:h="16838" w:orient="portrait"/>
          <w:cols w:equalWidth="0" w:num="1">
            <w:col w:w="11240"/>
          </w:cols>
          <w:pgMar w:left="320" w:top="1421" w:right="339" w:bottom="1440" w:gutter="0" w:footer="0" w:header="0"/>
        </w:sectPr>
      </w:pPr>
    </w:p>
    <w:bookmarkStart w:id="399" w:name="page400"/>
    <w:bookmarkEnd w:id="399"/>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1.85 </w:t>
      </w:r>
      <w:r>
        <w:rPr>
          <w:rFonts w:ascii="Arial" w:cs="Arial" w:eastAsia="Arial" w:hAnsi="Arial"/>
          <w:sz w:val="22"/>
          <w:szCs w:val="22"/>
          <w:color w:val="auto"/>
        </w:rPr>
        <w:t>“</w:t>
      </w:r>
      <w:r>
        <w:rPr>
          <w:rFonts w:ascii="Arial" w:cs="Arial" w:eastAsia="Arial" w:hAnsi="Arial"/>
          <w:sz w:val="22"/>
          <w:szCs w:val="22"/>
          <w:b w:val="1"/>
          <w:bCs w:val="1"/>
          <w:color w:val="auto"/>
        </w:rPr>
        <w:t>Royalty-Bearing Sales</w:t>
      </w:r>
      <w:r>
        <w:rPr>
          <w:rFonts w:ascii="Arial" w:cs="Arial" w:eastAsia="Arial" w:hAnsi="Arial"/>
          <w:sz w:val="22"/>
          <w:szCs w:val="22"/>
          <w:color w:val="auto"/>
        </w:rPr>
        <w:t>” means, for each Licensed Product and each country in the Territory, Net Sales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in such country during the Royalty Term for such Licensed Product in such country.</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has the meaning set forth in Section 8.4(b).</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Sequence Modification</w:t>
      </w:r>
      <w:r>
        <w:rPr>
          <w:rFonts w:ascii="Arial" w:cs="Arial" w:eastAsia="Arial" w:hAnsi="Arial"/>
          <w:sz w:val="19"/>
          <w:szCs w:val="19"/>
          <w:color w:val="auto"/>
        </w:rPr>
        <w:t>” has the meaning set forth in Section 4.7(a).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Subject Patent</w:t>
      </w:r>
      <w:r>
        <w:rPr>
          <w:rFonts w:ascii="Arial" w:cs="Arial" w:eastAsia="Arial" w:hAnsi="Arial"/>
          <w:sz w:val="19"/>
          <w:szCs w:val="19"/>
          <w:color w:val="auto"/>
        </w:rPr>
        <w:t>” has the meaning set forth in Section 9.7.</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 has the meaning set forth in Section 2.3.</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1.90 </w:t>
      </w:r>
      <w:r>
        <w:rPr>
          <w:rFonts w:ascii="Arial" w:cs="Arial" w:eastAsia="Arial" w:hAnsi="Arial"/>
          <w:sz w:val="22"/>
          <w:szCs w:val="22"/>
          <w:color w:val="auto"/>
        </w:rPr>
        <w:t>“</w:t>
      </w:r>
      <w:r>
        <w:rPr>
          <w:rFonts w:ascii="Arial" w:cs="Arial" w:eastAsia="Arial" w:hAnsi="Arial"/>
          <w:sz w:val="22"/>
          <w:szCs w:val="22"/>
          <w:b w:val="1"/>
          <w:bCs w:val="1"/>
          <w:color w:val="auto"/>
        </w:rPr>
        <w:t>Systemic Delivery</w:t>
      </w:r>
      <w:r>
        <w:rPr>
          <w:rFonts w:ascii="Arial" w:cs="Arial" w:eastAsia="Arial" w:hAnsi="Arial"/>
          <w:sz w:val="22"/>
          <w:szCs w:val="22"/>
          <w:color w:val="auto"/>
        </w:rPr>
        <w:t>” means the administration of a drug product systemically in the body of the patient,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by intravenous, subcutaneous, oral or pulmonary administration. Administration of a drug product to the eye or its adnexa through a Drug Delivery System shall not be deemed to be Systemic Delivery.</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13.1.</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1.92 </w:t>
      </w:r>
      <w:r>
        <w:rPr>
          <w:rFonts w:ascii="Arial" w:cs="Arial" w:eastAsia="Arial" w:hAnsi="Arial"/>
          <w:sz w:val="22"/>
          <w:szCs w:val="22"/>
          <w:color w:val="auto"/>
        </w:rPr>
        <w:t>“</w:t>
      </w:r>
      <w:r>
        <w:rPr>
          <w:rFonts w:ascii="Arial" w:cs="Arial" w:eastAsia="Arial" w:hAnsi="Arial"/>
          <w:sz w:val="22"/>
          <w:szCs w:val="22"/>
          <w:b w:val="1"/>
          <w:bCs w:val="1"/>
          <w:color w:val="auto"/>
        </w:rPr>
        <w:t>Terminated Product</w:t>
      </w:r>
      <w:r>
        <w:rPr>
          <w:rFonts w:ascii="Arial" w:cs="Arial" w:eastAsia="Arial" w:hAnsi="Arial"/>
          <w:sz w:val="22"/>
          <w:szCs w:val="22"/>
          <w:color w:val="auto"/>
        </w:rPr>
        <w:t>” means any Licensed Compound and Licensed Product then being Developed or</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Commercialized by Allergan as of the effective date of termination of this Agreement pursuant to Section 13.2, 13.3, or 13.4. For clarity, “</w:t>
      </w:r>
      <w:r>
        <w:rPr>
          <w:rFonts w:ascii="Arial" w:cs="Arial" w:eastAsia="Arial" w:hAnsi="Arial"/>
          <w:sz w:val="22"/>
          <w:szCs w:val="22"/>
          <w:b w:val="1"/>
          <w:bCs w:val="1"/>
          <w:color w:val="auto"/>
        </w:rPr>
        <w:t>Terminated Products</w:t>
      </w:r>
      <w:r>
        <w:rPr>
          <w:rFonts w:ascii="Arial" w:cs="Arial" w:eastAsia="Arial" w:hAnsi="Arial"/>
          <w:sz w:val="22"/>
          <w:szCs w:val="22"/>
          <w:color w:val="auto"/>
        </w:rPr>
        <w:t>” shall not include any modifications made after the date of such termination of the Licensed Compounds and Licensed Products then being Developed or Commercialized by Allergan as of the effective date of such termination.</w:t>
      </w:r>
    </w:p>
    <w:p>
      <w:pPr>
        <w:spacing w:after="0" w:line="18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all of the countries of the world.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entity other than Molecular Partners or Allergan or an Affiliate of either of them.</w:t>
      </w:r>
    </w:p>
    <w:p>
      <w:pPr>
        <w:spacing w:after="0" w:line="22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1.95 </w:t>
      </w: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word, name, symbol, color, designation or device, or any combination thereof, whether</w:t>
      </w:r>
      <w:r>
        <w:rPr>
          <w:rFonts w:ascii="Arial" w:cs="Arial" w:eastAsia="Arial" w:hAnsi="Arial"/>
          <w:sz w:val="22"/>
          <w:szCs w:val="22"/>
          <w:b w:val="1"/>
          <w:bCs w:val="1"/>
          <w:color w:val="auto"/>
        </w:rPr>
        <w:t xml:space="preserve"> </w:t>
      </w:r>
      <w:r>
        <w:rPr>
          <w:rFonts w:ascii="Arial" w:cs="Arial" w:eastAsia="Arial" w:hAnsi="Arial"/>
          <w:sz w:val="22"/>
          <w:szCs w:val="22"/>
          <w:color w:val="auto"/>
        </w:rPr>
        <w:t>registered or unregistered, including any trademark, trade dress, service mark, service name, brand mark, trade name, brand name, logo, or business symbol.</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including all possessions and territories thereof.</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an issued or pending claim of an issued Molecular Partners Patent or Joint Patent that has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not: (a) expired or been revoked or canceled; (b) been declared invalid or unenforceable by a patent office or a decision of a court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or other Governmental Authority of competent jurisdiction; provided that if any such claim that has been declared invalid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unenforceable is subsequently determined to be valid and enforceable by a court or other Governmental Authority of competent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jurisdiction from which no appeal can be taken (or was taken within the allowable time period), then such claim shall thereafter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be a Valid Claim except as otherwise provided under subsection (a), (c), or (d); (c) been admitted to be invalid or</w:t>
      </w:r>
    </w:p>
    <w:p>
      <w:pPr>
        <w:sectPr>
          <w:pgSz w:w="11900" w:h="16838" w:orient="portrait"/>
          <w:cols w:equalWidth="0" w:num="1">
            <w:col w:w="11240"/>
          </w:cols>
          <w:pgMar w:left="320" w:top="1421" w:right="339" w:bottom="1440" w:gutter="0" w:footer="0" w:header="0"/>
        </w:sectPr>
      </w:pPr>
    </w:p>
    <w:bookmarkStart w:id="400" w:name="page401"/>
    <w:bookmarkEnd w:id="400"/>
    <w:p>
      <w:pPr>
        <w:jc w:val="both"/>
        <w:spacing w:after="0" w:line="265" w:lineRule="auto"/>
        <w:rPr>
          <w:sz w:val="20"/>
          <w:szCs w:val="20"/>
          <w:color w:val="auto"/>
        </w:rPr>
      </w:pPr>
      <w:r>
        <w:rPr>
          <w:rFonts w:ascii="Arial" w:cs="Arial" w:eastAsia="Arial" w:hAnsi="Arial"/>
          <w:sz w:val="21"/>
          <w:szCs w:val="21"/>
          <w:color w:val="auto"/>
        </w:rPr>
        <w:t>unenforceable through reissue, re-examination, disclaimer or otherwise; or (d) been abandoned or disclaimed; provided, however, that if a claim of a patent application has been pending for more than *** years from the Effective Date, such claim will not constitute a Valid Claim unless and until a Patent issues with such claim in which case the terms applicable to such Valid Claim (including the Royalty Term) shall once again apply from and after the date of issuance.</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1.98 </w:t>
      </w:r>
      <w:r>
        <w:rPr>
          <w:rFonts w:ascii="Arial" w:cs="Arial" w:eastAsia="Arial" w:hAnsi="Arial"/>
          <w:sz w:val="22"/>
          <w:szCs w:val="22"/>
          <w:color w:val="auto"/>
        </w:rPr>
        <w:t>“</w:t>
      </w:r>
      <w:r>
        <w:rPr>
          <w:rFonts w:ascii="Arial" w:cs="Arial" w:eastAsia="Arial" w:hAnsi="Arial"/>
          <w:sz w:val="22"/>
          <w:szCs w:val="22"/>
          <w:b w:val="1"/>
          <w:bCs w:val="1"/>
          <w:color w:val="auto"/>
        </w:rPr>
        <w:t>VEGF Isoform</w:t>
      </w:r>
      <w:r>
        <w:rPr>
          <w:rFonts w:ascii="Arial" w:cs="Arial" w:eastAsia="Arial" w:hAnsi="Arial"/>
          <w:sz w:val="22"/>
          <w:szCs w:val="22"/>
          <w:color w:val="auto"/>
        </w:rPr>
        <w:t>” means any isoform of vascular endothelial growth factor (“</w:t>
      </w:r>
      <w:r>
        <w:rPr>
          <w:rFonts w:ascii="Arial" w:cs="Arial" w:eastAsia="Arial" w:hAnsi="Arial"/>
          <w:sz w:val="22"/>
          <w:szCs w:val="22"/>
          <w:b w:val="1"/>
          <w:bCs w:val="1"/>
          <w:color w:val="auto"/>
        </w:rPr>
        <w:t>VEGF</w:t>
      </w:r>
      <w:r>
        <w:rPr>
          <w:rFonts w:ascii="Arial" w:cs="Arial" w:eastAsia="Arial" w:hAnsi="Arial"/>
          <w:sz w:val="22"/>
          <w:szCs w:val="22"/>
          <w:color w:val="auto"/>
        </w:rPr>
        <w:t>”), including the proteins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as of the Effective Date by *** (including the isoforms ***.</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VEGF Receptor</w:t>
      </w:r>
      <w:r>
        <w:rPr>
          <w:rFonts w:ascii="Arial" w:cs="Arial" w:eastAsia="Arial" w:hAnsi="Arial"/>
          <w:sz w:val="19"/>
          <w:szCs w:val="19"/>
          <w:color w:val="auto"/>
        </w:rPr>
        <w:t>” means any receptor that binds VEGF or any VEGF Isoform, including the molecules known as</w:t>
      </w:r>
    </w:p>
    <w:p>
      <w:pPr>
        <w:spacing w:after="0" w:line="27" w:lineRule="exact"/>
        <w:rPr>
          <w:sz w:val="20"/>
          <w:szCs w:val="20"/>
          <w:color w:val="auto"/>
        </w:rPr>
      </w:pPr>
    </w:p>
    <w:p>
      <w:pPr>
        <w:ind w:left="380" w:hanging="372"/>
        <w:spacing w:after="0"/>
        <w:tabs>
          <w:tab w:leader="none" w:pos="38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as defined as of the Effective Date by *** respectively, and any isoform thereof.</w:t>
      </w:r>
    </w:p>
    <w:p>
      <w:pPr>
        <w:spacing w:after="0" w:line="195" w:lineRule="exact"/>
        <w:rPr>
          <w:rFonts w:ascii="Arial" w:cs="Arial" w:eastAsia="Arial" w:hAnsi="Arial"/>
          <w:sz w:val="22"/>
          <w:szCs w:val="22"/>
          <w:color w:val="auto"/>
        </w:rPr>
      </w:pPr>
    </w:p>
    <w:p>
      <w:pPr>
        <w:ind w:left="5060"/>
        <w:spacing w:after="0"/>
        <w:rPr>
          <w:rFonts w:ascii="Arial" w:cs="Arial" w:eastAsia="Arial" w:hAnsi="Arial"/>
          <w:sz w:val="22"/>
          <w:szCs w:val="22"/>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LICENSES; EXCLUSIVITY</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Licenses to Allergan</w:t>
      </w:r>
      <w:r>
        <w:rPr>
          <w:rFonts w:ascii="Arial" w:cs="Arial" w:eastAsia="Arial" w:hAnsi="Arial"/>
          <w:sz w:val="19"/>
          <w:szCs w:val="19"/>
          <w:color w:val="auto"/>
        </w:rPr>
        <w:t>. Subject to the terms and conditions of this Agreement,</w:t>
      </w:r>
    </w:p>
    <w:p>
      <w:pPr>
        <w:spacing w:after="0" w:line="226" w:lineRule="exact"/>
        <w:rPr>
          <w:sz w:val="20"/>
          <w:szCs w:val="20"/>
          <w:color w:val="auto"/>
        </w:rPr>
      </w:pPr>
    </w:p>
    <w:p>
      <w:pPr>
        <w:jc w:val="both"/>
        <w:ind w:firstLine="1304"/>
        <w:spacing w:after="0" w:line="294" w:lineRule="auto"/>
        <w:tabs>
          <w:tab w:leader="none" w:pos="1777" w:val="left"/>
        </w:tabs>
        <w:numPr>
          <w:ilvl w:val="0"/>
          <w:numId w:val="376"/>
        </w:numPr>
        <w:rPr>
          <w:rFonts w:ascii="Arial" w:cs="Arial" w:eastAsia="Arial" w:hAnsi="Arial"/>
          <w:sz w:val="19"/>
          <w:szCs w:val="19"/>
          <w:b w:val="1"/>
          <w:bCs w:val="1"/>
          <w:color w:val="auto"/>
        </w:rPr>
      </w:pPr>
      <w:r>
        <w:rPr>
          <w:rFonts w:ascii="Arial" w:cs="Arial" w:eastAsia="Arial" w:hAnsi="Arial"/>
          <w:sz w:val="19"/>
          <w:szCs w:val="19"/>
          <w:color w:val="auto"/>
        </w:rPr>
        <w:t>Molecular Partners hereby grants Allergan an exclusive (even as to Molecular Partners except as provided in Section 2.2), royalty-bearing license, with the right to sublicense solely as provided in Section 2.3, under the Molecular Partners Technology (including any Joint Modification Invention), to make, use (including, for clarity, to perform Development activities in accordance with Section 4.7), sell, offer for sale, or import any Licensed Compound (including, for clarity, Initial Licensed Compounds and Modified Licensed Compounds) or Licensed Product in the Field in the Territory. The foregoing license includes the right to have any of the foregoing performed pursuant to the last paragraph of Section 2.3.</w:t>
      </w:r>
    </w:p>
    <w:p>
      <w:pPr>
        <w:spacing w:after="0" w:line="149" w:lineRule="exact"/>
        <w:rPr>
          <w:rFonts w:ascii="Arial" w:cs="Arial" w:eastAsia="Arial" w:hAnsi="Arial"/>
          <w:sz w:val="19"/>
          <w:szCs w:val="19"/>
          <w:b w:val="1"/>
          <w:bCs w:val="1"/>
          <w:color w:val="auto"/>
        </w:rPr>
      </w:pPr>
    </w:p>
    <w:p>
      <w:pPr>
        <w:jc w:val="both"/>
        <w:ind w:firstLine="1304"/>
        <w:spacing w:after="0" w:line="312" w:lineRule="auto"/>
        <w:tabs>
          <w:tab w:leader="none" w:pos="1776" w:val="left"/>
        </w:tabs>
        <w:numPr>
          <w:ilvl w:val="0"/>
          <w:numId w:val="376"/>
        </w:numPr>
        <w:rPr>
          <w:rFonts w:ascii="Arial" w:cs="Arial" w:eastAsia="Arial" w:hAnsi="Arial"/>
          <w:sz w:val="19"/>
          <w:szCs w:val="19"/>
          <w:b w:val="1"/>
          <w:bCs w:val="1"/>
          <w:color w:val="auto"/>
        </w:rPr>
      </w:pPr>
      <w:r>
        <w:rPr>
          <w:rFonts w:ascii="Arial" w:cs="Arial" w:eastAsia="Arial" w:hAnsi="Arial"/>
          <w:sz w:val="19"/>
          <w:szCs w:val="19"/>
          <w:color w:val="auto"/>
        </w:rPr>
        <w:t>Molecular Partners hereby grants to Allergan a worldwide, perpetual, irrevocable, fully paid-up, royalty-free, exclusive license, with the right to grant sublicenses through multiple tiers, outside the Field, under its interest in any Joint Modification Invention, to make, use, sell, offer for sale and import compounds and products other than DARPin Compounds.</w:t>
      </w:r>
    </w:p>
    <w:p>
      <w:pPr>
        <w:spacing w:after="0" w:line="12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2.2 Molecular Partners Retained Rights</w:t>
      </w:r>
      <w:r>
        <w:rPr>
          <w:rFonts w:ascii="Arial" w:cs="Arial" w:eastAsia="Arial" w:hAnsi="Arial"/>
          <w:sz w:val="22"/>
          <w:szCs w:val="22"/>
          <w:color w:val="auto"/>
        </w:rPr>
        <w:t>. Except as expressly granted under Section 2.1 and as limited by Section 2.6,</w:t>
      </w:r>
      <w:r>
        <w:rPr>
          <w:rFonts w:ascii="Arial" w:cs="Arial" w:eastAsia="Arial" w:hAnsi="Arial"/>
          <w:sz w:val="22"/>
          <w:szCs w:val="22"/>
          <w:b w:val="1"/>
          <w:bCs w:val="1"/>
          <w:color w:val="auto"/>
        </w:rPr>
        <w:t xml:space="preserve"> </w:t>
      </w:r>
      <w:r>
        <w:rPr>
          <w:rFonts w:ascii="Arial" w:cs="Arial" w:eastAsia="Arial" w:hAnsi="Arial"/>
          <w:sz w:val="22"/>
          <w:szCs w:val="22"/>
          <w:color w:val="auto"/>
        </w:rPr>
        <w:t>Molecular Partners retains the right, under the Molecular Partners Technology, (a) in the Territory to fulfill its obligations under this Agreement, (b) to exploit the Molecular Partners Technology outside the scope of the licenses granted to Allergan in Section 2.1, and (c) to use the Molecular Partners Know-How in connection with Molecular Partners’ conduct of general research and discovery of DARPin Compounds other than Licensed Compounds, provided that the activities permitted under this subsection (c) shall not be limited by Section 2.6.</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2.3 Sublicense Rights</w:t>
      </w:r>
      <w:r>
        <w:rPr>
          <w:rFonts w:ascii="Arial" w:cs="Arial" w:eastAsia="Arial" w:hAnsi="Arial"/>
          <w:sz w:val="22"/>
          <w:szCs w:val="22"/>
          <w:color w:val="auto"/>
        </w:rPr>
        <w:t>. Allergan shall have the right to grant a sublicense of the license granted in Section 2.1 to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or Third Parties (whether directly through Allergan</w:t>
      </w:r>
    </w:p>
    <w:p>
      <w:pPr>
        <w:sectPr>
          <w:pgSz w:w="11900" w:h="16838" w:orient="portrait"/>
          <w:cols w:equalWidth="0" w:num="1">
            <w:col w:w="11240"/>
          </w:cols>
          <w:pgMar w:left="320" w:top="1427" w:right="339" w:bottom="1440" w:gutter="0" w:footer="0" w:header="0"/>
        </w:sectPr>
      </w:pPr>
    </w:p>
    <w:bookmarkStart w:id="401" w:name="page402"/>
    <w:bookmarkEnd w:id="401"/>
    <w:p>
      <w:pPr>
        <w:spacing w:after="0"/>
        <w:rPr>
          <w:sz w:val="20"/>
          <w:szCs w:val="20"/>
          <w:color w:val="auto"/>
        </w:rPr>
      </w:pPr>
      <w:r>
        <w:rPr>
          <w:rFonts w:ascii="Arial" w:cs="Arial" w:eastAsia="Arial" w:hAnsi="Arial"/>
          <w:sz w:val="19"/>
          <w:szCs w:val="19"/>
          <w:color w:val="auto"/>
        </w:rPr>
        <w:t>or in the form of a sub-sublicense from a sublicensee of Allergan or its Affiliates in accordance with the terms of subsection (e)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below) (each, a “</w:t>
      </w:r>
      <w:r>
        <w:rPr>
          <w:rFonts w:ascii="Arial" w:cs="Arial" w:eastAsia="Arial" w:hAnsi="Arial"/>
          <w:sz w:val="19"/>
          <w:szCs w:val="19"/>
          <w:b w:val="1"/>
          <w:bCs w:val="1"/>
          <w:color w:val="auto"/>
        </w:rPr>
        <w:t>Sublicensee</w:t>
      </w:r>
      <w:r>
        <w:rPr>
          <w:rFonts w:ascii="Arial" w:cs="Arial" w:eastAsia="Arial" w:hAnsi="Arial"/>
          <w:sz w:val="19"/>
          <w:szCs w:val="19"/>
          <w:color w:val="auto"/>
        </w:rPr>
        <w:t>”); provided that any sublicenses to Third Parties shall be subject to Sections 2.3(a) through (e):</w:t>
      </w:r>
    </w:p>
    <w:p>
      <w:pPr>
        <w:spacing w:after="0" w:line="236" w:lineRule="exact"/>
        <w:rPr>
          <w:sz w:val="20"/>
          <w:szCs w:val="20"/>
          <w:color w:val="auto"/>
        </w:rPr>
      </w:pPr>
    </w:p>
    <w:p>
      <w:pPr>
        <w:ind w:firstLine="1304"/>
        <w:spacing w:after="0" w:line="263" w:lineRule="auto"/>
        <w:tabs>
          <w:tab w:leader="none" w:pos="1804" w:val="left"/>
        </w:tabs>
        <w:numPr>
          <w:ilvl w:val="0"/>
          <w:numId w:val="377"/>
        </w:numPr>
        <w:rPr>
          <w:rFonts w:ascii="Arial" w:cs="Arial" w:eastAsia="Arial" w:hAnsi="Arial"/>
          <w:sz w:val="22"/>
          <w:szCs w:val="22"/>
          <w:b w:val="1"/>
          <w:bCs w:val="1"/>
          <w:color w:val="auto"/>
        </w:rPr>
      </w:pPr>
      <w:r>
        <w:rPr>
          <w:rFonts w:ascii="Arial" w:cs="Arial" w:eastAsia="Arial" w:hAnsi="Arial"/>
          <w:sz w:val="22"/>
          <w:szCs w:val="22"/>
          <w:color w:val="auto"/>
        </w:rPr>
        <w:t>Allergan shall remain primarily responsible for all of its Sublicensees’ activities and any and all failures by its Sublicensees to comply with the applicable terms of this Agreement;</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11" w:val="left"/>
        </w:tabs>
        <w:numPr>
          <w:ilvl w:val="0"/>
          <w:numId w:val="377"/>
        </w:numPr>
        <w:rPr>
          <w:rFonts w:ascii="Arial" w:cs="Arial" w:eastAsia="Arial" w:hAnsi="Arial"/>
          <w:sz w:val="22"/>
          <w:szCs w:val="22"/>
          <w:b w:val="1"/>
          <w:bCs w:val="1"/>
          <w:color w:val="auto"/>
        </w:rPr>
      </w:pPr>
      <w:r>
        <w:rPr>
          <w:rFonts w:ascii="Arial" w:cs="Arial" w:eastAsia="Arial" w:hAnsi="Arial"/>
          <w:sz w:val="22"/>
          <w:szCs w:val="22"/>
          <w:color w:val="auto"/>
        </w:rPr>
        <w:t>such sublicense shall refer to this Agreement, shall be consistent with the terms and conditions of this Agreement, and shall not limit the ability of Allergan (individually or through the activities of its Sublicensee) to perform its material obligations under this Agreement;</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806" w:val="left"/>
        </w:tabs>
        <w:numPr>
          <w:ilvl w:val="0"/>
          <w:numId w:val="377"/>
        </w:numPr>
        <w:rPr>
          <w:rFonts w:ascii="Arial" w:cs="Arial" w:eastAsia="Arial" w:hAnsi="Arial"/>
          <w:sz w:val="22"/>
          <w:szCs w:val="22"/>
          <w:b w:val="1"/>
          <w:bCs w:val="1"/>
          <w:color w:val="auto"/>
        </w:rPr>
      </w:pPr>
      <w:r>
        <w:rPr>
          <w:rFonts w:ascii="Arial" w:cs="Arial" w:eastAsia="Arial" w:hAnsi="Arial"/>
          <w:sz w:val="22"/>
          <w:szCs w:val="22"/>
          <w:color w:val="auto"/>
        </w:rPr>
        <w:t>within a reasonable time after execution of such sublicense, Allergan shall provide to Molecular Partners a copy of such sublicense, which may be redacted to omit any terms not relevant to determining Allergan’s and such Sublicensee’s obligations under this Agreement;</w:t>
      </w:r>
    </w:p>
    <w:p>
      <w:pPr>
        <w:spacing w:after="0" w:line="185" w:lineRule="exact"/>
        <w:rPr>
          <w:rFonts w:ascii="Arial" w:cs="Arial" w:eastAsia="Arial" w:hAnsi="Arial"/>
          <w:sz w:val="22"/>
          <w:szCs w:val="22"/>
          <w:b w:val="1"/>
          <w:bCs w:val="1"/>
          <w:color w:val="auto"/>
        </w:rPr>
      </w:pPr>
    </w:p>
    <w:p>
      <w:pPr>
        <w:jc w:val="both"/>
        <w:ind w:firstLine="1304"/>
        <w:spacing w:after="0" w:line="292" w:lineRule="auto"/>
        <w:tabs>
          <w:tab w:leader="none" w:pos="1789" w:val="left"/>
        </w:tabs>
        <w:numPr>
          <w:ilvl w:val="0"/>
          <w:numId w:val="377"/>
        </w:numPr>
        <w:rPr>
          <w:rFonts w:ascii="Arial" w:cs="Arial" w:eastAsia="Arial" w:hAnsi="Arial"/>
          <w:sz w:val="19"/>
          <w:szCs w:val="19"/>
          <w:b w:val="1"/>
          <w:bCs w:val="1"/>
          <w:color w:val="auto"/>
        </w:rPr>
      </w:pPr>
      <w:r>
        <w:rPr>
          <w:rFonts w:ascii="Arial" w:cs="Arial" w:eastAsia="Arial" w:hAnsi="Arial"/>
          <w:sz w:val="19"/>
          <w:szCs w:val="19"/>
          <w:color w:val="auto"/>
        </w:rPr>
        <w:t>except as otherwise provided in the sublicense, if this Agreement terminates for any reason, upon Allergan’s written notice to Molecular Partners, any Sublicensee shall, from the effective date of such termination, automatically become a direct licensee of Molecular Partners with respect to the rights licensed to Allergan on the terms and conditions hereunder and sublicensed to the Sublicensee by Allergan; provided, however, that such Sublicensee cures all breaches by Allergan of this Agreement and is not in breach of its sublicense and continues to perform thereunder, and the terms of such sublicense are consistent with the rights of Molecular Partners to receive a transfer of, and license to, the items described in Section 13.5 upon termination of such sublicense as if such items were generated by Allergan or its Affiliates; and</w:t>
      </w:r>
    </w:p>
    <w:p>
      <w:pPr>
        <w:spacing w:after="0" w:line="150" w:lineRule="exact"/>
        <w:rPr>
          <w:rFonts w:ascii="Arial" w:cs="Arial" w:eastAsia="Arial" w:hAnsi="Arial"/>
          <w:sz w:val="19"/>
          <w:szCs w:val="19"/>
          <w:b w:val="1"/>
          <w:bCs w:val="1"/>
          <w:color w:val="auto"/>
        </w:rPr>
      </w:pPr>
    </w:p>
    <w:p>
      <w:pPr>
        <w:jc w:val="both"/>
        <w:ind w:firstLine="1304"/>
        <w:spacing w:after="0" w:line="294" w:lineRule="auto"/>
        <w:tabs>
          <w:tab w:leader="none" w:pos="1860" w:val="left"/>
        </w:tabs>
        <w:numPr>
          <w:ilvl w:val="0"/>
          <w:numId w:val="377"/>
        </w:numPr>
        <w:rPr>
          <w:rFonts w:ascii="Arial" w:cs="Arial" w:eastAsia="Arial" w:hAnsi="Arial"/>
          <w:sz w:val="19"/>
          <w:szCs w:val="19"/>
          <w:b w:val="1"/>
          <w:bCs w:val="1"/>
          <w:color w:val="auto"/>
        </w:rPr>
      </w:pPr>
      <w:r>
        <w:rPr>
          <w:rFonts w:ascii="Arial" w:cs="Arial" w:eastAsia="Arial" w:hAnsi="Arial"/>
          <w:sz w:val="19"/>
          <w:szCs w:val="19"/>
          <w:color w:val="auto"/>
        </w:rPr>
        <w:t>such Sublicensees shall have the right to grant further sublicenses to Third Parties (upon the consent of Molecular Partners not to be unreasonably withheld) of same or lesser scope as its sublicense from Allergan under the licenses contained in Section 2.1, provided that such further Sublicenses shall be in accordance with and subject to all of the terms and conditions of this Section 2.3 (i.e., such Sublicensee shall be subject to this Section 2.3 in the same manner and to the same extent as Allergan). For clarity, any person or entity to whom a Sublicensee grants a sublicense as permitted by the terms of this Agreement shall be deemed to be a Sublicensee for purposes of this Agreement.</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Allergan shall have the right to retain a Third Party contractor, including pursuant to Section 4.5, to perform any activity in connection with Allergan’s exercise of any of its rights granted under Section 2.1, where such activity is to be performed at the direction and control and for the sole benefit of Allergan or its Affiliates. Such retention of the Third Party contractor is not a sublicense within the meaning of this Section 2.3 but is considered an activity of Allergan under the license granted in Section 2.1.</w:t>
      </w:r>
    </w:p>
    <w:p>
      <w:pPr>
        <w:sectPr>
          <w:pgSz w:w="11900" w:h="16838" w:orient="portrait"/>
          <w:cols w:equalWidth="0" w:num="1">
            <w:col w:w="11240"/>
          </w:cols>
          <w:pgMar w:left="320" w:top="1427" w:right="339" w:bottom="1440" w:gutter="0" w:footer="0" w:header="0"/>
        </w:sectPr>
      </w:pPr>
    </w:p>
    <w:bookmarkStart w:id="402" w:name="page403"/>
    <w:bookmarkEnd w:id="402"/>
    <w:p>
      <w:pPr>
        <w:jc w:val="both"/>
        <w:ind w:firstLine="648"/>
        <w:spacing w:after="0" w:line="294" w:lineRule="auto"/>
        <w:rPr>
          <w:sz w:val="20"/>
          <w:szCs w:val="20"/>
          <w:color w:val="auto"/>
        </w:rPr>
      </w:pPr>
      <w:r>
        <w:rPr>
          <w:rFonts w:ascii="Arial" w:cs="Arial" w:eastAsia="Arial" w:hAnsi="Arial"/>
          <w:sz w:val="19"/>
          <w:szCs w:val="19"/>
          <w:b w:val="1"/>
          <w:bCs w:val="1"/>
          <w:color w:val="auto"/>
        </w:rPr>
        <w:t>2.4 License to Molecular Partners</w:t>
      </w:r>
      <w:r>
        <w:rPr>
          <w:rFonts w:ascii="Arial" w:cs="Arial" w:eastAsia="Arial" w:hAnsi="Arial"/>
          <w:sz w:val="19"/>
          <w:szCs w:val="19"/>
          <w:color w:val="auto"/>
        </w:rPr>
        <w:t>. Subject to the terms and conditions of this Agreement (including Section 2.6),</w:t>
      </w:r>
      <w:r>
        <w:rPr>
          <w:rFonts w:ascii="Arial" w:cs="Arial" w:eastAsia="Arial" w:hAnsi="Arial"/>
          <w:sz w:val="19"/>
          <w:szCs w:val="19"/>
          <w:b w:val="1"/>
          <w:bCs w:val="1"/>
          <w:color w:val="auto"/>
        </w:rPr>
        <w:t xml:space="preserve"> </w:t>
      </w:r>
      <w:r>
        <w:rPr>
          <w:rFonts w:ascii="Arial" w:cs="Arial" w:eastAsia="Arial" w:hAnsi="Arial"/>
          <w:sz w:val="19"/>
          <w:szCs w:val="19"/>
          <w:color w:val="auto"/>
        </w:rPr>
        <w:t>Allergan hereby grants to Molecular Partners a worldwide, *** license, *** to make, use, sell, offer for sale and import ***</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outside the Field. Molecular Partners hereby covenants that, during the Term, it will not, and will not grant a license to any of its Affiliates or licensees permitting such Affiliates or licensees (i) to conduct any activities that infringe a Valid Claim, or misappropriate any Know-How, within the ***, outside the scope of the license expressly granted by Section 2.4 or (ii) to practice Molecular Partner’s interest in any *** for any product within the Field.</w:t>
      </w:r>
    </w:p>
    <w:p>
      <w:pPr>
        <w:spacing w:after="0" w:line="189"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2.5 No Implied Licenses</w:t>
      </w:r>
      <w:r>
        <w:rPr>
          <w:rFonts w:ascii="Arial" w:cs="Arial" w:eastAsia="Arial" w:hAnsi="Arial"/>
          <w:sz w:val="19"/>
          <w:szCs w:val="19"/>
          <w:color w:val="auto"/>
        </w:rPr>
        <w:t>. Except as explicitly set forth in this Agreement, neither Party shall be deemed by estoppel or</w:t>
      </w:r>
      <w:r>
        <w:rPr>
          <w:rFonts w:ascii="Arial" w:cs="Arial" w:eastAsia="Arial" w:hAnsi="Arial"/>
          <w:sz w:val="19"/>
          <w:szCs w:val="19"/>
          <w:b w:val="1"/>
          <w:bCs w:val="1"/>
          <w:color w:val="auto"/>
        </w:rPr>
        <w:t xml:space="preserve"> </w:t>
      </w:r>
      <w:r>
        <w:rPr>
          <w:rFonts w:ascii="Arial" w:cs="Arial" w:eastAsia="Arial" w:hAnsi="Arial"/>
          <w:sz w:val="19"/>
          <w:szCs w:val="19"/>
          <w:color w:val="auto"/>
        </w:rPr>
        <w:t>implication to have granted the other Party any license or other right to any intellectual property of such Party.</w:t>
      </w:r>
    </w:p>
    <w:p>
      <w:pPr>
        <w:spacing w:after="0" w:line="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2.6 Exclusivity</w:t>
      </w:r>
      <w:r>
        <w:rPr>
          <w:rFonts w:ascii="Arial" w:cs="Arial" w:eastAsia="Arial" w:hAnsi="Arial"/>
          <w:sz w:val="22"/>
          <w:szCs w:val="22"/>
          <w:color w:val="auto"/>
        </w:rPr>
        <w:t>. During the Term, Molecular Partners (itself or through a Third Party) will not make, use, sell, offer for</w:t>
      </w:r>
      <w:r>
        <w:rPr>
          <w:rFonts w:ascii="Arial" w:cs="Arial" w:eastAsia="Arial" w:hAnsi="Arial"/>
          <w:sz w:val="22"/>
          <w:szCs w:val="22"/>
          <w:b w:val="1"/>
          <w:bCs w:val="1"/>
          <w:color w:val="auto"/>
        </w:rPr>
        <w:t xml:space="preserve"> </w:t>
      </w:r>
      <w:r>
        <w:rPr>
          <w:rFonts w:ascii="Arial" w:cs="Arial" w:eastAsia="Arial" w:hAnsi="Arial"/>
          <w:sz w:val="22"/>
          <w:szCs w:val="22"/>
          <w:color w:val="auto"/>
        </w:rPr>
        <w:t>sale, import, or otherwise research, develop, commercialize, or exploit (a) a Licensed Compound or Licensed Product for any Indication in any mode of administration, or (b) an Exclusive DARPin in the Field. Notwithstanding the foregoing, Molecular Partners shall be permitted to use (itself or with or through a contract research organization, university or other non-profit research institution, but not any other Third Party) any Exclusive DARPin or Licensed Compound other than MP0112 solely to conduct research in the Field.</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2.7 Negative Covenant</w:t>
      </w:r>
      <w:r>
        <w:rPr>
          <w:rFonts w:ascii="Arial" w:cs="Arial" w:eastAsia="Arial" w:hAnsi="Arial"/>
          <w:sz w:val="22"/>
          <w:szCs w:val="22"/>
          <w:color w:val="auto"/>
        </w:rPr>
        <w:t>. Allergan hereby covenants that, during the Term, it will not, and will not grant a license to any</w:t>
      </w:r>
      <w:r>
        <w:rPr>
          <w:rFonts w:ascii="Arial" w:cs="Arial" w:eastAsia="Arial" w:hAnsi="Arial"/>
          <w:sz w:val="22"/>
          <w:szCs w:val="22"/>
          <w:b w:val="1"/>
          <w:bCs w:val="1"/>
          <w:color w:val="auto"/>
        </w:rPr>
        <w:t xml:space="preserve"> </w:t>
      </w:r>
      <w:r>
        <w:rPr>
          <w:rFonts w:ascii="Arial" w:cs="Arial" w:eastAsia="Arial" w:hAnsi="Arial"/>
          <w:sz w:val="22"/>
          <w:szCs w:val="22"/>
          <w:color w:val="auto"/>
        </w:rPr>
        <w:t>of its Affiliates or Sublicensees permitting such Affiliates or Sublicensees to conduct any activities that infringe a Valid Claim, or misappropriate any Know-How, within the Molecular Partners Technology, outside the scope of the license expressly granted by Section 2.1. In the event that Allergan, its Affiliates or its Sublicensee materially breaches this Section 2.7, then Allergan, its Affiliates or its Sublicensee, as applicable, shall ***.</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GOVERNANCE</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6" w:lineRule="auto"/>
        <w:tabs>
          <w:tab w:leader="none" w:pos="1845" w:val="left"/>
        </w:tabs>
        <w:numPr>
          <w:ilvl w:val="0"/>
          <w:numId w:val="378"/>
        </w:numPr>
        <w:rPr>
          <w:rFonts w:ascii="Arial" w:cs="Arial" w:eastAsia="Arial" w:hAnsi="Arial"/>
          <w:sz w:val="22"/>
          <w:szCs w:val="22"/>
          <w:b w:val="1"/>
          <w:bCs w:val="1"/>
          <w:color w:val="auto"/>
        </w:rPr>
      </w:pPr>
      <w:r>
        <w:rPr>
          <w:rFonts w:ascii="Arial" w:cs="Arial" w:eastAsia="Arial" w:hAnsi="Arial"/>
          <w:sz w:val="22"/>
          <w:szCs w:val="22"/>
          <w:b w:val="1"/>
          <w:bCs w:val="1"/>
          <w:color w:val="auto"/>
        </w:rPr>
        <w:t>Formation and Role</w:t>
      </w:r>
      <w:r>
        <w:rPr>
          <w:rFonts w:ascii="Arial" w:cs="Arial" w:eastAsia="Arial" w:hAnsi="Arial"/>
          <w:sz w:val="22"/>
          <w:szCs w:val="22"/>
          <w:color w:val="auto"/>
        </w:rPr>
        <w:t>. Upon the Effective Date, the Parties shall establish a joint steering committee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Joint Steering Committee</w:t>
      </w:r>
      <w:r>
        <w:rPr>
          <w:rFonts w:ascii="Arial" w:cs="Arial" w:eastAsia="Arial" w:hAnsi="Arial"/>
          <w:sz w:val="22"/>
          <w:szCs w:val="22"/>
          <w:color w:val="auto"/>
        </w:rPr>
        <w:t>” or “</w:t>
      </w:r>
      <w:r>
        <w:rPr>
          <w:rFonts w:ascii="Arial" w:cs="Arial" w:eastAsia="Arial" w:hAnsi="Arial"/>
          <w:sz w:val="22"/>
          <w:szCs w:val="22"/>
          <w:b w:val="1"/>
          <w:bCs w:val="1"/>
          <w:color w:val="auto"/>
        </w:rPr>
        <w:t>JSC</w:t>
      </w:r>
      <w:r>
        <w:rPr>
          <w:rFonts w:ascii="Arial" w:cs="Arial" w:eastAsia="Arial" w:hAnsi="Arial"/>
          <w:sz w:val="22"/>
          <w:szCs w:val="22"/>
          <w:color w:val="auto"/>
        </w:rPr>
        <w:t>”) for the overall review of the Development of Licensed Products. The JSC shall be disbanded on the expiration of the JSC Term. Specifically, the role of the JSC shall be:</w:t>
      </w:r>
    </w:p>
    <w:p>
      <w:pPr>
        <w:spacing w:after="0" w:line="182" w:lineRule="exact"/>
        <w:rPr>
          <w:rFonts w:ascii="Arial" w:cs="Arial" w:eastAsia="Arial" w:hAnsi="Arial"/>
          <w:sz w:val="22"/>
          <w:szCs w:val="22"/>
          <w:b w:val="1"/>
          <w:bCs w:val="1"/>
          <w:color w:val="auto"/>
        </w:rPr>
      </w:pPr>
    </w:p>
    <w:p>
      <w:pPr>
        <w:ind w:firstLine="1952"/>
        <w:spacing w:after="0" w:line="263" w:lineRule="auto"/>
        <w:tabs>
          <w:tab w:leader="none" w:pos="2391" w:val="left"/>
        </w:tabs>
        <w:numPr>
          <w:ilvl w:val="1"/>
          <w:numId w:val="378"/>
        </w:numPr>
        <w:rPr>
          <w:rFonts w:ascii="Arial" w:cs="Arial" w:eastAsia="Arial" w:hAnsi="Arial"/>
          <w:sz w:val="22"/>
          <w:szCs w:val="22"/>
          <w:b w:val="1"/>
          <w:bCs w:val="1"/>
          <w:color w:val="auto"/>
        </w:rPr>
      </w:pPr>
      <w:r>
        <w:rPr>
          <w:rFonts w:ascii="Arial" w:cs="Arial" w:eastAsia="Arial" w:hAnsi="Arial"/>
          <w:sz w:val="22"/>
          <w:szCs w:val="22"/>
          <w:color w:val="auto"/>
        </w:rPr>
        <w:t>to discuss the overall strategy for the Development and Regulatory Approval of Licensed Products in the Field throughout the Territory;</w:t>
      </w:r>
    </w:p>
    <w:p>
      <w:pPr>
        <w:spacing w:after="0" w:line="174" w:lineRule="exact"/>
        <w:rPr>
          <w:rFonts w:ascii="Arial" w:cs="Arial" w:eastAsia="Arial" w:hAnsi="Arial"/>
          <w:sz w:val="22"/>
          <w:szCs w:val="22"/>
          <w:b w:val="1"/>
          <w:bCs w:val="1"/>
          <w:color w:val="auto"/>
        </w:rPr>
      </w:pPr>
    </w:p>
    <w:p>
      <w:pPr>
        <w:ind w:firstLine="1952"/>
        <w:spacing w:after="0" w:line="263" w:lineRule="auto"/>
        <w:tabs>
          <w:tab w:leader="none" w:pos="2437" w:val="left"/>
        </w:tabs>
        <w:numPr>
          <w:ilvl w:val="1"/>
          <w:numId w:val="378"/>
        </w:numPr>
        <w:rPr>
          <w:rFonts w:ascii="Arial" w:cs="Arial" w:eastAsia="Arial" w:hAnsi="Arial"/>
          <w:sz w:val="22"/>
          <w:szCs w:val="22"/>
          <w:b w:val="1"/>
          <w:bCs w:val="1"/>
          <w:color w:val="auto"/>
        </w:rPr>
      </w:pPr>
      <w:r>
        <w:rPr>
          <w:rFonts w:ascii="Arial" w:cs="Arial" w:eastAsia="Arial" w:hAnsi="Arial"/>
          <w:sz w:val="22"/>
          <w:szCs w:val="22"/>
          <w:color w:val="auto"/>
        </w:rPr>
        <w:t>to facilitate communications and discussion between the Parties with respect to the Development and Manufacture of Licensed Products;</w:t>
      </w:r>
    </w:p>
    <w:p>
      <w:pPr>
        <w:sectPr>
          <w:pgSz w:w="11900" w:h="16838" w:orient="portrait"/>
          <w:cols w:equalWidth="0" w:num="1">
            <w:col w:w="11240"/>
          </w:cols>
          <w:pgMar w:left="320" w:top="1421" w:right="339" w:bottom="1440" w:gutter="0" w:footer="0" w:header="0"/>
        </w:sectPr>
      </w:pPr>
    </w:p>
    <w:bookmarkStart w:id="403" w:name="page404"/>
    <w:bookmarkEnd w:id="403"/>
    <w:p>
      <w:pPr>
        <w:ind w:firstLine="1952"/>
        <w:spacing w:after="0" w:line="263" w:lineRule="auto"/>
        <w:tabs>
          <w:tab w:leader="none" w:pos="2497" w:val="left"/>
        </w:tabs>
        <w:numPr>
          <w:ilvl w:val="0"/>
          <w:numId w:val="379"/>
        </w:numPr>
        <w:rPr>
          <w:rFonts w:ascii="Arial" w:cs="Arial" w:eastAsia="Arial" w:hAnsi="Arial"/>
          <w:sz w:val="22"/>
          <w:szCs w:val="22"/>
          <w:b w:val="1"/>
          <w:bCs w:val="1"/>
          <w:color w:val="auto"/>
        </w:rPr>
      </w:pPr>
      <w:r>
        <w:rPr>
          <w:rFonts w:ascii="Arial" w:cs="Arial" w:eastAsia="Arial" w:hAnsi="Arial"/>
          <w:sz w:val="22"/>
          <w:szCs w:val="22"/>
          <w:color w:val="auto"/>
        </w:rPr>
        <w:t>to discuss the Development Plan and any proposed amendments or revisions to such plan, including timeframes for such Development; and</w:t>
      </w:r>
    </w:p>
    <w:p>
      <w:pPr>
        <w:spacing w:after="0" w:line="174" w:lineRule="exact"/>
        <w:rPr>
          <w:rFonts w:ascii="Arial" w:cs="Arial" w:eastAsia="Arial" w:hAnsi="Arial"/>
          <w:sz w:val="22"/>
          <w:szCs w:val="22"/>
          <w:b w:val="1"/>
          <w:bCs w:val="1"/>
          <w:color w:val="auto"/>
        </w:rPr>
      </w:pPr>
    </w:p>
    <w:p>
      <w:pPr>
        <w:ind w:left="2480" w:hanging="528"/>
        <w:spacing w:after="0"/>
        <w:tabs>
          <w:tab w:leader="none" w:pos="2480" w:val="left"/>
        </w:tabs>
        <w:numPr>
          <w:ilvl w:val="0"/>
          <w:numId w:val="379"/>
        </w:numPr>
        <w:rPr>
          <w:rFonts w:ascii="Arial" w:cs="Arial" w:eastAsia="Arial" w:hAnsi="Arial"/>
          <w:sz w:val="22"/>
          <w:szCs w:val="22"/>
          <w:b w:val="1"/>
          <w:bCs w:val="1"/>
          <w:color w:val="auto"/>
        </w:rPr>
      </w:pPr>
      <w:r>
        <w:rPr>
          <w:rFonts w:ascii="Arial" w:cs="Arial" w:eastAsia="Arial" w:hAnsi="Arial"/>
          <w:sz w:val="22"/>
          <w:szCs w:val="22"/>
          <w:color w:val="auto"/>
        </w:rPr>
        <w:t>to perform such other functions as agreed by the Parties in writing.</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JSC shall have only the powers expressly assigned to it in this Section 3.1 and elsewhere in this Agreement, and shall have no power to amend, modify, or waive compliance with this Agreement. Notwithstanding anything to the contrary above in Section 3.1(a), the scope of the functions of the JSC shall be limited to exclude the conduct of any Phase 3 Clinical Trial activities in the event that the JSC Term continues after the Initiation of the first Phase 3 Clinical Trial.</w:t>
      </w:r>
    </w:p>
    <w:p>
      <w:pPr>
        <w:spacing w:after="0" w:line="136" w:lineRule="exact"/>
        <w:rPr>
          <w:sz w:val="20"/>
          <w:szCs w:val="20"/>
          <w:color w:val="auto"/>
        </w:rPr>
      </w:pPr>
    </w:p>
    <w:p>
      <w:pPr>
        <w:jc w:val="both"/>
        <w:ind w:firstLine="1304"/>
        <w:spacing w:after="0" w:line="247" w:lineRule="auto"/>
        <w:tabs>
          <w:tab w:leader="none" w:pos="1830" w:val="left"/>
        </w:tabs>
        <w:numPr>
          <w:ilvl w:val="0"/>
          <w:numId w:val="380"/>
        </w:numPr>
        <w:rPr>
          <w:rFonts w:ascii="Arial" w:cs="Arial" w:eastAsia="Arial" w:hAnsi="Arial"/>
          <w:sz w:val="22"/>
          <w:szCs w:val="22"/>
          <w:b w:val="1"/>
          <w:bCs w:val="1"/>
          <w:color w:val="auto"/>
        </w:rPr>
      </w:pPr>
      <w:r>
        <w:rPr>
          <w:rFonts w:ascii="Arial" w:cs="Arial" w:eastAsia="Arial" w:hAnsi="Arial"/>
          <w:sz w:val="22"/>
          <w:szCs w:val="22"/>
          <w:b w:val="1"/>
          <w:bCs w:val="1"/>
          <w:color w:val="auto"/>
        </w:rPr>
        <w:t>Members</w:t>
      </w:r>
      <w:r>
        <w:rPr>
          <w:rFonts w:ascii="Arial" w:cs="Arial" w:eastAsia="Arial" w:hAnsi="Arial"/>
          <w:sz w:val="22"/>
          <w:szCs w:val="22"/>
          <w:color w:val="auto"/>
        </w:rPr>
        <w:t>. Each Party shall initially appoint three (3) representatives to the JSC, each of whom will be an</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or employee of the applicable Party having sufficient seniority within such Party to make decisions arising within the scope of the JSC’s responsibilities. The JSC may change its size from time to time by mutual consent of its members, and each Party may replace its representatives at any time upon written notice to the other Party. The JSC shall have a chairperson, who shall be selected by Allergan. The role of the chairperson shall be to convene and preside at the meeting of the JSC and to ensure the preparation of meeting minutes, but the chairperson shall have no additional powers or rights beyond those held by other JSC representatives.</w:t>
      </w:r>
    </w:p>
    <w:p>
      <w:pPr>
        <w:spacing w:after="0" w:line="189" w:lineRule="exact"/>
        <w:rPr>
          <w:rFonts w:ascii="Arial" w:cs="Arial" w:eastAsia="Arial" w:hAnsi="Arial"/>
          <w:sz w:val="22"/>
          <w:szCs w:val="22"/>
          <w:b w:val="1"/>
          <w:bCs w:val="1"/>
          <w:color w:val="auto"/>
        </w:rPr>
      </w:pPr>
    </w:p>
    <w:p>
      <w:pPr>
        <w:jc w:val="both"/>
        <w:ind w:firstLine="1304"/>
        <w:spacing w:after="0" w:line="258" w:lineRule="auto"/>
        <w:tabs>
          <w:tab w:leader="none" w:pos="1833" w:val="left"/>
        </w:tabs>
        <w:numPr>
          <w:ilvl w:val="0"/>
          <w:numId w:val="380"/>
        </w:numPr>
        <w:rPr>
          <w:rFonts w:ascii="Arial" w:cs="Arial" w:eastAsia="Arial" w:hAnsi="Arial"/>
          <w:sz w:val="21"/>
          <w:szCs w:val="21"/>
          <w:b w:val="1"/>
          <w:bCs w:val="1"/>
          <w:color w:val="auto"/>
        </w:rPr>
      </w:pPr>
      <w:r>
        <w:rPr>
          <w:rFonts w:ascii="Arial" w:cs="Arial" w:eastAsia="Arial" w:hAnsi="Arial"/>
          <w:sz w:val="21"/>
          <w:szCs w:val="21"/>
          <w:b w:val="1"/>
          <w:bCs w:val="1"/>
          <w:color w:val="auto"/>
        </w:rPr>
        <w:t>Meetings</w:t>
      </w:r>
      <w:r>
        <w:rPr>
          <w:rFonts w:ascii="Arial" w:cs="Arial" w:eastAsia="Arial" w:hAnsi="Arial"/>
          <w:sz w:val="21"/>
          <w:szCs w:val="21"/>
          <w:color w:val="auto"/>
        </w:rPr>
        <w:t>. The JSC shall meet at least one (1) time per Calendar Quarter during the JSC Term unless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mutually agree in writing to a different frequency for such meetings. Prior to any meeting of the JSC, the chairperson of the JSC shall prepare and circulate an agenda for such meeting; provided, however, that either Party may propose additional topics to be included on such agenda, either prior to or in the course of such meeting. The JSC may meet in person or by teleconference, provided however, at least one (1) meeting per Calendar Year shall be in person. In-person JSC meetings shall be held at locations alternately selected by Molecular Partners and by Allergan. Each Party shall bear the expense of its respective JSC members’ participation in JSC meetings. Meetings of the JSC shall be effective only if at least one (1) representative of each Party is present or participating in such meeting. The chairperson of the JSC shall be responsible for preparing reasonably detailed written minutes of all JSC meetings that reflect all material decisions made at such meetings. The JSC chairperson shall send draft meeting minutes to each member of the JSC for review and approval within ten (10) Business Days after each JSC meeting.</w:t>
      </w:r>
    </w:p>
    <w:p>
      <w:pPr>
        <w:spacing w:after="0" w:line="181" w:lineRule="exact"/>
        <w:rPr>
          <w:rFonts w:ascii="Arial" w:cs="Arial" w:eastAsia="Arial" w:hAnsi="Arial"/>
          <w:sz w:val="21"/>
          <w:szCs w:val="21"/>
          <w:b w:val="1"/>
          <w:bCs w:val="1"/>
          <w:color w:val="auto"/>
        </w:rPr>
      </w:pPr>
    </w:p>
    <w:p>
      <w:pPr>
        <w:jc w:val="both"/>
        <w:ind w:firstLine="1304"/>
        <w:spacing w:after="0" w:line="293" w:lineRule="auto"/>
        <w:tabs>
          <w:tab w:leader="none" w:pos="1981" w:val="left"/>
        </w:tabs>
        <w:numPr>
          <w:ilvl w:val="0"/>
          <w:numId w:val="380"/>
        </w:numPr>
        <w:rPr>
          <w:rFonts w:ascii="Arial" w:cs="Arial" w:eastAsia="Arial" w:hAnsi="Arial"/>
          <w:sz w:val="19"/>
          <w:szCs w:val="19"/>
          <w:b w:val="1"/>
          <w:bCs w:val="1"/>
          <w:color w:val="auto"/>
        </w:rPr>
      </w:pPr>
      <w:r>
        <w:rPr>
          <w:rFonts w:ascii="Arial" w:cs="Arial" w:eastAsia="Arial" w:hAnsi="Arial"/>
          <w:sz w:val="19"/>
          <w:szCs w:val="19"/>
          <w:b w:val="1"/>
          <w:bCs w:val="1"/>
          <w:color w:val="auto"/>
        </w:rPr>
        <w:t>Decision Making</w:t>
      </w:r>
      <w:r>
        <w:rPr>
          <w:rFonts w:ascii="Arial" w:cs="Arial" w:eastAsia="Arial" w:hAnsi="Arial"/>
          <w:sz w:val="19"/>
          <w:szCs w:val="19"/>
          <w:color w:val="auto"/>
        </w:rPr>
        <w:t>. The JSC shall act by consensus. The representatives from each Party will have,</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collectively, one (1) vote on behalf of that Party. The JSC shall strive to seek consensus in its actions and decision making process. If after reasonable discussion and good faith consideration of each Party’s view on a particular matter before the JSC, the JSC is still unable after a period of thirty (30) days to reach a unanimous decision on such matter, then either Party may refer such matter to the Parties’ Executive Officers for attempted resolution by good faith resolution within ten (10) days after such matter has been referred to the Executive Officers. If the Executive Officers are not able to resolve such matter within such ten (10)-day period, then Allergan’s Executive Officer shall have the right to decide such matter consistent</w:t>
      </w:r>
    </w:p>
    <w:p>
      <w:pPr>
        <w:sectPr>
          <w:pgSz w:w="11900" w:h="16838" w:orient="portrait"/>
          <w:cols w:equalWidth="0" w:num="1">
            <w:col w:w="11240"/>
          </w:cols>
          <w:pgMar w:left="320" w:top="1427" w:right="339" w:bottom="1440" w:gutter="0" w:footer="0" w:header="0"/>
        </w:sectPr>
      </w:pPr>
    </w:p>
    <w:bookmarkStart w:id="404" w:name="page405"/>
    <w:bookmarkEnd w:id="404"/>
    <w:p>
      <w:pPr>
        <w:jc w:val="both"/>
        <w:spacing w:after="0" w:line="253" w:lineRule="auto"/>
        <w:rPr>
          <w:sz w:val="20"/>
          <w:szCs w:val="20"/>
          <w:color w:val="auto"/>
        </w:rPr>
      </w:pPr>
      <w:r>
        <w:rPr>
          <w:rFonts w:ascii="Arial" w:cs="Arial" w:eastAsia="Arial" w:hAnsi="Arial"/>
          <w:sz w:val="22"/>
          <w:szCs w:val="22"/>
          <w:color w:val="auto"/>
        </w:rPr>
        <w:t>with the terms of this Agreement and in good faith, provided that Allergan’s Executive Officer shall not make any decision to materially change the Development Plan with respect to activities conducted or resources devoted by Molecular Partners without the prior written consent of Molecular Partners.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Development Program</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7" w:lineRule="auto"/>
        <w:tabs>
          <w:tab w:leader="none" w:pos="2034" w:val="left"/>
        </w:tabs>
        <w:numPr>
          <w:ilvl w:val="0"/>
          <w:numId w:val="381"/>
        </w:numPr>
        <w:rPr>
          <w:rFonts w:ascii="Arial" w:cs="Arial" w:eastAsia="Arial" w:hAnsi="Arial"/>
          <w:sz w:val="21"/>
          <w:szCs w:val="21"/>
          <w:b w:val="1"/>
          <w:bCs w:val="1"/>
          <w:color w:val="auto"/>
        </w:rPr>
      </w:pPr>
      <w:r>
        <w:rPr>
          <w:rFonts w:ascii="Arial" w:cs="Arial" w:eastAsia="Arial" w:hAnsi="Arial"/>
          <w:sz w:val="21"/>
          <w:szCs w:val="21"/>
          <w:b w:val="1"/>
          <w:bCs w:val="1"/>
          <w:color w:val="auto"/>
        </w:rPr>
        <w:t>General; Development Plan</w:t>
      </w:r>
      <w:r>
        <w:rPr>
          <w:rFonts w:ascii="Arial" w:cs="Arial" w:eastAsia="Arial" w:hAnsi="Arial"/>
          <w:sz w:val="21"/>
          <w:szCs w:val="21"/>
          <w:color w:val="auto"/>
        </w:rPr>
        <w:t>. All Development activities, and Manufacturing activities relating to</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will be conducted pursuant to a reasonably detailed and written development plan prepared by Allergan that contains key Clinical Trials planned and estimated timelines (the “</w:t>
      </w:r>
      <w:r>
        <w:rPr>
          <w:rFonts w:ascii="Arial" w:cs="Arial" w:eastAsia="Arial" w:hAnsi="Arial"/>
          <w:sz w:val="21"/>
          <w:szCs w:val="21"/>
          <w:b w:val="1"/>
          <w:bCs w:val="1"/>
          <w:color w:val="auto"/>
        </w:rPr>
        <w:t>Development Plan</w:t>
      </w:r>
      <w:r>
        <w:rPr>
          <w:rFonts w:ascii="Arial" w:cs="Arial" w:eastAsia="Arial" w:hAnsi="Arial"/>
          <w:sz w:val="21"/>
          <w:szCs w:val="21"/>
          <w:color w:val="auto"/>
        </w:rPr>
        <w:t xml:space="preserve">”), provided that Allergan shall have the right to conduct any activities that are not described or contemplated by the Development Plan in furtherance of the goals of the Development Plan, with Allergan to use good faith efforts to describe any such material activities in a subsequent Development Plan or in the updates provided under Section 4.1(d). The initial Development Plan is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The initial Development Plan, and all amendments thereof, will include Allergan’s plan for seeking Regulatory Approval for a Licensed Product for the treatment of wet AMD and at least one additional Indication in the U.S., ***. In the event of any inconsistency between the Development Plan and this Agreement, the terms of this Agreement shall prevail. Except for those activities allocated to Molecular Partners in the Handover Plan, Allergan shall be solely responsible for all Development of Licensed Compounds or Licensed Products in the Field. In conducting such Development activities, Allergan shall document all Clinical Trials in formal written study records according to applicable Laws, including applicable national and international guidelines such as ICH, GCP, GLP and GMP. Molecular Partners shall perform any activities allocated to it under the Handover Plan in accordance with applicable Laws.</w:t>
      </w:r>
    </w:p>
    <w:p>
      <w:pPr>
        <w:spacing w:after="0" w:line="186" w:lineRule="exact"/>
        <w:rPr>
          <w:rFonts w:ascii="Arial" w:cs="Arial" w:eastAsia="Arial" w:hAnsi="Arial"/>
          <w:sz w:val="21"/>
          <w:szCs w:val="21"/>
          <w:b w:val="1"/>
          <w:bCs w:val="1"/>
          <w:color w:val="auto"/>
        </w:rPr>
      </w:pPr>
    </w:p>
    <w:p>
      <w:pPr>
        <w:jc w:val="both"/>
        <w:ind w:firstLine="1304"/>
        <w:spacing w:after="0" w:line="293" w:lineRule="auto"/>
        <w:tabs>
          <w:tab w:leader="none" w:pos="1913" w:val="left"/>
        </w:tabs>
        <w:numPr>
          <w:ilvl w:val="0"/>
          <w:numId w:val="381"/>
        </w:numPr>
        <w:rPr>
          <w:rFonts w:ascii="Arial" w:cs="Arial" w:eastAsia="Arial" w:hAnsi="Arial"/>
          <w:sz w:val="19"/>
          <w:szCs w:val="19"/>
          <w:b w:val="1"/>
          <w:bCs w:val="1"/>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From time to time (at least on an annual basis), Allergan, as appropriate, shall prepare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amendments, if any, to the then-current Development Plan for discussion by the Parties. Such amendments shall reflect any changes, re-prioritization of studies within, reallocation of resources with respect to, or additions to the activities described in the Development Plan. Upon deciding to Initiate Clinical Trials for any Licensed Compound other than MP0112, or to Initiate Clinical Trials for any Licensed Compound or Licensed Product for a new Indication, the Development Plan shall be amended accordingly. For the avoidance of doubt, amendments to the Development Plan shall not include any additional activities to be conducted by Molecular Partners unless agreed to by Molecular Partners in writing in advance.</w:t>
      </w:r>
    </w:p>
    <w:p>
      <w:pPr>
        <w:spacing w:after="0" w:line="144" w:lineRule="exact"/>
        <w:rPr>
          <w:rFonts w:ascii="Arial" w:cs="Arial" w:eastAsia="Arial" w:hAnsi="Arial"/>
          <w:sz w:val="19"/>
          <w:szCs w:val="19"/>
          <w:b w:val="1"/>
          <w:bCs w:val="1"/>
          <w:color w:val="auto"/>
        </w:rPr>
      </w:pPr>
    </w:p>
    <w:p>
      <w:pPr>
        <w:jc w:val="both"/>
        <w:ind w:firstLine="1304"/>
        <w:spacing w:after="0" w:line="249" w:lineRule="auto"/>
        <w:tabs>
          <w:tab w:leader="none" w:pos="1838" w:val="left"/>
        </w:tabs>
        <w:numPr>
          <w:ilvl w:val="0"/>
          <w:numId w:val="381"/>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 Costs</w:t>
      </w:r>
      <w:r>
        <w:rPr>
          <w:rFonts w:ascii="Arial" w:cs="Arial" w:eastAsia="Arial" w:hAnsi="Arial"/>
          <w:sz w:val="22"/>
          <w:szCs w:val="22"/>
          <w:color w:val="auto"/>
        </w:rPr>
        <w:t>. Allergan shall be solely responsible for all costs and expenses incurred by Allergan</w:t>
      </w:r>
      <w:r>
        <w:rPr>
          <w:rFonts w:ascii="Arial" w:cs="Arial" w:eastAsia="Arial" w:hAnsi="Arial"/>
          <w:sz w:val="22"/>
          <w:szCs w:val="22"/>
          <w:b w:val="1"/>
          <w:bCs w:val="1"/>
          <w:color w:val="auto"/>
        </w:rPr>
        <w:t xml:space="preserve"> </w:t>
      </w:r>
      <w:r>
        <w:rPr>
          <w:rFonts w:ascii="Arial" w:cs="Arial" w:eastAsia="Arial" w:hAnsi="Arial"/>
          <w:sz w:val="22"/>
          <w:szCs w:val="22"/>
          <w:color w:val="auto"/>
        </w:rPr>
        <w:t>(and will reimburse Molecular Partners for all costs and expenses reasonably incurred by Molecular Partners in the conduct of any activities set forth in the Handover Plan or otherwise agreed by the Parties in writing in a Development Plan) for the conduct of all Development of Licensed Compounds or Licensed Products in the Field. Following each Calendar Quarter in which Molecular Partners conducts any activities under the</w:t>
      </w:r>
    </w:p>
    <w:p>
      <w:pPr>
        <w:sectPr>
          <w:pgSz w:w="11900" w:h="16838" w:orient="portrait"/>
          <w:cols w:equalWidth="0" w:num="1">
            <w:col w:w="11240"/>
          </w:cols>
          <w:pgMar w:left="320" w:top="1427" w:right="339" w:bottom="1440" w:gutter="0" w:footer="0" w:header="0"/>
        </w:sectPr>
      </w:pPr>
    </w:p>
    <w:bookmarkStart w:id="405" w:name="page406"/>
    <w:bookmarkEnd w:id="405"/>
    <w:p>
      <w:pPr>
        <w:jc w:val="both"/>
        <w:spacing w:after="0" w:line="253" w:lineRule="auto"/>
        <w:rPr>
          <w:sz w:val="20"/>
          <w:szCs w:val="20"/>
          <w:color w:val="auto"/>
        </w:rPr>
      </w:pPr>
      <w:r>
        <w:rPr>
          <w:rFonts w:ascii="Arial" w:cs="Arial" w:eastAsia="Arial" w:hAnsi="Arial"/>
          <w:sz w:val="22"/>
          <w:szCs w:val="22"/>
          <w:color w:val="auto"/>
        </w:rPr>
        <w:t>Development Plan, Molecular Partners will invoice Allergan for all Third Party expenses and FTE costs (at the FTE Rate) it incurred to conduct such activities during such Calendar Quarter. Allergan shall pay each such invoice within thirty (30) days after receipt thereof.</w:t>
      </w:r>
    </w:p>
    <w:p>
      <w:pPr>
        <w:spacing w:after="0" w:line="179" w:lineRule="exact"/>
        <w:rPr>
          <w:sz w:val="20"/>
          <w:szCs w:val="20"/>
          <w:color w:val="auto"/>
        </w:rPr>
      </w:pPr>
    </w:p>
    <w:p>
      <w:pPr>
        <w:jc w:val="both"/>
        <w:ind w:firstLine="1304"/>
        <w:spacing w:after="0" w:line="286" w:lineRule="auto"/>
        <w:tabs>
          <w:tab w:leader="none" w:pos="1897" w:val="left"/>
        </w:tabs>
        <w:numPr>
          <w:ilvl w:val="0"/>
          <w:numId w:val="382"/>
        </w:numPr>
        <w:rPr>
          <w:rFonts w:ascii="Arial" w:cs="Arial" w:eastAsia="Arial" w:hAnsi="Arial"/>
          <w:sz w:val="19"/>
          <w:szCs w:val="19"/>
          <w:b w:val="1"/>
          <w:bCs w:val="1"/>
          <w:color w:val="auto"/>
        </w:rPr>
      </w:pPr>
      <w:r>
        <w:rPr>
          <w:rFonts w:ascii="Arial" w:cs="Arial" w:eastAsia="Arial" w:hAnsi="Arial"/>
          <w:sz w:val="19"/>
          <w:szCs w:val="19"/>
          <w:b w:val="1"/>
          <w:bCs w:val="1"/>
          <w:color w:val="auto"/>
        </w:rPr>
        <w:t>Communication</w:t>
      </w:r>
      <w:r>
        <w:rPr>
          <w:rFonts w:ascii="Arial" w:cs="Arial" w:eastAsia="Arial" w:hAnsi="Arial"/>
          <w:sz w:val="19"/>
          <w:szCs w:val="19"/>
          <w:color w:val="auto"/>
        </w:rPr>
        <w:t>. Through the JSC during the JSC Term, and thereafter directly to Molecular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Allergan will keep Molecular Partners reasonably informed about its efforts to Develop Licensed Compounds and Licensed Products. In addition, Allergan will provide Molecular Partners with written reports containing summaries of all material results and data (including safety and efficacy results and data and Clinical Trial reports) obtained from such Development efforts, progress towards meeting all goals and milestones in the Development Plan, significant findings and developments, and obstacles confronted and strategies for overcoming such obstacles, with such summaries to be provided during the JSC Term, at Molecular Partners’ request, no more frequently than once per Calendar Year. Thereafter, during the Term, Allergan shall provide Molecular Partners (i) summaries on an annual basis of its progress towards meeting key milestones that are expected to be achieved within the following year and the filing of any Regulatory Approval Application and the receipt of any Regulatory Approvals for Licensed Products in the Territory and (ii) upon the reasonable request of Molecular Partners, updates regarding material developments with respect to Licensed Products, including the completion and results of any Phase 3 Clinical Trials, with the frequency and timing of such requests to be reasonable under the circumstances and consistent with the anticipated development results and Allergan’s interest in the timing with respect to any public announcement of such material developments. In addition, Allergan will inform Molecular Partners regarding any material delay in the Development of any Licensed Product within a reasonable time after determining that such delay will occur. All reports and other Information provided by Allergan under this Section 4.1(d) will be Allergan’s Confidential Information subject to the terms of Article 12.</w:t>
      </w:r>
    </w:p>
    <w:p>
      <w:pPr>
        <w:spacing w:after="0" w:line="1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4.2 Diligence</w:t>
      </w:r>
      <w:r>
        <w:rPr>
          <w:rFonts w:ascii="Arial" w:cs="Arial" w:eastAsia="Arial" w:hAnsi="Arial"/>
          <w:sz w:val="22"/>
          <w:szCs w:val="22"/>
          <w:color w:val="auto"/>
        </w:rPr>
        <w:t>. Allergan will use Commercially Reasonable Efforts to Develop and seek Regulatory Approval for</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Products in the Field in the Territory. Allergan will be deemed to be using such Commercially Reasonable Efforts if it is using Commercially Reasonable Efforts to Develop and seek Regulatory Approval for Licensed Products for AMD and at least one other Indication in the following countries: (a) the U.S., ***. Allergan shall not be required to Develop or seek Regulatory Approval for Licensed Products in all such countries *** so long as it is using Commercially Reasonable Efforts to Develop and seek Regulatory Approval in the U.S. and ***. For example, Allergan may Develop and seek Regulatory Approval for a Licensed Product in ***.</w:t>
      </w:r>
    </w:p>
    <w:p>
      <w:pPr>
        <w:spacing w:after="0" w:line="18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4.3 Data Exchange</w:t>
      </w:r>
      <w:r>
        <w:rPr>
          <w:rFonts w:ascii="Arial" w:cs="Arial" w:eastAsia="Arial" w:hAnsi="Arial"/>
          <w:sz w:val="19"/>
          <w:szCs w:val="19"/>
          <w:color w:val="auto"/>
        </w:rPr>
        <w:t>. Reasonably promptly following the Effective Date, Molecular Partners will provide Allergan with</w:t>
      </w:r>
      <w:r>
        <w:rPr>
          <w:rFonts w:ascii="Arial" w:cs="Arial" w:eastAsia="Arial" w:hAnsi="Arial"/>
          <w:sz w:val="19"/>
          <w:szCs w:val="19"/>
          <w:b w:val="1"/>
          <w:bCs w:val="1"/>
          <w:color w:val="auto"/>
        </w:rPr>
        <w:t xml:space="preserve"> </w:t>
      </w:r>
      <w:r>
        <w:rPr>
          <w:rFonts w:ascii="Arial" w:cs="Arial" w:eastAsia="Arial" w:hAnsi="Arial"/>
          <w:sz w:val="19"/>
          <w:szCs w:val="19"/>
          <w:color w:val="auto"/>
        </w:rPr>
        <w:t>copies of or access to the Molecular Partners Know-How that exists as of the Effective Date that has not already been provided or made available to Allergan. Thereafter, Molecular Partners will provide Allergan with copies of or access to the Molecular Partners Know-How that has not otherwise been previously disclosed (a) during the JSC Term, at Allergan’s reasonable request (but not more than once per Calendar Quarter), and (b) after the JSC Term, until the date upon which the NDA for the first Licensed Product is filed, at Allergan’s reasonable request (but not more than once per Calendar Year).</w:t>
      </w:r>
    </w:p>
    <w:p>
      <w:pPr>
        <w:sectPr>
          <w:pgSz w:w="11900" w:h="16838" w:orient="portrait"/>
          <w:cols w:equalWidth="0" w:num="1">
            <w:col w:w="11240"/>
          </w:cols>
          <w:pgMar w:left="320" w:top="1427" w:right="339" w:bottom="1440" w:gutter="0" w:footer="0" w:header="0"/>
        </w:sectPr>
      </w:pPr>
    </w:p>
    <w:bookmarkStart w:id="406" w:name="page407"/>
    <w:bookmarkEnd w:id="406"/>
    <w:p>
      <w:pPr>
        <w:jc w:val="both"/>
        <w:ind w:firstLine="648"/>
        <w:spacing w:after="0" w:line="256" w:lineRule="auto"/>
        <w:rPr>
          <w:sz w:val="20"/>
          <w:szCs w:val="20"/>
          <w:color w:val="auto"/>
        </w:rPr>
      </w:pPr>
      <w:r>
        <w:rPr>
          <w:rFonts w:ascii="Arial" w:cs="Arial" w:eastAsia="Arial" w:hAnsi="Arial"/>
          <w:sz w:val="22"/>
          <w:szCs w:val="22"/>
          <w:b w:val="1"/>
          <w:bCs w:val="1"/>
          <w:color w:val="auto"/>
        </w:rPr>
        <w:t>4.4 Records</w:t>
      </w:r>
      <w:r>
        <w:rPr>
          <w:rFonts w:ascii="Arial" w:cs="Arial" w:eastAsia="Arial" w:hAnsi="Arial"/>
          <w:sz w:val="22"/>
          <w:szCs w:val="22"/>
          <w:color w:val="auto"/>
        </w:rPr>
        <w:t>. Each Party shall maintain complete, current and accurate records of Development activities that reflect</w:t>
      </w:r>
      <w:r>
        <w:rPr>
          <w:rFonts w:ascii="Arial" w:cs="Arial" w:eastAsia="Arial" w:hAnsi="Arial"/>
          <w:sz w:val="22"/>
          <w:szCs w:val="22"/>
          <w:b w:val="1"/>
          <w:bCs w:val="1"/>
          <w:color w:val="auto"/>
        </w:rPr>
        <w:t xml:space="preserve"> </w:t>
      </w:r>
      <w:r>
        <w:rPr>
          <w:rFonts w:ascii="Arial" w:cs="Arial" w:eastAsia="Arial" w:hAnsi="Arial"/>
          <w:sz w:val="22"/>
          <w:szCs w:val="22"/>
          <w:color w:val="auto"/>
        </w:rPr>
        <w:t>work done and results achieved in the performance of the research and Development activities necessary for regulatory compliance and patent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4.5 Subcontracts</w:t>
      </w:r>
      <w:r>
        <w:rPr>
          <w:rFonts w:ascii="Arial" w:cs="Arial" w:eastAsia="Arial" w:hAnsi="Arial"/>
          <w:sz w:val="21"/>
          <w:szCs w:val="21"/>
          <w:color w:val="auto"/>
        </w:rPr>
        <w:t>. Each Party may perform any of its obligations or activities under the Development Plan through one</w:t>
      </w:r>
      <w:r>
        <w:rPr>
          <w:rFonts w:ascii="Arial" w:cs="Arial" w:eastAsia="Arial" w:hAnsi="Arial"/>
          <w:sz w:val="21"/>
          <w:szCs w:val="21"/>
          <w:b w:val="1"/>
          <w:bCs w:val="1"/>
          <w:color w:val="auto"/>
        </w:rPr>
        <w:t xml:space="preserve"> </w:t>
      </w:r>
      <w:r>
        <w:rPr>
          <w:rFonts w:ascii="Arial" w:cs="Arial" w:eastAsia="Arial" w:hAnsi="Arial"/>
          <w:sz w:val="21"/>
          <w:szCs w:val="21"/>
          <w:color w:val="auto"/>
        </w:rPr>
        <w:t>or more subcontractors or consultants, provided that (a) such Party remains responsible for the work allocated to, and payment to, such subcontractors and consultants as it selects to the same extent it would if it had done such work itself; (b) the subcontractor undertakes in writing obligations of confidentiality and non-use regarding Confidential Information that are no less protective than those set forth in Article 12 and (c) such subcontract shall not limit the rights of the other Party in any license granted hereunder or Molecular Partners’ right to receive a transfer of, and license to, the items described in Section 13.5 as if such items were generated by Allergan or its Affiliates.</w:t>
      </w:r>
    </w:p>
    <w:p>
      <w:pPr>
        <w:spacing w:after="0" w:line="17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4.6 Clinical Trial Activities</w:t>
      </w:r>
      <w:r>
        <w:rPr>
          <w:rFonts w:ascii="Arial" w:cs="Arial" w:eastAsia="Arial" w:hAnsi="Arial"/>
          <w:sz w:val="19"/>
          <w:szCs w:val="19"/>
          <w:color w:val="auto"/>
        </w:rPr>
        <w:t>. Reasonably promptly after the Effective Date, Molecular Partners shall provide such</w:t>
      </w:r>
      <w:r>
        <w:rPr>
          <w:rFonts w:ascii="Arial" w:cs="Arial" w:eastAsia="Arial" w:hAnsi="Arial"/>
          <w:sz w:val="19"/>
          <w:szCs w:val="19"/>
          <w:b w:val="1"/>
          <w:bCs w:val="1"/>
          <w:color w:val="auto"/>
        </w:rPr>
        <w:t xml:space="preserve"> </w:t>
      </w:r>
      <w:r>
        <w:rPr>
          <w:rFonts w:ascii="Arial" w:cs="Arial" w:eastAsia="Arial" w:hAnsi="Arial"/>
          <w:sz w:val="19"/>
          <w:szCs w:val="19"/>
          <w:color w:val="auto"/>
        </w:rPr>
        <w:t>assistance, at no cost to Allergan, as may be reasonably necessary or useful for Allergan to continue Developing Licensed Products as set forth in the Handover Plan or as reasonably agreed by the Parties in a written modification thereto. As and to the extent set forth in the Handover Plan, Allergan shall assume the management and performance of all Clinical Trials for Licensed Products after the Effective Date. Molecular Partners shall not, during such applicable transition period, take any action that could reasonably be expected to have a material adverse impact on the further Development of any Licensed Product.</w:t>
      </w:r>
    </w:p>
    <w:p>
      <w:pPr>
        <w:spacing w:after="0" w:line="14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9"/>
          <w:szCs w:val="19"/>
          <w:b w:val="1"/>
          <w:bCs w:val="1"/>
          <w:color w:val="auto"/>
        </w:rPr>
        <w:t>Modifications to Licensed Compounds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9" w:lineRule="auto"/>
        <w:tabs>
          <w:tab w:leader="none" w:pos="1777" w:val="left"/>
        </w:tabs>
        <w:numPr>
          <w:ilvl w:val="1"/>
          <w:numId w:val="383"/>
        </w:numPr>
        <w:rPr>
          <w:rFonts w:ascii="Arial" w:cs="Arial" w:eastAsia="Arial" w:hAnsi="Arial"/>
          <w:sz w:val="19"/>
          <w:szCs w:val="19"/>
          <w:b w:val="1"/>
          <w:bCs w:val="1"/>
          <w:color w:val="auto"/>
        </w:rPr>
      </w:pPr>
      <w:r>
        <w:rPr>
          <w:rFonts w:ascii="Arial" w:cs="Arial" w:eastAsia="Arial" w:hAnsi="Arial"/>
          <w:sz w:val="19"/>
          <w:szCs w:val="19"/>
          <w:color w:val="auto"/>
        </w:rPr>
        <w:t>If Allergan desires to Develop and Commercialize a DARPin Compound that may be obtained by modifying the nucleic or amino acid sequence (through the replacement, insertion or deletion of one or more nucleic or amino acids of such sequence) of an Initial Licensed Compound (a “</w:t>
      </w:r>
      <w:r>
        <w:rPr>
          <w:rFonts w:ascii="Arial" w:cs="Arial" w:eastAsia="Arial" w:hAnsi="Arial"/>
          <w:sz w:val="19"/>
          <w:szCs w:val="19"/>
          <w:b w:val="1"/>
          <w:bCs w:val="1"/>
          <w:color w:val="auto"/>
        </w:rPr>
        <w:t>Sequence Modification</w:t>
      </w:r>
      <w:r>
        <w:rPr>
          <w:rFonts w:ascii="Arial" w:cs="Arial" w:eastAsia="Arial" w:hAnsi="Arial"/>
          <w:sz w:val="19"/>
          <w:szCs w:val="19"/>
          <w:color w:val="auto"/>
        </w:rPr>
        <w:t>”), then Allergan shall provide Molecular Partners with a specific proposal of the Sequence Modification for the applicable DARPin Compound and a proposal for Development thereof. The Parties shall discuss such proposal in good faith, and either (i) Molecular Partners will conduct such activities subject to reasonable compensation by Allergan at the FTE Rate or (ii) if Molecular Partners elects not to conduct such activities, Allergan shall conduct such activities, in each of (i) and (ii) according to a mutually agreed to plan for such modification. Except with the consent of Molecular Partners, Allergan shall not have the right to request that Molecular Partners perform (or Allergan by or on behalf of itself perform) more than *** proposed Sequence Modifications during a Calendar Year.</w:t>
      </w:r>
    </w:p>
    <w:p>
      <w:pPr>
        <w:spacing w:after="0" w:line="156" w:lineRule="exact"/>
        <w:rPr>
          <w:rFonts w:ascii="Arial" w:cs="Arial" w:eastAsia="Arial" w:hAnsi="Arial"/>
          <w:sz w:val="19"/>
          <w:szCs w:val="19"/>
          <w:b w:val="1"/>
          <w:bCs w:val="1"/>
          <w:color w:val="auto"/>
        </w:rPr>
      </w:pPr>
    </w:p>
    <w:p>
      <w:pPr>
        <w:jc w:val="both"/>
        <w:ind w:firstLine="1304"/>
        <w:spacing w:after="0" w:line="253" w:lineRule="auto"/>
        <w:tabs>
          <w:tab w:leader="none" w:pos="1816" w:val="left"/>
        </w:tabs>
        <w:numPr>
          <w:ilvl w:val="1"/>
          <w:numId w:val="383"/>
        </w:numPr>
        <w:rPr>
          <w:rFonts w:ascii="Arial" w:cs="Arial" w:eastAsia="Arial" w:hAnsi="Arial"/>
          <w:sz w:val="22"/>
          <w:szCs w:val="22"/>
          <w:b w:val="1"/>
          <w:bCs w:val="1"/>
          <w:color w:val="auto"/>
        </w:rPr>
      </w:pPr>
      <w:r>
        <w:rPr>
          <w:rFonts w:ascii="Arial" w:cs="Arial" w:eastAsia="Arial" w:hAnsi="Arial"/>
          <w:sz w:val="22"/>
          <w:szCs w:val="22"/>
          <w:color w:val="auto"/>
        </w:rPr>
        <w:t>Subject to Section 4.7(a), ***. Each such permitted modification under this Section 4.7(b) shall be deemed an “</w:t>
      </w:r>
      <w:r>
        <w:rPr>
          <w:rFonts w:ascii="Arial" w:cs="Arial" w:eastAsia="Arial" w:hAnsi="Arial"/>
          <w:sz w:val="22"/>
          <w:szCs w:val="22"/>
          <w:b w:val="1"/>
          <w:bCs w:val="1"/>
          <w:color w:val="auto"/>
        </w:rPr>
        <w:t>Allergan Modification</w:t>
      </w:r>
      <w:r>
        <w:rPr>
          <w:rFonts w:ascii="Arial" w:cs="Arial" w:eastAsia="Arial" w:hAnsi="Arial"/>
          <w:sz w:val="22"/>
          <w:szCs w:val="22"/>
          <w:color w:val="auto"/>
        </w:rPr>
        <w:t>”. Allergan shall have the sole right to conduct Development activities in connection with any Allergan Modifications.</w:t>
      </w:r>
    </w:p>
    <w:p>
      <w:pPr>
        <w:spacing w:after="0" w:line="185" w:lineRule="exact"/>
        <w:rPr>
          <w:rFonts w:ascii="Arial" w:cs="Arial" w:eastAsia="Arial" w:hAnsi="Arial"/>
          <w:sz w:val="22"/>
          <w:szCs w:val="22"/>
          <w:b w:val="1"/>
          <w:bCs w:val="1"/>
          <w:color w:val="auto"/>
        </w:rPr>
      </w:pPr>
    </w:p>
    <w:p>
      <w:pPr>
        <w:jc w:val="both"/>
        <w:ind w:firstLine="1304"/>
        <w:spacing w:after="0" w:line="291" w:lineRule="auto"/>
        <w:tabs>
          <w:tab w:leader="none" w:pos="1765" w:val="left"/>
        </w:tabs>
        <w:numPr>
          <w:ilvl w:val="1"/>
          <w:numId w:val="383"/>
        </w:numPr>
        <w:rPr>
          <w:rFonts w:ascii="Arial" w:cs="Arial" w:eastAsia="Arial" w:hAnsi="Arial"/>
          <w:sz w:val="19"/>
          <w:szCs w:val="19"/>
          <w:b w:val="1"/>
          <w:bCs w:val="1"/>
          <w:color w:val="auto"/>
        </w:rPr>
      </w:pPr>
      <w:r>
        <w:rPr>
          <w:rFonts w:ascii="Arial" w:cs="Arial" w:eastAsia="Arial" w:hAnsi="Arial"/>
          <w:sz w:val="19"/>
          <w:szCs w:val="19"/>
          <w:color w:val="auto"/>
        </w:rPr>
        <w:t>Any Initial Licensed Compound that is modified under Section 4.7(a) or 4.7(b) in accordance with the terms thereof shall become a Modified Licensed Compound (as defined in Section 1.60) except as otherwise restricted by subsection</w:t>
      </w:r>
    </w:p>
    <w:p>
      <w:pPr>
        <w:spacing w:after="0" w:line="1" w:lineRule="exact"/>
        <w:rPr>
          <w:rFonts w:ascii="Arial" w:cs="Arial" w:eastAsia="Arial" w:hAnsi="Arial"/>
          <w:sz w:val="19"/>
          <w:szCs w:val="19"/>
          <w:b w:val="1"/>
          <w:bCs w:val="1"/>
          <w:color w:val="auto"/>
        </w:rPr>
      </w:pPr>
    </w:p>
    <w:p>
      <w:pPr>
        <w:ind w:left="320" w:hanging="312"/>
        <w:spacing w:after="0"/>
        <w:tabs>
          <w:tab w:leader="none" w:pos="32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below.</w:t>
      </w:r>
    </w:p>
    <w:p>
      <w:pPr>
        <w:sectPr>
          <w:pgSz w:w="11900" w:h="16838" w:orient="portrait"/>
          <w:cols w:equalWidth="0" w:num="1">
            <w:col w:w="11240"/>
          </w:cols>
          <w:pgMar w:left="320" w:top="1421" w:right="339" w:bottom="1440" w:gutter="0" w:footer="0" w:header="0"/>
        </w:sectPr>
      </w:pPr>
    </w:p>
    <w:bookmarkStart w:id="407" w:name="page408"/>
    <w:bookmarkEnd w:id="407"/>
    <w:p>
      <w:pPr>
        <w:jc w:val="both"/>
        <w:ind w:firstLine="1304"/>
        <w:spacing w:after="0" w:line="259" w:lineRule="auto"/>
        <w:tabs>
          <w:tab w:leader="none" w:pos="1911" w:val="left"/>
        </w:tabs>
        <w:numPr>
          <w:ilvl w:val="0"/>
          <w:numId w:val="385"/>
        </w:numPr>
        <w:rPr>
          <w:rFonts w:ascii="Arial" w:cs="Arial" w:eastAsia="Arial" w:hAnsi="Arial"/>
          <w:sz w:val="21"/>
          <w:szCs w:val="21"/>
          <w:b w:val="1"/>
          <w:bCs w:val="1"/>
          <w:color w:val="auto"/>
        </w:rPr>
      </w:pPr>
      <w:r>
        <w:rPr>
          <w:rFonts w:ascii="Arial" w:cs="Arial" w:eastAsia="Arial" w:hAnsi="Arial"/>
          <w:sz w:val="21"/>
          <w:szCs w:val="21"/>
          <w:color w:val="auto"/>
        </w:rPr>
        <w:t>In no event shall either Party be required or permitted to perform any Sequence Modification or other modification under Section 4.7(b) that is intended to produce a compound that, ***. In the event that Allergan, in the performance of its modification activity under this Section 4.7, performs a modification that results in a compound that is described under subsection (i) or (ii) above, then Allergan shall promptly notify Molecular Partners and assign to Molecular Partners all of its rights in any Inventions to the extent relating solely to such compound, to the extent such compound is so modified and, at the request of Molecular Partners, provide to Molecular Partners all materials, data, information and results related thereto. If Molecular Partner’s activities under this Section 4.7 result in such a modified compound, then such modified compound shall not be deemed to be a Licensed Compound for purposes of this Agreement and Molecular Partners will retain all rights and interest in any Invention relating thereto.</w:t>
      </w:r>
    </w:p>
    <w:p>
      <w:pPr>
        <w:spacing w:after="0" w:line="179" w:lineRule="exact"/>
        <w:rPr>
          <w:rFonts w:ascii="Arial" w:cs="Arial" w:eastAsia="Arial" w:hAnsi="Arial"/>
          <w:sz w:val="21"/>
          <w:szCs w:val="21"/>
          <w:b w:val="1"/>
          <w:bCs w:val="1"/>
          <w:color w:val="auto"/>
        </w:rPr>
      </w:pPr>
    </w:p>
    <w:p>
      <w:pPr>
        <w:ind w:right="20" w:firstLine="1304"/>
        <w:spacing w:after="0" w:line="263" w:lineRule="auto"/>
        <w:tabs>
          <w:tab w:leader="none" w:pos="1873" w:val="left"/>
        </w:tabs>
        <w:numPr>
          <w:ilvl w:val="0"/>
          <w:numId w:val="385"/>
        </w:numPr>
        <w:rPr>
          <w:rFonts w:ascii="Arial" w:cs="Arial" w:eastAsia="Arial" w:hAnsi="Arial"/>
          <w:sz w:val="22"/>
          <w:szCs w:val="22"/>
          <w:b w:val="1"/>
          <w:bCs w:val="1"/>
          <w:color w:val="auto"/>
        </w:rPr>
      </w:pPr>
      <w:r>
        <w:rPr>
          <w:rFonts w:ascii="Arial" w:cs="Arial" w:eastAsia="Arial" w:hAnsi="Arial"/>
          <w:sz w:val="22"/>
          <w:szCs w:val="22"/>
          <w:color w:val="auto"/>
        </w:rPr>
        <w:t>For clarity, Molecular Partners shall not be obligated to conduct development of any proposed DARPin Compound under this Section 4.7.</w:t>
      </w:r>
    </w:p>
    <w:p>
      <w:pPr>
        <w:spacing w:after="0" w:line="174" w:lineRule="exact"/>
        <w:rPr>
          <w:rFonts w:ascii="Arial" w:cs="Arial" w:eastAsia="Arial" w:hAnsi="Arial"/>
          <w:sz w:val="22"/>
          <w:szCs w:val="22"/>
          <w:b w:val="1"/>
          <w:bCs w:val="1"/>
          <w:color w:val="auto"/>
        </w:rPr>
      </w:pPr>
    </w:p>
    <w:p>
      <w:pPr>
        <w:jc w:val="both"/>
        <w:ind w:firstLine="1304"/>
        <w:spacing w:after="0" w:line="294" w:lineRule="auto"/>
        <w:tabs>
          <w:tab w:leader="none" w:pos="1849" w:val="left"/>
        </w:tabs>
        <w:numPr>
          <w:ilvl w:val="0"/>
          <w:numId w:val="385"/>
        </w:numPr>
        <w:rPr>
          <w:rFonts w:ascii="Arial" w:cs="Arial" w:eastAsia="Arial" w:hAnsi="Arial"/>
          <w:sz w:val="19"/>
          <w:szCs w:val="19"/>
          <w:b w:val="1"/>
          <w:bCs w:val="1"/>
          <w:color w:val="auto"/>
        </w:rPr>
      </w:pPr>
      <w:r>
        <w:rPr>
          <w:rFonts w:ascii="Arial" w:cs="Arial" w:eastAsia="Arial" w:hAnsi="Arial"/>
          <w:sz w:val="19"/>
          <w:szCs w:val="19"/>
          <w:color w:val="auto"/>
        </w:rPr>
        <w:t>Except as provided in subsection (d), as between the Parties, (i) any and all Inventions made solely by Allergan under Section 4.7(b), and intellectual property rights therein, shall be owned solely by Allergan, and (ii) any and all other Inventions made under Section 4.7(a) by either Party solely or the Parties jointly, and Patents and intellectual property rights therein (exclusive of any pre-existing intellectual property rights of a Third Party or a Party), shall be owned jointly by the Parties (collectively, a “</w:t>
      </w:r>
      <w:r>
        <w:rPr>
          <w:rFonts w:ascii="Arial" w:cs="Arial" w:eastAsia="Arial" w:hAnsi="Arial"/>
          <w:sz w:val="19"/>
          <w:szCs w:val="19"/>
          <w:b w:val="1"/>
          <w:bCs w:val="1"/>
          <w:color w:val="auto"/>
        </w:rPr>
        <w:t>Joint Modification Invention</w:t>
      </w:r>
      <w:r>
        <w:rPr>
          <w:rFonts w:ascii="Arial" w:cs="Arial" w:eastAsia="Arial" w:hAnsi="Arial"/>
          <w:sz w:val="19"/>
          <w:szCs w:val="19"/>
          <w:color w:val="auto"/>
        </w:rPr>
        <w:t>”) and deemed to be a Joint Patent. For clarity, this Section 4.7 shall cover modifications to a Licensed Compound only, and not modification to any other composition that a Licensed Product comprises.</w:t>
      </w:r>
    </w:p>
    <w:p>
      <w:pPr>
        <w:spacing w:after="0" w:line="149" w:lineRule="exact"/>
        <w:rPr>
          <w:rFonts w:ascii="Arial" w:cs="Arial" w:eastAsia="Arial" w:hAnsi="Arial"/>
          <w:sz w:val="19"/>
          <w:szCs w:val="19"/>
          <w:b w:val="1"/>
          <w:bCs w:val="1"/>
          <w:color w:val="auto"/>
        </w:rPr>
      </w:pPr>
    </w:p>
    <w:p>
      <w:pPr>
        <w:jc w:val="both"/>
        <w:ind w:firstLine="1304"/>
        <w:spacing w:after="0" w:line="253" w:lineRule="auto"/>
        <w:tabs>
          <w:tab w:leader="none" w:pos="1858" w:val="left"/>
        </w:tabs>
        <w:numPr>
          <w:ilvl w:val="0"/>
          <w:numId w:val="385"/>
        </w:numPr>
        <w:rPr>
          <w:rFonts w:ascii="Arial" w:cs="Arial" w:eastAsia="Arial" w:hAnsi="Arial"/>
          <w:sz w:val="22"/>
          <w:szCs w:val="22"/>
          <w:b w:val="1"/>
          <w:bCs w:val="1"/>
          <w:color w:val="auto"/>
        </w:rPr>
      </w:pPr>
      <w:r>
        <w:rPr>
          <w:rFonts w:ascii="Arial" w:cs="Arial" w:eastAsia="Arial" w:hAnsi="Arial"/>
          <w:sz w:val="22"/>
          <w:szCs w:val="22"/>
          <w:color w:val="auto"/>
        </w:rPr>
        <w:t>The rights of Allergan to request and/or perform any Sequence Modification under this Section 4.7 shall terminate and expire on the third (3rd) anniversary of the Effective Date, unless the Parties agree to extend such period in writing in their sole discretion.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5.1 Regulatory Responsibilities</w:t>
      </w:r>
      <w:r>
        <w:rPr>
          <w:rFonts w:ascii="Arial" w:cs="Arial" w:eastAsia="Arial" w:hAnsi="Arial"/>
          <w:sz w:val="22"/>
          <w:szCs w:val="22"/>
          <w:color w:val="auto"/>
        </w:rPr>
        <w:t>. In accordance with this Article 5, Allergan shall be solely responsible, at its expense,</w:t>
      </w:r>
      <w:r>
        <w:rPr>
          <w:rFonts w:ascii="Arial" w:cs="Arial" w:eastAsia="Arial" w:hAnsi="Arial"/>
          <w:sz w:val="22"/>
          <w:szCs w:val="22"/>
          <w:b w:val="1"/>
          <w:bCs w:val="1"/>
          <w:color w:val="auto"/>
        </w:rPr>
        <w:t xml:space="preserve"> </w:t>
      </w:r>
      <w:r>
        <w:rPr>
          <w:rFonts w:ascii="Arial" w:cs="Arial" w:eastAsia="Arial" w:hAnsi="Arial"/>
          <w:sz w:val="22"/>
          <w:szCs w:val="22"/>
          <w:color w:val="auto"/>
        </w:rPr>
        <w:t>for preparing, filing and maintaining all Regulatory Materials for Licensed Products in the Field in the Territory, and Allergan shall own all Regulatory Materials (including all INDs, BLAs, Regulatory Approval Applications and Regulatory Approvals) for Licensed Products in the Field in the Territory.</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5.2 Regulatory Materials; Data</w:t>
      </w:r>
      <w:r>
        <w:rPr>
          <w:rFonts w:ascii="Arial" w:cs="Arial" w:eastAsia="Arial" w:hAnsi="Arial"/>
          <w:sz w:val="21"/>
          <w:szCs w:val="21"/>
          <w:color w:val="auto"/>
        </w:rPr>
        <w:t>. Reasonably promptly after the Effective Date, to the extent permitted by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Laws, Molecular Partners shall (a) transfer and assign to Allergan all Regulatory Materials existing as of the Effective Date for Licensed Compounds and Licensed Products, including *** (the “</w:t>
      </w:r>
      <w:r>
        <w:rPr>
          <w:rFonts w:ascii="Arial" w:cs="Arial" w:eastAsia="Arial" w:hAnsi="Arial"/>
          <w:sz w:val="21"/>
          <w:szCs w:val="21"/>
          <w:b w:val="1"/>
          <w:bCs w:val="1"/>
          <w:color w:val="auto"/>
        </w:rPr>
        <w:t>Existing IND</w:t>
      </w:r>
      <w:r>
        <w:rPr>
          <w:rFonts w:ascii="Arial" w:cs="Arial" w:eastAsia="Arial" w:hAnsi="Arial"/>
          <w:sz w:val="21"/>
          <w:szCs w:val="21"/>
          <w:color w:val="auto"/>
        </w:rPr>
        <w:t>”), (b) transfer or make available copies of such Regulatory Materials existing as of the Effective Date for the Licensed Products and (c)</w:t>
      </w:r>
    </w:p>
    <w:p>
      <w:pPr>
        <w:sectPr>
          <w:pgSz w:w="11900" w:h="16838" w:orient="portrait"/>
          <w:cols w:equalWidth="0" w:num="1">
            <w:col w:w="11240"/>
          </w:cols>
          <w:pgMar w:left="320" w:top="1427" w:right="339" w:bottom="1440" w:gutter="0" w:footer="0" w:header="0"/>
        </w:sectPr>
      </w:pPr>
    </w:p>
    <w:bookmarkStart w:id="408" w:name="page409"/>
    <w:bookmarkEnd w:id="408"/>
    <w:p>
      <w:pPr>
        <w:jc w:val="both"/>
        <w:spacing w:after="0" w:line="285" w:lineRule="auto"/>
        <w:rPr>
          <w:sz w:val="20"/>
          <w:szCs w:val="20"/>
          <w:color w:val="auto"/>
        </w:rPr>
      </w:pPr>
      <w:r>
        <w:rPr>
          <w:rFonts w:ascii="Arial" w:cs="Arial" w:eastAsia="Arial" w:hAnsi="Arial"/>
          <w:sz w:val="19"/>
          <w:szCs w:val="19"/>
          <w:color w:val="auto"/>
        </w:rPr>
        <w:t>treat such Regulatory Materials as “Confidential Information” of Allergan (and not of Molecular Partners) under Article 12, except that (i) the foregoing shall not limit Molecular Partners’ use or disclosure of Information contained within such Regulatory Materials in the exercise of its retained rights under Section 2.2, provided that Molecular Partners provides prior written notice of any such disclosure and any disclosee is bound by obligations of confidentiality and restrictions on use of such Confidential Information that are no less protective than those set forth in Article 12, and (ii) Molecular Partners will be allowed to retain copies of such Regulatory Materials, including any such Information that a Regulatory Authority requires Molecular Partners to retain under applicable Laws. Upon assignment of the Regulatory Materials to Allergan, Molecular Partners shall submit notifications, filings, and submissions to all Regulatory Authorities as are necessary to transfer Molecular Partners’ rights with respect to such Regulatory Filings and Regulatory Approvals to Allergan. Thereafter, (A) Allergan or its designee shall be the owner of any and all Regulatory Filings and Regulatory Approvals covering the Licensed Products in the Territory, including all INDs and Regulatory Approvals therefor), (B) Allergan shall have the responsibility, in its sole discretion, at its sole expense for all regulatory activities and interactions relating to Licensed Products, including preparing, obtaining, and maintaining Regulatory Approvals and all substantive interactions with Regulatory Authorities relating thereto, (C) Allergan shall determine, in its sole discretion, the content of all such submissions and of all correspondence with Regulatory Authorities relating to Licensed Products, (D) Allergan shall be the sole point of contact with Regulatory Authorities in the Territory for Licensed Products, and (E) the regulatory filing fees and all expenses relating to seeking and obtaining Regulatory Approval for Licensed Products in the Field shall be borne solely by Allergan.</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5.3 Regulatory Matters</w:t>
      </w:r>
      <w:r>
        <w:rPr>
          <w:rFonts w:ascii="Arial" w:cs="Arial" w:eastAsia="Arial" w:hAnsi="Arial"/>
          <w:sz w:val="22"/>
          <w:szCs w:val="22"/>
          <w:color w:val="auto"/>
        </w:rPr>
        <w:t>. Allergan shall keep Molecular Partners reasonably informed of all material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developments relating to Licensed Products in the Territory through regular reports at the JSC meetings or after the JSC Term through the annual development reports under Section 4.1(d). Allergan shall notify Molecular Partners of any Regulatory Approval Application submitted to or Regulatory Approval received from any Regulatory Authority for a Licensed Product in the Territory within five (5) days after such submission or receipt.</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5.4 Notification of Threatened Action</w:t>
      </w:r>
      <w:r>
        <w:rPr>
          <w:rFonts w:ascii="Arial" w:cs="Arial" w:eastAsia="Arial" w:hAnsi="Arial"/>
          <w:sz w:val="22"/>
          <w:szCs w:val="22"/>
          <w:color w:val="auto"/>
        </w:rPr>
        <w:t>. Each Party shall promptly notify the other Party of any information it receives</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any threatened or pending action, inspection or communication by or from any Third Party, including a Regulatory Authority, which may materially affect the Development, Manufacturing, Commercialization or regulatory status of a Licensed Product. Upon receipt of such information, the Parties shall consult with each other in an effort to coordinate, to the extent reasonably necessary on appropriate action.</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b w:val="1"/>
          <w:bCs w:val="1"/>
          <w:color w:val="auto"/>
        </w:rPr>
        <w:t>Adverse Event Reporting</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12" w:lineRule="auto"/>
        <w:tabs>
          <w:tab w:leader="none" w:pos="1777" w:val="left"/>
        </w:tabs>
        <w:numPr>
          <w:ilvl w:val="0"/>
          <w:numId w:val="386"/>
        </w:numPr>
        <w:rPr>
          <w:rFonts w:ascii="Arial" w:cs="Arial" w:eastAsia="Arial" w:hAnsi="Arial"/>
          <w:sz w:val="19"/>
          <w:szCs w:val="19"/>
          <w:b w:val="1"/>
          <w:bCs w:val="1"/>
          <w:color w:val="auto"/>
        </w:rPr>
      </w:pPr>
      <w:r>
        <w:rPr>
          <w:rFonts w:ascii="Arial" w:cs="Arial" w:eastAsia="Arial" w:hAnsi="Arial"/>
          <w:sz w:val="19"/>
          <w:szCs w:val="19"/>
          <w:color w:val="auto"/>
        </w:rPr>
        <w:t>Allergan shall be responsible for creating and maintaining a global safety database for the Licensed Products in the Field in the Territory, at Allergan’s expense. Allergan shall be responsible for reporting quality complaints, adverse events and safety data related to Licensed Products in the Field to applicable Regulatory Authorities in the Territory, as well as</w:t>
      </w:r>
    </w:p>
    <w:p>
      <w:pPr>
        <w:sectPr>
          <w:pgSz w:w="11900" w:h="16838" w:orient="portrait"/>
          <w:cols w:equalWidth="0" w:num="1">
            <w:col w:w="11240"/>
          </w:cols>
          <w:pgMar w:left="320" w:top="1427" w:right="339" w:bottom="1440" w:gutter="0" w:footer="0" w:header="0"/>
        </w:sectPr>
      </w:pPr>
    </w:p>
    <w:bookmarkStart w:id="409" w:name="page410"/>
    <w:bookmarkEnd w:id="409"/>
    <w:p>
      <w:pPr>
        <w:jc w:val="both"/>
        <w:spacing w:after="0" w:line="253" w:lineRule="auto"/>
        <w:rPr>
          <w:sz w:val="20"/>
          <w:szCs w:val="20"/>
          <w:color w:val="auto"/>
        </w:rPr>
      </w:pPr>
      <w:r>
        <w:rPr>
          <w:rFonts w:ascii="Arial" w:cs="Arial" w:eastAsia="Arial" w:hAnsi="Arial"/>
          <w:sz w:val="22"/>
          <w:szCs w:val="22"/>
          <w:color w:val="auto"/>
        </w:rPr>
        <w:t>responding to safety issues and to all requests of Regulatory Authorities relating to Licensed Products in the Field in the Territory. Allergan will provide Molecular Partners with reasonable access to such safety database to the extent required under applicable Law.</w:t>
      </w:r>
    </w:p>
    <w:p>
      <w:pPr>
        <w:spacing w:after="0" w:line="185" w:lineRule="exact"/>
        <w:rPr>
          <w:sz w:val="20"/>
          <w:szCs w:val="20"/>
          <w:color w:val="auto"/>
        </w:rPr>
      </w:pPr>
    </w:p>
    <w:p>
      <w:pPr>
        <w:jc w:val="both"/>
        <w:ind w:firstLine="1304"/>
        <w:spacing w:after="0" w:line="250" w:lineRule="auto"/>
        <w:tabs>
          <w:tab w:leader="none" w:pos="1776" w:val="left"/>
        </w:tabs>
        <w:numPr>
          <w:ilvl w:val="0"/>
          <w:numId w:val="387"/>
        </w:numPr>
        <w:rPr>
          <w:rFonts w:ascii="Arial" w:cs="Arial" w:eastAsia="Arial" w:hAnsi="Arial"/>
          <w:sz w:val="22"/>
          <w:szCs w:val="22"/>
          <w:b w:val="1"/>
          <w:bCs w:val="1"/>
          <w:color w:val="auto"/>
        </w:rPr>
      </w:pPr>
      <w:r>
        <w:rPr>
          <w:rFonts w:ascii="Arial" w:cs="Arial" w:eastAsia="Arial" w:hAnsi="Arial"/>
          <w:sz w:val="22"/>
          <w:szCs w:val="22"/>
          <w:color w:val="auto"/>
        </w:rPr>
        <w:t>Allergan shall notify Molecular Partners of all serious adverse events for Licensed Compounds and Licensed Products promptly upon notification of any applicable Regulatory Authority (or in advance if practicable) and of all other adverse events for Licensed Compounds and Licensed Products through annual written reports to the JSC or after the JSC Term through the annual development reports under Section 4.1(d).</w:t>
      </w:r>
    </w:p>
    <w:p>
      <w:pPr>
        <w:spacing w:after="0" w:line="187" w:lineRule="exact"/>
        <w:rPr>
          <w:rFonts w:ascii="Arial" w:cs="Arial" w:eastAsia="Arial" w:hAnsi="Arial"/>
          <w:sz w:val="22"/>
          <w:szCs w:val="22"/>
          <w:b w:val="1"/>
          <w:bCs w:val="1"/>
          <w:color w:val="auto"/>
        </w:rPr>
      </w:pPr>
    </w:p>
    <w:p>
      <w:pPr>
        <w:jc w:val="both"/>
        <w:ind w:firstLine="1304"/>
        <w:spacing w:after="0" w:line="297" w:lineRule="auto"/>
        <w:tabs>
          <w:tab w:leader="none" w:pos="1806" w:val="left"/>
        </w:tabs>
        <w:numPr>
          <w:ilvl w:val="0"/>
          <w:numId w:val="387"/>
        </w:numPr>
        <w:rPr>
          <w:rFonts w:ascii="Arial" w:cs="Arial" w:eastAsia="Arial" w:hAnsi="Arial"/>
          <w:sz w:val="19"/>
          <w:szCs w:val="19"/>
          <w:b w:val="1"/>
          <w:bCs w:val="1"/>
          <w:color w:val="auto"/>
        </w:rPr>
      </w:pPr>
      <w:r>
        <w:rPr>
          <w:rFonts w:ascii="Arial" w:cs="Arial" w:eastAsia="Arial" w:hAnsi="Arial"/>
          <w:sz w:val="19"/>
          <w:szCs w:val="19"/>
          <w:color w:val="auto"/>
        </w:rPr>
        <w:t>Molecular Partners shall notify Allergan of the first serious adverse event for products containing DARPin Compounds developed or commercialized by Molecular Partners, its Affiliates, or licensees promptly upon notification of any applicable Regulatory Authority (or in advance if practicable) except as restricted by Third Party obligations. Thereafter, Molecular Partners shall notify Allergan of all serious adverse events for such products through annual written reports to the JSC or after the JSC Term on an annual basis except as restricted by Third Party obligations. mmm</w:t>
      </w:r>
    </w:p>
    <w:p>
      <w:pPr>
        <w:spacing w:after="0" w:line="1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5.6 Remedial Actions</w:t>
      </w:r>
      <w:r>
        <w:rPr>
          <w:rFonts w:ascii="Arial" w:cs="Arial" w:eastAsia="Arial" w:hAnsi="Arial"/>
          <w:sz w:val="22"/>
          <w:szCs w:val="22"/>
          <w:color w:val="auto"/>
        </w:rPr>
        <w:t>. Allergan shall have the sole right to decide whether any recall, corrective action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action with respect to a Licensed Product taken by virtue of applicable Laws (a “</w:t>
      </w:r>
      <w:r>
        <w:rPr>
          <w:rFonts w:ascii="Arial" w:cs="Arial" w:eastAsia="Arial" w:hAnsi="Arial"/>
          <w:sz w:val="22"/>
          <w:szCs w:val="22"/>
          <w:b w:val="1"/>
          <w:bCs w:val="1"/>
          <w:color w:val="auto"/>
        </w:rPr>
        <w:t>Remedial Action</w:t>
      </w:r>
      <w:r>
        <w:rPr>
          <w:rFonts w:ascii="Arial" w:cs="Arial" w:eastAsia="Arial" w:hAnsi="Arial"/>
          <w:sz w:val="22"/>
          <w:szCs w:val="22"/>
          <w:color w:val="auto"/>
        </w:rPr>
        <w:t>”) with respect to Licensed Products in the Field and in the Territory should be commenced, with advance notice to Molecular Partners to the extent practicable.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6.1 General</w:t>
      </w:r>
      <w:r>
        <w:rPr>
          <w:rFonts w:ascii="Arial" w:cs="Arial" w:eastAsia="Arial" w:hAnsi="Arial"/>
          <w:sz w:val="19"/>
          <w:szCs w:val="19"/>
          <w:color w:val="auto"/>
        </w:rPr>
        <w:t>. Allergan will be solely responsible, at its expense, for all aspects of the Commercialization of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in the Field in the Territory, which responsibilities include: (a) conducting Clinical Trials in support of its Commercialization efforts; (b) developing and executing a comprehensive commercial launch and pre-launch strategy and plan and subsequent Commercialization activities for such Licensed Product (including pricing, advertising, education, planning, marketing, sales force training and allocation); (c) negotiating with applicable Governmental Authorities regarding the price and reimbursement status of the Licensed Product; (d) marketing and promotion; (e) booking sales and distribution and performance of related services; (f) handling all aspects of order processing, invoicing and collection, inventory and receivables; (g) providing customer support, including handling medical queries, and performing other related functions; and (h) conforming its practices and procedures to applicable Laws relating to the marketing, detailing and promotion of Licensed Products in the Territory.</w:t>
      </w:r>
    </w:p>
    <w:p>
      <w:pPr>
        <w:spacing w:after="0" w:line="14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6.2 Commercial Diligence</w:t>
      </w:r>
      <w:r>
        <w:rPr>
          <w:rFonts w:ascii="Arial" w:cs="Arial" w:eastAsia="Arial" w:hAnsi="Arial"/>
          <w:sz w:val="19"/>
          <w:szCs w:val="19"/>
          <w:color w:val="auto"/>
        </w:rPr>
        <w:t>. Allergan shall use Commercially Reasonable Efforts to Commercialize Licensed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Territory in the Field. Allergan will be deemed to be using Commercially Reasonable Efforts to Commercialize Licensed Products in the Territory in the Field if it is using Commercially Reasonable Efforts to Commercialize a Licensed Product</w:t>
      </w:r>
    </w:p>
    <w:p>
      <w:pPr>
        <w:sectPr>
          <w:pgSz w:w="11900" w:h="16838" w:orient="portrait"/>
          <w:cols w:equalWidth="0" w:num="1">
            <w:col w:w="11240"/>
          </w:cols>
          <w:pgMar w:left="320" w:top="1427" w:right="339" w:bottom="1440" w:gutter="0" w:footer="0" w:header="0"/>
        </w:sectPr>
      </w:pPr>
    </w:p>
    <w:bookmarkStart w:id="410" w:name="page411"/>
    <w:bookmarkEnd w:id="410"/>
    <w:p>
      <w:pPr>
        <w:spacing w:after="0"/>
        <w:rPr>
          <w:sz w:val="20"/>
          <w:szCs w:val="20"/>
          <w:color w:val="auto"/>
        </w:rPr>
      </w:pPr>
      <w:r>
        <w:rPr>
          <w:rFonts w:ascii="Arial" w:cs="Arial" w:eastAsia="Arial" w:hAnsi="Arial"/>
          <w:sz w:val="22"/>
          <w:szCs w:val="22"/>
          <w:color w:val="auto"/>
        </w:rPr>
        <w:t>after Regulatory Approval for such Licensed Product is obtained in the following countries: (a) the U.S., ***.</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6.3 Commercialization Reports</w:t>
      </w:r>
      <w:r>
        <w:rPr>
          <w:rFonts w:ascii="Arial" w:cs="Arial" w:eastAsia="Arial" w:hAnsi="Arial"/>
          <w:sz w:val="22"/>
          <w:szCs w:val="22"/>
          <w:color w:val="auto"/>
        </w:rPr>
        <w:t>. After submission of a Regulatory Approval Application for a Licensed Product, upon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reasonable request of Molecular Partners on no more than an annual basis, Allergan shall provide Molecular Partners with a written summary of Allergan’s projection of the launch dates for each Licensed Product in the Field and the Territory and a non-binding estimate of Licensed Product sales for the subsequent Calendar Year. The obligations under this Section 6.3 shall terminate in the event of a Change of Control of Molecular Partners where the Acquiror is developing or commercializing a product in the Field.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7.1 Responsibilities</w:t>
      </w:r>
      <w:r>
        <w:rPr>
          <w:rFonts w:ascii="Arial" w:cs="Arial" w:eastAsia="Arial" w:hAnsi="Arial"/>
          <w:sz w:val="22"/>
          <w:szCs w:val="22"/>
          <w:color w:val="auto"/>
        </w:rPr>
        <w:t>. Except as otherwise expressly provided in this Article 7, as of the Effective Date and as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Allergan will be solely responsible for the Manufacture of Licensed Products, at its expense, for Development and Commercialization purposes in the Field in the Territory.</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7.2 Third Party Manufacture</w:t>
      </w:r>
      <w:r>
        <w:rPr>
          <w:rFonts w:ascii="Arial" w:cs="Arial" w:eastAsia="Arial" w:hAnsi="Arial"/>
          <w:sz w:val="22"/>
          <w:szCs w:val="22"/>
          <w:color w:val="auto"/>
        </w:rPr>
        <w:t>. Allergan may perform the Manufacture of Licensed Compounds or Licensed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one or more Third Party manufacturers, provided that (a) Allergan remains responsible for such Third Party manufacturer; (b) the Third Party manufacturer undertakes in writing obligations of confidentiality and non-use regarding Confidential Information that are no less protective than those set forth in Article 12, and (c) the Third Party manufacturer agrees in writing to assign or license to Allergan all intellectual property developed in the course of performing any such Manufacture to the extent relating to the Licensed Compound or Licensed Product.</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7.3 Transfer of Manufacturing Technology</w:t>
      </w:r>
      <w:r>
        <w:rPr>
          <w:rFonts w:ascii="Arial" w:cs="Arial" w:eastAsia="Arial" w:hAnsi="Arial"/>
          <w:sz w:val="19"/>
          <w:szCs w:val="19"/>
          <w:color w:val="auto"/>
        </w:rPr>
        <w:t>. Reasonably promptly following the Effective Date, the Parties will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perform the activities allocated to it in the Handover Plan relating to the transfer of Manufacturing technology to Allergan. In accordance with the Handover Plan, Molecular Partners shall transfer to Allergan or a Third Party manufacturer designated by Allergan, the process currently employed by or on behalf of Molecular Partners for the Manufacture of Licensed Compounds or Licensed Products. Such transfer shall include the transfer of all Molecular Partners Know-How then Controlled by Molecular Partners that is necessary or reasonably useful for Allergan or such Third Party manufacturer (as applicable) to conduct the Manufacturing process as then being conducted. Molecular Partners shall bear all internal FTE costs incurred by Molecular Partners in performing its activities under the Handover Plan, and Allergan will bear all other costs and expenses incurred by either Party relating to the transfer of the Manufacturing technology to Allergan. In the event that Allergan may reasonably request additional activities relating to such transfer not set forth in the Handover Plan, Molecular Partners will use reasonable efforts to provide such support with such activities to be reimbursed by Allergan at the FTE Rate. Upon Allergan’s request, Molecular Partners will use reasonable efforts to assign to Allergan its rights under its contract manufacturing agreement for Licensed Compounds or Licensed Products listed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w:t>
      </w:r>
    </w:p>
    <w:p>
      <w:pPr>
        <w:sectPr>
          <w:pgSz w:w="11900" w:h="16838" w:orient="portrait"/>
          <w:cols w:equalWidth="0" w:num="1">
            <w:col w:w="11240"/>
          </w:cols>
          <w:pgMar w:left="320" w:top="1427" w:right="339" w:bottom="1440" w:gutter="0" w:footer="0" w:header="0"/>
        </w:sectPr>
      </w:pPr>
    </w:p>
    <w:bookmarkStart w:id="411" w:name="page412"/>
    <w:bookmarkEnd w:id="411"/>
    <w:p>
      <w:pPr>
        <w:jc w:val="both"/>
        <w:spacing w:after="0" w:line="290" w:lineRule="auto"/>
        <w:rPr>
          <w:sz w:val="20"/>
          <w:szCs w:val="20"/>
          <w:color w:val="auto"/>
        </w:rPr>
      </w:pPr>
      <w:r>
        <w:rPr>
          <w:rFonts w:ascii="Arial" w:cs="Arial" w:eastAsia="Arial" w:hAnsi="Arial"/>
          <w:sz w:val="19"/>
          <w:szCs w:val="19"/>
          <w:color w:val="auto"/>
        </w:rPr>
        <w:t>if such agreement cannot be assigned, then Molecular Partners shall reasonably cooperate with Allergan to arrange to continue to provide such services after the Effective Date, at Allergan’s expense. Molecular Partners shall reasonably cooperate with Allergan’s efforts to establish Licensed Compound Manufacture during such applicable transition period and shall not, during such applicable transition period, take any action that could reasonably be expected to have a material adverse impact on the further Manufacture of any Licensed Compound or Licensed Product. For the avoidance of doubt, nothing in this Section 7.3 with respect to Molecular Partners’ obligation to transfer such Molecular Partners Know-How to Allergan shall limit Molecular Partners’ right to use any such Molecular Partners Know-How in order to fulfill Molecular Partners’ obligations in accordance with this Agreement or its right to manufacture products other than Licensed Products.</w:t>
      </w:r>
    </w:p>
    <w:p>
      <w:pPr>
        <w:spacing w:after="0" w:line="1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7.4 Transfer of Inventory</w:t>
      </w:r>
      <w:r>
        <w:rPr>
          <w:rFonts w:ascii="Arial" w:cs="Arial" w:eastAsia="Arial" w:hAnsi="Arial"/>
          <w:sz w:val="21"/>
          <w:szCs w:val="21"/>
          <w:color w:val="auto"/>
        </w:rPr>
        <w:t>. At Allergan’s request, Molecular Partners shall supply, or cause to be supplied, at Molecular</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 cost, to Allergan its supplies of Licensed Compound as in Molecular Partners’ inventory or as being Manufactured as of the Effective Date. Any such supply will be made pursuant to a mutually acceptable supply agreement between the Parties. For clarity, Molecular Partner’s obligations to supply Licensed Compounds shall be limited to the first sentence of this Section 7.4, and Allergan shall be responsible for, and shall bear the cost of, all other supply of Licensed Compounds and Licensed Products, including any additional supply of Licensed Compound to be prepared for any Clinical Trial. All Licensed Compound provided under this Section 7.4 or any supply agreement shall be provided as is and without representations or warranties of any kind, except for those warranties provided to Molecular Partners by its Third Party contract manufacturers with respect to the particular materials supplied.</w:t>
      </w:r>
    </w:p>
    <w:p>
      <w:pPr>
        <w:spacing w:after="0" w:line="1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7.5 Use of Manufacturing Information</w:t>
      </w:r>
      <w:r>
        <w:rPr>
          <w:rFonts w:ascii="Arial" w:cs="Arial" w:eastAsia="Arial" w:hAnsi="Arial"/>
          <w:sz w:val="19"/>
          <w:szCs w:val="19"/>
          <w:color w:val="auto"/>
        </w:rPr>
        <w:t>. Allergan or its Affiliates and Third Party manufacturer shall use any</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transferred pursuant to Section 7.3 in accordance with the licenses granted in Section 2.1, including for the purpose of Manufacturing Licensed Products. Prior to any transfer of any Molecular Partners Know-How to a Third Party manufacturer, Allergan shall require that such Third Party be bound to confidentiality restrictions at least as protective as those of Article 12.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22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21"/>
          <w:szCs w:val="21"/>
          <w:b w:val="1"/>
          <w:bCs w:val="1"/>
          <w:color w:val="auto"/>
        </w:rPr>
        <w:t>8.1 Upfront Payment</w:t>
      </w:r>
      <w:r>
        <w:rPr>
          <w:rFonts w:ascii="Arial" w:cs="Arial" w:eastAsia="Arial" w:hAnsi="Arial"/>
          <w:sz w:val="21"/>
          <w:szCs w:val="21"/>
          <w:color w:val="auto"/>
        </w:rPr>
        <w:t>. Within ten (10) Business Days after the Effective Date, Allergan shall pay to Molecular Partners</w:t>
      </w:r>
      <w:r>
        <w:rPr>
          <w:rFonts w:ascii="Arial" w:cs="Arial" w:eastAsia="Arial" w:hAnsi="Arial"/>
          <w:sz w:val="21"/>
          <w:szCs w:val="21"/>
          <w:b w:val="1"/>
          <w:bCs w:val="1"/>
          <w:color w:val="auto"/>
        </w:rPr>
        <w:t xml:space="preserve"> </w:t>
      </w:r>
      <w:r>
        <w:rPr>
          <w:rFonts w:ascii="Arial" w:cs="Arial" w:eastAsia="Arial" w:hAnsi="Arial"/>
          <w:sz w:val="21"/>
          <w:szCs w:val="21"/>
          <w:color w:val="auto"/>
        </w:rPr>
        <w:t>a one-time, non-refundable and non-creditable upfront payment of forty-five million Dollars ($45,000,000).</w:t>
      </w:r>
    </w:p>
    <w:p>
      <w:pPr>
        <w:spacing w:after="0" w:line="1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8.2 Development Milestone Payments</w:t>
      </w:r>
      <w:r>
        <w:rPr>
          <w:rFonts w:ascii="Arial" w:cs="Arial" w:eastAsia="Arial" w:hAnsi="Arial"/>
          <w:sz w:val="22"/>
          <w:szCs w:val="22"/>
          <w:color w:val="auto"/>
        </w:rPr>
        <w:t>. Allergan shall make each of the following non-refundable, non-creditable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milestone payments to Molecular Partners upon the achievement by Allergan or its Affiliates or Sublicensees of the applicable development milestone events by a Licensed Product for the first and second Indications. Allergan shall pay to Molecular Partners each such amount within thirty (30) days after the achievement of the applicable development milestone event. For clarity, each of the following development</w:t>
      </w:r>
    </w:p>
    <w:p>
      <w:pPr>
        <w:sectPr>
          <w:pgSz w:w="11900" w:h="16838" w:orient="portrait"/>
          <w:cols w:equalWidth="0" w:num="1">
            <w:col w:w="11240"/>
          </w:cols>
          <w:pgMar w:left="320" w:top="1427" w:right="339" w:bottom="1440" w:gutter="0" w:footer="0" w:header="0"/>
        </w:sectPr>
      </w:pPr>
    </w:p>
    <w:bookmarkStart w:id="412" w:name="page413"/>
    <w:bookmarkEnd w:id="412"/>
    <w:p>
      <w:pPr>
        <w:jc w:val="both"/>
        <w:ind w:right="20"/>
        <w:spacing w:after="0" w:line="263" w:lineRule="auto"/>
        <w:rPr>
          <w:sz w:val="20"/>
          <w:szCs w:val="20"/>
          <w:color w:val="auto"/>
        </w:rPr>
      </w:pPr>
      <w:r>
        <w:rPr>
          <w:rFonts w:ascii="Arial" w:cs="Arial" w:eastAsia="Arial" w:hAnsi="Arial"/>
          <w:sz w:val="22"/>
          <w:szCs w:val="22"/>
          <w:color w:val="auto"/>
        </w:rPr>
        <w:t>milestone payments shall be made only once for a given Indication, regardless of the number of Licensed Products developed for such Indication.</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7700" w:type="dxa"/>
            <w:vAlign w:val="bottom"/>
            <w:tcBorders>
              <w:top w:val="single" w:sz="8" w:color="auto"/>
              <w:left w:val="single" w:sz="8" w:color="auto"/>
              <w:right w:val="single" w:sz="8" w:color="auto"/>
            </w:tcBorders>
            <w:vMerge w:val="restart"/>
          </w:tcPr>
          <w:p>
            <w:pPr>
              <w:ind w:left="2460"/>
              <w:spacing w:after="0"/>
              <w:rPr>
                <w:sz w:val="20"/>
                <w:szCs w:val="20"/>
                <w:color w:val="auto"/>
              </w:rPr>
            </w:pPr>
            <w:r>
              <w:rPr>
                <w:rFonts w:ascii="Arial" w:cs="Arial" w:eastAsia="Arial" w:hAnsi="Arial"/>
                <w:sz w:val="22"/>
                <w:szCs w:val="22"/>
                <w:b w:val="1"/>
                <w:bCs w:val="1"/>
                <w:color w:val="auto"/>
              </w:rPr>
              <w:t>Development Milestone Event</w:t>
            </w:r>
          </w:p>
        </w:tc>
        <w:tc>
          <w:tcPr>
            <w:tcW w:w="3560" w:type="dxa"/>
            <w:vAlign w:val="bottom"/>
            <w:tcBorders>
              <w:top w:val="single" w:sz="8" w:color="auto"/>
              <w:right w:val="single" w:sz="8" w:color="auto"/>
            </w:tcBorders>
          </w:tcPr>
          <w:p>
            <w:pPr>
              <w:jc w:val="right"/>
              <w:ind w:right="172"/>
              <w:spacing w:after="0"/>
              <w:rPr>
                <w:sz w:val="20"/>
                <w:szCs w:val="20"/>
                <w:color w:val="auto"/>
              </w:rPr>
            </w:pPr>
            <w:r>
              <w:rPr>
                <w:rFonts w:ascii="Arial" w:cs="Arial" w:eastAsia="Arial" w:hAnsi="Arial"/>
                <w:sz w:val="22"/>
                <w:szCs w:val="22"/>
                <w:b w:val="1"/>
                <w:bCs w:val="1"/>
                <w:color w:val="auto"/>
                <w:w w:val="94"/>
              </w:rPr>
              <w:t>Development Milestone Payment</w:t>
            </w:r>
          </w:p>
        </w:tc>
        <w:tc>
          <w:tcPr>
            <w:tcW w:w="0" w:type="dxa"/>
            <w:vAlign w:val="bottom"/>
          </w:tcPr>
          <w:p>
            <w:pPr>
              <w:spacing w:after="0"/>
              <w:rPr>
                <w:sz w:val="1"/>
                <w:szCs w:val="1"/>
                <w:color w:val="auto"/>
              </w:rPr>
            </w:pPr>
          </w:p>
        </w:tc>
      </w:tr>
      <w:tr>
        <w:trPr>
          <w:trHeight w:val="145"/>
        </w:trPr>
        <w:tc>
          <w:tcPr>
            <w:tcW w:w="7700" w:type="dxa"/>
            <w:vAlign w:val="bottom"/>
            <w:tcBorders>
              <w:left w:val="single" w:sz="8" w:color="auto"/>
              <w:right w:val="single" w:sz="8" w:color="auto"/>
            </w:tcBorders>
            <w:vMerge w:val="continue"/>
          </w:tcPr>
          <w:p>
            <w:pPr>
              <w:spacing w:after="0"/>
              <w:rPr>
                <w:sz w:val="12"/>
                <w:szCs w:val="12"/>
                <w:color w:val="auto"/>
              </w:rPr>
            </w:pPr>
          </w:p>
        </w:tc>
        <w:tc>
          <w:tcPr>
            <w:tcW w:w="3560" w:type="dxa"/>
            <w:vAlign w:val="bottom"/>
            <w:tcBorders>
              <w:right w:val="single" w:sz="8" w:color="auto"/>
            </w:tcBorders>
            <w:vMerge w:val="restart"/>
          </w:tcPr>
          <w:p>
            <w:pPr>
              <w:jc w:val="right"/>
              <w:ind w:right="532"/>
              <w:spacing w:after="0"/>
              <w:rPr>
                <w:sz w:val="20"/>
                <w:szCs w:val="20"/>
                <w:color w:val="auto"/>
              </w:rPr>
            </w:pPr>
            <w:r>
              <w:rPr>
                <w:rFonts w:ascii="Arial" w:cs="Arial" w:eastAsia="Arial" w:hAnsi="Arial"/>
                <w:sz w:val="22"/>
                <w:szCs w:val="22"/>
                <w:b w:val="1"/>
                <w:bCs w:val="1"/>
                <w:color w:val="auto"/>
              </w:rPr>
              <w:t>(each paid one time only)</w:t>
            </w:r>
          </w:p>
        </w:tc>
        <w:tc>
          <w:tcPr>
            <w:tcW w:w="0" w:type="dxa"/>
            <w:vAlign w:val="bottom"/>
          </w:tcPr>
          <w:p>
            <w:pPr>
              <w:spacing w:after="0"/>
              <w:rPr>
                <w:sz w:val="1"/>
                <w:szCs w:val="1"/>
                <w:color w:val="auto"/>
              </w:rPr>
            </w:pPr>
          </w:p>
        </w:tc>
      </w:tr>
      <w:tr>
        <w:trPr>
          <w:trHeight w:val="146"/>
        </w:trPr>
        <w:tc>
          <w:tcPr>
            <w:tcW w:w="7700" w:type="dxa"/>
            <w:vAlign w:val="bottom"/>
            <w:tcBorders>
              <w:left w:val="single" w:sz="8" w:color="auto"/>
              <w:bottom w:val="single" w:sz="8" w:color="auto"/>
              <w:right w:val="single" w:sz="8" w:color="auto"/>
            </w:tcBorders>
          </w:tcPr>
          <w:p>
            <w:pPr>
              <w:spacing w:after="0"/>
              <w:rPr>
                <w:sz w:val="12"/>
                <w:szCs w:val="12"/>
                <w:color w:val="auto"/>
              </w:rPr>
            </w:pPr>
          </w:p>
        </w:tc>
        <w:tc>
          <w:tcPr>
            <w:tcW w:w="35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For the first Indication:</w:t>
            </w:r>
          </w:p>
        </w:tc>
        <w:tc>
          <w:tcPr>
            <w:tcW w:w="3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Initiation of the first Phase 3 Clinical Trial for a Licensed Product; provided that ***</w:t>
            </w:r>
          </w:p>
        </w:tc>
        <w:tc>
          <w:tcPr>
            <w:tcW w:w="3560" w:type="dxa"/>
            <w:vAlign w:val="bottom"/>
            <w:tcBorders>
              <w:bottom w:val="single" w:sz="8" w:color="auto"/>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Regulatory Approval by the FDA</w:t>
            </w:r>
          </w:p>
        </w:tc>
        <w:tc>
          <w:tcPr>
            <w:tcW w:w="3560" w:type="dxa"/>
            <w:vAlign w:val="bottom"/>
            <w:tcBorders>
              <w:bottom w:val="single" w:sz="8" w:color="auto"/>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7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Regulatory Approval by the EMA (or a country-specific Regulatory Approval in any</w:t>
            </w:r>
          </w:p>
        </w:tc>
        <w:tc>
          <w:tcPr>
            <w:tcW w:w="3560" w:type="dxa"/>
            <w:vAlign w:val="bottom"/>
            <w:tcBorders>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5"/>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one of the Major European Market Countries)</w:t>
            </w:r>
          </w:p>
        </w:tc>
        <w:tc>
          <w:tcPr>
            <w:tcW w:w="3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Regulatory Approval by the MHLW</w:t>
            </w:r>
          </w:p>
        </w:tc>
        <w:tc>
          <w:tcPr>
            <w:tcW w:w="3560" w:type="dxa"/>
            <w:vAlign w:val="bottom"/>
            <w:tcBorders>
              <w:bottom w:val="single" w:sz="8" w:color="auto"/>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Total Development Milestone Payments for First Indication</w:t>
            </w:r>
          </w:p>
        </w:tc>
        <w:tc>
          <w:tcPr>
            <w:tcW w:w="3560" w:type="dxa"/>
            <w:vAlign w:val="bottom"/>
            <w:tcBorders>
              <w:bottom w:val="single" w:sz="8" w:color="auto"/>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For the second Indication:</w:t>
            </w:r>
          </w:p>
        </w:tc>
        <w:tc>
          <w:tcPr>
            <w:tcW w:w="3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Initiation of the first Phase 3 Clinical Trial for a Licensed Product</w:t>
            </w:r>
          </w:p>
        </w:tc>
        <w:tc>
          <w:tcPr>
            <w:tcW w:w="3560" w:type="dxa"/>
            <w:vAlign w:val="bottom"/>
            <w:tcBorders>
              <w:bottom w:val="single" w:sz="8" w:color="auto"/>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Regulatory Approval by the FDA</w:t>
            </w:r>
          </w:p>
        </w:tc>
        <w:tc>
          <w:tcPr>
            <w:tcW w:w="3560" w:type="dxa"/>
            <w:vAlign w:val="bottom"/>
            <w:tcBorders>
              <w:bottom w:val="single" w:sz="8" w:color="auto"/>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7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5"/>
              </w:rPr>
              <w:t>Regulatory Approval by the EMA (or a country-specific Regulatory Approval in any</w:t>
            </w:r>
          </w:p>
        </w:tc>
        <w:tc>
          <w:tcPr>
            <w:tcW w:w="3560" w:type="dxa"/>
            <w:vAlign w:val="bottom"/>
            <w:tcBorders>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85"/>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one of the Major European Market Countries)</w:t>
            </w:r>
          </w:p>
        </w:tc>
        <w:tc>
          <w:tcPr>
            <w:tcW w:w="3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Regulatory Approval by the MHLW</w:t>
            </w:r>
          </w:p>
        </w:tc>
        <w:tc>
          <w:tcPr>
            <w:tcW w:w="3560" w:type="dxa"/>
            <w:vAlign w:val="bottom"/>
            <w:tcBorders>
              <w:bottom w:val="single" w:sz="8" w:color="auto"/>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4"/>
        </w:trPr>
        <w:tc>
          <w:tcPr>
            <w:tcW w:w="77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Total Development Milestone Payments for Second Indication</w:t>
            </w:r>
          </w:p>
        </w:tc>
        <w:tc>
          <w:tcPr>
            <w:tcW w:w="3560" w:type="dxa"/>
            <w:vAlign w:val="bottom"/>
            <w:tcBorders>
              <w:bottom w:val="single" w:sz="8" w:color="auto"/>
              <w:right w:val="single" w:sz="8" w:color="auto"/>
            </w:tcBorders>
          </w:tcPr>
          <w:p>
            <w:pPr>
              <w:jc w:val="right"/>
              <w:ind w:right="3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1"/>
          <w:szCs w:val="21"/>
          <w:color w:val="auto"/>
        </w:rPr>
        <w:t>For purposes of this Section 8.2, the “</w:t>
      </w:r>
      <w:r>
        <w:rPr>
          <w:rFonts w:ascii="Arial" w:cs="Arial" w:eastAsia="Arial" w:hAnsi="Arial"/>
          <w:sz w:val="21"/>
          <w:szCs w:val="21"/>
          <w:b w:val="1"/>
          <w:bCs w:val="1"/>
          <w:color w:val="auto"/>
        </w:rPr>
        <w:t>Target Phase 3 Start Date</w:t>
      </w:r>
      <w:r>
        <w:rPr>
          <w:rFonts w:ascii="Arial" w:cs="Arial" w:eastAsia="Arial" w:hAnsi="Arial"/>
          <w:sz w:val="21"/>
          <w:szCs w:val="21"/>
          <w:color w:val="auto"/>
        </w:rPr>
        <w:t>” means the date that is twelve (12) months following the date set forth in the initial Development Plan for Initiation of the first Phase 3 Clinical Trial for a Licensed Product, provided that such twelve (12) month period shall be extended by the length of any delay in Initiating the first Phase 3 Clinical Trial for a Licensed Product caused by (i) safety concerns, (ii) inability to obtain sufficient supply of such Licensed Product, or (iii) Molecular Partners or a Third Party (for example, if a contract manufacturer breaches its supply agreement with Allergan or Molecular Partners by failing to supply the applicable Licensed Compound or Licensed Product by the required delivery date), including the time required to correct such delay; provided that in the cases of subsections (ii) and (iii) any extended time period shall not include any extension to the extent incorporating any delay solely attributable to the fault of Allergan. For the avoidance of doubt, Allergan will not be</w:t>
      </w:r>
    </w:p>
    <w:p>
      <w:pPr>
        <w:sectPr>
          <w:pgSz w:w="11900" w:h="16838" w:orient="portrait"/>
          <w:cols w:equalWidth="0" w:num="1">
            <w:col w:w="11260"/>
          </w:cols>
          <w:pgMar w:left="320" w:top="1427" w:right="319" w:bottom="1440" w:gutter="0" w:footer="0" w:header="0"/>
        </w:sectPr>
      </w:pPr>
    </w:p>
    <w:bookmarkStart w:id="413" w:name="page414"/>
    <w:bookmarkEnd w:id="413"/>
    <w:p>
      <w:pPr>
        <w:spacing w:after="0"/>
        <w:rPr>
          <w:sz w:val="20"/>
          <w:szCs w:val="20"/>
          <w:color w:val="auto"/>
        </w:rPr>
      </w:pPr>
      <w:r>
        <w:rPr>
          <w:rFonts w:ascii="Arial" w:cs="Arial" w:eastAsia="Arial" w:hAnsi="Arial"/>
          <w:sz w:val="21"/>
          <w:szCs w:val="21"/>
          <w:color w:val="auto"/>
        </w:rPr>
        <w:t>required to pay Molecular Partners the *** if this Agreement has been terminated prior to the Target Phase 3 Start Date.</w:t>
      </w:r>
    </w:p>
    <w:p>
      <w:pPr>
        <w:spacing w:after="0" w:line="22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8.3 Sales Milestones</w:t>
      </w:r>
      <w:r>
        <w:rPr>
          <w:rFonts w:ascii="Arial" w:cs="Arial" w:eastAsia="Arial" w:hAnsi="Arial"/>
          <w:sz w:val="22"/>
          <w:szCs w:val="22"/>
          <w:color w:val="auto"/>
        </w:rPr>
        <w:t>. Allergan shall make each of the following one-time, non-refundable (except as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8.9), non-creditable sales milestone payments to Molecular Partners when the aggregate Royalty-Bearing Sales of Licensed Products in the Territory in a period of any four (4) consecutive Calendar Quarters first reach the amount specified below. Allergan shall pay to Molecular Partners such amount within sixty (60) days after the Calendar Quarter in which such sales milestone event is achieved. For clarity, the sales milestone payments in this Section 8.3 shall be additive, such that if all three sales milestones below are met in the same period of four (4) consecutive Calendar Quarters, Allergan shall pay to Molecular Partners a payment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40575" cy="1525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0575" cy="1525905"/>
                    </a:xfrm>
                    <a:prstGeom prst="rect">
                      <a:avLst/>
                    </a:prstGeom>
                    <a:noFill/>
                  </pic:spPr>
                </pic:pic>
              </a:graphicData>
            </a:graphic>
          </wp:anchor>
        </w:drawing>
      </w:r>
    </w:p>
    <w:p>
      <w:pPr>
        <w:spacing w:after="0" w:line="237" w:lineRule="exact"/>
        <w:rPr>
          <w:sz w:val="20"/>
          <w:szCs w:val="20"/>
          <w:color w:val="auto"/>
        </w:rPr>
      </w:pPr>
    </w:p>
    <w:tbl>
      <w:tblPr>
        <w:tblLayout w:type="fixed"/>
        <w:tblInd w:w="290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b w:val="1"/>
                <w:bCs w:val="1"/>
                <w:color w:val="auto"/>
              </w:rPr>
              <w:t>Sales Milestone Event</w:t>
            </w:r>
          </w:p>
        </w:tc>
        <w:tc>
          <w:tcPr>
            <w:tcW w:w="3620" w:type="dxa"/>
            <w:vAlign w:val="bottom"/>
          </w:tcPr>
          <w:p>
            <w:pPr>
              <w:ind w:left="1860"/>
              <w:spacing w:after="0"/>
              <w:rPr>
                <w:sz w:val="20"/>
                <w:szCs w:val="20"/>
                <w:color w:val="auto"/>
              </w:rPr>
            </w:pPr>
            <w:r>
              <w:rPr>
                <w:rFonts w:ascii="Arial" w:cs="Arial" w:eastAsia="Arial" w:hAnsi="Arial"/>
                <w:sz w:val="22"/>
                <w:szCs w:val="22"/>
                <w:b w:val="1"/>
                <w:bCs w:val="1"/>
                <w:color w:val="auto"/>
                <w:w w:val="87"/>
              </w:rPr>
              <w:t>Milestone Payment</w:t>
            </w:r>
          </w:p>
        </w:tc>
      </w:tr>
    </w:tbl>
    <w:p>
      <w:pPr>
        <w:spacing w:after="0" w:line="50" w:lineRule="exact"/>
        <w:rPr>
          <w:sz w:val="20"/>
          <w:szCs w:val="20"/>
          <w:color w:val="auto"/>
        </w:rPr>
      </w:pPr>
    </w:p>
    <w:p>
      <w:pPr>
        <w:ind w:left="40" w:right="3100"/>
        <w:spacing w:after="0" w:line="263" w:lineRule="auto"/>
        <w:rPr>
          <w:sz w:val="20"/>
          <w:szCs w:val="20"/>
          <w:color w:val="auto"/>
        </w:rPr>
      </w:pPr>
      <w:r>
        <w:rPr>
          <w:rFonts w:ascii="Arial" w:cs="Arial" w:eastAsia="Arial" w:hAnsi="Arial"/>
          <w:sz w:val="22"/>
          <w:szCs w:val="22"/>
          <w:color w:val="auto"/>
        </w:rPr>
        <w:t>The aggregate Royalty-Bearing Sales of Licensed Products in the Territory in a period of *** four (4) consecutive Calendar Quarters equal or exceed ***</w:t>
      </w:r>
    </w:p>
    <w:p>
      <w:pPr>
        <w:spacing w:after="0" w:line="26" w:lineRule="exact"/>
        <w:rPr>
          <w:sz w:val="20"/>
          <w:szCs w:val="20"/>
          <w:color w:val="auto"/>
        </w:rPr>
      </w:pPr>
    </w:p>
    <w:p>
      <w:pPr>
        <w:ind w:left="40" w:right="3100"/>
        <w:spacing w:after="0" w:line="263" w:lineRule="auto"/>
        <w:rPr>
          <w:sz w:val="20"/>
          <w:szCs w:val="20"/>
          <w:color w:val="auto"/>
        </w:rPr>
      </w:pPr>
      <w:r>
        <w:rPr>
          <w:rFonts w:ascii="Arial" w:cs="Arial" w:eastAsia="Arial" w:hAnsi="Arial"/>
          <w:sz w:val="22"/>
          <w:szCs w:val="22"/>
          <w:color w:val="auto"/>
        </w:rPr>
        <w:t>The aggregate Royalty-Bearing Sales of Licensed Products in the Territory in a period of *** four (4) consecutive Calendar Quarters equal or exceed ***</w:t>
      </w:r>
    </w:p>
    <w:p>
      <w:pPr>
        <w:spacing w:after="0" w:line="26" w:lineRule="exact"/>
        <w:rPr>
          <w:sz w:val="20"/>
          <w:szCs w:val="20"/>
          <w:color w:val="auto"/>
        </w:rPr>
      </w:pPr>
    </w:p>
    <w:p>
      <w:pPr>
        <w:ind w:left="40" w:right="3100"/>
        <w:spacing w:after="0" w:line="263" w:lineRule="auto"/>
        <w:rPr>
          <w:sz w:val="20"/>
          <w:szCs w:val="20"/>
          <w:color w:val="auto"/>
        </w:rPr>
      </w:pPr>
      <w:r>
        <w:rPr>
          <w:rFonts w:ascii="Arial" w:cs="Arial" w:eastAsia="Arial" w:hAnsi="Arial"/>
          <w:sz w:val="22"/>
          <w:szCs w:val="22"/>
          <w:color w:val="auto"/>
        </w:rPr>
        <w:t>The aggregate Royalty-Bearing Sales of Licensed Products in the Territory in a period of *** four (4) consecutive Calendar Quarters equal or exceed ***</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5340" w:type="dxa"/>
            <w:vAlign w:val="bottom"/>
          </w:tcPr>
          <w:p>
            <w:pPr>
              <w:spacing w:after="0"/>
              <w:rPr>
                <w:sz w:val="20"/>
                <w:szCs w:val="20"/>
                <w:color w:val="auto"/>
              </w:rPr>
            </w:pPr>
            <w:r>
              <w:rPr>
                <w:rFonts w:ascii="Arial" w:cs="Arial" w:eastAsia="Arial" w:hAnsi="Arial"/>
                <w:sz w:val="22"/>
                <w:szCs w:val="22"/>
                <w:b w:val="1"/>
                <w:bCs w:val="1"/>
                <w:color w:val="auto"/>
              </w:rPr>
              <w:t>Total Sales Milestone Payments</w:t>
            </w:r>
          </w:p>
        </w:tc>
        <w:tc>
          <w:tcPr>
            <w:tcW w:w="276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bl>
    <w:p>
      <w:pPr>
        <w:sectPr>
          <w:pgSz w:w="11900" w:h="16838" w:orient="portrait"/>
          <w:cols w:equalWidth="0" w:num="1">
            <w:col w:w="11240"/>
          </w:cols>
          <w:pgMar w:left="320" w:top="1427" w:right="339" w:bottom="1440" w:gutter="0" w:footer="0" w:header="0"/>
        </w:sectPr>
      </w:pPr>
    </w:p>
    <w:bookmarkStart w:id="414" w:name="page415"/>
    <w:bookmarkEnd w:id="414"/>
    <w:p>
      <w:pPr>
        <w:ind w:left="660"/>
        <w:spacing w:after="0"/>
        <w:tabs>
          <w:tab w:leader="none" w:pos="112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Royalties</w:t>
      </w:r>
      <w:r>
        <w:rPr>
          <w:rFonts w:ascii="Arial" w:cs="Arial" w:eastAsia="Arial" w:hAnsi="Arial"/>
          <w:sz w:val="19"/>
          <w:szCs w:val="19"/>
          <w:color w:val="auto"/>
        </w:rPr>
        <w:t>.</w:t>
      </w:r>
    </w:p>
    <w:p>
      <w:pPr>
        <w:spacing w:after="0" w:line="220" w:lineRule="exact"/>
        <w:rPr>
          <w:sz w:val="20"/>
          <w:szCs w:val="20"/>
          <w:color w:val="auto"/>
        </w:rPr>
      </w:pPr>
    </w:p>
    <w:p>
      <w:pPr>
        <w:jc w:val="both"/>
        <w:ind w:right="20" w:firstLine="1304"/>
        <w:spacing w:after="0" w:line="267" w:lineRule="auto"/>
        <w:tabs>
          <w:tab w:leader="none" w:pos="1861" w:val="left"/>
        </w:tabs>
        <w:numPr>
          <w:ilvl w:val="0"/>
          <w:numId w:val="388"/>
        </w:numPr>
        <w:rPr>
          <w:rFonts w:ascii="Arial" w:cs="Arial" w:eastAsia="Arial" w:hAnsi="Arial"/>
          <w:sz w:val="21"/>
          <w:szCs w:val="21"/>
          <w:b w:val="1"/>
          <w:bCs w:val="1"/>
          <w:color w:val="auto"/>
        </w:rPr>
      </w:pPr>
      <w:r>
        <w:rPr>
          <w:rFonts w:ascii="Arial" w:cs="Arial" w:eastAsia="Arial" w:hAnsi="Arial"/>
          <w:sz w:val="21"/>
          <w:szCs w:val="21"/>
          <w:b w:val="1"/>
          <w:bCs w:val="1"/>
          <w:color w:val="auto"/>
        </w:rPr>
        <w:t>Royalty Rates</w:t>
      </w:r>
      <w:r>
        <w:rPr>
          <w:rFonts w:ascii="Arial" w:cs="Arial" w:eastAsia="Arial" w:hAnsi="Arial"/>
          <w:sz w:val="21"/>
          <w:szCs w:val="21"/>
          <w:color w:val="auto"/>
        </w:rPr>
        <w:t>. Subject to Section 8.4(c), 8.4(d), and 8.5, Allergan shall pay to Molecular Partners non-creditable, non-refundable (except as set forth in Section 8.9) royalties on aggregate annual Royalty-Bearing Sales of all Licensed Products in the Territory, as calculated by multiplying the applicable royalty rate by the corresponding amount of incremental Royalty-Bearing Sales of all Licensed Products in the Territory in each Calendar Year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85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Annual Royalty-Bearing Sales of Licensed Products in the Territory</w:t>
            </w:r>
          </w:p>
        </w:tc>
        <w:tc>
          <w:tcPr>
            <w:tcW w:w="2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Royalty Rate</w:t>
            </w:r>
          </w:p>
        </w:tc>
      </w:tr>
      <w:tr>
        <w:trPr>
          <w:trHeight w:val="276"/>
        </w:trPr>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For that portion of annual aggregate Royalty-Bearing Sales of Licensed Products in a Calendar</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85"/>
        </w:trPr>
        <w:tc>
          <w:tcPr>
            <w:tcW w:w="8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Year that are less than or equal to ***</w:t>
            </w:r>
          </w:p>
        </w:tc>
        <w:tc>
          <w:tcPr>
            <w:tcW w:w="2700" w:type="dxa"/>
            <w:vAlign w:val="bottom"/>
            <w:tcBorders>
              <w:bottom w:val="single" w:sz="8" w:color="auto"/>
              <w:right w:val="single" w:sz="8" w:color="auto"/>
            </w:tcBorders>
          </w:tcPr>
          <w:p>
            <w:pPr>
              <w:spacing w:after="0"/>
              <w:rPr>
                <w:sz w:val="24"/>
                <w:szCs w:val="24"/>
                <w:color w:val="auto"/>
              </w:rPr>
            </w:pPr>
          </w:p>
        </w:tc>
      </w:tr>
      <w:tr>
        <w:trPr>
          <w:trHeight w:val="276"/>
        </w:trPr>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For that portion of annual aggregate Royalty-Bearing Sales of Licensed Products in a Calendar</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85"/>
        </w:trPr>
        <w:tc>
          <w:tcPr>
            <w:tcW w:w="8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Year that are greater than ***</w:t>
            </w:r>
          </w:p>
        </w:tc>
        <w:tc>
          <w:tcPr>
            <w:tcW w:w="2700" w:type="dxa"/>
            <w:vAlign w:val="bottom"/>
            <w:tcBorders>
              <w:bottom w:val="single" w:sz="8" w:color="auto"/>
              <w:right w:val="single" w:sz="8" w:color="auto"/>
            </w:tcBorders>
          </w:tcPr>
          <w:p>
            <w:pPr>
              <w:spacing w:after="0"/>
              <w:rPr>
                <w:sz w:val="24"/>
                <w:szCs w:val="24"/>
                <w:color w:val="auto"/>
              </w:rPr>
            </w:pPr>
          </w:p>
        </w:tc>
      </w:tr>
      <w:tr>
        <w:trPr>
          <w:trHeight w:val="276"/>
        </w:trPr>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For that portion of annual aggregate Royalty-Bearing Sales of Licensed Products in a Calendar</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85"/>
        </w:trPr>
        <w:tc>
          <w:tcPr>
            <w:tcW w:w="8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Year that are greater than ***</w:t>
            </w:r>
          </w:p>
        </w:tc>
        <w:tc>
          <w:tcPr>
            <w:tcW w:w="2700" w:type="dxa"/>
            <w:vAlign w:val="bottom"/>
            <w:tcBorders>
              <w:bottom w:val="single" w:sz="8" w:color="auto"/>
              <w:right w:val="single" w:sz="8" w:color="auto"/>
            </w:tcBorders>
          </w:tcPr>
          <w:p>
            <w:pPr>
              <w:spacing w:after="0"/>
              <w:rPr>
                <w:sz w:val="24"/>
                <w:szCs w:val="24"/>
                <w:color w:val="auto"/>
              </w:rPr>
            </w:pPr>
          </w:p>
        </w:tc>
      </w:tr>
      <w:tr>
        <w:trPr>
          <w:trHeight w:val="276"/>
        </w:trPr>
        <w:tc>
          <w:tcPr>
            <w:tcW w:w="8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1"/>
              </w:rPr>
              <w:t>For that portion of annual aggregate Royalty-Bearing Sales of Licensed Products in a Calendar</w:t>
            </w:r>
          </w:p>
        </w:tc>
        <w:tc>
          <w:tcPr>
            <w:tcW w:w="27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85"/>
        </w:trPr>
        <w:tc>
          <w:tcPr>
            <w:tcW w:w="8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Year that are greater than ***</w:t>
            </w:r>
          </w:p>
        </w:tc>
        <w:tc>
          <w:tcPr>
            <w:tcW w:w="2700" w:type="dxa"/>
            <w:vAlign w:val="bottom"/>
            <w:tcBorders>
              <w:bottom w:val="single" w:sz="8" w:color="auto"/>
              <w:right w:val="single" w:sz="8" w:color="auto"/>
            </w:tcBorders>
          </w:tcPr>
          <w:p>
            <w:pPr>
              <w:spacing w:after="0"/>
              <w:rPr>
                <w:sz w:val="24"/>
                <w:szCs w:val="24"/>
                <w:color w:val="auto"/>
              </w:rPr>
            </w:pPr>
          </w:p>
        </w:tc>
      </w:tr>
    </w:tbl>
    <w:p>
      <w:pPr>
        <w:spacing w:after="0" w:line="303" w:lineRule="exact"/>
        <w:rPr>
          <w:sz w:val="20"/>
          <w:szCs w:val="20"/>
          <w:color w:val="auto"/>
        </w:rPr>
      </w:pPr>
    </w:p>
    <w:p>
      <w:pPr>
        <w:jc w:val="both"/>
        <w:ind w:right="40"/>
        <w:spacing w:after="0" w:line="263" w:lineRule="auto"/>
        <w:rPr>
          <w:sz w:val="20"/>
          <w:szCs w:val="20"/>
          <w:color w:val="auto"/>
        </w:rPr>
      </w:pPr>
      <w:r>
        <w:rPr>
          <w:rFonts w:ascii="Arial" w:cs="Arial" w:eastAsia="Arial" w:hAnsi="Arial"/>
          <w:sz w:val="22"/>
          <w:szCs w:val="22"/>
          <w:color w:val="auto"/>
        </w:rPr>
        <w:t>For example, if aggregate annual Royalty-Bearing Sales of all Licensed Products in the Territory in a Calendar Year is ***, then royalties payable by Allergan equal ***.</w:t>
      </w:r>
    </w:p>
    <w:p>
      <w:pPr>
        <w:spacing w:after="0" w:line="169" w:lineRule="exact"/>
        <w:rPr>
          <w:sz w:val="20"/>
          <w:szCs w:val="20"/>
          <w:color w:val="auto"/>
        </w:rPr>
      </w:pPr>
    </w:p>
    <w:p>
      <w:pPr>
        <w:jc w:val="both"/>
        <w:ind w:right="20" w:firstLine="1304"/>
        <w:spacing w:after="0" w:line="248" w:lineRule="auto"/>
        <w:tabs>
          <w:tab w:leader="none" w:pos="1938" w:val="left"/>
        </w:tabs>
        <w:numPr>
          <w:ilvl w:val="0"/>
          <w:numId w:val="389"/>
        </w:numPr>
        <w:rPr>
          <w:rFonts w:ascii="Arial" w:cs="Arial" w:eastAsia="Arial" w:hAnsi="Arial"/>
          <w:sz w:val="22"/>
          <w:szCs w:val="22"/>
          <w:b w:val="1"/>
          <w:bCs w:val="1"/>
          <w:color w:val="auto"/>
        </w:rPr>
      </w:pPr>
      <w:r>
        <w:rPr>
          <w:rFonts w:ascii="Arial" w:cs="Arial" w:eastAsia="Arial" w:hAnsi="Arial"/>
          <w:sz w:val="22"/>
          <w:szCs w:val="22"/>
          <w:b w:val="1"/>
          <w:bCs w:val="1"/>
          <w:color w:val="auto"/>
        </w:rPr>
        <w:t>Royalty Term</w:t>
      </w:r>
      <w:r>
        <w:rPr>
          <w:rFonts w:ascii="Arial" w:cs="Arial" w:eastAsia="Arial" w:hAnsi="Arial"/>
          <w:sz w:val="22"/>
          <w:szCs w:val="22"/>
          <w:color w:val="auto"/>
        </w:rPr>
        <w:t>. Royalties shall be paid under this Section 8.4, on a country-by-country and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Product-by-Licensed Product basis, commencing on First Commercial Sale of such Licensed Product in such country until the latest of: (i) the expiration of the last-to-expire Valid Claim in such country that would be infringed, absent a license, by the sale of a particular Licensed Product at the time of sale of such Licensed Product; (ii) the expiration of Regulatory Exclusivity in such country covering such Licensed Product; and (iii) the *** anniversary of the First Commercial Sale of such Licensed Product in such country (the “</w:t>
      </w:r>
      <w:r>
        <w:rPr>
          <w:rFonts w:ascii="Arial" w:cs="Arial" w:eastAsia="Arial" w:hAnsi="Arial"/>
          <w:sz w:val="22"/>
          <w:szCs w:val="22"/>
          <w:b w:val="1"/>
          <w:bCs w:val="1"/>
          <w:color w:val="auto"/>
        </w:rPr>
        <w:t>Royalty Term</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jc w:val="both"/>
        <w:ind w:right="20" w:firstLine="1304"/>
        <w:spacing w:after="0" w:line="249" w:lineRule="auto"/>
        <w:tabs>
          <w:tab w:leader="none" w:pos="1784" w:val="left"/>
        </w:tabs>
        <w:numPr>
          <w:ilvl w:val="0"/>
          <w:numId w:val="389"/>
        </w:numPr>
        <w:rPr>
          <w:rFonts w:ascii="Arial" w:cs="Arial" w:eastAsia="Arial" w:hAnsi="Arial"/>
          <w:sz w:val="22"/>
          <w:szCs w:val="22"/>
          <w:b w:val="1"/>
          <w:bCs w:val="1"/>
          <w:color w:val="auto"/>
        </w:rPr>
      </w:pPr>
      <w:r>
        <w:rPr>
          <w:rFonts w:ascii="Arial" w:cs="Arial" w:eastAsia="Arial" w:hAnsi="Arial"/>
          <w:sz w:val="22"/>
          <w:szCs w:val="22"/>
          <w:b w:val="1"/>
          <w:bCs w:val="1"/>
          <w:color w:val="auto"/>
        </w:rPr>
        <w:t>Know-How Royalty</w:t>
      </w:r>
      <w:r>
        <w:rPr>
          <w:rFonts w:ascii="Arial" w:cs="Arial" w:eastAsia="Arial" w:hAnsi="Arial"/>
          <w:sz w:val="22"/>
          <w:szCs w:val="22"/>
          <w:color w:val="auto"/>
        </w:rPr>
        <w:t>. In any country in the Territory where there is no Valid Claim of a Molecular Partners</w:t>
      </w:r>
      <w:r>
        <w:rPr>
          <w:rFonts w:ascii="Arial" w:cs="Arial" w:eastAsia="Arial" w:hAnsi="Arial"/>
          <w:sz w:val="22"/>
          <w:szCs w:val="22"/>
          <w:b w:val="1"/>
          <w:bCs w:val="1"/>
          <w:color w:val="auto"/>
        </w:rPr>
        <w:t xml:space="preserve"> </w:t>
      </w:r>
      <w:r>
        <w:rPr>
          <w:rFonts w:ascii="Arial" w:cs="Arial" w:eastAsia="Arial" w:hAnsi="Arial"/>
          <w:sz w:val="22"/>
          <w:szCs w:val="22"/>
          <w:color w:val="auto"/>
        </w:rPr>
        <w:t>Patent or a Joint Patent that would be infringed in such country, absent a license, by the sale of a particular Licensed Product at the time of sale of such Licensed Product during the Royalty Term for such Licensed Product, Allergan shall owe royalties under Section 8.4(a) on the Royalty-Bearing Sales of such Licensed Product in such country at rates that are *** of the rates otherwise payable under Section 8.4(a).</w:t>
      </w:r>
    </w:p>
    <w:p>
      <w:pPr>
        <w:spacing w:after="0" w:line="186" w:lineRule="exact"/>
        <w:rPr>
          <w:rFonts w:ascii="Arial" w:cs="Arial" w:eastAsia="Arial" w:hAnsi="Arial"/>
          <w:sz w:val="22"/>
          <w:szCs w:val="22"/>
          <w:b w:val="1"/>
          <w:bCs w:val="1"/>
          <w:color w:val="auto"/>
        </w:rPr>
      </w:pPr>
    </w:p>
    <w:p>
      <w:pPr>
        <w:jc w:val="both"/>
        <w:ind w:right="20" w:firstLine="1304"/>
        <w:spacing w:after="0" w:line="315" w:lineRule="auto"/>
        <w:tabs>
          <w:tab w:leader="none" w:pos="1787" w:val="left"/>
        </w:tabs>
        <w:numPr>
          <w:ilvl w:val="0"/>
          <w:numId w:val="389"/>
        </w:numPr>
        <w:rPr>
          <w:rFonts w:ascii="Arial" w:cs="Arial" w:eastAsia="Arial" w:hAnsi="Arial"/>
          <w:sz w:val="19"/>
          <w:szCs w:val="19"/>
          <w:b w:val="1"/>
          <w:bCs w:val="1"/>
          <w:color w:val="auto"/>
        </w:rPr>
      </w:pPr>
      <w:r>
        <w:rPr>
          <w:rFonts w:ascii="Arial" w:cs="Arial" w:eastAsia="Arial" w:hAnsi="Arial"/>
          <w:sz w:val="19"/>
          <w:szCs w:val="19"/>
          <w:b w:val="1"/>
          <w:bCs w:val="1"/>
          <w:color w:val="auto"/>
        </w:rPr>
        <w:t>Generic Competition</w:t>
      </w:r>
      <w:r>
        <w:rPr>
          <w:rFonts w:ascii="Arial" w:cs="Arial" w:eastAsia="Arial" w:hAnsi="Arial"/>
          <w:sz w:val="19"/>
          <w:szCs w:val="19"/>
          <w:color w:val="auto"/>
        </w:rPr>
        <w:t>. In the event a Licensed Product is subject to Generic Competition in a country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during the Royalty Term for such Licensed Product, then, beginning in the calendar month following the three (3) calendar month period during which Generic Competition has been determined to exist in accordance with Section 1.41</w:t>
      </w:r>
    </w:p>
    <w:p>
      <w:pPr>
        <w:sectPr>
          <w:pgSz w:w="11900" w:h="16838" w:orient="portrait"/>
          <w:cols w:equalWidth="0" w:num="1">
            <w:col w:w="11260"/>
          </w:cols>
          <w:pgMar w:left="320" w:top="1421" w:right="319" w:bottom="1440" w:gutter="0" w:footer="0" w:header="0"/>
        </w:sectPr>
      </w:pPr>
    </w:p>
    <w:bookmarkStart w:id="415" w:name="page416"/>
    <w:bookmarkEnd w:id="415"/>
    <w:p>
      <w:pPr>
        <w:spacing w:after="0"/>
        <w:rPr>
          <w:sz w:val="20"/>
          <w:szCs w:val="20"/>
          <w:color w:val="auto"/>
        </w:rPr>
      </w:pPr>
      <w:r>
        <w:rPr>
          <w:rFonts w:ascii="Arial" w:cs="Arial" w:eastAsia="Arial" w:hAnsi="Arial"/>
          <w:sz w:val="19"/>
          <w:szCs w:val="19"/>
          <w:color w:val="auto"/>
        </w:rPr>
        <w:t>at the applicable level noted below, the royalty rates set forth in Section 8.4(a) (without giving effect to any reduction under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8.5) shall be reduced in such country:</w:t>
      </w:r>
    </w:p>
    <w:p>
      <w:pPr>
        <w:spacing w:after="0" w:line="202" w:lineRule="exact"/>
        <w:rPr>
          <w:sz w:val="20"/>
          <w:szCs w:val="20"/>
          <w:color w:val="auto"/>
        </w:rPr>
      </w:pPr>
    </w:p>
    <w:p>
      <w:pPr>
        <w:jc w:val="both"/>
        <w:ind w:firstLine="1952"/>
        <w:spacing w:after="0" w:line="253" w:lineRule="auto"/>
        <w:tabs>
          <w:tab w:leader="none" w:pos="2485" w:val="left"/>
        </w:tabs>
        <w:numPr>
          <w:ilvl w:val="0"/>
          <w:numId w:val="390"/>
        </w:numPr>
        <w:rPr>
          <w:rFonts w:ascii="Arial" w:cs="Arial" w:eastAsia="Arial" w:hAnsi="Arial"/>
          <w:sz w:val="22"/>
          <w:szCs w:val="22"/>
          <w:b w:val="1"/>
          <w:bCs w:val="1"/>
          <w:color w:val="auto"/>
        </w:rPr>
      </w:pPr>
      <w:r>
        <w:rPr>
          <w:rFonts w:ascii="Arial" w:cs="Arial" w:eastAsia="Arial" w:hAnsi="Arial"/>
          <w:sz w:val="22"/>
          <w:szCs w:val="22"/>
          <w:color w:val="auto"/>
        </w:rPr>
        <w:t>by *** if the units of such Generic Product(s) sold during the applicable three (3) month period exceed *** and are not more than *** of the aggregate units of all such Generic Product(s) and Licensed Product sold in such country;</w:t>
      </w:r>
    </w:p>
    <w:p>
      <w:pPr>
        <w:spacing w:after="0" w:line="185" w:lineRule="exact"/>
        <w:rPr>
          <w:rFonts w:ascii="Arial" w:cs="Arial" w:eastAsia="Arial" w:hAnsi="Arial"/>
          <w:sz w:val="22"/>
          <w:szCs w:val="22"/>
          <w:b w:val="1"/>
          <w:bCs w:val="1"/>
          <w:color w:val="auto"/>
        </w:rPr>
      </w:pPr>
    </w:p>
    <w:p>
      <w:pPr>
        <w:jc w:val="both"/>
        <w:ind w:right="20" w:firstLine="1952"/>
        <w:spacing w:after="0" w:line="253" w:lineRule="auto"/>
        <w:tabs>
          <w:tab w:leader="none" w:pos="2532" w:val="left"/>
        </w:tabs>
        <w:numPr>
          <w:ilvl w:val="0"/>
          <w:numId w:val="390"/>
        </w:numPr>
        <w:rPr>
          <w:rFonts w:ascii="Arial" w:cs="Arial" w:eastAsia="Arial" w:hAnsi="Arial"/>
          <w:sz w:val="22"/>
          <w:szCs w:val="22"/>
          <w:b w:val="1"/>
          <w:bCs w:val="1"/>
          <w:color w:val="auto"/>
        </w:rPr>
      </w:pPr>
      <w:r>
        <w:rPr>
          <w:rFonts w:ascii="Arial" w:cs="Arial" w:eastAsia="Arial" w:hAnsi="Arial"/>
          <w:sz w:val="22"/>
          <w:szCs w:val="22"/>
          <w:color w:val="auto"/>
        </w:rPr>
        <w:t>by *** if the units of such Generic Product(s) sold during the applicable three (3) month period exceed *** and are not more than *** of the aggregate units of all such Generic Product(s) and Licensed Product sold in such country;</w:t>
      </w:r>
    </w:p>
    <w:p>
      <w:pPr>
        <w:spacing w:after="0" w:line="185" w:lineRule="exact"/>
        <w:rPr>
          <w:rFonts w:ascii="Arial" w:cs="Arial" w:eastAsia="Arial" w:hAnsi="Arial"/>
          <w:sz w:val="22"/>
          <w:szCs w:val="22"/>
          <w:b w:val="1"/>
          <w:bCs w:val="1"/>
          <w:color w:val="auto"/>
        </w:rPr>
      </w:pPr>
    </w:p>
    <w:p>
      <w:pPr>
        <w:jc w:val="both"/>
        <w:ind w:firstLine="1952"/>
        <w:spacing w:after="0" w:line="253" w:lineRule="auto"/>
        <w:tabs>
          <w:tab w:leader="none" w:pos="2578" w:val="left"/>
        </w:tabs>
        <w:numPr>
          <w:ilvl w:val="0"/>
          <w:numId w:val="390"/>
        </w:numPr>
        <w:rPr>
          <w:rFonts w:ascii="Arial" w:cs="Arial" w:eastAsia="Arial" w:hAnsi="Arial"/>
          <w:sz w:val="22"/>
          <w:szCs w:val="22"/>
          <w:b w:val="1"/>
          <w:bCs w:val="1"/>
          <w:color w:val="auto"/>
        </w:rPr>
      </w:pPr>
      <w:r>
        <w:rPr>
          <w:rFonts w:ascii="Arial" w:cs="Arial" w:eastAsia="Arial" w:hAnsi="Arial"/>
          <w:sz w:val="22"/>
          <w:szCs w:val="22"/>
          <w:color w:val="auto"/>
        </w:rPr>
        <w:t>by *** if the units of such Generic Product(s) sold during the applicable three (3) month period exceed *** and are not more than *** of the aggregate units of all such Generic Product(s) and Licensed Product sold in such country; and</w:t>
      </w:r>
    </w:p>
    <w:p>
      <w:pPr>
        <w:spacing w:after="0" w:line="185" w:lineRule="exact"/>
        <w:rPr>
          <w:rFonts w:ascii="Arial" w:cs="Arial" w:eastAsia="Arial" w:hAnsi="Arial"/>
          <w:sz w:val="22"/>
          <w:szCs w:val="22"/>
          <w:b w:val="1"/>
          <w:bCs w:val="1"/>
          <w:color w:val="auto"/>
        </w:rPr>
      </w:pPr>
    </w:p>
    <w:p>
      <w:pPr>
        <w:ind w:firstLine="1952"/>
        <w:spacing w:after="0" w:line="263" w:lineRule="auto"/>
        <w:tabs>
          <w:tab w:leader="none" w:pos="2566" w:val="left"/>
        </w:tabs>
        <w:numPr>
          <w:ilvl w:val="0"/>
          <w:numId w:val="390"/>
        </w:numPr>
        <w:rPr>
          <w:rFonts w:ascii="Arial" w:cs="Arial" w:eastAsia="Arial" w:hAnsi="Arial"/>
          <w:sz w:val="22"/>
          <w:szCs w:val="22"/>
          <w:b w:val="1"/>
          <w:bCs w:val="1"/>
          <w:color w:val="auto"/>
        </w:rPr>
      </w:pPr>
      <w:r>
        <w:rPr>
          <w:rFonts w:ascii="Arial" w:cs="Arial" w:eastAsia="Arial" w:hAnsi="Arial"/>
          <w:sz w:val="22"/>
          <w:szCs w:val="22"/>
          <w:color w:val="auto"/>
        </w:rPr>
        <w:t>by *** if the units of such Generic Product(s) sold during the applicable three (3) month period exceed *** of the aggregate units of all such Generic Product(s) and Licensed Product sold in such country.</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Such reduction shall be first applied with respect to such country starting with sales in the calendar month following the first three (3) calendar month period where the sales of the Generic Product(s) in such country exceed the applicable level noted above of the unit sales volume of the applicable Licensed Product, and shall expire on the day after the last day of the calendar month in which such Generic Competition ceases to exist or, if earlier, the expiration of the Royalty Term. For the avoidance of doubt, if both Section 8.4(a) and this Section 8.4(c) apply, the section that provides the greater royalty reduction shall take precedence.</w:t>
      </w:r>
    </w:p>
    <w:p>
      <w:pPr>
        <w:spacing w:after="0" w:line="141" w:lineRule="exact"/>
        <w:rPr>
          <w:sz w:val="20"/>
          <w:szCs w:val="20"/>
          <w:color w:val="auto"/>
        </w:rPr>
      </w:pPr>
    </w:p>
    <w:p>
      <w:pPr>
        <w:jc w:val="both"/>
        <w:ind w:firstLine="1304"/>
        <w:spacing w:after="0" w:line="291" w:lineRule="auto"/>
        <w:tabs>
          <w:tab w:leader="none" w:pos="1906" w:val="left"/>
        </w:tabs>
        <w:numPr>
          <w:ilvl w:val="0"/>
          <w:numId w:val="391"/>
        </w:numPr>
        <w:rPr>
          <w:rFonts w:ascii="Arial" w:cs="Arial" w:eastAsia="Arial" w:hAnsi="Arial"/>
          <w:sz w:val="19"/>
          <w:szCs w:val="19"/>
          <w:b w:val="1"/>
          <w:bCs w:val="1"/>
          <w:color w:val="auto"/>
        </w:rPr>
      </w:pPr>
      <w:r>
        <w:rPr>
          <w:rFonts w:ascii="Arial" w:cs="Arial" w:eastAsia="Arial" w:hAnsi="Arial"/>
          <w:sz w:val="19"/>
          <w:szCs w:val="19"/>
          <w:b w:val="1"/>
          <w:bCs w:val="1"/>
          <w:color w:val="auto"/>
        </w:rPr>
        <w:t>Royalty Reports and Payments</w:t>
      </w:r>
      <w:r>
        <w:rPr>
          <w:rFonts w:ascii="Arial" w:cs="Arial" w:eastAsia="Arial" w:hAnsi="Arial"/>
          <w:sz w:val="19"/>
          <w:szCs w:val="19"/>
          <w:color w:val="auto"/>
        </w:rPr>
        <w:t>. Within sixty (60) days following the end of each Calendar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commencing with the Calendar Quarter in which the First Commercial Sale of any Licensed Product is made anywhere in the Territory, Allergan shall provide Molecular Partners with a report containing the following information for the applicable Calendar Quarter, on a country-by-country and Licensed Product-by- Licensed Product basis: (i) the amount of gross sales of Licensed Product in the Territory, (ii) an itemized calculation of Royalty-Bearing Sales in the Territory showing deductions provided for in the definition of “Net Sales,” (iii) a calculation of the royalty payment due on such sales, and (iv) the exchange rate for such country. Concurrent with the delivery of the applicable quarterly report, Allergan shall pay in Dollars all amounts due to Molecular Partners pursuant to Section 8.4 with respect to Royalty-Bearing Sales in such Calendar Quarter.</w:t>
      </w:r>
    </w:p>
    <w:p>
      <w:pPr>
        <w:spacing w:after="0" w:line="14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Third Party Payments.</w:t>
      </w:r>
    </w:p>
    <w:p>
      <w:pPr>
        <w:spacing w:after="0" w:line="226" w:lineRule="exact"/>
        <w:rPr>
          <w:sz w:val="20"/>
          <w:szCs w:val="20"/>
          <w:color w:val="auto"/>
        </w:rPr>
      </w:pPr>
    </w:p>
    <w:p>
      <w:pPr>
        <w:jc w:val="both"/>
        <w:ind w:right="20" w:firstLine="1304"/>
        <w:spacing w:after="0" w:line="302" w:lineRule="auto"/>
        <w:tabs>
          <w:tab w:leader="none" w:pos="1791" w:val="left"/>
        </w:tabs>
        <w:numPr>
          <w:ilvl w:val="0"/>
          <w:numId w:val="392"/>
        </w:numPr>
        <w:rPr>
          <w:rFonts w:ascii="Arial" w:cs="Arial" w:eastAsia="Arial" w:hAnsi="Arial"/>
          <w:sz w:val="19"/>
          <w:szCs w:val="19"/>
          <w:b w:val="1"/>
          <w:bCs w:val="1"/>
          <w:color w:val="auto"/>
        </w:rPr>
      </w:pPr>
      <w:r>
        <w:rPr>
          <w:rFonts w:ascii="Arial" w:cs="Arial" w:eastAsia="Arial" w:hAnsi="Arial"/>
          <w:sz w:val="19"/>
          <w:szCs w:val="19"/>
          <w:color w:val="auto"/>
        </w:rPr>
        <w:t>If either Party determines that it needs to obtain one or more Necessary Licenses, such Party will notify the other Party. Molecular Partners will have the first right (but not the obligation) to elect to negotiate the Necessary License. Molecular Partners will notify Allergan within fifteen (15) days after such notice if it elects not to negotiate such Necessary License. If Molecular Partners elects not to obtain such Necessary License, or is unsuccessful in</w:t>
      </w:r>
    </w:p>
    <w:p>
      <w:pPr>
        <w:sectPr>
          <w:pgSz w:w="11900" w:h="16838" w:orient="portrait"/>
          <w:cols w:equalWidth="0" w:num="1">
            <w:col w:w="11240"/>
          </w:cols>
          <w:pgMar w:left="320" w:top="1427" w:right="339" w:bottom="1440" w:gutter="0" w:footer="0" w:header="0"/>
        </w:sectPr>
      </w:pPr>
    </w:p>
    <w:bookmarkStart w:id="416" w:name="page417"/>
    <w:bookmarkEnd w:id="416"/>
    <w:p>
      <w:pPr>
        <w:jc w:val="both"/>
        <w:spacing w:after="0" w:line="302" w:lineRule="auto"/>
        <w:rPr>
          <w:sz w:val="20"/>
          <w:szCs w:val="20"/>
          <w:color w:val="auto"/>
        </w:rPr>
      </w:pPr>
      <w:r>
        <w:rPr>
          <w:rFonts w:ascii="Arial" w:cs="Arial" w:eastAsia="Arial" w:hAnsi="Arial"/>
          <w:sz w:val="19"/>
          <w:szCs w:val="19"/>
          <w:color w:val="auto"/>
        </w:rPr>
        <w:t>doing so, then Allergan will have the right (but not the obligation) to negotiate and obtain such Necessary License at its sole discretion and expense. The negotiating Party will obtain such Necessary License, with the right to sublicense, in order to permit Allergan to exercise its rights and to perform its obligations under this Agreement. Subject to the foregoing, the terms and conditions involved in obtaining such Necessary License shall be determined at such negotiating Party’s sole discretion.</w:t>
      </w:r>
    </w:p>
    <w:p>
      <w:pPr>
        <w:spacing w:after="0" w:line="142" w:lineRule="exact"/>
        <w:rPr>
          <w:sz w:val="20"/>
          <w:szCs w:val="20"/>
          <w:color w:val="auto"/>
        </w:rPr>
      </w:pPr>
    </w:p>
    <w:p>
      <w:pPr>
        <w:jc w:val="both"/>
        <w:ind w:firstLine="1304"/>
        <w:spacing w:after="0" w:line="289" w:lineRule="auto"/>
        <w:tabs>
          <w:tab w:leader="none" w:pos="1776" w:val="left"/>
        </w:tabs>
        <w:numPr>
          <w:ilvl w:val="1"/>
          <w:numId w:val="393"/>
        </w:numPr>
        <w:rPr>
          <w:rFonts w:ascii="Arial" w:cs="Arial" w:eastAsia="Arial" w:hAnsi="Arial"/>
          <w:sz w:val="19"/>
          <w:szCs w:val="19"/>
          <w:b w:val="1"/>
          <w:bCs w:val="1"/>
          <w:color w:val="auto"/>
        </w:rPr>
      </w:pPr>
      <w:r>
        <w:rPr>
          <w:rFonts w:ascii="Arial" w:cs="Arial" w:eastAsia="Arial" w:hAnsi="Arial"/>
          <w:sz w:val="19"/>
          <w:szCs w:val="19"/>
          <w:color w:val="auto"/>
        </w:rPr>
        <w:t xml:space="preserve">Molecular Partners will be solely responsible for all amounts owed to Third Parties pursuant to (i) the license agreements listed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and (ii) any other license obtained by *** (each, a “</w:t>
      </w:r>
      <w:r>
        <w:rPr>
          <w:rFonts w:ascii="Arial" w:cs="Arial" w:eastAsia="Arial" w:hAnsi="Arial"/>
          <w:sz w:val="19"/>
          <w:szCs w:val="19"/>
          <w:b w:val="1"/>
          <w:bCs w:val="1"/>
          <w:color w:val="auto"/>
        </w:rPr>
        <w:t>Necessary License</w:t>
      </w:r>
      <w:r>
        <w:rPr>
          <w:rFonts w:ascii="Arial" w:cs="Arial" w:eastAsia="Arial" w:hAnsi="Arial"/>
          <w:sz w:val="19"/>
          <w:szCs w:val="19"/>
          <w:color w:val="auto"/>
        </w:rPr>
        <w:t xml:space="preserve">”). In the event Allergan enters into a Necessary License, Allergan shall have the right to offset, against amounts payable to Molecular Partners under this Agreement, any and all amounts payable by Allergan to a Third Party under any such Necessary License (other than payments potentially due pursuant to any of the agreements listed on </w:t>
      </w:r>
      <w:r>
        <w:rPr>
          <w:rFonts w:ascii="Arial" w:cs="Arial" w:eastAsia="Arial" w:hAnsi="Arial"/>
          <w:sz w:val="19"/>
          <w:szCs w:val="19"/>
          <w:u w:val="single" w:color="auto"/>
          <w:color w:val="auto"/>
        </w:rPr>
        <w:t>Exhibit E</w:t>
      </w:r>
      <w:r>
        <w:rPr>
          <w:rFonts w:ascii="Arial" w:cs="Arial" w:eastAsia="Arial" w:hAnsi="Arial"/>
          <w:sz w:val="19"/>
          <w:szCs w:val="19"/>
          <w:color w:val="auto"/>
        </w:rPr>
        <w:t>, which shall be borne solely by Molecular Partners); provided that the amounts payable to Molecular Partners under this Agreement may not be reduced by more than *** of those otherwise due to Molecular Partners pursuant to this Agreement in any Calendar Quarter as a result of such offset. Any unused offset earned in a Calendar Quarter may be carried forward from such Calendar Quarter to the subsequent Calendar Quarters and may be used in such subsequent Calendar Quarters, subject to the *** limitation set forth in the immediately preceding sentence.</w:t>
      </w:r>
    </w:p>
    <w:p>
      <w:pPr>
        <w:spacing w:after="0" w:line="156" w:lineRule="exact"/>
        <w:rPr>
          <w:rFonts w:ascii="Arial" w:cs="Arial" w:eastAsia="Arial" w:hAnsi="Arial"/>
          <w:sz w:val="19"/>
          <w:szCs w:val="19"/>
          <w:b w:val="1"/>
          <w:bCs w:val="1"/>
          <w:color w:val="auto"/>
        </w:rPr>
      </w:pPr>
    </w:p>
    <w:p>
      <w:pPr>
        <w:jc w:val="both"/>
        <w:ind w:firstLine="1304"/>
        <w:spacing w:after="0" w:line="250" w:lineRule="auto"/>
        <w:tabs>
          <w:tab w:leader="none" w:pos="1752" w:val="left"/>
        </w:tabs>
        <w:numPr>
          <w:ilvl w:val="1"/>
          <w:numId w:val="393"/>
        </w:numPr>
        <w:rPr>
          <w:rFonts w:ascii="Arial" w:cs="Arial" w:eastAsia="Arial" w:hAnsi="Arial"/>
          <w:sz w:val="22"/>
          <w:szCs w:val="22"/>
          <w:b w:val="1"/>
          <w:bCs w:val="1"/>
          <w:color w:val="auto"/>
        </w:rPr>
      </w:pPr>
      <w:r>
        <w:rPr>
          <w:rFonts w:ascii="Arial" w:cs="Arial" w:eastAsia="Arial" w:hAnsi="Arial"/>
          <w:sz w:val="22"/>
          <w:szCs w:val="22"/>
          <w:color w:val="auto"/>
        </w:rPr>
        <w:t>Except as provided in subsection (b) above, Allergan will be solely responsible for all amounts owed to Third Parties on account of Allergan’s manufacture, use, sale, offer for sale, or import of Licensed Products and Licensed Compounds, including any rights to exploit any Allergan Modification or any formulation technology or Drug Delivery System for a Licensed Product.</w:t>
      </w:r>
    </w:p>
    <w:p>
      <w:pPr>
        <w:spacing w:after="0" w:line="187" w:lineRule="exact"/>
        <w:rPr>
          <w:rFonts w:ascii="Arial" w:cs="Arial" w:eastAsia="Arial" w:hAnsi="Arial"/>
          <w:sz w:val="22"/>
          <w:szCs w:val="22"/>
          <w:b w:val="1"/>
          <w:bCs w:val="1"/>
          <w:color w:val="auto"/>
        </w:rPr>
      </w:pPr>
    </w:p>
    <w:p>
      <w:pPr>
        <w:jc w:val="both"/>
        <w:ind w:firstLine="1304"/>
        <w:spacing w:after="0" w:line="253" w:lineRule="auto"/>
        <w:tabs>
          <w:tab w:leader="none" w:pos="1897" w:val="left"/>
        </w:tabs>
        <w:numPr>
          <w:ilvl w:val="1"/>
          <w:numId w:val="393"/>
        </w:numPr>
        <w:rPr>
          <w:rFonts w:ascii="Arial" w:cs="Arial" w:eastAsia="Arial" w:hAnsi="Arial"/>
          <w:sz w:val="22"/>
          <w:szCs w:val="22"/>
          <w:b w:val="1"/>
          <w:bCs w:val="1"/>
          <w:color w:val="auto"/>
        </w:rPr>
      </w:pPr>
      <w:r>
        <w:rPr>
          <w:rFonts w:ascii="Arial" w:cs="Arial" w:eastAsia="Arial" w:hAnsi="Arial"/>
          <w:sz w:val="22"/>
          <w:szCs w:val="22"/>
          <w:color w:val="auto"/>
        </w:rPr>
        <w:t>Except as provided in subsection (b) above, the Molecular Partners Technology licensed to Allergan in Section 2.1(a) will include Patents or Information licensed to Molecular Partners by a Third Party after the Effective Date only if the following conditions are met:</w:t>
      </w:r>
    </w:p>
    <w:p>
      <w:pPr>
        <w:spacing w:after="0" w:line="185" w:lineRule="exact"/>
        <w:rPr>
          <w:rFonts w:ascii="Arial" w:cs="Arial" w:eastAsia="Arial" w:hAnsi="Arial"/>
          <w:sz w:val="22"/>
          <w:szCs w:val="22"/>
          <w:b w:val="1"/>
          <w:bCs w:val="1"/>
          <w:color w:val="auto"/>
        </w:rPr>
      </w:pPr>
    </w:p>
    <w:p>
      <w:pPr>
        <w:jc w:val="both"/>
        <w:ind w:firstLine="1952"/>
        <w:spacing w:after="0" w:line="253" w:lineRule="auto"/>
        <w:tabs>
          <w:tab w:leader="none" w:pos="2458" w:val="left"/>
        </w:tabs>
        <w:numPr>
          <w:ilvl w:val="2"/>
          <w:numId w:val="393"/>
        </w:numPr>
        <w:rPr>
          <w:rFonts w:ascii="Arial" w:cs="Arial" w:eastAsia="Arial" w:hAnsi="Arial"/>
          <w:sz w:val="22"/>
          <w:szCs w:val="22"/>
          <w:b w:val="1"/>
          <w:bCs w:val="1"/>
          <w:color w:val="auto"/>
        </w:rPr>
      </w:pPr>
      <w:r>
        <w:rPr>
          <w:rFonts w:ascii="Arial" w:cs="Arial" w:eastAsia="Arial" w:hAnsi="Arial"/>
          <w:sz w:val="22"/>
          <w:szCs w:val="22"/>
          <w:color w:val="auto"/>
        </w:rPr>
        <w:t>Molecular Partners discloses to Allergan for review, reasonably in advance of Molecular Partners’ anticipated entry into the applicable agreement between Molecular Partners and such Third Party, the substantive terms of such license agreement (which Molecular Partners hereby covenants to do); and</w:t>
      </w:r>
    </w:p>
    <w:p>
      <w:pPr>
        <w:spacing w:after="0" w:line="185" w:lineRule="exact"/>
        <w:rPr>
          <w:rFonts w:ascii="Arial" w:cs="Arial" w:eastAsia="Arial" w:hAnsi="Arial"/>
          <w:sz w:val="22"/>
          <w:szCs w:val="22"/>
          <w:b w:val="1"/>
          <w:bCs w:val="1"/>
          <w:color w:val="auto"/>
        </w:rPr>
      </w:pPr>
    </w:p>
    <w:p>
      <w:pPr>
        <w:jc w:val="both"/>
        <w:ind w:firstLine="1952"/>
        <w:spacing w:after="0" w:line="286" w:lineRule="auto"/>
        <w:tabs>
          <w:tab w:leader="none" w:pos="2424" w:val="left"/>
        </w:tabs>
        <w:numPr>
          <w:ilvl w:val="2"/>
          <w:numId w:val="393"/>
        </w:numPr>
        <w:rPr>
          <w:rFonts w:ascii="Arial" w:cs="Arial" w:eastAsia="Arial" w:hAnsi="Arial"/>
          <w:sz w:val="19"/>
          <w:szCs w:val="19"/>
          <w:b w:val="1"/>
          <w:bCs w:val="1"/>
          <w:color w:val="auto"/>
        </w:rPr>
      </w:pPr>
      <w:r>
        <w:rPr>
          <w:rFonts w:ascii="Arial" w:cs="Arial" w:eastAsia="Arial" w:hAnsi="Arial"/>
          <w:sz w:val="19"/>
          <w:szCs w:val="19"/>
          <w:color w:val="auto"/>
        </w:rPr>
        <w:t>Allergan provides Molecular Partners with written notice, prior to Molecular Partners’ entry into such license agreement, in which (A) Allergan assumes all payment obligations under such license agreement to the extent arising out of the use, Development or Manufacture of any Licensed Compound or Licensed Product or Commercialization of any Licensed Product by or on behalf of Allergan, as well as all other obligations of such license agreement that are applicable to Allergan, and</w:t>
      </w:r>
    </w:p>
    <w:p>
      <w:pPr>
        <w:spacing w:after="0" w:line="2" w:lineRule="exact"/>
        <w:rPr>
          <w:rFonts w:ascii="Arial" w:cs="Arial" w:eastAsia="Arial" w:hAnsi="Arial"/>
          <w:sz w:val="19"/>
          <w:szCs w:val="19"/>
          <w:b w:val="1"/>
          <w:bCs w:val="1"/>
          <w:color w:val="auto"/>
        </w:rPr>
      </w:pPr>
    </w:p>
    <w:p>
      <w:pPr>
        <w:ind w:firstLine="8"/>
        <w:spacing w:after="0" w:line="246" w:lineRule="auto"/>
        <w:tabs>
          <w:tab w:leader="none" w:pos="356" w:val="left"/>
        </w:tabs>
        <w:numPr>
          <w:ilvl w:val="0"/>
          <w:numId w:val="394"/>
        </w:numPr>
        <w:rPr>
          <w:rFonts w:ascii="Arial" w:cs="Arial" w:eastAsia="Arial" w:hAnsi="Arial"/>
          <w:sz w:val="22"/>
          <w:szCs w:val="22"/>
          <w:color w:val="auto"/>
        </w:rPr>
      </w:pPr>
      <w:r>
        <w:rPr>
          <w:rFonts w:ascii="Arial" w:cs="Arial" w:eastAsia="Arial" w:hAnsi="Arial"/>
          <w:sz w:val="22"/>
          <w:szCs w:val="22"/>
          <w:color w:val="auto"/>
        </w:rPr>
        <w:t>Allergan acknowledges in writing that its sublicense under such license agreement is subject to the terms and conditions of such license agreement.</w:t>
      </w:r>
    </w:p>
    <w:p>
      <w:pPr>
        <w:sectPr>
          <w:pgSz w:w="11900" w:h="16838" w:orient="portrait"/>
          <w:cols w:equalWidth="0" w:num="1">
            <w:col w:w="11240"/>
          </w:cols>
          <w:pgMar w:left="320" w:top="1427" w:right="339" w:bottom="1440" w:gutter="0" w:footer="0" w:header="0"/>
        </w:sectPr>
      </w:pPr>
    </w:p>
    <w:bookmarkStart w:id="417" w:name="page418"/>
    <w:bookmarkEnd w:id="417"/>
    <w:p>
      <w:pPr>
        <w:jc w:val="both"/>
        <w:ind w:firstLine="648"/>
        <w:spacing w:after="0" w:line="263" w:lineRule="auto"/>
        <w:rPr>
          <w:sz w:val="20"/>
          <w:szCs w:val="20"/>
          <w:color w:val="auto"/>
        </w:rPr>
      </w:pPr>
      <w:r>
        <w:rPr>
          <w:rFonts w:ascii="Arial" w:cs="Arial" w:eastAsia="Arial" w:hAnsi="Arial"/>
          <w:sz w:val="22"/>
          <w:szCs w:val="22"/>
          <w:color w:val="auto"/>
        </w:rPr>
        <w:t>Any applicable Patents and Information for which the above conditions are not met shall be excluded from the scope of Molecular Partners Technology and not licensed to Allergan under this Agreement.</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8.6 Blocked Currency</w:t>
      </w:r>
      <w:r>
        <w:rPr>
          <w:rFonts w:ascii="Arial" w:cs="Arial" w:eastAsia="Arial" w:hAnsi="Arial"/>
          <w:sz w:val="22"/>
          <w:szCs w:val="22"/>
          <w:color w:val="auto"/>
        </w:rPr>
        <w:t>. In each country in the Territory where the local currency is blocked and cannot be removed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the country, at the election of Allergan, royalties accrued on Net Sales in such country shall be paid to Molecular Partners in local currency by deposit in a local bank in such country designated by Molecular Partners.</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8.7 Currency of Payments</w:t>
      </w:r>
      <w:r>
        <w:rPr>
          <w:rFonts w:ascii="Arial" w:cs="Arial" w:eastAsia="Arial" w:hAnsi="Arial"/>
          <w:sz w:val="22"/>
          <w:szCs w:val="22"/>
          <w:color w:val="auto"/>
        </w:rPr>
        <w:t>. All payments under this Agreement shall be made in Dollars by wire transfer of</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available funds into an account designated by Molecular Partners. Net Sales outside of the U.S. shall be first determined in the currency in which they are earned and shall then be converted into an amount in Dollars using Allergan’s customary and usual conversion procedures used in preparing its financial statements pursuant to GAAP for the applicable reporting period.</w:t>
      </w:r>
    </w:p>
    <w:p>
      <w:pPr>
        <w:spacing w:after="0" w:line="18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8.8 Late Payments</w:t>
      </w:r>
      <w:r>
        <w:rPr>
          <w:rFonts w:ascii="Arial" w:cs="Arial" w:eastAsia="Arial" w:hAnsi="Arial"/>
          <w:sz w:val="19"/>
          <w:szCs w:val="19"/>
          <w:color w:val="auto"/>
        </w:rPr>
        <w:t>. If Molecular Partners does not receive payment of any sum due to it on or before the due date, then</w:t>
      </w:r>
      <w:r>
        <w:rPr>
          <w:rFonts w:ascii="Arial" w:cs="Arial" w:eastAsia="Arial" w:hAnsi="Arial"/>
          <w:sz w:val="19"/>
          <w:szCs w:val="19"/>
          <w:b w:val="1"/>
          <w:bCs w:val="1"/>
          <w:color w:val="auto"/>
        </w:rPr>
        <w:t xml:space="preserve"> </w:t>
      </w:r>
      <w:r>
        <w:rPr>
          <w:rFonts w:ascii="Arial" w:cs="Arial" w:eastAsia="Arial" w:hAnsi="Arial"/>
          <w:sz w:val="19"/>
          <w:szCs w:val="19"/>
          <w:color w:val="auto"/>
        </w:rPr>
        <w:t>any portions thereof due hereunder which are not paid on the date such payments are due under this Agreement will bear interest at the lower of (i) two (2) percentage points over the overnight LIBOR rate in effect on the due date, or (ii) the maximum rate permitted by Law, calculated on the number of days such payment is delinquent, compounded monthly.</w:t>
      </w:r>
    </w:p>
    <w:p>
      <w:pPr>
        <w:spacing w:after="0" w:line="1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8.9 Records; Audits</w:t>
      </w:r>
      <w:r>
        <w:rPr>
          <w:rFonts w:ascii="Arial" w:cs="Arial" w:eastAsia="Arial" w:hAnsi="Arial"/>
          <w:sz w:val="19"/>
          <w:szCs w:val="19"/>
          <w:color w:val="auto"/>
        </w:rPr>
        <w:t>. Allergan and its Affiliates will, and Allergan will cause each of its Sublicensees, if any, to,</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complete and accurate records in sufficient detail to confirm the accuracy of the calculation of royalty payments and the achievement of milestone events, for a period of five (5) years after the Calendar Year in which such sales or events occurred. Upon reasonable prior notice, such records of Allergan and its Affiliates shall be made available during regular business hours for a period of five (5) years from the end of the Calendar Year to which they pertain for examination, and not more often than once each Calendar Year, by an independent certified public accountant selected by Molecular Partners and reasonably acceptable to Allergan, for the sole purpose of and only to the extent necessary for verifying the accuracy of the financial reports furnished by Allergan pursuant to this Agreement. Such independent accountant shall disclose to Molecular Partners only the amounts that such independent accountant believes to be due and payable hereunder to Molecular Partners, details concerning any discrepancy from the amount paid and the amount due, and shall disclose no other information revealed in such audit. Any periods previously audited may be re-audited one (1) additional time if Molecular Partners discovers a discrepancy or other issue in a subsequent audit. Any and all records examined by such independent accountant shall be deemed Allergan’s Confidential Information which may not be disclosed by such independent accountant to any Third Party, and Allergan may require such independent accountant to enter into an appropriate written agreement obligating it to be bound by obligations of confidentiality and restrictions on use of such Confidential Information that are no less protective than those set forth in Article 12. If, as a result of any inspection of the books and records of Allergan, it is shown that payments under this Agreement were less than the amount which should have been paid, then Allergan</w:t>
      </w:r>
    </w:p>
    <w:p>
      <w:pPr>
        <w:sectPr>
          <w:pgSz w:w="11900" w:h="16838" w:orient="portrait"/>
          <w:cols w:equalWidth="0" w:num="1">
            <w:col w:w="11240"/>
          </w:cols>
          <w:pgMar w:left="320" w:top="1427" w:right="339" w:bottom="1440" w:gutter="0" w:footer="0" w:header="0"/>
        </w:sectPr>
      </w:pPr>
    </w:p>
    <w:bookmarkStart w:id="418" w:name="page419"/>
    <w:bookmarkEnd w:id="418"/>
    <w:p>
      <w:pPr>
        <w:jc w:val="both"/>
        <w:spacing w:after="0" w:line="285" w:lineRule="auto"/>
        <w:rPr>
          <w:sz w:val="20"/>
          <w:szCs w:val="20"/>
          <w:color w:val="auto"/>
        </w:rPr>
      </w:pPr>
      <w:r>
        <w:rPr>
          <w:rFonts w:ascii="Arial" w:cs="Arial" w:eastAsia="Arial" w:hAnsi="Arial"/>
          <w:sz w:val="19"/>
          <w:szCs w:val="19"/>
          <w:color w:val="auto"/>
        </w:rPr>
        <w:t>shall make all payments required to be made plus interest (as set forth in Section 8.8) from the original due date to eliminate any discrepancy revealed by such inspection within thirty (30) days. If, as a result of any inspection of the books and records of Allergan, it is shown that payments under this Agreement were more than the amount which should have been paid, then Molecular Partners shall, at Allergan’s election, either make all payments required to be made to eliminate any discrepancy revealed by such inspection within ninety (90) days or credit such amounts to Allergan against future payments. Molecular Partners shall pay for such audits, except that in the event that the audited amounts were underpaid by Allergan by more than ***</w:t>
      </w:r>
    </w:p>
    <w:p>
      <w:pPr>
        <w:jc w:val="both"/>
        <w:spacing w:after="0" w:line="246" w:lineRule="auto"/>
        <w:rPr>
          <w:sz w:val="20"/>
          <w:szCs w:val="20"/>
          <w:color w:val="auto"/>
        </w:rPr>
      </w:pPr>
      <w:r>
        <w:rPr>
          <w:rFonts w:ascii="Arial" w:cs="Arial" w:eastAsia="Arial" w:hAnsi="Arial"/>
          <w:sz w:val="22"/>
          <w:szCs w:val="22"/>
          <w:color w:val="auto"/>
        </w:rPr>
        <w:t>of the undisputed amounts that should have been paid during the period in question as per the audit, Allergan shall pay the costs of the audit.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8.10 Consolidated Accounting</w:t>
      </w:r>
      <w:r>
        <w:rPr>
          <w:rFonts w:ascii="Arial" w:cs="Arial" w:eastAsia="Arial" w:hAnsi="Arial"/>
          <w:sz w:val="21"/>
          <w:szCs w:val="21"/>
          <w:color w:val="auto"/>
        </w:rPr>
        <w:t>. If during the Term, Allergan is required, as a company that reports its financial results</w:t>
      </w:r>
      <w:r>
        <w:rPr>
          <w:rFonts w:ascii="Arial" w:cs="Arial" w:eastAsia="Arial" w:hAnsi="Arial"/>
          <w:sz w:val="21"/>
          <w:szCs w:val="21"/>
          <w:b w:val="1"/>
          <w:bCs w:val="1"/>
          <w:color w:val="auto"/>
        </w:rPr>
        <w:t xml:space="preserve"> </w:t>
      </w:r>
      <w:r>
        <w:rPr>
          <w:rFonts w:ascii="Arial" w:cs="Arial" w:eastAsia="Arial" w:hAnsi="Arial"/>
          <w:sz w:val="21"/>
          <w:szCs w:val="21"/>
          <w:color w:val="auto"/>
        </w:rPr>
        <w:t>to the U.S. Securities and Exchange Commission (“</w:t>
      </w:r>
      <w:r>
        <w:rPr>
          <w:rFonts w:ascii="Arial" w:cs="Arial" w:eastAsia="Arial" w:hAnsi="Arial"/>
          <w:sz w:val="21"/>
          <w:szCs w:val="21"/>
          <w:b w:val="1"/>
          <w:bCs w:val="1"/>
          <w:color w:val="auto"/>
        </w:rPr>
        <w:t>SEC</w:t>
      </w:r>
      <w:r>
        <w:rPr>
          <w:rFonts w:ascii="Arial" w:cs="Arial" w:eastAsia="Arial" w:hAnsi="Arial"/>
          <w:sz w:val="21"/>
          <w:szCs w:val="21"/>
          <w:color w:val="auto"/>
        </w:rPr>
        <w:t>”) in accordance with GAAP, to include certain financial results of Molecular Partners in Allergan’s consolidated financial statements, Molecular Partners shall provide to Allergan on a timely basis Molecular Partners’ financial statements reasonably requested by Allergan, which may include quarterly (unaudited) and yearly (audited) income statements, balance sheets, and statements of cash flows (the “</w:t>
      </w:r>
      <w:r>
        <w:rPr>
          <w:rFonts w:ascii="Arial" w:cs="Arial" w:eastAsia="Arial" w:hAnsi="Arial"/>
          <w:sz w:val="21"/>
          <w:szCs w:val="21"/>
          <w:b w:val="1"/>
          <w:bCs w:val="1"/>
          <w:color w:val="auto"/>
        </w:rPr>
        <w:t>Financial Statements</w:t>
      </w:r>
      <w:r>
        <w:rPr>
          <w:rFonts w:ascii="Arial" w:cs="Arial" w:eastAsia="Arial" w:hAnsi="Arial"/>
          <w:sz w:val="21"/>
          <w:szCs w:val="21"/>
          <w:color w:val="auto"/>
        </w:rPr>
        <w:t>”) and related supplemental information, in each case solely to the extent required for appropriate GAAP footnote disclosures by Allergan. All Financial Statements and related supplemental information shall be prepared in accordance with GAAP. Any information provided by Molecular Partners to Allergan under this Section will be treated as Molecular Partners’ Confidential Information, subject to Allergan’s right to disclose any such information that is required by GAAP to be disclosed as part of Allergan’s Financial Statements filed with the SEC.</w:t>
      </w:r>
    </w:p>
    <w:p>
      <w:pPr>
        <w:spacing w:after="0" w:line="17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8.11</w:t>
      </w:r>
      <w:r>
        <w:rPr>
          <w:sz w:val="20"/>
          <w:szCs w:val="20"/>
          <w:color w:val="auto"/>
        </w:rPr>
        <w:tab/>
      </w:r>
      <w:r>
        <w:rPr>
          <w:rFonts w:ascii="Arial" w:cs="Arial" w:eastAsia="Arial" w:hAnsi="Arial"/>
          <w:sz w:val="17"/>
          <w:szCs w:val="17"/>
          <w:b w:val="1"/>
          <w:bCs w:val="1"/>
          <w:color w:val="auto"/>
        </w:rPr>
        <w:t>Taxes</w:t>
      </w:r>
      <w:r>
        <w:rPr>
          <w:rFonts w:ascii="Arial" w:cs="Arial" w:eastAsia="Arial" w:hAnsi="Arial"/>
          <w:sz w:val="17"/>
          <w:szCs w:val="17"/>
          <w:color w:val="auto"/>
        </w:rPr>
        <w:t>.</w:t>
      </w:r>
    </w:p>
    <w:p>
      <w:pPr>
        <w:spacing w:after="0" w:line="220" w:lineRule="exact"/>
        <w:rPr>
          <w:sz w:val="20"/>
          <w:szCs w:val="20"/>
          <w:color w:val="auto"/>
        </w:rPr>
      </w:pPr>
    </w:p>
    <w:p>
      <w:pPr>
        <w:ind w:firstLine="1304"/>
        <w:spacing w:after="0" w:line="269" w:lineRule="auto"/>
        <w:tabs>
          <w:tab w:leader="none" w:pos="1769" w:val="left"/>
        </w:tabs>
        <w:numPr>
          <w:ilvl w:val="0"/>
          <w:numId w:val="395"/>
        </w:numPr>
        <w:rPr>
          <w:rFonts w:ascii="Arial" w:cs="Arial" w:eastAsia="Arial" w:hAnsi="Arial"/>
          <w:sz w:val="22"/>
          <w:szCs w:val="22"/>
          <w:b w:val="1"/>
          <w:bCs w:val="1"/>
          <w:color w:val="auto"/>
        </w:rPr>
      </w:pPr>
      <w:r>
        <w:rPr>
          <w:rFonts w:ascii="Arial" w:cs="Arial" w:eastAsia="Arial" w:hAnsi="Arial"/>
          <w:sz w:val="22"/>
          <w:szCs w:val="22"/>
          <w:b w:val="1"/>
          <w:bCs w:val="1"/>
          <w:color w:val="auto"/>
        </w:rPr>
        <w:t>Taxes on Income</w:t>
      </w:r>
      <w:r>
        <w:rPr>
          <w:rFonts w:ascii="Arial" w:cs="Arial" w:eastAsia="Arial" w:hAnsi="Arial"/>
          <w:sz w:val="22"/>
          <w:szCs w:val="22"/>
          <w:color w:val="auto"/>
        </w:rPr>
        <w:t>. Each Party shall be solely responsible for the payment of all taxes imposed on its share of</w:t>
      </w:r>
      <w:r>
        <w:rPr>
          <w:rFonts w:ascii="Arial" w:cs="Arial" w:eastAsia="Arial" w:hAnsi="Arial"/>
          <w:sz w:val="22"/>
          <w:szCs w:val="22"/>
          <w:b w:val="1"/>
          <w:bCs w:val="1"/>
          <w:color w:val="auto"/>
        </w:rPr>
        <w:t xml:space="preserve"> </w:t>
      </w:r>
      <w:r>
        <w:rPr>
          <w:rFonts w:ascii="Arial" w:cs="Arial" w:eastAsia="Arial" w:hAnsi="Arial"/>
          <w:sz w:val="22"/>
          <w:szCs w:val="22"/>
          <w:color w:val="auto"/>
        </w:rPr>
        <w:t>income arising directly or indirectly from the efforts of the Parties under this Agreement.</w:t>
      </w:r>
    </w:p>
    <w:p>
      <w:pPr>
        <w:spacing w:after="0" w:line="161" w:lineRule="exact"/>
        <w:rPr>
          <w:rFonts w:ascii="Arial" w:cs="Arial" w:eastAsia="Arial" w:hAnsi="Arial"/>
          <w:sz w:val="22"/>
          <w:szCs w:val="22"/>
          <w:b w:val="1"/>
          <w:bCs w:val="1"/>
          <w:color w:val="auto"/>
        </w:rPr>
      </w:pPr>
    </w:p>
    <w:p>
      <w:pPr>
        <w:jc w:val="both"/>
        <w:ind w:firstLine="1304"/>
        <w:spacing w:after="0" w:line="258" w:lineRule="auto"/>
        <w:tabs>
          <w:tab w:leader="none" w:pos="1911" w:val="left"/>
        </w:tabs>
        <w:numPr>
          <w:ilvl w:val="0"/>
          <w:numId w:val="395"/>
        </w:numPr>
        <w:rPr>
          <w:rFonts w:ascii="Arial" w:cs="Arial" w:eastAsia="Arial" w:hAnsi="Arial"/>
          <w:sz w:val="21"/>
          <w:szCs w:val="21"/>
          <w:b w:val="1"/>
          <w:bCs w:val="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The Parties agree to cooperate with one another and use reasonable efforts to reduce or</w:t>
      </w:r>
      <w:r>
        <w:rPr>
          <w:rFonts w:ascii="Arial" w:cs="Arial" w:eastAsia="Arial" w:hAnsi="Arial"/>
          <w:sz w:val="21"/>
          <w:szCs w:val="21"/>
          <w:b w:val="1"/>
          <w:bCs w:val="1"/>
          <w:color w:val="auto"/>
        </w:rPr>
        <w:t xml:space="preserve"> </w:t>
      </w:r>
      <w:r>
        <w:rPr>
          <w:rFonts w:ascii="Arial" w:cs="Arial" w:eastAsia="Arial" w:hAnsi="Arial"/>
          <w:sz w:val="21"/>
          <w:szCs w:val="21"/>
          <w:color w:val="auto"/>
        </w:rPr>
        <w:t>eliminate tax withholding or similar obligations in respect of royalties, milestone payments, and other payments made by Allergan to Molecular Partners under this Agreement. To the extent Allergan is required under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or any other tax Laws to deduct and withhold taxes on any payment to Molecular Partners, Allergan shall pay the amounts of such taxes to the proper Governmental Authority in a timely manner and promptly transmit to Molecular Partners an official tax certificate or other evidence of such withholding sufficient to enable Molecular Partners to claim such payment of taxes. Except as otherwise provided in Section 8.11(c), if any taxes are so deducted or withheld, such deducted or withheld amounts shall be treated for all purposes of this Agreement as having been paid to the Molecular Partners. Upon Allergan’s reasonable request, Molecular Partners shall provide Allergan any tax forms (including Internal Revenue Service Form W-8BEN or W-8ECI or other applicable Internal Revenue Service Form) that may be reasonably necessary in order for Allergan to determine whether to withhold tax on</w:t>
      </w:r>
    </w:p>
    <w:p>
      <w:pPr>
        <w:sectPr>
          <w:pgSz w:w="11900" w:h="16838" w:orient="portrait"/>
          <w:cols w:equalWidth="0" w:num="1">
            <w:col w:w="11240"/>
          </w:cols>
          <w:pgMar w:left="320" w:top="1427" w:right="339" w:bottom="1440" w:gutter="0" w:footer="0" w:header="0"/>
        </w:sectPr>
      </w:pPr>
    </w:p>
    <w:bookmarkStart w:id="419" w:name="page420"/>
    <w:bookmarkEnd w:id="419"/>
    <w:p>
      <w:pPr>
        <w:jc w:val="both"/>
        <w:spacing w:after="0" w:line="260" w:lineRule="auto"/>
        <w:rPr>
          <w:sz w:val="20"/>
          <w:szCs w:val="20"/>
          <w:color w:val="auto"/>
        </w:rPr>
      </w:pPr>
      <w:r>
        <w:rPr>
          <w:rFonts w:ascii="Arial" w:cs="Arial" w:eastAsia="Arial" w:hAnsi="Arial"/>
          <w:sz w:val="21"/>
          <w:szCs w:val="21"/>
          <w:color w:val="auto"/>
        </w:rPr>
        <w:t>any such payments or to withhold tax on such payments at a reduced rate under the Code or any other tax Laws, including any applicable bilateral income tax treaty. Allergan shall give reasonable support so that any withholding tax or value added tax may be minimized or avoided to the extent permitted under the applicable Laws and treaties.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Allergan shall require its sublicensees in the Territory to cooperate with Molecular Partners in a manner consistent with this Section 8.11(b).</w:t>
      </w:r>
    </w:p>
    <w:p>
      <w:pPr>
        <w:spacing w:after="0" w:line="174" w:lineRule="exact"/>
        <w:rPr>
          <w:sz w:val="20"/>
          <w:szCs w:val="20"/>
          <w:color w:val="auto"/>
        </w:rPr>
      </w:pPr>
    </w:p>
    <w:p>
      <w:pPr>
        <w:jc w:val="both"/>
        <w:ind w:firstLine="1304"/>
        <w:spacing w:after="0" w:line="289" w:lineRule="auto"/>
        <w:tabs>
          <w:tab w:leader="none" w:pos="1809" w:val="left"/>
        </w:tabs>
        <w:numPr>
          <w:ilvl w:val="0"/>
          <w:numId w:val="396"/>
        </w:numPr>
        <w:rPr>
          <w:rFonts w:ascii="Arial" w:cs="Arial" w:eastAsia="Arial" w:hAnsi="Arial"/>
          <w:sz w:val="19"/>
          <w:szCs w:val="19"/>
          <w:b w:val="1"/>
          <w:bCs w:val="1"/>
          <w:color w:val="auto"/>
        </w:rPr>
      </w:pPr>
      <w:r>
        <w:rPr>
          <w:rFonts w:ascii="Arial" w:cs="Arial" w:eastAsia="Arial" w:hAnsi="Arial"/>
          <w:sz w:val="19"/>
          <w:szCs w:val="19"/>
          <w:b w:val="1"/>
          <w:bCs w:val="1"/>
          <w:color w:val="auto"/>
        </w:rPr>
        <w:t>Taxes Resulting From Allergan Action</w:t>
      </w:r>
      <w:r>
        <w:rPr>
          <w:rFonts w:ascii="Arial" w:cs="Arial" w:eastAsia="Arial" w:hAnsi="Arial"/>
          <w:sz w:val="19"/>
          <w:szCs w:val="19"/>
          <w:color w:val="auto"/>
        </w:rPr>
        <w:t>. If Allergan is required to make a payment to Molecular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subject to increased deduction or withholding of tax as a result of any willful action by Allergan, such as an assignment or sublicense by Allergan, or any failure on the part of Allergan to comply with applicable Laws or filing or record retention requirements (an “</w:t>
      </w:r>
      <w:r>
        <w:rPr>
          <w:rFonts w:ascii="Arial" w:cs="Arial" w:eastAsia="Arial" w:hAnsi="Arial"/>
          <w:sz w:val="19"/>
          <w:szCs w:val="19"/>
          <w:b w:val="1"/>
          <w:bCs w:val="1"/>
          <w:color w:val="auto"/>
        </w:rPr>
        <w:t>Allergan Withholding Tax Action</w:t>
      </w:r>
      <w:r>
        <w:rPr>
          <w:rFonts w:ascii="Arial" w:cs="Arial" w:eastAsia="Arial" w:hAnsi="Arial"/>
          <w:sz w:val="19"/>
          <w:szCs w:val="19"/>
          <w:color w:val="auto"/>
        </w:rPr>
        <w:t>”), then the sum payable by Allergan (in respect of which such increased deduction or withholding is required to be made) shall be increased to the extent necessary to ensure that Molecular Partners receives a sum equal to the sum which it would have received had no such Allergan Withholding Tax Action occurred. Notwithstanding the foregoing, any assignment or sublicense by Allergan that is agreed or consented to by Molecular Partners in advance in writing shall not constitute an Allergan Withholding Tax Action. To the extent that Molecular Partners actually realizes a tax benefit in any jurisdiction as a result of any such withholding taxes paid by Allergan pursuant to this Section 8.11(c), Molecular Partners shall cooperate with Allergan to convey the additional tax benefit, if possible, to Allergan.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MATTERS</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9.1 Inventions</w:t>
      </w:r>
      <w:r>
        <w:rPr>
          <w:rFonts w:ascii="Arial" w:cs="Arial" w:eastAsia="Arial" w:hAnsi="Arial"/>
          <w:sz w:val="19"/>
          <w:szCs w:val="19"/>
          <w:color w:val="auto"/>
        </w:rPr>
        <w:t>. Any inventions, whether or not patentable, and whether (a) invented solely by a Party’s own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agents, consultants, or independent contractors or (b) invented by a Party’s own employees, agents, consultants, or independent contractors jointly with employees, agents, consultants, or independent contractors of the other Party, in each case in the course of conducting a Party’s activities under this Agreement, together with all intellectual property rights therein, shall be referred to herein as an “</w:t>
      </w:r>
      <w:r>
        <w:rPr>
          <w:rFonts w:ascii="Arial" w:cs="Arial" w:eastAsia="Arial" w:hAnsi="Arial"/>
          <w:sz w:val="19"/>
          <w:szCs w:val="19"/>
          <w:b w:val="1"/>
          <w:bCs w:val="1"/>
          <w:color w:val="auto"/>
        </w:rPr>
        <w:t>Invention</w:t>
      </w:r>
      <w:r>
        <w:rPr>
          <w:rFonts w:ascii="Arial" w:cs="Arial" w:eastAsia="Arial" w:hAnsi="Arial"/>
          <w:sz w:val="19"/>
          <w:szCs w:val="19"/>
          <w:color w:val="auto"/>
        </w:rPr>
        <w:t>”. Inventorship shall be determined in accordance with U.S. patent laws.</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9.2 Disclosure</w:t>
      </w:r>
      <w:r>
        <w:rPr>
          <w:rFonts w:ascii="Arial" w:cs="Arial" w:eastAsia="Arial" w:hAnsi="Arial"/>
          <w:sz w:val="22"/>
          <w:szCs w:val="22"/>
          <w:color w:val="auto"/>
        </w:rPr>
        <w:t>. Each Party will disclose to the other Party any Inventions for any Sequence Modifications made</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Section 4.7.</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9.3 Ownership</w:t>
      </w:r>
      <w:r>
        <w:rPr>
          <w:rFonts w:ascii="Arial" w:cs="Arial" w:eastAsia="Arial" w:hAnsi="Arial"/>
          <w:sz w:val="22"/>
          <w:szCs w:val="22"/>
          <w:color w:val="auto"/>
        </w:rPr>
        <w:t>. Except as otherwise set forth in this Agreement, (a) if an Invention is solely invented by one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agents, consultants, or independent contractors of a Party, such Invention, and any and all intellectual property rights therein, shall be solely owned by such Party, and (b) if an Invention is jointly invented by one or more employees, agents, consultants, or independent contractors of each Party, such Invention (a “</w:t>
      </w:r>
      <w:r>
        <w:rPr>
          <w:rFonts w:ascii="Arial" w:cs="Arial" w:eastAsia="Arial" w:hAnsi="Arial"/>
          <w:sz w:val="22"/>
          <w:szCs w:val="22"/>
          <w:b w:val="1"/>
          <w:bCs w:val="1"/>
          <w:color w:val="auto"/>
        </w:rPr>
        <w:t>Joint Invention</w:t>
      </w:r>
      <w:r>
        <w:rPr>
          <w:rFonts w:ascii="Arial" w:cs="Arial" w:eastAsia="Arial" w:hAnsi="Arial"/>
          <w:sz w:val="22"/>
          <w:szCs w:val="22"/>
          <w:color w:val="auto"/>
        </w:rPr>
        <w:t>”), and any and all intellectual property rights therein including any Patent (each, a “</w:t>
      </w:r>
      <w:r>
        <w:rPr>
          <w:rFonts w:ascii="Arial" w:cs="Arial" w:eastAsia="Arial" w:hAnsi="Arial"/>
          <w:sz w:val="22"/>
          <w:szCs w:val="22"/>
          <w:b w:val="1"/>
          <w:bCs w:val="1"/>
          <w:color w:val="auto"/>
        </w:rPr>
        <w:t>Joint Patent</w:t>
      </w:r>
      <w:r>
        <w:rPr>
          <w:rFonts w:ascii="Arial" w:cs="Arial" w:eastAsia="Arial" w:hAnsi="Arial"/>
          <w:sz w:val="22"/>
          <w:szCs w:val="22"/>
          <w:color w:val="auto"/>
        </w:rPr>
        <w:t>”),</w:t>
      </w:r>
    </w:p>
    <w:p>
      <w:pPr>
        <w:sectPr>
          <w:pgSz w:w="11900" w:h="16838" w:orient="portrait"/>
          <w:cols w:equalWidth="0" w:num="1">
            <w:col w:w="11240"/>
          </w:cols>
          <w:pgMar w:left="320" w:top="1427" w:right="339" w:bottom="1440" w:gutter="0" w:footer="0" w:header="0"/>
        </w:sectPr>
      </w:pPr>
    </w:p>
    <w:bookmarkStart w:id="420" w:name="page421"/>
    <w:bookmarkEnd w:id="420"/>
    <w:p>
      <w:pPr>
        <w:jc w:val="both"/>
        <w:spacing w:after="0" w:line="302" w:lineRule="auto"/>
        <w:rPr>
          <w:sz w:val="20"/>
          <w:szCs w:val="20"/>
          <w:color w:val="auto"/>
        </w:rPr>
      </w:pPr>
      <w:r>
        <w:rPr>
          <w:rFonts w:ascii="Arial" w:cs="Arial" w:eastAsia="Arial" w:hAnsi="Arial"/>
          <w:sz w:val="19"/>
          <w:szCs w:val="19"/>
          <w:color w:val="auto"/>
        </w:rPr>
        <w:t>shall be jointly owned by the Parties. Subject to the terms of this Agreement and except as otherwise licensed to the other Party under this Agreement, each Party shall be entitled to practice and exploit the Joint Inventions and Joint Patents, subject to the licenses granted under Article 2, without the duty of accounting or seeking consent from the other Party. Each Party agrees to be named as a party, if necessary, to bring or maintain a lawsuit involving a Joint Invention or Joint Patent.</w:t>
      </w:r>
    </w:p>
    <w:p>
      <w:pPr>
        <w:spacing w:after="0" w:line="13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8"/>
          <w:szCs w:val="18"/>
          <w:b w:val="1"/>
          <w:bCs w:val="1"/>
          <w:color w:val="auto"/>
        </w:rPr>
        <w:t>Prosecution of Patents</w:t>
      </w:r>
      <w:r>
        <w:rPr>
          <w:rFonts w:ascii="Arial" w:cs="Arial" w:eastAsia="Arial" w:hAnsi="Arial"/>
          <w:sz w:val="18"/>
          <w:szCs w:val="18"/>
          <w:color w:val="auto"/>
        </w:rPr>
        <w:t>.</w:t>
      </w:r>
    </w:p>
    <w:p>
      <w:pPr>
        <w:spacing w:after="0" w:line="220" w:lineRule="exact"/>
        <w:rPr>
          <w:sz w:val="20"/>
          <w:szCs w:val="20"/>
          <w:color w:val="auto"/>
        </w:rPr>
      </w:pPr>
    </w:p>
    <w:p>
      <w:pPr>
        <w:ind w:left="1780" w:hanging="476"/>
        <w:spacing w:after="0"/>
        <w:tabs>
          <w:tab w:leader="none" w:pos="1780" w:val="left"/>
        </w:tabs>
        <w:numPr>
          <w:ilvl w:val="0"/>
          <w:numId w:val="397"/>
        </w:numPr>
        <w:rPr>
          <w:rFonts w:ascii="Arial" w:cs="Arial" w:eastAsia="Arial" w:hAnsi="Arial"/>
          <w:sz w:val="22"/>
          <w:szCs w:val="22"/>
          <w:b w:val="1"/>
          <w:bCs w:val="1"/>
          <w:color w:val="auto"/>
        </w:rPr>
      </w:pPr>
      <w:r>
        <w:rPr>
          <w:rFonts w:ascii="Arial" w:cs="Arial" w:eastAsia="Arial" w:hAnsi="Arial"/>
          <w:sz w:val="22"/>
          <w:szCs w:val="22"/>
          <w:b w:val="1"/>
          <w:bCs w:val="1"/>
          <w:color w:val="auto"/>
        </w:rPr>
        <w:t>Molecular Partners Patents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87" w:lineRule="auto"/>
        <w:tabs>
          <w:tab w:leader="none" w:pos="2418" w:val="left"/>
        </w:tabs>
        <w:numPr>
          <w:ilvl w:val="1"/>
          <w:numId w:val="397"/>
        </w:numPr>
        <w:rPr>
          <w:rFonts w:ascii="Arial" w:cs="Arial" w:eastAsia="Arial" w:hAnsi="Arial"/>
          <w:sz w:val="19"/>
          <w:szCs w:val="19"/>
          <w:b w:val="1"/>
          <w:bCs w:val="1"/>
          <w:color w:val="auto"/>
        </w:rPr>
      </w:pPr>
      <w:r>
        <w:rPr>
          <w:rFonts w:ascii="Arial" w:cs="Arial" w:eastAsia="Arial" w:hAnsi="Arial"/>
          <w:sz w:val="19"/>
          <w:szCs w:val="19"/>
          <w:color w:val="auto"/>
        </w:rPr>
        <w:t xml:space="preserve">Subject to Section 9.4(a)(iii), as between the Parties, Molecular Partners shall have the sole right to prepare, file, prosecute and maintain all Molecular Partners Patents (A) listed as “Platform Patents” on </w:t>
      </w:r>
      <w:r>
        <w:rPr>
          <w:rFonts w:ascii="Arial" w:cs="Arial" w:eastAsia="Arial" w:hAnsi="Arial"/>
          <w:sz w:val="19"/>
          <w:szCs w:val="19"/>
          <w:u w:val="single" w:color="auto"/>
          <w:color w:val="auto"/>
        </w:rPr>
        <w:t>Exhibits 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and (B) all Molecular Partners Patents filed after the Effective Date except for any Patents that solely claim or cover Licensed Products, in each case including all Patents that claim priority, directly or indirectly, from such Patents; and any Patent from which such Patents claim priority, directly or indirectly (collectively, the “</w:t>
      </w:r>
      <w:r>
        <w:rPr>
          <w:rFonts w:ascii="Arial" w:cs="Arial" w:eastAsia="Arial" w:hAnsi="Arial"/>
          <w:sz w:val="19"/>
          <w:szCs w:val="19"/>
          <w:b w:val="1"/>
          <w:bCs w:val="1"/>
          <w:color w:val="auto"/>
        </w:rPr>
        <w:t>Molecular Partners Platform Patents</w:t>
      </w:r>
      <w:r>
        <w:rPr>
          <w:rFonts w:ascii="Arial" w:cs="Arial" w:eastAsia="Arial" w:hAnsi="Arial"/>
          <w:sz w:val="19"/>
          <w:szCs w:val="19"/>
          <w:color w:val="auto"/>
        </w:rPr>
        <w:t>”), ***. On a Calendar Quarter basis, Molecular Partners shall update Allergan on the status of the prosecution and maintenance of all Molecular Partners Platform Patents and shall provide Allergan with copies of material filings with and communication from patent authorities with respect to such Patents to the extent applicable to Licensed Products. Molecular Partners shall respond to all reasonable requests of Allergan for additional Information with respect to all such prosecution and maintenance efforts. Molecular Partners agrees to reasonably implement any recommendations of Allergan toward the objective of optimizing overall patent protection for Licensed Compounds, Licensed Products, and other DARPin Compounds.</w:t>
      </w:r>
    </w:p>
    <w:p>
      <w:pPr>
        <w:spacing w:after="0" w:line="163" w:lineRule="exact"/>
        <w:rPr>
          <w:rFonts w:ascii="Arial" w:cs="Arial" w:eastAsia="Arial" w:hAnsi="Arial"/>
          <w:sz w:val="19"/>
          <w:szCs w:val="19"/>
          <w:b w:val="1"/>
          <w:bCs w:val="1"/>
          <w:color w:val="auto"/>
        </w:rPr>
      </w:pPr>
    </w:p>
    <w:p>
      <w:pPr>
        <w:jc w:val="both"/>
        <w:ind w:firstLine="1952"/>
        <w:spacing w:after="0" w:line="287" w:lineRule="auto"/>
        <w:tabs>
          <w:tab w:leader="none" w:pos="2491" w:val="left"/>
        </w:tabs>
        <w:numPr>
          <w:ilvl w:val="1"/>
          <w:numId w:val="397"/>
        </w:numPr>
        <w:rPr>
          <w:rFonts w:ascii="Arial" w:cs="Arial" w:eastAsia="Arial" w:hAnsi="Arial"/>
          <w:sz w:val="19"/>
          <w:szCs w:val="19"/>
          <w:b w:val="1"/>
          <w:bCs w:val="1"/>
          <w:color w:val="auto"/>
        </w:rPr>
      </w:pPr>
      <w:r>
        <w:rPr>
          <w:rFonts w:ascii="Arial" w:cs="Arial" w:eastAsia="Arial" w:hAnsi="Arial"/>
          <w:sz w:val="19"/>
          <w:szCs w:val="19"/>
          <w:color w:val="auto"/>
        </w:rPr>
        <w:t>As between the Parties, Molecular Partners shall have the first right to prepare, file, prosecute and maintain all Molecular Partners Patents other than the Molecular Partners Platform Patents (collectively, the “</w:t>
      </w:r>
      <w:r>
        <w:rPr>
          <w:rFonts w:ascii="Arial" w:cs="Arial" w:eastAsia="Arial" w:hAnsi="Arial"/>
          <w:sz w:val="19"/>
          <w:szCs w:val="19"/>
          <w:b w:val="1"/>
          <w:bCs w:val="1"/>
          <w:color w:val="auto"/>
        </w:rPr>
        <w:t>Molecular</w:t>
      </w:r>
      <w:r>
        <w:rPr>
          <w:rFonts w:ascii="Arial" w:cs="Arial" w:eastAsia="Arial" w:hAnsi="Arial"/>
          <w:sz w:val="19"/>
          <w:szCs w:val="19"/>
          <w:color w:val="auto"/>
        </w:rPr>
        <w:t xml:space="preserve"> </w:t>
      </w:r>
      <w:r>
        <w:rPr>
          <w:rFonts w:ascii="Arial" w:cs="Arial" w:eastAsia="Arial" w:hAnsi="Arial"/>
          <w:sz w:val="19"/>
          <w:szCs w:val="19"/>
          <w:b w:val="1"/>
          <w:bCs w:val="1"/>
          <w:color w:val="auto"/>
        </w:rPr>
        <w:t>Partners Product Patents</w:t>
      </w:r>
      <w:r>
        <w:rPr>
          <w:rFonts w:ascii="Arial" w:cs="Arial" w:eastAsia="Arial" w:hAnsi="Arial"/>
          <w:sz w:val="19"/>
          <w:szCs w:val="19"/>
          <w:color w:val="auto"/>
        </w:rPr>
        <w:t>”) in the Territory, at Molecular Partners’ cost and expense. Molecular Partners shall reasonably</w:t>
      </w:r>
      <w:r>
        <w:rPr>
          <w:rFonts w:ascii="Arial" w:cs="Arial" w:eastAsia="Arial" w:hAnsi="Arial"/>
          <w:sz w:val="19"/>
          <w:szCs w:val="19"/>
          <w:b w:val="1"/>
          <w:bCs w:val="1"/>
          <w:color w:val="auto"/>
        </w:rPr>
        <w:t xml:space="preserve"> </w:t>
      </w:r>
      <w:r>
        <w:rPr>
          <w:rFonts w:ascii="Arial" w:cs="Arial" w:eastAsia="Arial" w:hAnsi="Arial"/>
          <w:sz w:val="19"/>
          <w:szCs w:val="19"/>
          <w:color w:val="auto"/>
        </w:rPr>
        <w:t>inform and consult with Allergan, and shall take Allergan’s comments into good faith consideration, with respect to the preparation, prosecution and maintenance of such Molecular Partners Product Patents. Molecular Partners shall provide to Allergan copies of any papers relating to the filing, prosecution or maintenance of such Molecular Partners Product Patents reasonably in advance of their being filed or promptly upon their being received, including draft filings, reasonably in advance of their being filed, so that Allergan can comment and provide input with respect to such draft filings. Molecular Partners agrees to discuss in good faith any changes reasonably requested by Allergan to such papers, including draft filings, promptly upon their being received. Molecular Partners agrees to reasonably implement any such recommended changes toward the objective of optimizing overall patent protection for Licensed Compounds or Licensed Products.</w:t>
      </w:r>
    </w:p>
    <w:p>
      <w:pPr>
        <w:spacing w:after="0" w:line="163" w:lineRule="exact"/>
        <w:rPr>
          <w:rFonts w:ascii="Arial" w:cs="Arial" w:eastAsia="Arial" w:hAnsi="Arial"/>
          <w:sz w:val="19"/>
          <w:szCs w:val="19"/>
          <w:b w:val="1"/>
          <w:bCs w:val="1"/>
          <w:color w:val="auto"/>
        </w:rPr>
      </w:pPr>
    </w:p>
    <w:p>
      <w:pPr>
        <w:jc w:val="both"/>
        <w:ind w:firstLine="1952"/>
        <w:spacing w:after="0" w:line="312" w:lineRule="auto"/>
        <w:tabs>
          <w:tab w:leader="none" w:pos="2619" w:val="left"/>
        </w:tabs>
        <w:numPr>
          <w:ilvl w:val="1"/>
          <w:numId w:val="397"/>
        </w:numPr>
        <w:rPr>
          <w:rFonts w:ascii="Arial" w:cs="Arial" w:eastAsia="Arial" w:hAnsi="Arial"/>
          <w:sz w:val="19"/>
          <w:szCs w:val="19"/>
          <w:b w:val="1"/>
          <w:bCs w:val="1"/>
          <w:color w:val="auto"/>
        </w:rPr>
      </w:pPr>
      <w:r>
        <w:rPr>
          <w:rFonts w:ascii="Arial" w:cs="Arial" w:eastAsia="Arial" w:hAnsi="Arial"/>
          <w:sz w:val="19"/>
          <w:szCs w:val="19"/>
          <w:color w:val="auto"/>
        </w:rPr>
        <w:t>If Molecular Partners decides to cease the prosecution or maintenance of a Molecular Partners Product Patent, it shall notify Allergan in writing sufficiently in advance so that Allergan may, at its discretion, assume the responsibility for the prosecution or maintenance of such Molecular Partners Product Patents at Allergan’s cost and</w:t>
      </w:r>
    </w:p>
    <w:p>
      <w:pPr>
        <w:sectPr>
          <w:pgSz w:w="11900" w:h="16838" w:orient="portrait"/>
          <w:cols w:equalWidth="0" w:num="1">
            <w:col w:w="11240"/>
          </w:cols>
          <w:pgMar w:left="320" w:top="1427" w:right="339" w:bottom="1440" w:gutter="0" w:footer="0" w:header="0"/>
        </w:sectPr>
      </w:pPr>
    </w:p>
    <w:bookmarkStart w:id="421" w:name="page422"/>
    <w:bookmarkEnd w:id="421"/>
    <w:p>
      <w:pPr>
        <w:jc w:val="both"/>
        <w:spacing w:after="0" w:line="292" w:lineRule="auto"/>
        <w:rPr>
          <w:sz w:val="20"/>
          <w:szCs w:val="20"/>
          <w:color w:val="auto"/>
        </w:rPr>
      </w:pPr>
      <w:r>
        <w:rPr>
          <w:rFonts w:ascii="Arial" w:cs="Arial" w:eastAsia="Arial" w:hAnsi="Arial"/>
          <w:sz w:val="19"/>
          <w:szCs w:val="19"/>
          <w:color w:val="auto"/>
        </w:rPr>
        <w:t>expense. If Allergan assumes such responsibility, then no such claim shall be deemed a Valid Claim. If Molecular Partners decides to cease the prosecution or maintenance of all claims in a Molecular Partners Platform Patent that covers the Development, Manufacture or Commercialization of a Licensed Compound or Licensed Product in the Field and Territory, it shall notify Allergan in writing sufficiently in advance so that Allergan may, at its discretion, assume the responsibility for the prosecution or maintenance of such Molecular Partners Platform Patent to the extent claiming the Development, Manufacture or Commercialization of a Licensed Compound or Licensed Product in the Field and Territory, at Allergan’s cost and expense. If Allergan assumes such responsibility, then no such claim shall be deemed a Valid Claim.</w:t>
      </w:r>
    </w:p>
    <w:p>
      <w:pPr>
        <w:spacing w:after="0" w:line="151" w:lineRule="exact"/>
        <w:rPr>
          <w:sz w:val="20"/>
          <w:szCs w:val="20"/>
          <w:color w:val="auto"/>
        </w:rPr>
      </w:pPr>
    </w:p>
    <w:p>
      <w:pPr>
        <w:jc w:val="both"/>
        <w:ind w:firstLine="1952"/>
        <w:spacing w:after="0" w:line="248" w:lineRule="auto"/>
        <w:tabs>
          <w:tab w:leader="none" w:pos="2512" w:val="left"/>
        </w:tabs>
        <w:numPr>
          <w:ilvl w:val="1"/>
          <w:numId w:val="398"/>
        </w:numPr>
        <w:rPr>
          <w:rFonts w:ascii="Arial" w:cs="Arial" w:eastAsia="Arial" w:hAnsi="Arial"/>
          <w:sz w:val="22"/>
          <w:szCs w:val="22"/>
          <w:b w:val="1"/>
          <w:bCs w:val="1"/>
          <w:color w:val="auto"/>
        </w:rPr>
      </w:pPr>
      <w:r>
        <w:rPr>
          <w:rFonts w:ascii="Arial" w:cs="Arial" w:eastAsia="Arial" w:hAnsi="Arial"/>
          <w:sz w:val="22"/>
          <w:szCs w:val="22"/>
          <w:color w:val="auto"/>
        </w:rPr>
        <w:t>Following the Effective Date, the Parties shall meet and discuss the extent to which it is feasible to allocate certain claims covered in the Molecular Partners Platform Patents to the Molecular Partners Product Patents. At the reasonable request of Allergan, Molecular Partners shall make such filings as the Parties reasonably agree to allocate claims solely covering Licensed Compounds in the Field to the Molecular Partners Product Patents. *** the costs associated with such actions reasonably requested by Allergan.</w:t>
      </w:r>
    </w:p>
    <w:p>
      <w:pPr>
        <w:spacing w:after="0" w:line="185" w:lineRule="exact"/>
        <w:rPr>
          <w:rFonts w:ascii="Arial" w:cs="Arial" w:eastAsia="Arial" w:hAnsi="Arial"/>
          <w:sz w:val="22"/>
          <w:szCs w:val="22"/>
          <w:b w:val="1"/>
          <w:bCs w:val="1"/>
          <w:color w:val="auto"/>
        </w:rPr>
      </w:pPr>
    </w:p>
    <w:p>
      <w:pPr>
        <w:jc w:val="both"/>
        <w:ind w:firstLine="1304"/>
        <w:spacing w:after="0" w:line="288" w:lineRule="auto"/>
        <w:tabs>
          <w:tab w:leader="none" w:pos="1852" w:val="left"/>
        </w:tabs>
        <w:numPr>
          <w:ilvl w:val="0"/>
          <w:numId w:val="399"/>
        </w:numPr>
        <w:rPr>
          <w:rFonts w:ascii="Arial" w:cs="Arial" w:eastAsia="Arial" w:hAnsi="Arial"/>
          <w:sz w:val="19"/>
          <w:szCs w:val="19"/>
          <w:b w:val="1"/>
          <w:bCs w:val="1"/>
          <w:color w:val="auto"/>
        </w:rPr>
      </w:pPr>
      <w:r>
        <w:rPr>
          <w:rFonts w:ascii="Arial" w:cs="Arial" w:eastAsia="Arial" w:hAnsi="Arial"/>
          <w:sz w:val="19"/>
          <w:szCs w:val="19"/>
          <w:b w:val="1"/>
          <w:bCs w:val="1"/>
          <w:color w:val="auto"/>
        </w:rPr>
        <w:t>Joint Patents</w:t>
      </w:r>
      <w:r>
        <w:rPr>
          <w:rFonts w:ascii="Arial" w:cs="Arial" w:eastAsia="Arial" w:hAnsi="Arial"/>
          <w:sz w:val="19"/>
          <w:szCs w:val="19"/>
          <w:color w:val="auto"/>
        </w:rPr>
        <w:t>. The Parties shall mutually agree upon which Party shall prosecute Joint Patents, ***. The</w:t>
      </w:r>
      <w:r>
        <w:rPr>
          <w:rFonts w:ascii="Arial" w:cs="Arial" w:eastAsia="Arial" w:hAnsi="Arial"/>
          <w:sz w:val="19"/>
          <w:szCs w:val="19"/>
          <w:b w:val="1"/>
          <w:bCs w:val="1"/>
          <w:color w:val="auto"/>
        </w:rPr>
        <w:t xml:space="preserve"> </w:t>
      </w:r>
      <w:r>
        <w:rPr>
          <w:rFonts w:ascii="Arial" w:cs="Arial" w:eastAsia="Arial" w:hAnsi="Arial"/>
          <w:sz w:val="19"/>
          <w:szCs w:val="19"/>
          <w:color w:val="auto"/>
        </w:rPr>
        <w:t>prosecuting Party shall reasonably inform and consult with the other Party, and shall take such other Party’s comments into good faith consideration, with respect to the preparation, prosecution and maintenance of such Joint Patents. The prosecuting Party shall provide to the other Party copies of any papers relating to the filing, prosecution or maintenance of such Joint Patents reasonably in advance of their being filed or promptly upon their being received, including draft filings, reasonably in advance of their being filed so that such other Party can comment and provide input with respect to such draft filings. The prosecuting Party agrees to discuss in good faith any changes reasonably requested by the other Party to such papers, including draft filings, promptly upon their being received. The prosecuting Party agrees to reasonably implement any such recommended changes toward the objective of optimizing overall patent protection for Licensed Compounds, Licensed Products, and other DARPin Compounds. In any event, neither Party will finally abandon, disclaim, or dedicate to the public any claims or limit any claims specific to DARPin Compounds, Licensed Compounds or Licensed Products without the other Party’s prior written consent.</w:t>
      </w:r>
    </w:p>
    <w:p>
      <w:pPr>
        <w:spacing w:after="0" w:line="153" w:lineRule="exact"/>
        <w:rPr>
          <w:rFonts w:ascii="Arial" w:cs="Arial" w:eastAsia="Arial" w:hAnsi="Arial"/>
          <w:sz w:val="19"/>
          <w:szCs w:val="19"/>
          <w:b w:val="1"/>
          <w:bCs w:val="1"/>
          <w:color w:val="auto"/>
        </w:rPr>
      </w:pPr>
    </w:p>
    <w:p>
      <w:pPr>
        <w:jc w:val="both"/>
        <w:ind w:firstLine="1304"/>
        <w:spacing w:after="0" w:line="247" w:lineRule="auto"/>
        <w:tabs>
          <w:tab w:leader="none" w:pos="1765" w:val="left"/>
        </w:tabs>
        <w:numPr>
          <w:ilvl w:val="0"/>
          <w:numId w:val="399"/>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Each Party shall provide the other Party all reasonable assistance and cooperation, at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Party’s request and expense, in the patent prosecution efforts provided above in this Section 9.4, including providing any necessary powers of attorney and executing any other required documents or instruments for such prosecution. Each Party shall execute and deliver to the other assignments with respect to any Joint Inventions, in a mutually agreeable form and will take whatever actions reasonably necessary, including the appointment of the other Party as its attorney in fact solely to make such assignment) to effect such assignment. The prosecuting Party under this Section 9.4 agrees to conduct such prosecution toward the objective of optimizing overall patent protection for Licensed Compounds, Licensed Products, and other DARPin Compounds.</w:t>
      </w:r>
    </w:p>
    <w:p>
      <w:pPr>
        <w:sectPr>
          <w:pgSz w:w="11900" w:h="16838" w:orient="portrait"/>
          <w:cols w:equalWidth="0" w:num="1">
            <w:col w:w="11240"/>
          </w:cols>
          <w:pgMar w:left="320" w:top="1427" w:right="339" w:bottom="1440" w:gutter="0" w:footer="0" w:header="0"/>
        </w:sectPr>
      </w:pPr>
    </w:p>
    <w:bookmarkStart w:id="422" w:name="page423"/>
    <w:bookmarkEnd w:id="422"/>
    <w:p>
      <w:pPr>
        <w:spacing w:after="0"/>
        <w:tabs>
          <w:tab w:leader="none" w:pos="46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Enforcement of Molecular Partners Patents and Joint Patents</w:t>
      </w:r>
      <w:r>
        <w:rPr>
          <w:rFonts w:ascii="Arial" w:cs="Arial" w:eastAsia="Arial" w:hAnsi="Arial"/>
          <w:sz w:val="19"/>
          <w:szCs w:val="19"/>
          <w:color w:val="auto"/>
        </w:rPr>
        <w:t>.</w:t>
      </w:r>
    </w:p>
    <w:p>
      <w:pPr>
        <w:spacing w:after="0" w:line="220" w:lineRule="exact"/>
        <w:rPr>
          <w:sz w:val="20"/>
          <w:szCs w:val="20"/>
          <w:color w:val="auto"/>
        </w:rPr>
      </w:pPr>
    </w:p>
    <w:p>
      <w:pPr>
        <w:jc w:val="both"/>
        <w:ind w:left="-660" w:firstLine="1304"/>
        <w:spacing w:after="0" w:line="259" w:lineRule="auto"/>
        <w:tabs>
          <w:tab w:leader="none" w:pos="1225" w:val="left"/>
        </w:tabs>
        <w:numPr>
          <w:ilvl w:val="0"/>
          <w:numId w:val="400"/>
        </w:numPr>
        <w:rPr>
          <w:rFonts w:ascii="Arial" w:cs="Arial" w:eastAsia="Arial" w:hAnsi="Arial"/>
          <w:sz w:val="21"/>
          <w:szCs w:val="21"/>
          <w:b w:val="1"/>
          <w:bCs w:val="1"/>
          <w:color w:val="auto"/>
        </w:rPr>
      </w:pPr>
      <w:r>
        <w:rPr>
          <w:rFonts w:ascii="Arial" w:cs="Arial" w:eastAsia="Arial" w:hAnsi="Arial"/>
          <w:sz w:val="21"/>
          <w:szCs w:val="21"/>
          <w:b w:val="1"/>
          <w:bCs w:val="1"/>
          <w:color w:val="auto"/>
        </w:rPr>
        <w:t>Notification</w:t>
      </w:r>
      <w:r>
        <w:rPr>
          <w:rFonts w:ascii="Arial" w:cs="Arial" w:eastAsia="Arial" w:hAnsi="Arial"/>
          <w:sz w:val="21"/>
          <w:szCs w:val="21"/>
          <w:color w:val="auto"/>
        </w:rPr>
        <w:t>. If either Party become aware of any existing or threatened infringement of the Molecular</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 Patents or Joint Patents in the Field in the Territory, which infringing activity involves the using, making, importing, offering for sale or selling Licensed Compounds or Licensed Products or a product containing an Exclusive DARPin, in each case in the Field and in the Territory, or any such Molecular Partners Patent or Joint Patent is challenged in any action or proceeding to the extent directly relating to Licensed Compounds or Licensed Products or a product containing an Exclusive DARPin, in each case in the Field and in the Territory (other than any oppositions, cancellations, interferences, reissue proceedings or reexaminations, which are addressed in Section 9.8) (a “</w:t>
      </w:r>
      <w:r>
        <w:rPr>
          <w:rFonts w:ascii="Arial" w:cs="Arial" w:eastAsia="Arial" w:hAnsi="Arial"/>
          <w:sz w:val="21"/>
          <w:szCs w:val="21"/>
          <w:b w:val="1"/>
          <w:bCs w:val="1"/>
          <w:color w:val="auto"/>
        </w:rPr>
        <w:t>Product Infringement</w:t>
      </w:r>
      <w:r>
        <w:rPr>
          <w:rFonts w:ascii="Arial" w:cs="Arial" w:eastAsia="Arial" w:hAnsi="Arial"/>
          <w:sz w:val="21"/>
          <w:szCs w:val="21"/>
          <w:color w:val="auto"/>
        </w:rPr>
        <w:t>”), it shall promptly notify the other Party in writing to that effect and the Parties will consult with each other regarding any actions to be taken with respect to such Product Infringement. Each Party shall share with the other Party all Information available to it regarding such alleged Product Infringement.</w:t>
      </w:r>
    </w:p>
    <w:p>
      <w:pPr>
        <w:spacing w:after="0" w:line="175" w:lineRule="exact"/>
        <w:rPr>
          <w:rFonts w:ascii="Arial" w:cs="Arial" w:eastAsia="Arial" w:hAnsi="Arial"/>
          <w:sz w:val="21"/>
          <w:szCs w:val="21"/>
          <w:b w:val="1"/>
          <w:bCs w:val="1"/>
          <w:color w:val="auto"/>
        </w:rPr>
      </w:pPr>
    </w:p>
    <w:p>
      <w:pPr>
        <w:ind w:left="1120" w:hanging="476"/>
        <w:spacing w:after="0"/>
        <w:tabs>
          <w:tab w:leader="none" w:pos="1120" w:val="left"/>
        </w:tabs>
        <w:numPr>
          <w:ilvl w:val="0"/>
          <w:numId w:val="400"/>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left="-660" w:firstLine="1952"/>
        <w:spacing w:after="0" w:line="258" w:lineRule="auto"/>
        <w:tabs>
          <w:tab w:leader="none" w:pos="1785" w:val="left"/>
        </w:tabs>
        <w:numPr>
          <w:ilvl w:val="1"/>
          <w:numId w:val="400"/>
        </w:numPr>
        <w:rPr>
          <w:rFonts w:ascii="Arial" w:cs="Arial" w:eastAsia="Arial" w:hAnsi="Arial"/>
          <w:sz w:val="21"/>
          <w:szCs w:val="21"/>
          <w:b w:val="1"/>
          <w:bCs w:val="1"/>
          <w:color w:val="auto"/>
        </w:rPr>
      </w:pPr>
      <w:r>
        <w:rPr>
          <w:rFonts w:ascii="Arial" w:cs="Arial" w:eastAsia="Arial" w:hAnsi="Arial"/>
          <w:sz w:val="21"/>
          <w:szCs w:val="21"/>
          <w:color w:val="auto"/>
        </w:rPr>
        <w:t>Molecular Partners shall have the first right, but not the obligation, to bring an appropriate suit or other action against any person or entity engaged in a Product Infringement of the Molecular Partners Platform Patents. Molecular Partners shall keep Allergan regularly informed of the status and progress of such enforcement efforts, shall reasonably consider Allergan’s comments on any such efforts, and shall seek consent of Allergan in any important aspects of such enforcement, including determination of litigation strategy and filing of material papers to the competent court, which consent shall not be unreasonably withheld or delayed. In addition, Molecular Partners shall provide Allergan with drafts of all material papers to be filed with the court and shall in good faith incorporate all reasonable comments thereto by Allergan before filing such papers. Allergan shall provide to Molecular Partners reasonable assistance in such enforcement pursuant to this subsection 9.5(b)(i), at Molecular Partners’ request and expense, including joining such action as a party plaintiff if required by applicable Laws to pursue such action.</w:t>
      </w:r>
    </w:p>
    <w:p>
      <w:pPr>
        <w:spacing w:after="0" w:line="185" w:lineRule="exact"/>
        <w:rPr>
          <w:rFonts w:ascii="Arial" w:cs="Arial" w:eastAsia="Arial" w:hAnsi="Arial"/>
          <w:sz w:val="21"/>
          <w:szCs w:val="21"/>
          <w:b w:val="1"/>
          <w:bCs w:val="1"/>
          <w:color w:val="auto"/>
        </w:rPr>
      </w:pPr>
    </w:p>
    <w:p>
      <w:pPr>
        <w:jc w:val="both"/>
        <w:ind w:left="-660" w:firstLine="1952"/>
        <w:spacing w:after="0" w:line="288" w:lineRule="auto"/>
        <w:tabs>
          <w:tab w:leader="none" w:pos="1777" w:val="left"/>
        </w:tabs>
        <w:numPr>
          <w:ilvl w:val="1"/>
          <w:numId w:val="400"/>
        </w:numPr>
        <w:rPr>
          <w:rFonts w:ascii="Arial" w:cs="Arial" w:eastAsia="Arial" w:hAnsi="Arial"/>
          <w:sz w:val="19"/>
          <w:szCs w:val="19"/>
          <w:b w:val="1"/>
          <w:bCs w:val="1"/>
          <w:color w:val="auto"/>
        </w:rPr>
      </w:pPr>
      <w:r>
        <w:rPr>
          <w:rFonts w:ascii="Arial" w:cs="Arial" w:eastAsia="Arial" w:hAnsi="Arial"/>
          <w:sz w:val="19"/>
          <w:szCs w:val="19"/>
          <w:color w:val="auto"/>
        </w:rPr>
        <w:t>Molecular Partners shall have a period of ninety (90) days after its receipt or delivery of notice under Section 9.5(a) to elect to so enforce the Molecular Partners Platform Patents in the Field in the Territory (or to settle or otherwise secure the abatement of such Product Infringement). If Molecular Partners fails to commence a suit to enforce the applicable Molecular Partners Platform Patents or to settle or otherwise secure the abatement of such Product Infringement within such period, then Allergan shall have the right, but not the obligation, to commence a suit or take action to enforce such Molecular Partners Platform Patents against such Product Infringement in the Field in the Territory at its own cost and expense. In such event, promptly after the expiration of the applicable ninety (90)-day period, or Molecular Partners’ notice to Allergan that it does not elect to enforce such Molecular Partners Platform Patents, the Parties shall meet to discuss in good faith and determine the strategy for enforcing such Molecular Partners Platform Patents. Allergan shall not take any action with respect to such enforcement that is inconsistent with the strategy agreed by the Parties. Allergan</w:t>
      </w:r>
    </w:p>
    <w:p>
      <w:pPr>
        <w:sectPr>
          <w:pgSz w:w="11900" w:h="16838" w:orient="portrait"/>
          <w:cols w:equalWidth="0" w:num="1">
            <w:col w:w="10580"/>
          </w:cols>
          <w:pgMar w:left="980" w:top="1421" w:right="339" w:bottom="1440" w:gutter="0" w:footer="0" w:header="0"/>
        </w:sectPr>
      </w:pPr>
    </w:p>
    <w:bookmarkStart w:id="423" w:name="page424"/>
    <w:bookmarkEnd w:id="423"/>
    <w:p>
      <w:pPr>
        <w:jc w:val="both"/>
        <w:spacing w:after="0" w:line="260" w:lineRule="auto"/>
        <w:rPr>
          <w:sz w:val="20"/>
          <w:szCs w:val="20"/>
          <w:color w:val="auto"/>
        </w:rPr>
      </w:pPr>
      <w:r>
        <w:rPr>
          <w:rFonts w:ascii="Arial" w:cs="Arial" w:eastAsia="Arial" w:hAnsi="Arial"/>
          <w:sz w:val="21"/>
          <w:szCs w:val="21"/>
          <w:color w:val="auto"/>
        </w:rPr>
        <w:t>acknowledges and agrees that the Molecular Partners Platform Patents may be licensed to Third Parties who have rights with respect to the enforcement of such Patents, and that Allergan’s rights to conduct any enforcement activities are subject to such rights. In any event, Molecular Partners shall have the right to consult with such Third Party licensees prior to making any decisions with respect to enforcement activities under this Section 9.5(b)(ii). In addition, Allergan shall provide Molecular Partners with drafts of all material papers to be filed with the court and shall incorporate all reasonable comments thereto by Molecular Partners before filing such papers. Molecular Partners shall be entitled to separate representation in such matter by counsel of its own choice and at its own expense.</w:t>
      </w:r>
    </w:p>
    <w:p>
      <w:pPr>
        <w:spacing w:after="0" w:line="180" w:lineRule="exact"/>
        <w:rPr>
          <w:sz w:val="20"/>
          <w:szCs w:val="20"/>
          <w:color w:val="auto"/>
        </w:rPr>
      </w:pPr>
    </w:p>
    <w:p>
      <w:pPr>
        <w:jc w:val="both"/>
        <w:ind w:firstLine="1952"/>
        <w:spacing w:after="0" w:line="287" w:lineRule="auto"/>
        <w:tabs>
          <w:tab w:leader="none" w:pos="2524" w:val="left"/>
        </w:tabs>
        <w:numPr>
          <w:ilvl w:val="0"/>
          <w:numId w:val="401"/>
        </w:numPr>
        <w:rPr>
          <w:rFonts w:ascii="Arial" w:cs="Arial" w:eastAsia="Arial" w:hAnsi="Arial"/>
          <w:sz w:val="19"/>
          <w:szCs w:val="19"/>
          <w:b w:val="1"/>
          <w:bCs w:val="1"/>
          <w:color w:val="auto"/>
        </w:rPr>
      </w:pPr>
      <w:r>
        <w:rPr>
          <w:rFonts w:ascii="Arial" w:cs="Arial" w:eastAsia="Arial" w:hAnsi="Arial"/>
          <w:sz w:val="19"/>
          <w:szCs w:val="19"/>
          <w:color w:val="auto"/>
        </w:rPr>
        <w:t>Allergan shall have the first right, but not the obligation, to bring and control an appropriate suit or other action against any person or entity engaged in a Product Infringement of the Molecular Partners Product Patents or Joint Patents, in its own name and entirely under its own direction and control, subject to the following. Allergan shall keep Molecular Partners regularly informed of the status and progress of such enforcement efforts. Allergan shall consult with Molecular Partners and take any Molecular Partners comments into good faith consideration with respect to the infringement, claim construction, or defense of the validity or enforceability of any claim in any Molecular Partners Product Patent or Joint Patent. In addition, Allergan shall provide Molecular Partners with drafts of all material papers to be filed with the court and shall incorporate all reasonable comments thereto by Molecular Partners before filing such papers. Molecular Partners shall provide to Allergan reasonable assistance in such enforcement pursuant to this Section 9.5(b)(iii), at Allergan’s request and expense, including joining such action as a party plaintiff if requested by Allergan or required by applicable Laws to pursue such action. Molecular Partners shall be entitled to separate representation in such matter by counsel of its own choice and at its own expense.</w:t>
      </w:r>
    </w:p>
    <w:p>
      <w:pPr>
        <w:spacing w:after="0" w:line="163" w:lineRule="exact"/>
        <w:rPr>
          <w:rFonts w:ascii="Arial" w:cs="Arial" w:eastAsia="Arial" w:hAnsi="Arial"/>
          <w:sz w:val="19"/>
          <w:szCs w:val="19"/>
          <w:b w:val="1"/>
          <w:bCs w:val="1"/>
          <w:color w:val="auto"/>
        </w:rPr>
      </w:pPr>
    </w:p>
    <w:p>
      <w:pPr>
        <w:jc w:val="both"/>
        <w:ind w:firstLine="1952"/>
        <w:spacing w:after="0" w:line="286" w:lineRule="auto"/>
        <w:tabs>
          <w:tab w:leader="none" w:pos="2526" w:val="left"/>
        </w:tabs>
        <w:numPr>
          <w:ilvl w:val="0"/>
          <w:numId w:val="401"/>
        </w:numPr>
        <w:rPr>
          <w:rFonts w:ascii="Arial" w:cs="Arial" w:eastAsia="Arial" w:hAnsi="Arial"/>
          <w:sz w:val="19"/>
          <w:szCs w:val="19"/>
          <w:b w:val="1"/>
          <w:bCs w:val="1"/>
          <w:color w:val="auto"/>
        </w:rPr>
      </w:pPr>
      <w:r>
        <w:rPr>
          <w:rFonts w:ascii="Arial" w:cs="Arial" w:eastAsia="Arial" w:hAnsi="Arial"/>
          <w:sz w:val="19"/>
          <w:szCs w:val="19"/>
          <w:color w:val="auto"/>
        </w:rPr>
        <w:t>If Allergan elects not to settle, or bring any action or proceeding as described in Section 9.5(b)(iii) within ninety (90) days after first notifying Molecular Partners or being notified by Molecular Partners with respect thereto, then at any time during the Term, Molecular Partners may bring such suit or other action against any person or entity engaged in a Product Infringement of the Molecular Partners Product Patents or Joint Patents, in its own name and entirely under its own direction and control, subject to the following. Molecular Partners shall consult with Allergan and take any Allergan comments into good faith consideration with respect to the infringement, claim construction, or defense of the validity or enforceability of any claim in any Molecular Partners Product Patent or Joint Patent. Allergan shall provide to Molecular Partners reasonable assistance in such enforcement pursuant to this Section 9.5(b)(ii), at Molecular Partners’ request and expense, including joining such action as a party plaintiff if requested by Molecular Partners or required by applicable Laws to pursue such action. Allergan shall have the right to participate and be represented in any such suit by its own counsel at its own expense with respect to a Product Infringement. No settlement of any such action or proceeding which restricts the scope, or adversely affects the enforceability, of any Molecular Partners Product Patent or Joint Patent shall be entered into by Molecular Partners without the prior written consent of Allergan, which consent shall not be unreasonably withheld, conditioned, or delayed. Molecular Partners shall not knowingly take any action during such litigation of any Molecular Partners Product Patent or Joint Patent that would materially</w:t>
      </w:r>
    </w:p>
    <w:p>
      <w:pPr>
        <w:sectPr>
          <w:pgSz w:w="11900" w:h="16838" w:orient="portrait"/>
          <w:cols w:equalWidth="0" w:num="1">
            <w:col w:w="11240"/>
          </w:cols>
          <w:pgMar w:left="320" w:top="1427" w:right="339" w:bottom="1440" w:gutter="0" w:footer="0" w:header="0"/>
        </w:sectPr>
      </w:pPr>
    </w:p>
    <w:bookmarkStart w:id="424" w:name="page425"/>
    <w:bookmarkEnd w:id="424"/>
    <w:p>
      <w:pPr>
        <w:ind w:right="20"/>
        <w:spacing w:after="0" w:line="263" w:lineRule="auto"/>
        <w:rPr>
          <w:sz w:val="20"/>
          <w:szCs w:val="20"/>
          <w:color w:val="auto"/>
        </w:rPr>
      </w:pPr>
      <w:r>
        <w:rPr>
          <w:rFonts w:ascii="Arial" w:cs="Arial" w:eastAsia="Arial" w:hAnsi="Arial"/>
          <w:sz w:val="22"/>
          <w:szCs w:val="22"/>
          <w:color w:val="auto"/>
        </w:rPr>
        <w:t>adversely affect them, without Allergan’s prior written consent, which shall not be unreasonably withheld, delayed, or conditioned.</w:t>
      </w:r>
    </w:p>
    <w:p>
      <w:pPr>
        <w:spacing w:after="0" w:line="175" w:lineRule="exact"/>
        <w:rPr>
          <w:sz w:val="20"/>
          <w:szCs w:val="20"/>
          <w:color w:val="auto"/>
        </w:rPr>
      </w:pPr>
    </w:p>
    <w:p>
      <w:pPr>
        <w:jc w:val="both"/>
        <w:ind w:firstLine="1952"/>
        <w:spacing w:after="0" w:line="312" w:lineRule="auto"/>
        <w:tabs>
          <w:tab w:leader="none" w:pos="2452" w:val="left"/>
        </w:tabs>
        <w:numPr>
          <w:ilvl w:val="0"/>
          <w:numId w:val="402"/>
        </w:numPr>
        <w:rPr>
          <w:rFonts w:ascii="Arial" w:cs="Arial" w:eastAsia="Arial" w:hAnsi="Arial"/>
          <w:sz w:val="19"/>
          <w:szCs w:val="19"/>
          <w:b w:val="1"/>
          <w:bCs w:val="1"/>
          <w:color w:val="auto"/>
        </w:rPr>
      </w:pPr>
      <w:r>
        <w:rPr>
          <w:rFonts w:ascii="Arial" w:cs="Arial" w:eastAsia="Arial" w:hAnsi="Arial"/>
          <w:sz w:val="19"/>
          <w:szCs w:val="19"/>
          <w:color w:val="auto"/>
        </w:rPr>
        <w:t>Notwithstanding Section 9.5(b)(ii) or (iv), if a Third Party submits an application to the appropriate Regulatory Authority for approval to sell a biological or drug product, and supports the application with any safety, efficacy, or other data that either Party has generated in Developing a Licensed Product, then the following will apply:</w:t>
      </w:r>
    </w:p>
    <w:p>
      <w:pPr>
        <w:spacing w:after="0" w:line="133" w:lineRule="exact"/>
        <w:rPr>
          <w:rFonts w:ascii="Arial" w:cs="Arial" w:eastAsia="Arial" w:hAnsi="Arial"/>
          <w:sz w:val="19"/>
          <w:szCs w:val="19"/>
          <w:b w:val="1"/>
          <w:bCs w:val="1"/>
          <w:color w:val="auto"/>
        </w:rPr>
      </w:pPr>
    </w:p>
    <w:p>
      <w:pPr>
        <w:jc w:val="both"/>
        <w:ind w:firstLine="2600"/>
        <w:spacing w:after="0" w:line="260" w:lineRule="auto"/>
        <w:tabs>
          <w:tab w:leader="none" w:pos="3135" w:val="left"/>
        </w:tabs>
        <w:numPr>
          <w:ilvl w:val="1"/>
          <w:numId w:val="402"/>
        </w:numPr>
        <w:rPr>
          <w:rFonts w:ascii="Arial" w:cs="Arial" w:eastAsia="Arial" w:hAnsi="Arial"/>
          <w:sz w:val="21"/>
          <w:szCs w:val="21"/>
          <w:b w:val="1"/>
          <w:bCs w:val="1"/>
          <w:color w:val="auto"/>
        </w:rPr>
      </w:pPr>
      <w:r>
        <w:rPr>
          <w:rFonts w:ascii="Arial" w:cs="Arial" w:eastAsia="Arial" w:hAnsi="Arial"/>
          <w:sz w:val="21"/>
          <w:szCs w:val="21"/>
          <w:color w:val="auto"/>
        </w:rPr>
        <w:t>if a Party receives from the Third Party a notice alleging that the Third Party’s manufacture, use, or sale of the biological or drug product does not infringe a Molecular Partners Patent, or that such Patent is invalid or unenforceable (such as a certification under 21 U.S.C. §§ 355(b)(2)(A)(iv) or 355(j)(2)(A)(vii)(IV), 21 C.F.R. §§ 314.94 or 314.95, 42 U.S.C. § 262(l), or under any other law anywhere in the world that by its effect permits a Third Party to support its application for approval with any safety, efficacy, or other data that Allergan generates in Developing a Licensed Product), then the Party receiving the notice will provide it to the other Party via facsimile and overnight courier as soon as practicable and at least within five (5) days after receiving the notice.</w:t>
      </w:r>
    </w:p>
    <w:p>
      <w:pPr>
        <w:spacing w:after="0" w:line="180" w:lineRule="exact"/>
        <w:rPr>
          <w:rFonts w:ascii="Arial" w:cs="Arial" w:eastAsia="Arial" w:hAnsi="Arial"/>
          <w:sz w:val="21"/>
          <w:szCs w:val="21"/>
          <w:b w:val="1"/>
          <w:bCs w:val="1"/>
          <w:color w:val="auto"/>
        </w:rPr>
      </w:pPr>
    </w:p>
    <w:p>
      <w:pPr>
        <w:jc w:val="both"/>
        <w:ind w:firstLine="2600"/>
        <w:spacing w:after="0" w:line="285" w:lineRule="auto"/>
        <w:tabs>
          <w:tab w:leader="none" w:pos="3190" w:val="left"/>
        </w:tabs>
        <w:numPr>
          <w:ilvl w:val="1"/>
          <w:numId w:val="402"/>
        </w:numPr>
        <w:rPr>
          <w:rFonts w:ascii="Arial" w:cs="Arial" w:eastAsia="Arial" w:hAnsi="Arial"/>
          <w:sz w:val="19"/>
          <w:szCs w:val="19"/>
          <w:b w:val="1"/>
          <w:bCs w:val="1"/>
          <w:color w:val="auto"/>
        </w:rPr>
      </w:pPr>
      <w:r>
        <w:rPr>
          <w:rFonts w:ascii="Arial" w:cs="Arial" w:eastAsia="Arial" w:hAnsi="Arial"/>
          <w:sz w:val="19"/>
          <w:szCs w:val="19"/>
          <w:color w:val="auto"/>
        </w:rPr>
        <w:t xml:space="preserve">Molecular Partners will have the first right, but not the obligation, to institute and control (where Molecular Partners is a plaintiff) or defend and control (where Molecular Partners is a defendant) an action before any government or private tribunal against the Third Party concerning the infringement, validity, and enforceability of any Molecular Partners Platform Patent and to settle any claims in connection with such Patents. Allergan will have the first right, but not the obligation, to institute and control (where Allergan is a plaintiff) or defend and control (where Allergan is a defendant) an action before any government or private tribunal against the Third Party concerning the infringement, validity, and enforceability of any Molecular Partners Product Patent and to settle any claims in connection with such Patents. If the applicable Party decides not to institute (or defend, as applicable) such action, such Party will give notice to the other Party of its decision within twenty (20) days of the deadline for initiating the action (or, if such Party is defending the action, within twenty (20) days of any deadline required to maintain the action); if such Party consents in writing (such consent not to be unreasonably withheld, conditioned, or delayed), then the other Party may institute (or defend, as applicable) and control such action. Each Party will cooperate fully with the other Party in such actions and will provide reasonable assistance (including making available to such other Party documents possessed by such Party that are reasonably required by such other Party and making available personnel for interviews and testimony) in any actions undertaken in accordance with this Section 9.5(b)(iii). At the controlling Party’s request, the other Party agrees to join any such action, or, in the case of Molecular Partners, to use reasonable efforts to cause any Third Party licensor under any license agreement between Molecular Partners and such Third Party pursuant to which Molecular Partners has obtained rights to any Molecular Partners Technology, including the agreements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to join any such action, for the purpose of establishing standing. Each Party will have the right to approve any settlement that would adversely affect the Molecular Partners Patents or result in any liability or admission on behalf of such Party, such approval not to be unreasonably withheld, conditioned,</w:t>
      </w:r>
    </w:p>
    <w:p>
      <w:pPr>
        <w:sectPr>
          <w:pgSz w:w="11900" w:h="16838" w:orient="portrait"/>
          <w:cols w:equalWidth="0" w:num="1">
            <w:col w:w="11240"/>
          </w:cols>
          <w:pgMar w:left="320" w:top="1427" w:right="339" w:bottom="1440" w:gutter="0" w:footer="0" w:header="0"/>
        </w:sectPr>
      </w:pPr>
    </w:p>
    <w:bookmarkStart w:id="425" w:name="page426"/>
    <w:bookmarkEnd w:id="425"/>
    <w:p>
      <w:pPr>
        <w:spacing w:after="0" w:line="263" w:lineRule="auto"/>
        <w:rPr>
          <w:sz w:val="20"/>
          <w:szCs w:val="20"/>
          <w:color w:val="auto"/>
        </w:rPr>
      </w:pPr>
      <w:r>
        <w:rPr>
          <w:rFonts w:ascii="Arial" w:cs="Arial" w:eastAsia="Arial" w:hAnsi="Arial"/>
          <w:sz w:val="22"/>
          <w:szCs w:val="22"/>
          <w:color w:val="auto"/>
        </w:rPr>
        <w:t>or delayed. Any recovery, by settlement or otherwise, realized as a result of such litigation will be allocated in accordance with Section 9.5(d).</w:t>
      </w:r>
    </w:p>
    <w:p>
      <w:pPr>
        <w:spacing w:after="0" w:line="169" w:lineRule="exact"/>
        <w:rPr>
          <w:sz w:val="20"/>
          <w:szCs w:val="20"/>
          <w:color w:val="auto"/>
        </w:rPr>
      </w:pPr>
    </w:p>
    <w:p>
      <w:pPr>
        <w:jc w:val="both"/>
        <w:ind w:firstLine="1304"/>
        <w:spacing w:after="0" w:line="252" w:lineRule="auto"/>
        <w:tabs>
          <w:tab w:leader="none" w:pos="1806" w:val="left"/>
        </w:tabs>
        <w:numPr>
          <w:ilvl w:val="0"/>
          <w:numId w:val="403"/>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r>
        <w:rPr>
          <w:rFonts w:ascii="Arial" w:cs="Arial" w:eastAsia="Arial" w:hAnsi="Arial"/>
          <w:sz w:val="22"/>
          <w:szCs w:val="22"/>
          <w:color w:val="auto"/>
        </w:rPr>
        <w:t>. Neither Party shall settle any claim, suit or action that it brought under Section 9.5(b)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the prior written consent of the other Party, not to be unreasonably withheld, delayed, or conditioned. Nothing in this Article 9 shall require such other Party to consent to any settlement that is reasonably anticipated by such other Party to have a materially adverse impact upon any Molecular Partners Patents or Joint Patents.</w:t>
      </w:r>
    </w:p>
    <w:p>
      <w:pPr>
        <w:spacing w:after="0" w:line="179" w:lineRule="exact"/>
        <w:rPr>
          <w:rFonts w:ascii="Arial" w:cs="Arial" w:eastAsia="Arial" w:hAnsi="Arial"/>
          <w:sz w:val="22"/>
          <w:szCs w:val="22"/>
          <w:b w:val="1"/>
          <w:bCs w:val="1"/>
          <w:color w:val="auto"/>
        </w:rPr>
      </w:pPr>
    </w:p>
    <w:p>
      <w:pPr>
        <w:jc w:val="both"/>
        <w:ind w:firstLine="1304"/>
        <w:spacing w:after="0" w:line="259" w:lineRule="auto"/>
        <w:tabs>
          <w:tab w:leader="none" w:pos="1785" w:val="left"/>
        </w:tabs>
        <w:numPr>
          <w:ilvl w:val="0"/>
          <w:numId w:val="403"/>
        </w:numPr>
        <w:rPr>
          <w:rFonts w:ascii="Arial" w:cs="Arial" w:eastAsia="Arial" w:hAnsi="Arial"/>
          <w:sz w:val="21"/>
          <w:szCs w:val="21"/>
          <w:b w:val="1"/>
          <w:bCs w:val="1"/>
          <w:color w:val="auto"/>
        </w:rPr>
      </w:pPr>
      <w:r>
        <w:rPr>
          <w:rFonts w:ascii="Arial" w:cs="Arial" w:eastAsia="Arial" w:hAnsi="Arial"/>
          <w:sz w:val="21"/>
          <w:szCs w:val="21"/>
          <w:b w:val="1"/>
          <w:bCs w:val="1"/>
          <w:color w:val="auto"/>
        </w:rPr>
        <w:t>Expenses and Recoveries</w:t>
      </w:r>
      <w:r>
        <w:rPr>
          <w:rFonts w:ascii="Arial" w:cs="Arial" w:eastAsia="Arial" w:hAnsi="Arial"/>
          <w:sz w:val="21"/>
          <w:szCs w:val="21"/>
          <w:color w:val="auto"/>
        </w:rPr>
        <w:t>. The enforcing Party bringing a claim, suit or action under Section 9.5(b)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solely responsible for any expenses incurred by such Party as a result of such claim, suit or action. If such Party recovers monetary damages in such claim, suit or action, such recovery shall first be allocated to the reimbursement of any expenses incurred by the Parties in such litigation (including, for this purpose, a reasonable allocation of expenses of internal counsel). If such recovery is insufficient to cover all such costs and expenses of both Parties, it shall be shared in proportion to the total of such costs and expenses incurred by each Party. If after such reimbursement any funds remain from such damages or other sums recovered, if Allergan brought such suit, such remaining funds shall be included in Net Sales subject to the royalty payment by Allergan to Molecular Partners pursuant to Section 8.4, and if Molecular Partners brought such suit, *** of such funds shall be retained by Molecular Partners and Allergan shall receive *** of such funds.</w:t>
      </w:r>
    </w:p>
    <w:p>
      <w:pPr>
        <w:spacing w:after="0" w:line="179" w:lineRule="exact"/>
        <w:rPr>
          <w:rFonts w:ascii="Arial" w:cs="Arial" w:eastAsia="Arial" w:hAnsi="Arial"/>
          <w:sz w:val="21"/>
          <w:szCs w:val="21"/>
          <w:b w:val="1"/>
          <w:bCs w:val="1"/>
          <w:color w:val="auto"/>
        </w:rPr>
      </w:pPr>
    </w:p>
    <w:p>
      <w:pPr>
        <w:jc w:val="both"/>
        <w:ind w:firstLine="1304"/>
        <w:spacing w:after="0" w:line="247" w:lineRule="auto"/>
        <w:tabs>
          <w:tab w:leader="none" w:pos="1926" w:val="left"/>
        </w:tabs>
        <w:numPr>
          <w:ilvl w:val="0"/>
          <w:numId w:val="403"/>
        </w:numPr>
        <w:rPr>
          <w:rFonts w:ascii="Arial" w:cs="Arial" w:eastAsia="Arial" w:hAnsi="Arial"/>
          <w:sz w:val="22"/>
          <w:szCs w:val="22"/>
          <w:b w:val="1"/>
          <w:bCs w:val="1"/>
          <w:color w:val="auto"/>
        </w:rPr>
      </w:pPr>
      <w:r>
        <w:rPr>
          <w:rFonts w:ascii="Arial" w:cs="Arial" w:eastAsia="Arial" w:hAnsi="Arial"/>
          <w:sz w:val="22"/>
          <w:szCs w:val="22"/>
          <w:b w:val="1"/>
          <w:bCs w:val="1"/>
          <w:color w:val="auto"/>
        </w:rPr>
        <w:t>Infringement Other Than a Product Infringement</w:t>
      </w:r>
      <w:r>
        <w:rPr>
          <w:rFonts w:ascii="Arial" w:cs="Arial" w:eastAsia="Arial" w:hAnsi="Arial"/>
          <w:sz w:val="22"/>
          <w:szCs w:val="22"/>
          <w:color w:val="auto"/>
        </w:rPr>
        <w:t>. For any and all infringement of any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Patents or Joint Patents other than a Product Infringement, as between the Parties, (i) Molecular Partners shall have the sole and exclusive right to bring an appropriate suit or other action against any person or entity engaged in such other infringement of a Molecular Partners Patent, in its sole discretion, and shall bear all related expenses and retain all related recoveries, and (ii) each Party shall have the right to bring an appropriate suit or other action against any person or entity engaged in such other infringement of a Joint Patent, in its sole discretion, and shall bear all related expenses and retain all related recoveries.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9.6 Patents Licensed From Third Parties</w:t>
      </w:r>
      <w:r>
        <w:rPr>
          <w:rFonts w:ascii="Arial" w:cs="Arial" w:eastAsia="Arial" w:hAnsi="Arial"/>
          <w:sz w:val="22"/>
          <w:szCs w:val="22"/>
          <w:color w:val="auto"/>
        </w:rPr>
        <w:t>. Each Party’s rights under this Article 9 with respect to the prosecution,</w:t>
      </w:r>
      <w:r>
        <w:rPr>
          <w:rFonts w:ascii="Arial" w:cs="Arial" w:eastAsia="Arial" w:hAnsi="Arial"/>
          <w:sz w:val="22"/>
          <w:szCs w:val="22"/>
          <w:b w:val="1"/>
          <w:bCs w:val="1"/>
          <w:color w:val="auto"/>
        </w:rPr>
        <w:t xml:space="preserve"> </w:t>
      </w:r>
      <w:r>
        <w:rPr>
          <w:rFonts w:ascii="Arial" w:cs="Arial" w:eastAsia="Arial" w:hAnsi="Arial"/>
          <w:sz w:val="22"/>
          <w:szCs w:val="22"/>
          <w:color w:val="auto"/>
        </w:rPr>
        <w:t>maintenance and enforcement of any Molecular Partners Patent that is licensed by Molecular Partners from a Third Party shall be subject to the rights of such Third Party to prosecute, maintain and enforce such Patent.</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9.7 Infringement of Third Party Rights in the Territory</w:t>
      </w:r>
      <w:r>
        <w:rPr>
          <w:rFonts w:ascii="Arial" w:cs="Arial" w:eastAsia="Arial" w:hAnsi="Arial"/>
          <w:sz w:val="19"/>
          <w:szCs w:val="19"/>
          <w:color w:val="auto"/>
        </w:rPr>
        <w:t>. If any Licensed Product used or sold by Allergan,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or sublicensees becomes the subject of a Third Party’s claim or assertion of infringement of a Patent granted by a jurisdiction within the Territory, Allergan shall promptly notify Molecular Partners and the Parties shall agree on and enter into a “</w:t>
      </w:r>
      <w:r>
        <w:rPr>
          <w:rFonts w:ascii="Arial" w:cs="Arial" w:eastAsia="Arial" w:hAnsi="Arial"/>
          <w:sz w:val="19"/>
          <w:szCs w:val="19"/>
          <w:b w:val="1"/>
          <w:bCs w:val="1"/>
          <w:color w:val="auto"/>
        </w:rPr>
        <w:t>common interest agreement</w:t>
      </w:r>
      <w:r>
        <w:rPr>
          <w:rFonts w:ascii="Arial" w:cs="Arial" w:eastAsia="Arial" w:hAnsi="Arial"/>
          <w:sz w:val="19"/>
          <w:szCs w:val="19"/>
          <w:color w:val="auto"/>
        </w:rPr>
        <w:t>” wherein the Parties agree to their shared, mutual interest in the outcome of such potential dispute, and thereafter, the Parties shall promptly meet to consider the claim or assertion and the appropriate course of action. Allergan shall be solely responsible for the defense of any such infringement claims, provided that Allergan shall provide to Molecular Partners the ability to join such action, at Molecular Partners’ request and expense, to pursue</w:t>
      </w:r>
    </w:p>
    <w:p>
      <w:pPr>
        <w:sectPr>
          <w:pgSz w:w="11900" w:h="16838" w:orient="portrait"/>
          <w:cols w:equalWidth="0" w:num="1">
            <w:col w:w="11240"/>
          </w:cols>
          <w:pgMar w:left="320" w:top="1427" w:right="339" w:bottom="1440" w:gutter="0" w:footer="0" w:header="0"/>
        </w:sectPr>
      </w:pPr>
    </w:p>
    <w:bookmarkStart w:id="426" w:name="page427"/>
    <w:bookmarkEnd w:id="426"/>
    <w:p>
      <w:pPr>
        <w:jc w:val="both"/>
        <w:spacing w:after="0" w:line="286" w:lineRule="auto"/>
        <w:rPr>
          <w:sz w:val="20"/>
          <w:szCs w:val="20"/>
          <w:color w:val="auto"/>
        </w:rPr>
      </w:pPr>
      <w:r>
        <w:rPr>
          <w:rFonts w:ascii="Arial" w:cs="Arial" w:eastAsia="Arial" w:hAnsi="Arial"/>
          <w:sz w:val="19"/>
          <w:szCs w:val="19"/>
          <w:color w:val="auto"/>
        </w:rPr>
        <w:t>such action in which a patent asserted by a Party under this Section 9.7 claims or covers the composition of matter (including the nucleic acid or amino acid sequence), use or sale of the Initial Licensed Compounds or the manufacture of the Licensed Compounds using the process employed by Molecular Partners as of the Effective Date (any such patent, a “</w:t>
      </w:r>
      <w:r>
        <w:rPr>
          <w:rFonts w:ascii="Arial" w:cs="Arial" w:eastAsia="Arial" w:hAnsi="Arial"/>
          <w:sz w:val="19"/>
          <w:szCs w:val="19"/>
          <w:b w:val="1"/>
          <w:bCs w:val="1"/>
          <w:color w:val="auto"/>
        </w:rPr>
        <w:t>Subject Patent</w:t>
      </w:r>
      <w:r>
        <w:rPr>
          <w:rFonts w:ascii="Arial" w:cs="Arial" w:eastAsia="Arial" w:hAnsi="Arial"/>
          <w:sz w:val="19"/>
          <w:szCs w:val="19"/>
          <w:color w:val="auto"/>
        </w:rPr>
        <w:t>”). To the extent directly related to the Subject Patent, Allergan shall keep Molecular Partners regularly informed of the status and progress of any action to the extent involving a Subject Patent, shall reasonably consider Molecular Partners’ comments on any such action with respect to such Subject Patent, and shall seek consent of Molecular Partners in any important aspects of such action with respect to such Subject Patent, including determination of litigation strategy and filing of material papers to the competent court, which consent shall not be unreasonably withheld or delayed. In addition, Allergan shall provide Molecular Partners with drafts of all material papers to be filed with the court to the extent directly related to the Subject Patent and shall in good faith incorporate all reasonable comments thereto by Molecular Partners before filing such papers. In connection with any settlement agreement or court order, made in accordance with the provisions of Section 8.5(b) for a Subject Patent, ***. Allergan shall not settle any claim, suit or action under this Section 9.7 to the extent involving a Subject Patent without the prior written consent of Molecular Partners, not to be unreasonably withheld, delayed, or conditioned.</w:t>
      </w:r>
    </w:p>
    <w:p>
      <w:pPr>
        <w:spacing w:after="0" w:line="1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9.8 Parties’ Patent Rights</w:t>
      </w:r>
      <w:r>
        <w:rPr>
          <w:rFonts w:ascii="Arial" w:cs="Arial" w:eastAsia="Arial" w:hAnsi="Arial"/>
          <w:sz w:val="19"/>
          <w:szCs w:val="19"/>
          <w:color w:val="auto"/>
        </w:rPr>
        <w:t>. If any Molecular Partners Patent or Joint Patent becomes the subject of any proceeding</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commenced by a Third Party within the Territory in connection with an opposition, reexamination request, action for declaratory judgment, nullity action, interference or other attack upon the validity, title or enforceability thereof (except insofar as such action is a counterclaim to or defense of, or accompanies a defense of, an action for infringement against a Third Party under Section 9.5, in which case the provisions of Section 9.5 shall govern), then Molecular Partners shall control such defense with respect to the Molecular Partners Patents and Allergan shall control such defense with respect to the Joint Patents. The defending Party shall be responsible for all reasonable and documented costs and expenses incurred by such Party under this Section 9.8. The defending Party shall provide to the other Party copies of any papers relating to any such opposition, reexamination request, action for declaratory judgment, nullity action, interference or other attack upon any Molecular Partners Patents or Joint Patents, as applicable, reasonably in advance of their being filed or promptly upon their being received, including draft filings reasonably in advance of their being filed so that the other Party can comment and provide input with respect to such draft filings. The defending Party agrees to discuss in good faith any changes reasonably requested by the other Party to such papers, including draft filings, promptly upon their being received. The defending Party agrees in good faith to implement any reasonable recommended changes toward the objective of optimizing overall patent protection for Licensed Compounds or Licensed Products and DARPin Compounds other than Licensed Compounds in the Field. The defending Party shall permit the other Party to participate in the proceeding for a Molecular Partners Product Patent or Joint Patent, as applicable, to the extent permissible under applicable Laws, and to be represented by its own counsel in such proceeding, at such other Party’s expense. If the defending Party decides that it does not wish to defend against such action, then the other Party shall have a backup right to assume defense of such Third Party action at its own expense. Any</w:t>
      </w:r>
    </w:p>
    <w:p>
      <w:pPr>
        <w:sectPr>
          <w:pgSz w:w="11900" w:h="16838" w:orient="portrait"/>
          <w:cols w:equalWidth="0" w:num="1">
            <w:col w:w="11240"/>
          </w:cols>
          <w:pgMar w:left="320" w:top="1427" w:right="339" w:bottom="1440" w:gutter="0" w:footer="0" w:header="0"/>
        </w:sectPr>
      </w:pPr>
    </w:p>
    <w:bookmarkStart w:id="427" w:name="page428"/>
    <w:bookmarkEnd w:id="427"/>
    <w:p>
      <w:pPr>
        <w:jc w:val="both"/>
        <w:spacing w:after="0" w:line="263" w:lineRule="auto"/>
        <w:rPr>
          <w:sz w:val="20"/>
          <w:szCs w:val="20"/>
          <w:color w:val="auto"/>
        </w:rPr>
      </w:pPr>
      <w:r>
        <w:rPr>
          <w:rFonts w:ascii="Arial" w:cs="Arial" w:eastAsia="Arial" w:hAnsi="Arial"/>
          <w:sz w:val="22"/>
          <w:szCs w:val="22"/>
          <w:color w:val="auto"/>
        </w:rPr>
        <w:t>awards or amounts received in defending any such Third Party action shall be allocated between the Parties as provided in Section 9.5(d).</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9.9 Patent Term Extension</w:t>
      </w:r>
      <w:r>
        <w:rPr>
          <w:rFonts w:ascii="Arial" w:cs="Arial" w:eastAsia="Arial" w:hAnsi="Arial"/>
          <w:sz w:val="21"/>
          <w:szCs w:val="21"/>
          <w:color w:val="auto"/>
        </w:rPr>
        <w:t>. Upon Allergan’s request, with respect to any Molecular Partners Product Patent specified</w:t>
      </w:r>
      <w:r>
        <w:rPr>
          <w:rFonts w:ascii="Arial" w:cs="Arial" w:eastAsia="Arial" w:hAnsi="Arial"/>
          <w:sz w:val="21"/>
          <w:szCs w:val="21"/>
          <w:b w:val="1"/>
          <w:bCs w:val="1"/>
          <w:color w:val="auto"/>
        </w:rPr>
        <w:t xml:space="preserve"> </w:t>
      </w:r>
      <w:r>
        <w:rPr>
          <w:rFonts w:ascii="Arial" w:cs="Arial" w:eastAsia="Arial" w:hAnsi="Arial"/>
          <w:sz w:val="21"/>
          <w:szCs w:val="21"/>
          <w:color w:val="auto"/>
        </w:rPr>
        <w:t>by Allergan, Molecular Partners shall seek a patent term extension (including any pediatric exclusivity extensions as may be available) or supplemental protection certificates or their equivalents in any country with respect to such Molecular Partners Patents, as applicable. In the event Allergan desires to seek any of the foregoing extensions for any Molecular Partners Platform Patent, then the Parties shall meet and discuss such request in good faith and Molecular Partners will not unreasonably withhold consent to such extension, provided that it shall not be unreasonable for Molecular Partners to withhold its consent if such extension would materially adversely effect such Molecular Partners Platform Patent. For clarity, if elections with respect to obtaining such patent term extensions are to be made, Allergan shall have the right to elect to specify the Molecular Partners Patent for which patent term extension or supplemental protection will be sought. Molecular Partners shall not have the right to seek any patent term extension or supplemental protection for any Molecular Partners Product Patent without the prior written consent of Allergan; provided that Allergan will not withhold such consent primarily for the purpose of limiting the Royalty Term.</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9.10 Regulatory Data Protection</w:t>
      </w:r>
      <w:r>
        <w:rPr>
          <w:rFonts w:ascii="Arial" w:cs="Arial" w:eastAsia="Arial" w:hAnsi="Arial"/>
          <w:sz w:val="19"/>
          <w:szCs w:val="19"/>
          <w:color w:val="auto"/>
        </w:rPr>
        <w:t>. To the extent required by or permitted by Law, Allergan will, at its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decide whether to list with the applicable Regulatory Authorities during the Term any applicable Molecular Partners Product Patents covering any Licensed Product that Allergan intends to, or has begun to Commercialize, and that has become the subject of a Regulatory Approval Application submitted to FDA. In the event Allergan desires to include in such listing any Molecular Partners Platform Patent, then the Parties shall meet and discuss such request in good faith and Molecular Partners will not unreasonably withhold consent to such listing, provided that it shall not be unreasonable for Molecular Partners to withhold its consent if such extension would materially adversely effect such Molecular Partners Platform Patent. Such listings may include all so called “</w:t>
      </w:r>
      <w:r>
        <w:rPr>
          <w:rFonts w:ascii="Arial" w:cs="Arial" w:eastAsia="Arial" w:hAnsi="Arial"/>
          <w:sz w:val="19"/>
          <w:szCs w:val="19"/>
          <w:b w:val="1"/>
          <w:bCs w:val="1"/>
          <w:color w:val="auto"/>
        </w:rPr>
        <w:t>Orange Book</w:t>
      </w:r>
      <w:r>
        <w:rPr>
          <w:rFonts w:ascii="Arial" w:cs="Arial" w:eastAsia="Arial" w:hAnsi="Arial"/>
          <w:sz w:val="19"/>
          <w:szCs w:val="19"/>
          <w:color w:val="auto"/>
        </w:rPr>
        <w:t>” listings required under the Hatch-Waxman Act or listing of Patents as provided in the patent dispute resolution procedures of the Biologics Price Competition and Innovation Act of 2009 or under 42 U.S.C. § 262(l) or similar provisions in the Territory during the Term. Prior to such decision on listings, the Parties will meet to evaluate and identify all applicable Patents to be listed and Allergan shall reasonably incorporate and address suggestions provided by Molecular Partners as to the listing or non-listing of any applicable Patents.</w:t>
      </w:r>
    </w:p>
    <w:p>
      <w:pPr>
        <w:spacing w:after="0" w:line="15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9"/>
          <w:szCs w:val="19"/>
          <w:b w:val="1"/>
          <w:bCs w:val="1"/>
          <w:color w:val="auto"/>
        </w:rPr>
        <w:t>Trademarks and Domain Names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47" w:lineRule="auto"/>
        <w:tabs>
          <w:tab w:leader="none" w:pos="1885" w:val="left"/>
        </w:tabs>
        <w:numPr>
          <w:ilvl w:val="0"/>
          <w:numId w:val="404"/>
        </w:numPr>
        <w:rPr>
          <w:rFonts w:ascii="Arial" w:cs="Arial" w:eastAsia="Arial" w:hAnsi="Arial"/>
          <w:sz w:val="22"/>
          <w:szCs w:val="22"/>
          <w:b w:val="1"/>
          <w:bCs w:val="1"/>
          <w:color w:val="auto"/>
        </w:rPr>
      </w:pPr>
      <w:r>
        <w:rPr>
          <w:rFonts w:ascii="Arial" w:cs="Arial" w:eastAsia="Arial" w:hAnsi="Arial"/>
          <w:sz w:val="22"/>
          <w:szCs w:val="22"/>
          <w:color w:val="auto"/>
        </w:rPr>
        <w:t>Allergan shall be responsible for the selection, registration and maintenance of all Trademarks which it employs in connection with the Commercialization of any Licensed Product under this Agreement (“</w:t>
      </w:r>
      <w:r>
        <w:rPr>
          <w:rFonts w:ascii="Arial" w:cs="Arial" w:eastAsia="Arial" w:hAnsi="Arial"/>
          <w:sz w:val="22"/>
          <w:szCs w:val="22"/>
          <w:b w:val="1"/>
          <w:bCs w:val="1"/>
          <w:color w:val="auto"/>
        </w:rPr>
        <w:t>Licensed Product Marks</w:t>
      </w:r>
      <w:r>
        <w:rPr>
          <w:rFonts w:ascii="Arial" w:cs="Arial" w:eastAsia="Arial" w:hAnsi="Arial"/>
          <w:sz w:val="22"/>
          <w:szCs w:val="22"/>
          <w:color w:val="auto"/>
        </w:rPr>
        <w:t>”). Allergan shall own and control such Licensed Product Marks and pay all relevant costs relating thereto. Allergan shall have the right to brand the Licensed Products in the Territory using Licensed Product Marks it determines appropriate for the Licensed Products, which may vary by country or within a country, provided that Allergan shall not, and shall ensure that its Affiliates and Sublicensees</w:t>
      </w:r>
    </w:p>
    <w:p>
      <w:pPr>
        <w:sectPr>
          <w:pgSz w:w="11900" w:h="16838" w:orient="portrait"/>
          <w:cols w:equalWidth="0" w:num="1">
            <w:col w:w="11240"/>
          </w:cols>
          <w:pgMar w:left="320" w:top="1427" w:right="339" w:bottom="1440" w:gutter="0" w:footer="0" w:header="0"/>
        </w:sectPr>
      </w:pPr>
    </w:p>
    <w:bookmarkStart w:id="428" w:name="page429"/>
    <w:bookmarkEnd w:id="428"/>
    <w:p>
      <w:pPr>
        <w:jc w:val="both"/>
        <w:spacing w:after="0" w:line="302" w:lineRule="auto"/>
        <w:rPr>
          <w:sz w:val="20"/>
          <w:szCs w:val="20"/>
          <w:color w:val="auto"/>
        </w:rPr>
      </w:pPr>
      <w:r>
        <w:rPr>
          <w:rFonts w:ascii="Arial" w:cs="Arial" w:eastAsia="Arial" w:hAnsi="Arial"/>
          <w:sz w:val="19"/>
          <w:szCs w:val="19"/>
          <w:color w:val="auto"/>
        </w:rPr>
        <w:t>will not, (a) make any use of the Trademarks or house marks of Molecular Partners (including Molecular Partners’ corporate name) or any trademark confusingly similar thereto, or (b) include any Allergan Trademarks or house marks in the Licensed Product Marks. Allergan shall own all rights in the Licensed Product Marks and shall register and maintain, at its own cost and expense, the Licensed Product Marks in the countries and regions in the Territory that it determines reasonably necessary.</w:t>
      </w:r>
    </w:p>
    <w:p>
      <w:pPr>
        <w:spacing w:after="0" w:line="142" w:lineRule="exact"/>
        <w:rPr>
          <w:sz w:val="20"/>
          <w:szCs w:val="20"/>
          <w:color w:val="auto"/>
        </w:rPr>
      </w:pPr>
    </w:p>
    <w:p>
      <w:pPr>
        <w:jc w:val="both"/>
        <w:ind w:firstLine="1304"/>
        <w:spacing w:after="0" w:line="297" w:lineRule="auto"/>
        <w:tabs>
          <w:tab w:leader="none" w:pos="1992" w:val="left"/>
        </w:tabs>
        <w:numPr>
          <w:ilvl w:val="0"/>
          <w:numId w:val="405"/>
        </w:numPr>
        <w:rPr>
          <w:rFonts w:ascii="Arial" w:cs="Arial" w:eastAsia="Arial" w:hAnsi="Arial"/>
          <w:sz w:val="19"/>
          <w:szCs w:val="19"/>
          <w:b w:val="1"/>
          <w:bCs w:val="1"/>
          <w:color w:val="auto"/>
        </w:rPr>
      </w:pPr>
      <w:r>
        <w:rPr>
          <w:rFonts w:ascii="Arial" w:cs="Arial" w:eastAsia="Arial" w:hAnsi="Arial"/>
          <w:sz w:val="19"/>
          <w:szCs w:val="19"/>
          <w:color w:val="auto"/>
        </w:rPr>
        <w:t>Molecular Partners recognizes the exclusive ownership by Allergan of all Licensed Product Marks. Molecular Partners shall not, either while this Agreement is in effect, or at any time thereafter, register, use or challenge or assist others to challenge the Licensed Product Marks. Molecular Partners shall not attempt to obtain any right in or to any name, logotype, trademark or trade dress confusingly similar for the marketing, sale or distribution of any goods or products, notwithstanding whether such goods or products have a different use or are dissimilar to the Licensed Products.</w:t>
      </w:r>
    </w:p>
    <w:p>
      <w:pPr>
        <w:spacing w:after="0" w:line="146" w:lineRule="exact"/>
        <w:rPr>
          <w:rFonts w:ascii="Arial" w:cs="Arial" w:eastAsia="Arial" w:hAnsi="Arial"/>
          <w:sz w:val="19"/>
          <w:szCs w:val="19"/>
          <w:b w:val="1"/>
          <w:bCs w:val="1"/>
          <w:color w:val="auto"/>
        </w:rPr>
      </w:pPr>
    </w:p>
    <w:p>
      <w:pPr>
        <w:ind w:firstLine="1304"/>
        <w:spacing w:after="0" w:line="263" w:lineRule="auto"/>
        <w:tabs>
          <w:tab w:leader="none" w:pos="1779" w:val="left"/>
        </w:tabs>
        <w:numPr>
          <w:ilvl w:val="0"/>
          <w:numId w:val="405"/>
        </w:numPr>
        <w:rPr>
          <w:rFonts w:ascii="Arial" w:cs="Arial" w:eastAsia="Arial" w:hAnsi="Arial"/>
          <w:sz w:val="22"/>
          <w:szCs w:val="22"/>
          <w:b w:val="1"/>
          <w:bCs w:val="1"/>
          <w:color w:val="auto"/>
        </w:rPr>
      </w:pPr>
      <w:r>
        <w:rPr>
          <w:rFonts w:ascii="Arial" w:cs="Arial" w:eastAsia="Arial" w:hAnsi="Arial"/>
          <w:sz w:val="22"/>
          <w:szCs w:val="22"/>
          <w:color w:val="auto"/>
        </w:rPr>
        <w:t>Only Allergan will be authorized to initiate at its own discretion legal proceedings against any infringement or threatened infringement of any Trademarks.</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830" w:val="left"/>
        </w:tabs>
        <w:numPr>
          <w:ilvl w:val="0"/>
          <w:numId w:val="405"/>
        </w:numPr>
        <w:rPr>
          <w:rFonts w:ascii="Arial" w:cs="Arial" w:eastAsia="Arial" w:hAnsi="Arial"/>
          <w:sz w:val="22"/>
          <w:szCs w:val="22"/>
          <w:b w:val="1"/>
          <w:bCs w:val="1"/>
          <w:color w:val="auto"/>
        </w:rPr>
      </w:pPr>
      <w:r>
        <w:rPr>
          <w:rFonts w:ascii="Arial" w:cs="Arial" w:eastAsia="Arial" w:hAnsi="Arial"/>
          <w:sz w:val="22"/>
          <w:szCs w:val="22"/>
          <w:color w:val="auto"/>
        </w:rPr>
        <w:t>Allergan shall be responsible for the registration, hosting, maintenance and defense of any Domain Name. Allergan may at its sole and absolute discretion register in its own name or in name of others, host on its own servers or on Third Party servers, maintain and defend such Domain Names and use them for websites.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COVENANTS; DISCLAIMERS</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10.1 Mutual Representations and Warranties</w:t>
      </w:r>
      <w:r>
        <w:rPr>
          <w:rFonts w:ascii="Arial" w:cs="Arial" w:eastAsia="Arial" w:hAnsi="Arial"/>
          <w:sz w:val="22"/>
          <w:szCs w:val="22"/>
          <w:color w:val="auto"/>
        </w:rPr>
        <w:t>. Each Party hereby represents and warrants to the other Party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firstLine="1304"/>
        <w:spacing w:after="0" w:line="263" w:lineRule="auto"/>
        <w:tabs>
          <w:tab w:leader="none" w:pos="1764" w:val="left"/>
        </w:tabs>
        <w:numPr>
          <w:ilvl w:val="0"/>
          <w:numId w:val="406"/>
        </w:numPr>
        <w:rPr>
          <w:rFonts w:ascii="Arial" w:cs="Arial" w:eastAsia="Arial" w:hAnsi="Arial"/>
          <w:sz w:val="22"/>
          <w:szCs w:val="22"/>
          <w:b w:val="1"/>
          <w:bCs w:val="1"/>
          <w:color w:val="auto"/>
        </w:rPr>
      </w:pPr>
      <w:r>
        <w:rPr>
          <w:rFonts w:ascii="Arial" w:cs="Arial" w:eastAsia="Arial" w:hAnsi="Arial"/>
          <w:sz w:val="22"/>
          <w:szCs w:val="22"/>
          <w:color w:val="auto"/>
        </w:rPr>
        <w:t>as of the Effective Date, it is a company or corporation duly organized, validly existing, and in good standing under the Laws of the jurisdiction in which it is organized or incorporated; and</w:t>
      </w:r>
    </w:p>
    <w:p>
      <w:pPr>
        <w:spacing w:after="0" w:line="174" w:lineRule="exact"/>
        <w:rPr>
          <w:rFonts w:ascii="Arial" w:cs="Arial" w:eastAsia="Arial" w:hAnsi="Arial"/>
          <w:sz w:val="22"/>
          <w:szCs w:val="22"/>
          <w:b w:val="1"/>
          <w:bCs w:val="1"/>
          <w:color w:val="auto"/>
        </w:rPr>
      </w:pPr>
    </w:p>
    <w:p>
      <w:pPr>
        <w:jc w:val="both"/>
        <w:ind w:firstLine="1304"/>
        <w:spacing w:after="0" w:line="248" w:lineRule="auto"/>
        <w:tabs>
          <w:tab w:leader="none" w:pos="1857" w:val="left"/>
        </w:tabs>
        <w:numPr>
          <w:ilvl w:val="0"/>
          <w:numId w:val="406"/>
        </w:numPr>
        <w:rPr>
          <w:rFonts w:ascii="Arial" w:cs="Arial" w:eastAsia="Arial" w:hAnsi="Arial"/>
          <w:sz w:val="22"/>
          <w:szCs w:val="22"/>
          <w:b w:val="1"/>
          <w:bCs w:val="1"/>
          <w:color w:val="auto"/>
        </w:rPr>
      </w:pPr>
      <w:r>
        <w:rPr>
          <w:rFonts w:ascii="Arial" w:cs="Arial" w:eastAsia="Arial" w:hAnsi="Arial"/>
          <w:sz w:val="22"/>
          <w:szCs w:val="22"/>
          <w:color w:val="auto"/>
        </w:rPr>
        <w:t>as of the Effective Date, (i)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8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10.2 Additional Representations and Warranties of Molecular Partners</w:t>
      </w:r>
      <w:r>
        <w:rPr>
          <w:rFonts w:ascii="Arial" w:cs="Arial" w:eastAsia="Arial" w:hAnsi="Arial"/>
          <w:sz w:val="22"/>
          <w:szCs w:val="22"/>
          <w:color w:val="auto"/>
        </w:rPr>
        <w:t>. Molecular Partners represents and warrants</w:t>
      </w:r>
      <w:r>
        <w:rPr>
          <w:rFonts w:ascii="Arial" w:cs="Arial" w:eastAsia="Arial" w:hAnsi="Arial"/>
          <w:sz w:val="22"/>
          <w:szCs w:val="22"/>
          <w:b w:val="1"/>
          <w:bCs w:val="1"/>
          <w:color w:val="auto"/>
        </w:rPr>
        <w:t xml:space="preserve"> </w:t>
      </w:r>
      <w:r>
        <w:rPr>
          <w:rFonts w:ascii="Arial" w:cs="Arial" w:eastAsia="Arial" w:hAnsi="Arial"/>
          <w:sz w:val="22"/>
          <w:szCs w:val="22"/>
          <w:color w:val="auto"/>
        </w:rPr>
        <w:t>to Allergan, as of the Effective Date, as follows:</w:t>
      </w:r>
    </w:p>
    <w:p>
      <w:pPr>
        <w:spacing w:after="0" w:line="168" w:lineRule="exact"/>
        <w:rPr>
          <w:sz w:val="20"/>
          <w:szCs w:val="20"/>
          <w:color w:val="auto"/>
        </w:rPr>
      </w:pPr>
    </w:p>
    <w:p>
      <w:pPr>
        <w:ind w:firstLine="1304"/>
        <w:spacing w:after="0" w:line="263" w:lineRule="auto"/>
        <w:tabs>
          <w:tab w:leader="none" w:pos="1926" w:val="left"/>
        </w:tabs>
        <w:numPr>
          <w:ilvl w:val="0"/>
          <w:numId w:val="407"/>
        </w:numPr>
        <w:rPr>
          <w:rFonts w:ascii="Arial" w:cs="Arial" w:eastAsia="Arial" w:hAnsi="Arial"/>
          <w:sz w:val="22"/>
          <w:szCs w:val="22"/>
          <w:b w:val="1"/>
          <w:bCs w:val="1"/>
          <w:color w:val="auto"/>
        </w:rPr>
      </w:pPr>
      <w:r>
        <w:rPr>
          <w:rFonts w:ascii="Arial" w:cs="Arial" w:eastAsia="Arial" w:hAnsi="Arial"/>
          <w:sz w:val="22"/>
          <w:szCs w:val="22"/>
          <w:color w:val="auto"/>
        </w:rPr>
        <w:t>Molecular Partners has (i) the right under the Molecular Partners Technology to grant the licenses to Allergan as purported to be granted pursuant to this</w:t>
      </w:r>
    </w:p>
    <w:p>
      <w:pPr>
        <w:sectPr>
          <w:pgSz w:w="11900" w:h="16838" w:orient="portrait"/>
          <w:cols w:equalWidth="0" w:num="1">
            <w:col w:w="11240"/>
          </w:cols>
          <w:pgMar w:left="320" w:top="1427" w:right="339" w:bottom="1440" w:gutter="0" w:footer="0" w:header="0"/>
        </w:sectPr>
      </w:pPr>
    </w:p>
    <w:bookmarkStart w:id="429" w:name="page430"/>
    <w:bookmarkEnd w:id="429"/>
    <w:p>
      <w:pPr>
        <w:jc w:val="both"/>
        <w:spacing w:after="0" w:line="312" w:lineRule="auto"/>
        <w:rPr>
          <w:sz w:val="20"/>
          <w:szCs w:val="20"/>
          <w:color w:val="auto"/>
        </w:rPr>
      </w:pPr>
      <w:r>
        <w:rPr>
          <w:rFonts w:ascii="Arial" w:cs="Arial" w:eastAsia="Arial" w:hAnsi="Arial"/>
          <w:sz w:val="19"/>
          <w:szCs w:val="19"/>
          <w:color w:val="auto"/>
        </w:rPr>
        <w:t>Agreement, (ii) sufficient legal or beneficial title in the Molecular Partners Technology to grant the licenses to Allergan as purported to be granted pursuant to this Agreement, and (iii) not granted any right or license to any Third Party under the Molecular Partners Technology that would conflict or interfere with any of the rights or licenses granted to Allergan hereunder;</w:t>
      </w:r>
    </w:p>
    <w:p>
      <w:pPr>
        <w:spacing w:after="0" w:line="133" w:lineRule="exact"/>
        <w:rPr>
          <w:sz w:val="20"/>
          <w:szCs w:val="20"/>
          <w:color w:val="auto"/>
        </w:rPr>
      </w:pPr>
    </w:p>
    <w:p>
      <w:pPr>
        <w:jc w:val="both"/>
        <w:ind w:firstLine="1304"/>
        <w:spacing w:after="0" w:line="248" w:lineRule="auto"/>
        <w:tabs>
          <w:tab w:leader="none" w:pos="1789" w:val="left"/>
        </w:tabs>
        <w:numPr>
          <w:ilvl w:val="0"/>
          <w:numId w:val="408"/>
        </w:numPr>
        <w:rPr>
          <w:rFonts w:ascii="Arial" w:cs="Arial" w:eastAsia="Arial" w:hAnsi="Arial"/>
          <w:sz w:val="22"/>
          <w:szCs w:val="22"/>
          <w:b w:val="1"/>
          <w:bCs w:val="1"/>
          <w:color w:val="auto"/>
        </w:rPr>
      </w:pPr>
      <w:r>
        <w:rPr>
          <w:rFonts w:ascii="Arial" w:cs="Arial" w:eastAsia="Arial" w:hAnsi="Arial"/>
          <w:sz w:val="22"/>
          <w:szCs w:val="22"/>
          <w:color w:val="auto"/>
        </w:rPr>
        <w:t xml:space="preserve">Molecular Partners owns all right, title, and interest in the Molecular Partners Patents set forth on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and Molecular Partners has licensed rights to the Molecular Partners Patents set forth on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pursuant to the corresponding agreements set forth on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sufficient to grant the rights purported to be granted to Allergan under this Agreement, and all Patents owned or otherwise Controlled by Molecular Partners that cover or claim the Initial Licensed Compounds are set forth on </w:t>
      </w:r>
      <w:r>
        <w:rPr>
          <w:rFonts w:ascii="Arial" w:cs="Arial" w:eastAsia="Arial" w:hAnsi="Arial"/>
          <w:sz w:val="22"/>
          <w:szCs w:val="22"/>
          <w:u w:val="single" w:color="auto"/>
          <w:color w:val="auto"/>
        </w:rPr>
        <w:t>Exhibits 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w:t>
      </w:r>
    </w:p>
    <w:p>
      <w:pPr>
        <w:spacing w:after="0" w:line="191" w:lineRule="exact"/>
        <w:rPr>
          <w:rFonts w:ascii="Arial" w:cs="Arial" w:eastAsia="Arial" w:hAnsi="Arial"/>
          <w:sz w:val="22"/>
          <w:szCs w:val="22"/>
          <w:b w:val="1"/>
          <w:bCs w:val="1"/>
          <w:color w:val="auto"/>
        </w:rPr>
      </w:pPr>
    </w:p>
    <w:p>
      <w:pPr>
        <w:jc w:val="both"/>
        <w:ind w:firstLine="1304"/>
        <w:spacing w:after="0" w:line="286" w:lineRule="auto"/>
        <w:tabs>
          <w:tab w:leader="none" w:pos="1752" w:val="left"/>
        </w:tabs>
        <w:numPr>
          <w:ilvl w:val="0"/>
          <w:numId w:val="408"/>
        </w:numPr>
        <w:rPr>
          <w:rFonts w:ascii="Arial" w:cs="Arial" w:eastAsia="Arial" w:hAnsi="Arial"/>
          <w:sz w:val="19"/>
          <w:szCs w:val="19"/>
          <w:b w:val="1"/>
          <w:bCs w:val="1"/>
          <w:color w:val="auto"/>
        </w:rPr>
      </w:pPr>
      <w:r>
        <w:rPr>
          <w:rFonts w:ascii="Arial" w:cs="Arial" w:eastAsia="Arial" w:hAnsi="Arial"/>
          <w:sz w:val="19"/>
          <w:szCs w:val="19"/>
          <w:color w:val="auto"/>
        </w:rPr>
        <w:t xml:space="preserve">***, (i) Molecular Partners has not received any written notice from any Third Party asserting or alleging that any research, Development, Manufacturing, or Commercialization of the Licensed Compounds or Licensed Products or practice of the Molecular Partners Technology prior to the Effective Date has infringed or misappropriated the intellectual property rights of such Third Party, (ii) to the Knowledge (as defined in Section 10.6) of Molecular Partners, the manufacture, use, offer for sale, sale or importation of Licensed Compounds or Licensed Products in the Territory, including Development, Manufacture, or Commercialization of Licensed Compounds or Licensed Products, has not infringed any Patent of any Third Party or misappropriated any technology of any Third Party, (iii) to the Knowledge of Molecular Partners based on facts in existence as of the Effective Date, the manufacture, use, offer for sale, sale or importation of the Initial Licensed Compounds in the Territory, as contemplated by this Agreement or described in the Exhibits, including the Initial Development Plan, will not infringe any Patent of any Third Party or misappropriate any technology of any Third Party, and (iv) there are no pending, and to the Knowledge of Molecular Partners no threatened, adverse actions, suits, arbitrations, litigations, or proceedings of any nature, civil, criminal, regulatory or otherwise, in law or in equity, against Molecular Partners or any of its Affiliates involving the Molecular Partners Technology, the Licensed Compounds or the Licensed Product or the Agreements set forth on </w:t>
      </w:r>
      <w:r>
        <w:rPr>
          <w:rFonts w:ascii="Arial" w:cs="Arial" w:eastAsia="Arial" w:hAnsi="Arial"/>
          <w:sz w:val="19"/>
          <w:szCs w:val="19"/>
          <w:u w:val="single" w:color="auto"/>
          <w:color w:val="auto"/>
        </w:rPr>
        <w:t>Exhibit G</w:t>
      </w:r>
      <w:r>
        <w:rPr>
          <w:rFonts w:ascii="Arial" w:cs="Arial" w:eastAsia="Arial" w:hAnsi="Arial"/>
          <w:sz w:val="19"/>
          <w:szCs w:val="19"/>
          <w:color w:val="auto"/>
        </w:rPr>
        <w:t>, including any that alleges that Molecular Partners’ activities conducted prior to the Effective Date with respect to Licensed Compounds or Licensed Products or practice of the Molecular Partners Technology has infringed or misappropriated any intellectual property rights of any Third Party;</w:t>
      </w:r>
    </w:p>
    <w:p>
      <w:pPr>
        <w:spacing w:after="0" w:line="200" w:lineRule="exact"/>
        <w:rPr>
          <w:rFonts w:ascii="Arial" w:cs="Arial" w:eastAsia="Arial" w:hAnsi="Arial"/>
          <w:sz w:val="19"/>
          <w:szCs w:val="19"/>
          <w:b w:val="1"/>
          <w:bCs w:val="1"/>
          <w:color w:val="auto"/>
        </w:rPr>
      </w:pPr>
    </w:p>
    <w:p>
      <w:pPr>
        <w:spacing w:after="0" w:line="214" w:lineRule="exact"/>
        <w:rPr>
          <w:rFonts w:ascii="Arial" w:cs="Arial" w:eastAsia="Arial" w:hAnsi="Arial"/>
          <w:sz w:val="19"/>
          <w:szCs w:val="19"/>
          <w:b w:val="1"/>
          <w:bCs w:val="1"/>
          <w:color w:val="auto"/>
        </w:rPr>
      </w:pPr>
    </w:p>
    <w:p>
      <w:pPr>
        <w:ind w:firstLine="1304"/>
        <w:spacing w:after="0" w:line="263" w:lineRule="auto"/>
        <w:tabs>
          <w:tab w:leader="none" w:pos="1843" w:val="left"/>
        </w:tabs>
        <w:numPr>
          <w:ilvl w:val="0"/>
          <w:numId w:val="408"/>
        </w:numPr>
        <w:rPr>
          <w:rFonts w:ascii="Arial" w:cs="Arial" w:eastAsia="Arial" w:hAnsi="Arial"/>
          <w:sz w:val="22"/>
          <w:szCs w:val="22"/>
          <w:b w:val="1"/>
          <w:bCs w:val="1"/>
          <w:color w:val="auto"/>
        </w:rPr>
      </w:pPr>
      <w:r>
        <w:rPr>
          <w:rFonts w:ascii="Arial" w:cs="Arial" w:eastAsia="Arial" w:hAnsi="Arial"/>
          <w:sz w:val="22"/>
          <w:szCs w:val="22"/>
          <w:color w:val="auto"/>
        </w:rPr>
        <w:t>no lien, encumbrance, or security interest (including in connection with any indebtedness) exists as of the Effective Date in the Molecular Partners Patents in favor of any creditor;</w:t>
      </w:r>
    </w:p>
    <w:p>
      <w:pPr>
        <w:spacing w:after="0" w:line="174" w:lineRule="exact"/>
        <w:rPr>
          <w:rFonts w:ascii="Arial" w:cs="Arial" w:eastAsia="Arial" w:hAnsi="Arial"/>
          <w:sz w:val="22"/>
          <w:szCs w:val="22"/>
          <w:b w:val="1"/>
          <w:bCs w:val="1"/>
          <w:color w:val="auto"/>
        </w:rPr>
      </w:pPr>
    </w:p>
    <w:p>
      <w:pPr>
        <w:jc w:val="both"/>
        <w:ind w:firstLine="1304"/>
        <w:spacing w:after="0" w:line="247" w:lineRule="auto"/>
        <w:tabs>
          <w:tab w:leader="none" w:pos="1846" w:val="left"/>
        </w:tabs>
        <w:numPr>
          <w:ilvl w:val="0"/>
          <w:numId w:val="408"/>
        </w:numPr>
        <w:rPr>
          <w:rFonts w:ascii="Arial" w:cs="Arial" w:eastAsia="Arial" w:hAnsi="Arial"/>
          <w:sz w:val="22"/>
          <w:szCs w:val="22"/>
          <w:b w:val="1"/>
          <w:bCs w:val="1"/>
          <w:color w:val="auto"/>
        </w:rPr>
      </w:pPr>
      <w:r>
        <w:rPr>
          <w:rFonts w:ascii="Arial" w:cs="Arial" w:eastAsia="Arial" w:hAnsi="Arial"/>
          <w:sz w:val="22"/>
          <w:szCs w:val="22"/>
          <w:color w:val="auto"/>
        </w:rPr>
        <w:t xml:space="preserve">(i) all agreements between Molecular Partners and any Third Party as of the Effective Date under which Molecular Partners receives a license under any intellectual property rights relating to the Molecular Partners Technology covering Licensed Products Licensed Compounds are listed in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(ii) all agreements between Molecular Partners and any Third Party as of the Effective Date covering the performance of any Clinical Trials or the Manufacture of Licensed Products or Licensed Compounds are listed on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respectively, (iii) such agreements were made available to Allergan by Molecular Partners, and</w:t>
      </w:r>
    </w:p>
    <w:p>
      <w:pPr>
        <w:sectPr>
          <w:pgSz w:w="11900" w:h="16838" w:orient="portrait"/>
          <w:cols w:equalWidth="0" w:num="1">
            <w:col w:w="11240"/>
          </w:cols>
          <w:pgMar w:left="320" w:top="1427" w:right="339" w:bottom="1440" w:gutter="0" w:footer="0" w:header="0"/>
        </w:sectPr>
      </w:pPr>
    </w:p>
    <w:bookmarkStart w:id="430" w:name="page431"/>
    <w:bookmarkEnd w:id="430"/>
    <w:p>
      <w:pPr>
        <w:spacing w:after="0" w:line="291" w:lineRule="auto"/>
        <w:rPr>
          <w:sz w:val="20"/>
          <w:szCs w:val="20"/>
          <w:color w:val="auto"/>
        </w:rPr>
      </w:pPr>
      <w:r>
        <w:rPr>
          <w:rFonts w:ascii="Arial" w:cs="Arial" w:eastAsia="Arial" w:hAnsi="Arial"/>
          <w:sz w:val="19"/>
          <w:szCs w:val="19"/>
          <w:color w:val="auto"/>
        </w:rPr>
        <w:t>were true, accurate and complete copies of such agreements, and have not been modified, supplemented or amended since the date they were made available to Allergan; (iv) each of such agreements is in full force and effect as of the Effective Date; and</w:t>
      </w:r>
    </w:p>
    <w:p>
      <w:pPr>
        <w:spacing w:after="0" w:line="1" w:lineRule="exact"/>
        <w:rPr>
          <w:sz w:val="20"/>
          <w:szCs w:val="20"/>
          <w:color w:val="auto"/>
        </w:rPr>
      </w:pPr>
    </w:p>
    <w:p>
      <w:pPr>
        <w:jc w:val="both"/>
        <w:ind w:firstLine="8"/>
        <w:spacing w:after="0" w:line="245" w:lineRule="auto"/>
        <w:tabs>
          <w:tab w:leader="none" w:pos="309" w:val="left"/>
        </w:tabs>
        <w:numPr>
          <w:ilvl w:val="0"/>
          <w:numId w:val="409"/>
        </w:numPr>
        <w:rPr>
          <w:rFonts w:ascii="Arial" w:cs="Arial" w:eastAsia="Arial" w:hAnsi="Arial"/>
          <w:sz w:val="22"/>
          <w:szCs w:val="22"/>
          <w:color w:val="auto"/>
        </w:rPr>
      </w:pPr>
      <w:r>
        <w:rPr>
          <w:rFonts w:ascii="Arial" w:cs="Arial" w:eastAsia="Arial" w:hAnsi="Arial"/>
          <w:sz w:val="22"/>
          <w:szCs w:val="22"/>
          <w:color w:val="auto"/>
        </w:rPr>
        <w:t>as of the Effective Date, Molecular Partners is not in material breach of any such agreements, and, to its Knowledge, no other party to any such agreements is in material breach thereof, in each respect in, any manner that would give such other party the right to terminate such agreements;</w:t>
      </w:r>
    </w:p>
    <w:p>
      <w:pPr>
        <w:spacing w:after="0" w:line="192" w:lineRule="exact"/>
        <w:rPr>
          <w:rFonts w:ascii="Arial" w:cs="Arial" w:eastAsia="Arial" w:hAnsi="Arial"/>
          <w:sz w:val="22"/>
          <w:szCs w:val="22"/>
          <w:color w:val="auto"/>
        </w:rPr>
      </w:pPr>
    </w:p>
    <w:p>
      <w:pPr>
        <w:jc w:val="both"/>
        <w:ind w:firstLine="1304"/>
        <w:spacing w:after="0" w:line="290" w:lineRule="auto"/>
        <w:tabs>
          <w:tab w:leader="none" w:pos="1728" w:val="left"/>
        </w:tabs>
        <w:numPr>
          <w:ilvl w:val="1"/>
          <w:numId w:val="409"/>
        </w:numPr>
        <w:rPr>
          <w:rFonts w:ascii="Arial" w:cs="Arial" w:eastAsia="Arial" w:hAnsi="Arial"/>
          <w:sz w:val="19"/>
          <w:szCs w:val="19"/>
          <w:b w:val="1"/>
          <w:bCs w:val="1"/>
          <w:color w:val="auto"/>
        </w:rPr>
      </w:pPr>
      <w:r>
        <w:rPr>
          <w:rFonts w:ascii="Arial" w:cs="Arial" w:eastAsia="Arial" w:hAnsi="Arial"/>
          <w:sz w:val="19"/>
          <w:szCs w:val="19"/>
          <w:color w:val="auto"/>
        </w:rPr>
        <w:t>no oral or written communications have been received by Molecular Partners from any Third Parties as of the Effective Date that allege, and there is no pending litigation as of the Effective Date that alleges, either that any Molecular Partners Patent is, or for any patent application included in the Molecular Partners Patents, if issued, would be, invalid or unenforceable, and, to the Knowledge of Molecular Partners, no Third Party (i) is infringing any Molecular Partners Patents or has misappropriated any Molecular Partners Know-How or (ii) has challenged the ownership, scope, duration, validity, enforceability, priority or right to use any Molecular Partners Patents (including, by way of example, through the institution of or written threat of institution of interference, reexamination, protest, opposition, nullity or similar invalidity proceeding before the U.S. Patent and Trademark Office or any analogous foreign entity) or any Molecular Partners Know-How;</w:t>
      </w:r>
    </w:p>
    <w:p>
      <w:pPr>
        <w:spacing w:after="0" w:line="155" w:lineRule="exact"/>
        <w:rPr>
          <w:rFonts w:ascii="Arial" w:cs="Arial" w:eastAsia="Arial" w:hAnsi="Arial"/>
          <w:sz w:val="19"/>
          <w:szCs w:val="19"/>
          <w:b w:val="1"/>
          <w:bCs w:val="1"/>
          <w:color w:val="auto"/>
        </w:rPr>
      </w:pPr>
    </w:p>
    <w:p>
      <w:pPr>
        <w:jc w:val="both"/>
        <w:ind w:firstLine="1304"/>
        <w:spacing w:after="0" w:line="250" w:lineRule="auto"/>
        <w:tabs>
          <w:tab w:leader="none" w:pos="1764" w:val="left"/>
        </w:tabs>
        <w:numPr>
          <w:ilvl w:val="1"/>
          <w:numId w:val="409"/>
        </w:numPr>
        <w:rPr>
          <w:rFonts w:ascii="Arial" w:cs="Arial" w:eastAsia="Arial" w:hAnsi="Arial"/>
          <w:sz w:val="22"/>
          <w:szCs w:val="22"/>
          <w:b w:val="1"/>
          <w:bCs w:val="1"/>
          <w:color w:val="auto"/>
        </w:rPr>
      </w:pPr>
      <w:r>
        <w:rPr>
          <w:rFonts w:ascii="Arial" w:cs="Arial" w:eastAsia="Arial" w:hAnsi="Arial"/>
          <w:sz w:val="22"/>
          <w:szCs w:val="22"/>
          <w:color w:val="auto"/>
        </w:rPr>
        <w:t>each of the issued Patents, and any currently pending Patent application or Patent application from which any such Patent has issued, in each case within the Molecular Partners Patents that is owned by Molecular Partners, (i) has been prosecuted in compliance with all applicable rules, policies, and procedures of the U.S. Patent and Trademark Office in all material respects, and (ii) is subsisting;</w:t>
      </w:r>
    </w:p>
    <w:p>
      <w:pPr>
        <w:spacing w:after="0" w:line="187" w:lineRule="exact"/>
        <w:rPr>
          <w:rFonts w:ascii="Arial" w:cs="Arial" w:eastAsia="Arial" w:hAnsi="Arial"/>
          <w:sz w:val="22"/>
          <w:szCs w:val="22"/>
          <w:b w:val="1"/>
          <w:bCs w:val="1"/>
          <w:color w:val="auto"/>
        </w:rPr>
      </w:pPr>
    </w:p>
    <w:p>
      <w:pPr>
        <w:jc w:val="both"/>
        <w:ind w:firstLine="1304"/>
        <w:spacing w:after="0" w:line="253" w:lineRule="auto"/>
        <w:tabs>
          <w:tab w:leader="none" w:pos="1803" w:val="left"/>
        </w:tabs>
        <w:numPr>
          <w:ilvl w:val="1"/>
          <w:numId w:val="409"/>
        </w:numPr>
        <w:rPr>
          <w:rFonts w:ascii="Arial" w:cs="Arial" w:eastAsia="Arial" w:hAnsi="Arial"/>
          <w:sz w:val="22"/>
          <w:szCs w:val="22"/>
          <w:b w:val="1"/>
          <w:bCs w:val="1"/>
          <w:color w:val="auto"/>
        </w:rPr>
      </w:pPr>
      <w:r>
        <w:rPr>
          <w:rFonts w:ascii="Arial" w:cs="Arial" w:eastAsia="Arial" w:hAnsi="Arial"/>
          <w:sz w:val="22"/>
          <w:szCs w:val="22"/>
          <w:color w:val="auto"/>
        </w:rPr>
        <w:t>*** all Third Party issued Patents identified as material by counsel to Molecular Partners in any freedom to operate or patentability searches or opinions relating to the Molecular Partners Technology or Initial Licensed Compounds in the Territory;</w:t>
      </w:r>
    </w:p>
    <w:p>
      <w:pPr>
        <w:spacing w:after="0" w:line="185" w:lineRule="exact"/>
        <w:rPr>
          <w:rFonts w:ascii="Arial" w:cs="Arial" w:eastAsia="Arial" w:hAnsi="Arial"/>
          <w:sz w:val="22"/>
          <w:szCs w:val="22"/>
          <w:b w:val="1"/>
          <w:bCs w:val="1"/>
          <w:color w:val="auto"/>
        </w:rPr>
      </w:pPr>
    </w:p>
    <w:p>
      <w:pPr>
        <w:jc w:val="both"/>
        <w:ind w:right="20" w:firstLine="1304"/>
        <w:spacing w:after="0" w:line="312" w:lineRule="auto"/>
        <w:tabs>
          <w:tab w:leader="none" w:pos="1891" w:val="left"/>
        </w:tabs>
        <w:numPr>
          <w:ilvl w:val="1"/>
          <w:numId w:val="409"/>
        </w:numPr>
        <w:rPr>
          <w:rFonts w:ascii="Arial" w:cs="Arial" w:eastAsia="Arial" w:hAnsi="Arial"/>
          <w:sz w:val="19"/>
          <w:szCs w:val="19"/>
          <w:b w:val="1"/>
          <w:bCs w:val="1"/>
          <w:color w:val="auto"/>
        </w:rPr>
      </w:pPr>
      <w:r>
        <w:rPr>
          <w:rFonts w:ascii="Arial" w:cs="Arial" w:eastAsia="Arial" w:hAnsi="Arial"/>
          <w:sz w:val="19"/>
          <w:szCs w:val="19"/>
          <w:color w:val="auto"/>
        </w:rPr>
        <w:t>all of Molecular Partners’ employees and officers involved in development of the Molecular Partners Technology, Licensed Compounds, or Licensed Products have been obligated to assign to Molecular Partners all inventions claimed in such Molecular Partners Patents and to maintain as confidential the Confidential Information of Molecular Partners;</w:t>
      </w:r>
    </w:p>
    <w:p>
      <w:pPr>
        <w:spacing w:after="0" w:line="133" w:lineRule="exact"/>
        <w:rPr>
          <w:rFonts w:ascii="Arial" w:cs="Arial" w:eastAsia="Arial" w:hAnsi="Arial"/>
          <w:sz w:val="19"/>
          <w:szCs w:val="19"/>
          <w:b w:val="1"/>
          <w:bCs w:val="1"/>
          <w:color w:val="auto"/>
        </w:rPr>
      </w:pPr>
    </w:p>
    <w:p>
      <w:pPr>
        <w:jc w:val="both"/>
        <w:ind w:firstLine="1304"/>
        <w:spacing w:after="0" w:line="271" w:lineRule="auto"/>
        <w:tabs>
          <w:tab w:leader="none" w:pos="1728" w:val="left"/>
        </w:tabs>
        <w:numPr>
          <w:ilvl w:val="1"/>
          <w:numId w:val="409"/>
        </w:numPr>
        <w:rPr>
          <w:rFonts w:ascii="Arial" w:cs="Arial" w:eastAsia="Arial" w:hAnsi="Arial"/>
          <w:sz w:val="21"/>
          <w:szCs w:val="21"/>
          <w:b w:val="1"/>
          <w:bCs w:val="1"/>
          <w:color w:val="auto"/>
        </w:rPr>
      </w:pPr>
      <w:r>
        <w:rPr>
          <w:rFonts w:ascii="Arial" w:cs="Arial" w:eastAsia="Arial" w:hAnsi="Arial"/>
          <w:sz w:val="21"/>
          <w:szCs w:val="21"/>
          <w:color w:val="auto"/>
        </w:rPr>
        <w:t>as of the Effective Date, all inventors of any inventions included within the Molecular Partners Patents owned by Molecular Partners have assigned their entire right, title, and interest in and to such inventions and the corresponding Patents to Molecular Partners and have been listed in the Molecular Partners Patents as inventors;</w:t>
      </w:r>
    </w:p>
    <w:p>
      <w:pPr>
        <w:spacing w:after="0" w:line="167" w:lineRule="exact"/>
        <w:rPr>
          <w:rFonts w:ascii="Arial" w:cs="Arial" w:eastAsia="Arial" w:hAnsi="Arial"/>
          <w:sz w:val="21"/>
          <w:szCs w:val="21"/>
          <w:b w:val="1"/>
          <w:bCs w:val="1"/>
          <w:color w:val="auto"/>
        </w:rPr>
      </w:pPr>
    </w:p>
    <w:p>
      <w:pPr>
        <w:jc w:val="both"/>
        <w:ind w:firstLine="1304"/>
        <w:spacing w:after="0" w:line="312" w:lineRule="auto"/>
        <w:tabs>
          <w:tab w:leader="none" w:pos="1776" w:val="left"/>
        </w:tabs>
        <w:numPr>
          <w:ilvl w:val="1"/>
          <w:numId w:val="409"/>
        </w:numPr>
        <w:rPr>
          <w:rFonts w:ascii="Arial" w:cs="Arial" w:eastAsia="Arial" w:hAnsi="Arial"/>
          <w:sz w:val="19"/>
          <w:szCs w:val="19"/>
          <w:b w:val="1"/>
          <w:bCs w:val="1"/>
          <w:color w:val="auto"/>
        </w:rPr>
      </w:pPr>
      <w:r>
        <w:rPr>
          <w:rFonts w:ascii="Arial" w:cs="Arial" w:eastAsia="Arial" w:hAnsi="Arial"/>
          <w:sz w:val="19"/>
          <w:szCs w:val="19"/>
          <w:color w:val="auto"/>
        </w:rPr>
        <w:t>to the Knowledge of Molecular Partners, prior to the Effective Date, any and all Initial Licensed Compounds have been developed, manufactured, stored, labeled, distributed and tested by Molecular Partners, its Affiliates and any Third Parties acting on behalf of Molecular Partners, in compliance in all material respects with all applicable Laws;</w:t>
      </w:r>
    </w:p>
    <w:p>
      <w:pPr>
        <w:spacing w:after="0" w:line="133" w:lineRule="exact"/>
        <w:rPr>
          <w:rFonts w:ascii="Arial" w:cs="Arial" w:eastAsia="Arial" w:hAnsi="Arial"/>
          <w:sz w:val="19"/>
          <w:szCs w:val="19"/>
          <w:b w:val="1"/>
          <w:bCs w:val="1"/>
          <w:color w:val="auto"/>
        </w:rPr>
      </w:pPr>
    </w:p>
    <w:p>
      <w:pPr>
        <w:ind w:right="20" w:firstLine="1304"/>
        <w:spacing w:after="0" w:line="263" w:lineRule="auto"/>
        <w:tabs>
          <w:tab w:leader="none" w:pos="1716" w:val="left"/>
        </w:tabs>
        <w:numPr>
          <w:ilvl w:val="1"/>
          <w:numId w:val="409"/>
        </w:numPr>
        <w:rPr>
          <w:rFonts w:ascii="Arial" w:cs="Arial" w:eastAsia="Arial" w:hAnsi="Arial"/>
          <w:sz w:val="22"/>
          <w:szCs w:val="22"/>
          <w:b w:val="1"/>
          <w:bCs w:val="1"/>
          <w:color w:val="auto"/>
        </w:rPr>
      </w:pPr>
      <w:r>
        <w:rPr>
          <w:rFonts w:ascii="Arial" w:cs="Arial" w:eastAsia="Arial" w:hAnsi="Arial"/>
          <w:sz w:val="22"/>
          <w:szCs w:val="22"/>
          <w:color w:val="auto"/>
        </w:rPr>
        <w:t>Molecular Partners has made available to Allergan a true, accurate and complete copy of the Existing IND, as updated as of the Effective Date;</w:t>
      </w:r>
    </w:p>
    <w:p>
      <w:pPr>
        <w:sectPr>
          <w:pgSz w:w="11900" w:h="16838" w:orient="portrait"/>
          <w:cols w:equalWidth="0" w:num="1">
            <w:col w:w="11240"/>
          </w:cols>
          <w:pgMar w:left="320" w:top="1427" w:right="339" w:bottom="1440" w:gutter="0" w:footer="0" w:header="0"/>
        </w:sectPr>
      </w:pPr>
    </w:p>
    <w:bookmarkStart w:id="431" w:name="page432"/>
    <w:bookmarkEnd w:id="431"/>
    <w:p>
      <w:pPr>
        <w:jc w:val="both"/>
        <w:ind w:left="-660" w:firstLine="1304"/>
        <w:spacing w:after="0" w:line="253" w:lineRule="auto"/>
        <w:tabs>
          <w:tab w:leader="none" w:pos="1216" w:val="left"/>
        </w:tabs>
        <w:numPr>
          <w:ilvl w:val="0"/>
          <w:numId w:val="410"/>
        </w:numPr>
        <w:rPr>
          <w:rFonts w:ascii="Arial" w:cs="Arial" w:eastAsia="Arial" w:hAnsi="Arial"/>
          <w:sz w:val="22"/>
          <w:szCs w:val="22"/>
          <w:b w:val="1"/>
          <w:bCs w:val="1"/>
          <w:color w:val="auto"/>
        </w:rPr>
      </w:pPr>
      <w:r>
        <w:rPr>
          <w:rFonts w:ascii="Arial" w:cs="Arial" w:eastAsia="Arial" w:hAnsi="Arial"/>
          <w:sz w:val="22"/>
          <w:szCs w:val="22"/>
          <w:color w:val="auto"/>
        </w:rPr>
        <w:t>Molecular Partners has made available to Allergan all material written correspondence exchanged between Molecular Partners and any Regulatory Authority prior to the Effective Date regarding Licensed Compounds or Licensed Products in the Territory;</w:t>
      </w:r>
    </w:p>
    <w:p>
      <w:pPr>
        <w:spacing w:after="0" w:line="185" w:lineRule="exact"/>
        <w:rPr>
          <w:rFonts w:ascii="Arial" w:cs="Arial" w:eastAsia="Arial" w:hAnsi="Arial"/>
          <w:sz w:val="22"/>
          <w:szCs w:val="22"/>
          <w:b w:val="1"/>
          <w:bCs w:val="1"/>
          <w:color w:val="auto"/>
        </w:rPr>
      </w:pPr>
    </w:p>
    <w:p>
      <w:pPr>
        <w:jc w:val="both"/>
        <w:ind w:left="-660" w:firstLine="1304"/>
        <w:spacing w:after="0" w:line="302" w:lineRule="auto"/>
        <w:tabs>
          <w:tab w:leader="none" w:pos="1183" w:val="left"/>
        </w:tabs>
        <w:numPr>
          <w:ilvl w:val="0"/>
          <w:numId w:val="410"/>
        </w:numPr>
        <w:rPr>
          <w:rFonts w:ascii="Arial" w:cs="Arial" w:eastAsia="Arial" w:hAnsi="Arial"/>
          <w:sz w:val="19"/>
          <w:szCs w:val="19"/>
          <w:b w:val="1"/>
          <w:bCs w:val="1"/>
          <w:color w:val="auto"/>
        </w:rPr>
      </w:pPr>
      <w:r>
        <w:rPr>
          <w:rFonts w:ascii="Arial" w:cs="Arial" w:eastAsia="Arial" w:hAnsi="Arial"/>
          <w:sz w:val="19"/>
          <w:szCs w:val="19"/>
          <w:color w:val="auto"/>
        </w:rPr>
        <w:t>as of the Effective Date, neither Molecular Partners, nor any of its employees, officers, subcontractors, or consultants who have rendered or will render services relating to the Licensed Compounds or Licensed Products, has ever been debarred or is subject or debarment or convicted of a crime for which an entity or person could be debarred (including by the FDA under 21 U.S.C. § 335a (or subject to a similar sanction of any other Governmental Authority)); and</w:t>
      </w:r>
    </w:p>
    <w:p>
      <w:pPr>
        <w:spacing w:after="0" w:line="142" w:lineRule="exact"/>
        <w:rPr>
          <w:rFonts w:ascii="Arial" w:cs="Arial" w:eastAsia="Arial" w:hAnsi="Arial"/>
          <w:sz w:val="19"/>
          <w:szCs w:val="19"/>
          <w:b w:val="1"/>
          <w:bCs w:val="1"/>
          <w:color w:val="auto"/>
        </w:rPr>
      </w:pPr>
    </w:p>
    <w:p>
      <w:pPr>
        <w:jc w:val="both"/>
        <w:ind w:left="-660" w:firstLine="1304"/>
        <w:spacing w:after="0" w:line="247" w:lineRule="auto"/>
        <w:tabs>
          <w:tab w:leader="none" w:pos="1212" w:val="left"/>
        </w:tabs>
        <w:numPr>
          <w:ilvl w:val="0"/>
          <w:numId w:val="410"/>
        </w:numPr>
        <w:rPr>
          <w:rFonts w:ascii="Arial" w:cs="Arial" w:eastAsia="Arial" w:hAnsi="Arial"/>
          <w:sz w:val="22"/>
          <w:szCs w:val="22"/>
          <w:b w:val="1"/>
          <w:bCs w:val="1"/>
          <w:color w:val="auto"/>
        </w:rPr>
      </w:pPr>
      <w:r>
        <w:rPr>
          <w:rFonts w:ascii="Arial" w:cs="Arial" w:eastAsia="Arial" w:hAnsi="Arial"/>
          <w:sz w:val="22"/>
          <w:szCs w:val="22"/>
          <w:color w:val="auto"/>
        </w:rPr>
        <w:t>neither the execution and delivery of this Agreement nor the performance hereof by Molecular Partners requires Molecular Partners to obtain any permits, authorizations or consents from any Governmental Authority or from any other person, firm or corporation, and such execution, delivery and performance will not result in the breach of or give rise to any right of termination, rescission, renegotiation or acceleration under, or trigger any other rights under, any agreement or contract to which Molecular Partners is a party or to which it may be subject that relates to the Molecular Partners Technology, Licensed Compounds, or Licensed Products.</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Mutual Covenants</w:t>
      </w:r>
      <w:r>
        <w:rPr>
          <w:rFonts w:ascii="Arial" w:cs="Arial" w:eastAsia="Arial" w:hAnsi="Arial"/>
          <w:sz w:val="19"/>
          <w:szCs w:val="19"/>
          <w:color w:val="auto"/>
        </w:rPr>
        <w:t>.</w:t>
      </w:r>
    </w:p>
    <w:p>
      <w:pPr>
        <w:spacing w:after="0" w:line="220" w:lineRule="exact"/>
        <w:rPr>
          <w:sz w:val="20"/>
          <w:szCs w:val="20"/>
          <w:color w:val="auto"/>
        </w:rPr>
      </w:pPr>
    </w:p>
    <w:p>
      <w:pPr>
        <w:jc w:val="both"/>
        <w:ind w:left="-660" w:firstLine="1304"/>
        <w:spacing w:after="0" w:line="264" w:lineRule="auto"/>
        <w:tabs>
          <w:tab w:leader="none" w:pos="1190" w:val="left"/>
        </w:tabs>
        <w:numPr>
          <w:ilvl w:val="0"/>
          <w:numId w:val="411"/>
        </w:numPr>
        <w:rPr>
          <w:rFonts w:ascii="Arial" w:cs="Arial" w:eastAsia="Arial" w:hAnsi="Arial"/>
          <w:sz w:val="21"/>
          <w:szCs w:val="21"/>
          <w:b w:val="1"/>
          <w:bCs w:val="1"/>
          <w:color w:val="auto"/>
        </w:rPr>
      </w:pPr>
      <w:r>
        <w:rPr>
          <w:rFonts w:ascii="Arial" w:cs="Arial" w:eastAsia="Arial" w:hAnsi="Arial"/>
          <w:sz w:val="21"/>
          <w:szCs w:val="21"/>
          <w:b w:val="1"/>
          <w:bCs w:val="1"/>
          <w:color w:val="auto"/>
        </w:rPr>
        <w:t>No Debarment</w:t>
      </w:r>
      <w:r>
        <w:rPr>
          <w:rFonts w:ascii="Arial" w:cs="Arial" w:eastAsia="Arial" w:hAnsi="Arial"/>
          <w:sz w:val="21"/>
          <w:szCs w:val="21"/>
          <w:color w:val="auto"/>
        </w:rPr>
        <w:t>. In the course of the Development of the Licensed Product, each Party shall not use any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or consultant who has ever been debarred or is the subject of debarment or convicted of a crime for which an entity or person could be debarred (including by the FDA under 21 U.S.C. § 335a (or subject to a similar sanction of any other Governmental Authority)). Each Party shall notify the other Party promptly upon becoming aware that any of its employees or consultants has been debarred or is the subject of debarment proceedings by any Regulatory Authority.</w:t>
      </w:r>
    </w:p>
    <w:p>
      <w:pPr>
        <w:spacing w:after="0" w:line="170" w:lineRule="exact"/>
        <w:rPr>
          <w:rFonts w:ascii="Arial" w:cs="Arial" w:eastAsia="Arial" w:hAnsi="Arial"/>
          <w:sz w:val="21"/>
          <w:szCs w:val="21"/>
          <w:b w:val="1"/>
          <w:bCs w:val="1"/>
          <w:color w:val="auto"/>
        </w:rPr>
      </w:pPr>
    </w:p>
    <w:p>
      <w:pPr>
        <w:jc w:val="both"/>
        <w:ind w:left="-660" w:firstLine="1304"/>
        <w:spacing w:after="0" w:line="247" w:lineRule="auto"/>
        <w:tabs>
          <w:tab w:leader="none" w:pos="1143" w:val="left"/>
        </w:tabs>
        <w:numPr>
          <w:ilvl w:val="0"/>
          <w:numId w:val="411"/>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w:t>
      </w:r>
      <w:r>
        <w:rPr>
          <w:rFonts w:ascii="Arial" w:cs="Arial" w:eastAsia="Arial" w:hAnsi="Arial"/>
          <w:sz w:val="22"/>
          <w:szCs w:val="22"/>
          <w:color w:val="auto"/>
        </w:rPr>
        <w:t>. Except as provided in Section 7.4 with respect to Molecular Partner’s obligations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Manufacture of Licensed Compound, each Party and its Affiliates shall comply in all material respects with all applicable Laws in the Development, Manufacture, and Commercialization of Licensed Products performed under this Agreement, including the statutes, regulations and written directives of the FDA, the EMA and any Regulatory Authority having jurisdiction in the Territory, the FD&amp;C Act, the Prescription Drug Marketing Act, the Federal Health Care Programs Anti-Kickback Law, 42 U.S.C. § 1320a-7b(b), the statutes, regulations and written directives of Medicare, Medicaid and all other health care programs, as defined in 42 U.S.C. § 1320a-7b(f), and the Foreign Corrupt Practices Act of 1977, each as may be amended from time to time.</w:t>
      </w:r>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Additional Covenants</w:t>
      </w:r>
      <w:r>
        <w:rPr>
          <w:rFonts w:ascii="Arial" w:cs="Arial" w:eastAsia="Arial" w:hAnsi="Arial"/>
          <w:sz w:val="19"/>
          <w:szCs w:val="19"/>
          <w:color w:val="auto"/>
        </w:rPr>
        <w:t>.</w:t>
      </w:r>
    </w:p>
    <w:p>
      <w:pPr>
        <w:spacing w:after="0" w:line="226" w:lineRule="exact"/>
        <w:rPr>
          <w:sz w:val="20"/>
          <w:szCs w:val="20"/>
          <w:color w:val="auto"/>
        </w:rPr>
      </w:pPr>
    </w:p>
    <w:p>
      <w:pPr>
        <w:jc w:val="both"/>
        <w:ind w:left="-660" w:firstLine="1304"/>
        <w:spacing w:after="0" w:line="312" w:lineRule="auto"/>
        <w:tabs>
          <w:tab w:leader="none" w:pos="1266" w:val="left"/>
        </w:tabs>
        <w:numPr>
          <w:ilvl w:val="0"/>
          <w:numId w:val="412"/>
        </w:numPr>
        <w:rPr>
          <w:rFonts w:ascii="Arial" w:cs="Arial" w:eastAsia="Arial" w:hAnsi="Arial"/>
          <w:sz w:val="19"/>
          <w:szCs w:val="19"/>
          <w:b w:val="1"/>
          <w:bCs w:val="1"/>
          <w:color w:val="auto"/>
        </w:rPr>
      </w:pPr>
      <w:r>
        <w:rPr>
          <w:rFonts w:ascii="Arial" w:cs="Arial" w:eastAsia="Arial" w:hAnsi="Arial"/>
          <w:sz w:val="19"/>
          <w:szCs w:val="19"/>
          <w:color w:val="auto"/>
        </w:rPr>
        <w:t>Molecular Partners represents and warrants to Allergan that all of Molecular Partners’ employees and officers involved in development of the Molecular Partners Technology, Licensed Compounds, or Licensed Products shall be obligated to assign to Molecular Partners all inventions relating to such Molecular Partners Technology, Licensed</w:t>
      </w:r>
    </w:p>
    <w:p>
      <w:pPr>
        <w:sectPr>
          <w:pgSz w:w="11900" w:h="16838" w:orient="portrait"/>
          <w:cols w:equalWidth="0" w:num="1">
            <w:col w:w="10580"/>
          </w:cols>
          <w:pgMar w:left="980" w:top="1427" w:right="339" w:bottom="1440" w:gutter="0" w:footer="0" w:header="0"/>
        </w:sectPr>
      </w:pPr>
    </w:p>
    <w:bookmarkStart w:id="432" w:name="page433"/>
    <w:bookmarkEnd w:id="432"/>
    <w:p>
      <w:pPr>
        <w:spacing w:after="0"/>
        <w:rPr>
          <w:sz w:val="20"/>
          <w:szCs w:val="20"/>
          <w:color w:val="auto"/>
        </w:rPr>
      </w:pPr>
      <w:r>
        <w:rPr>
          <w:rFonts w:ascii="Arial" w:cs="Arial" w:eastAsia="Arial" w:hAnsi="Arial"/>
          <w:sz w:val="21"/>
          <w:szCs w:val="21"/>
          <w:color w:val="auto"/>
        </w:rPr>
        <w:t>Compounds, or Licensed Products and to maintain as confidential the Confidential Information of Molecular Partners;</w:t>
      </w:r>
    </w:p>
    <w:p>
      <w:pPr>
        <w:spacing w:after="0" w:line="231" w:lineRule="exact"/>
        <w:rPr>
          <w:sz w:val="20"/>
          <w:szCs w:val="20"/>
          <w:color w:val="auto"/>
        </w:rPr>
      </w:pPr>
    </w:p>
    <w:p>
      <w:pPr>
        <w:jc w:val="both"/>
        <w:ind w:firstLine="1304"/>
        <w:spacing w:after="0" w:line="250" w:lineRule="auto"/>
        <w:tabs>
          <w:tab w:leader="none" w:pos="1951" w:val="left"/>
        </w:tabs>
        <w:numPr>
          <w:ilvl w:val="0"/>
          <w:numId w:val="413"/>
        </w:numPr>
        <w:rPr>
          <w:rFonts w:ascii="Arial" w:cs="Arial" w:eastAsia="Arial" w:hAnsi="Arial"/>
          <w:sz w:val="22"/>
          <w:szCs w:val="22"/>
          <w:b w:val="1"/>
          <w:bCs w:val="1"/>
          <w:color w:val="auto"/>
        </w:rPr>
      </w:pPr>
      <w:r>
        <w:rPr>
          <w:rFonts w:ascii="Arial" w:cs="Arial" w:eastAsia="Arial" w:hAnsi="Arial"/>
          <w:sz w:val="22"/>
          <w:szCs w:val="22"/>
          <w:color w:val="auto"/>
        </w:rPr>
        <w:t>Allergan represents and warrants to Molecular Partners that all of Allergan’s employees and officers involved in development of the Licensed Compounds or Licensed Products shall be obligated to assign to Allergan all inventions relating to such Licensed Compounds or Licensed Products and to maintain as confidential the Confidential Information of Allergan;</w:t>
      </w:r>
    </w:p>
    <w:p>
      <w:pPr>
        <w:spacing w:after="0" w:line="187" w:lineRule="exact"/>
        <w:rPr>
          <w:rFonts w:ascii="Arial" w:cs="Arial" w:eastAsia="Arial" w:hAnsi="Arial"/>
          <w:sz w:val="22"/>
          <w:szCs w:val="22"/>
          <w:b w:val="1"/>
          <w:bCs w:val="1"/>
          <w:color w:val="auto"/>
        </w:rPr>
      </w:pPr>
    </w:p>
    <w:p>
      <w:pPr>
        <w:jc w:val="both"/>
        <w:ind w:firstLine="1304"/>
        <w:spacing w:after="0" w:line="265" w:lineRule="auto"/>
        <w:tabs>
          <w:tab w:leader="none" w:pos="1873" w:val="left"/>
        </w:tabs>
        <w:numPr>
          <w:ilvl w:val="0"/>
          <w:numId w:val="413"/>
        </w:numPr>
        <w:rPr>
          <w:rFonts w:ascii="Arial" w:cs="Arial" w:eastAsia="Arial" w:hAnsi="Arial"/>
          <w:sz w:val="21"/>
          <w:szCs w:val="21"/>
          <w:b w:val="1"/>
          <w:bCs w:val="1"/>
          <w:color w:val="auto"/>
        </w:rPr>
      </w:pPr>
      <w:r>
        <w:rPr>
          <w:rFonts w:ascii="Arial" w:cs="Arial" w:eastAsia="Arial" w:hAnsi="Arial"/>
          <w:sz w:val="21"/>
          <w:szCs w:val="21"/>
          <w:color w:val="auto"/>
        </w:rPr>
        <w:t>Molecular Partners represents and warrants to Allergan that Molecular Partners shall not sell, assign, or otherwise transfer to any person (other than any Affiliate of Molecular Partners) any Molecular Partners Patent Rights (or agree to do any of the foregoing) in any manner that would be inconsistent with the rights and licenses granted to Allergan under this Agreement, except to the extent permitted by, and in compliance with, Section 15.6; and</w:t>
      </w:r>
    </w:p>
    <w:p>
      <w:pPr>
        <w:spacing w:after="0" w:line="175" w:lineRule="exact"/>
        <w:rPr>
          <w:rFonts w:ascii="Arial" w:cs="Arial" w:eastAsia="Arial" w:hAnsi="Arial"/>
          <w:sz w:val="21"/>
          <w:szCs w:val="21"/>
          <w:b w:val="1"/>
          <w:bCs w:val="1"/>
          <w:color w:val="auto"/>
        </w:rPr>
      </w:pPr>
    </w:p>
    <w:p>
      <w:pPr>
        <w:jc w:val="both"/>
        <w:ind w:firstLine="1304"/>
        <w:spacing w:after="0" w:line="253" w:lineRule="auto"/>
        <w:tabs>
          <w:tab w:leader="none" w:pos="1816" w:val="left"/>
        </w:tabs>
        <w:numPr>
          <w:ilvl w:val="0"/>
          <w:numId w:val="413"/>
        </w:numPr>
        <w:rPr>
          <w:rFonts w:ascii="Arial" w:cs="Arial" w:eastAsia="Arial" w:hAnsi="Arial"/>
          <w:sz w:val="22"/>
          <w:szCs w:val="22"/>
          <w:b w:val="1"/>
          <w:bCs w:val="1"/>
          <w:color w:val="auto"/>
        </w:rPr>
      </w:pPr>
      <w:r>
        <w:rPr>
          <w:rFonts w:ascii="Arial" w:cs="Arial" w:eastAsia="Arial" w:hAnsi="Arial"/>
          <w:sz w:val="22"/>
          <w:szCs w:val="22"/>
          <w:color w:val="auto"/>
        </w:rPr>
        <w:t>Molecular Partners represents and warrants to Allergan that Molecular Partners shall not grant to any Third Party any right or license under the Molecular Partners Technology that is within the scope of licenses granted to Allergan under Section 2.1 or would breach Section 2.6.</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10.5 Disclaimer</w:t>
      </w:r>
      <w:r>
        <w:rPr>
          <w:rFonts w:ascii="Arial" w:cs="Arial" w:eastAsia="Arial" w:hAnsi="Arial"/>
          <w:sz w:val="21"/>
          <w:szCs w:val="21"/>
          <w:color w:val="auto"/>
        </w:rPr>
        <w:t>. Allergan understands that the Licensed Compounds or Licensed Products are the subject of ongoing</w:t>
      </w:r>
      <w:r>
        <w:rPr>
          <w:rFonts w:ascii="Arial" w:cs="Arial" w:eastAsia="Arial" w:hAnsi="Arial"/>
          <w:sz w:val="21"/>
          <w:szCs w:val="21"/>
          <w:b w:val="1"/>
          <w:bCs w:val="1"/>
          <w:color w:val="auto"/>
        </w:rPr>
        <w:t xml:space="preserve"> </w:t>
      </w:r>
      <w:r>
        <w:rPr>
          <w:rFonts w:ascii="Arial" w:cs="Arial" w:eastAsia="Arial" w:hAnsi="Arial"/>
          <w:sz w:val="21"/>
          <w:szCs w:val="21"/>
          <w:color w:val="auto"/>
        </w:rPr>
        <w:t>clinical research and development and that Molecular Partners cannot assure the safety or usefulness of any Licensed Compound or Licensed Product. In addition, Molecular Partners makes no warranties except as set forth in this Article 10 concerning the Molecular Partners Technology. EXCEPT AS EXPRESSLY STATED IN THIS AGREEMENT, NO REPRESENTATIONS OR WARRANTIES 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w:t>
      </w:r>
    </w:p>
    <w:p>
      <w:pPr>
        <w:spacing w:after="0" w:line="17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10.6 Knowledge Standard</w:t>
      </w:r>
      <w:r>
        <w:rPr>
          <w:rFonts w:ascii="Arial" w:cs="Arial" w:eastAsia="Arial" w:hAnsi="Arial"/>
          <w:sz w:val="22"/>
          <w:szCs w:val="22"/>
          <w:color w:val="auto"/>
        </w:rPr>
        <w:t>. “</w:t>
      </w:r>
      <w:r>
        <w:rPr>
          <w:rFonts w:ascii="Arial" w:cs="Arial" w:eastAsia="Arial" w:hAnsi="Arial"/>
          <w:sz w:val="22"/>
          <w:szCs w:val="22"/>
          <w:b w:val="1"/>
          <w:bCs w:val="1"/>
          <w:color w:val="auto"/>
        </w:rPr>
        <w:t>Knowledge</w:t>
      </w:r>
      <w:r>
        <w:rPr>
          <w:rFonts w:ascii="Arial" w:cs="Arial" w:eastAsia="Arial" w:hAnsi="Arial"/>
          <w:sz w:val="22"/>
          <w:szCs w:val="22"/>
          <w:color w:val="auto"/>
        </w:rPr>
        <w:t>” means, as applied to a Party in this Article 10, the actual knowledge of a</w:t>
      </w:r>
      <w:r>
        <w:rPr>
          <w:rFonts w:ascii="Arial" w:cs="Arial" w:eastAsia="Arial" w:hAnsi="Arial"/>
          <w:sz w:val="22"/>
          <w:szCs w:val="22"/>
          <w:b w:val="1"/>
          <w:bCs w:val="1"/>
          <w:color w:val="auto"/>
        </w:rPr>
        <w:t xml:space="preserve"> </w:t>
      </w:r>
      <w:r>
        <w:rPr>
          <w:rFonts w:ascii="Arial" w:cs="Arial" w:eastAsia="Arial" w:hAnsi="Arial"/>
          <w:sz w:val="22"/>
          <w:szCs w:val="22"/>
          <w:color w:val="auto"/>
        </w:rPr>
        <w:t>Party’s executive officers or personnel with primary responsibility for the applicable subject matter exercising reasonably diligent inquiry.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11.1 Indemnification by Molecular Partners</w:t>
      </w:r>
      <w:r>
        <w:rPr>
          <w:rFonts w:ascii="Arial" w:cs="Arial" w:eastAsia="Arial" w:hAnsi="Arial"/>
          <w:sz w:val="22"/>
          <w:szCs w:val="22"/>
          <w:color w:val="auto"/>
        </w:rPr>
        <w:t>. Molecular Partners shall defend, indemnify, and hold Allergan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and their respective officers, directors, employees, and agents (the “</w:t>
      </w:r>
      <w:r>
        <w:rPr>
          <w:rFonts w:ascii="Arial" w:cs="Arial" w:eastAsia="Arial" w:hAnsi="Arial"/>
          <w:sz w:val="22"/>
          <w:szCs w:val="22"/>
          <w:b w:val="1"/>
          <w:bCs w:val="1"/>
          <w:color w:val="auto"/>
        </w:rPr>
        <w:t>Allergan Indemnitees</w:t>
      </w:r>
      <w:r>
        <w:rPr>
          <w:rFonts w:ascii="Arial" w:cs="Arial" w:eastAsia="Arial" w:hAnsi="Arial"/>
          <w:sz w:val="22"/>
          <w:szCs w:val="22"/>
          <w:color w:val="auto"/>
        </w:rPr>
        <w:t>”) harmless from and against any and all Third Party claims, suits, proceedings, damages, expenses (including court costs and reasonable attorneys’ fees and expenses) and recoveries (collectively, “</w:t>
      </w:r>
      <w:r>
        <w:rPr>
          <w:rFonts w:ascii="Arial" w:cs="Arial" w:eastAsia="Arial" w:hAnsi="Arial"/>
          <w:sz w:val="22"/>
          <w:szCs w:val="22"/>
          <w:b w:val="1"/>
          <w:bCs w:val="1"/>
          <w:color w:val="auto"/>
        </w:rPr>
        <w:t>Claims</w:t>
      </w:r>
      <w:r>
        <w:rPr>
          <w:rFonts w:ascii="Arial" w:cs="Arial" w:eastAsia="Arial" w:hAnsi="Arial"/>
          <w:sz w:val="22"/>
          <w:szCs w:val="22"/>
          <w:color w:val="auto"/>
        </w:rPr>
        <w:t>”) to the extent that such</w:t>
      </w:r>
    </w:p>
    <w:p>
      <w:pPr>
        <w:sectPr>
          <w:pgSz w:w="11900" w:h="16838" w:orient="portrait"/>
          <w:cols w:equalWidth="0" w:num="1">
            <w:col w:w="11240"/>
          </w:cols>
          <w:pgMar w:left="320" w:top="1427" w:right="339" w:bottom="1440" w:gutter="0" w:footer="0" w:header="0"/>
        </w:sectPr>
      </w:pPr>
    </w:p>
    <w:bookmarkStart w:id="433" w:name="page434"/>
    <w:bookmarkEnd w:id="433"/>
    <w:p>
      <w:pPr>
        <w:jc w:val="both"/>
        <w:spacing w:after="0" w:line="287" w:lineRule="auto"/>
        <w:rPr>
          <w:sz w:val="20"/>
          <w:szCs w:val="20"/>
          <w:color w:val="auto"/>
        </w:rPr>
      </w:pPr>
      <w:r>
        <w:rPr>
          <w:rFonts w:ascii="Arial" w:cs="Arial" w:eastAsia="Arial" w:hAnsi="Arial"/>
          <w:sz w:val="19"/>
          <w:szCs w:val="19"/>
          <w:color w:val="auto"/>
        </w:rPr>
        <w:t>Claims arise out of, are based on, or result from (a) the performance of its activities under the Handover Plan, (b) the Development, Manufacture, or Commercialization of Terminated Products by Molecular Partners, its Affiliates or licensees, including Claims based upon product liability, (c) development, manufacture, or commercialization by Molecular Partners, its Affiliates or licensees (other than Allergan, its Affiliates or Sublicensees) of products (other than Licensed Products) to the extent such Claim is based on the use of the Molecular Partners Technology (excluding in all cases Claims covered by the scope of 11.2), (d) the breach of any of Molecular Partners’ obligations under this Agreement, including Molecular Partners’ representations, warranties, and covenants set forth herein, or (e) the willful misconduct or negligent acts of Molecular Partners, its Affiliates, or the officers, directors, employees, or agents of Molecular Partners or its Affiliates. The foregoing indemnity obligation shall not apply to the extent that (i) the Allergan Indemnitees fail to comply with the indemnification procedures set forth in Section 11.3 and Molecular Partners’ defense of the relevant Claims is prejudiced by such failure, or (ii) any Claim arises from, is based on, or results from any activity set forth in Section 11.2(b) or 11.2(c) for which Allergan is obligated to indemnify the Molecular Partners Indemnitees under Section 11.2.</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11.2 Indemnification by Allergan</w:t>
      </w:r>
      <w:r>
        <w:rPr>
          <w:rFonts w:ascii="Arial" w:cs="Arial" w:eastAsia="Arial" w:hAnsi="Arial"/>
          <w:sz w:val="21"/>
          <w:szCs w:val="21"/>
          <w:color w:val="auto"/>
        </w:rPr>
        <w:t>. Allergan shall defend, indemnify, and hold Molecular Partners and its Affiliates and</w:t>
      </w:r>
      <w:r>
        <w:rPr>
          <w:rFonts w:ascii="Arial" w:cs="Arial" w:eastAsia="Arial" w:hAnsi="Arial"/>
          <w:sz w:val="21"/>
          <w:szCs w:val="21"/>
          <w:b w:val="1"/>
          <w:bCs w:val="1"/>
          <w:color w:val="auto"/>
        </w:rPr>
        <w:t xml:space="preserve"> </w:t>
      </w:r>
      <w:r>
        <w:rPr>
          <w:rFonts w:ascii="Arial" w:cs="Arial" w:eastAsia="Arial" w:hAnsi="Arial"/>
          <w:sz w:val="21"/>
          <w:szCs w:val="21"/>
          <w:color w:val="auto"/>
        </w:rPr>
        <w:t>their respective officers, directors, employees, and agents (the “</w:t>
      </w:r>
      <w:r>
        <w:rPr>
          <w:rFonts w:ascii="Arial" w:cs="Arial" w:eastAsia="Arial" w:hAnsi="Arial"/>
          <w:sz w:val="21"/>
          <w:szCs w:val="21"/>
          <w:b w:val="1"/>
          <w:bCs w:val="1"/>
          <w:color w:val="auto"/>
        </w:rPr>
        <w:t>Molecular Partners Indemnitees</w:t>
      </w:r>
      <w:r>
        <w:rPr>
          <w:rFonts w:ascii="Arial" w:cs="Arial" w:eastAsia="Arial" w:hAnsi="Arial"/>
          <w:sz w:val="21"/>
          <w:szCs w:val="21"/>
          <w:color w:val="auto"/>
        </w:rPr>
        <w:t>”) harmless from and against any and all Claims to the extent that such Claims arise out of, are based on, or result from (a) the Development, Manufacture or Commercialization of Licensed Compounds or Licensed Products by or on behalf of Allergan or its Affiliates or Sublicensees, including Claims based upon product liability and patent infringement (excluding any amounts for which Molecular Partners is responsible under Section 9.7 with respect to Claims relating to Subject Patents), or (b) the breach of any of Allergan’s obligations under this Agreement, including Allergan’s representations, warranties, and covenants set forth herein, or (c) the willful misconduct or negligent acts of Allergan, its Affiliates, or its Sublicensees or the officers, directors, employees, or agents of Allergan, its Affiliates or its Sublicensees. The foregoing indemnity obligation shall not apply to the extent that (i) the Molecular Partners Indemnitees fail to comply with the indemnification procedures set forth in Section 11.3 and Allergan’s defense of the relevant Claims is prejudiced by such failure, or (ii) any Claim arises from, is based on, or results from any activity set forth in Section 11.1(a) or 11.1(b) for which Molecular Partners is obligated to indemnify the Allergan Indemnitees under Section 11.1.</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11.3 Indemnification Procedures</w:t>
      </w:r>
      <w:r>
        <w:rPr>
          <w:rFonts w:ascii="Arial" w:cs="Arial" w:eastAsia="Arial" w:hAnsi="Arial"/>
          <w:sz w:val="21"/>
          <w:szCs w:val="21"/>
          <w:color w:val="auto"/>
        </w:rPr>
        <w:t>. The Party claiming indemnity under this Article 11 (the “</w:t>
      </w:r>
      <w:r>
        <w:rPr>
          <w:rFonts w:ascii="Arial" w:cs="Arial" w:eastAsia="Arial" w:hAnsi="Arial"/>
          <w:sz w:val="21"/>
          <w:szCs w:val="21"/>
          <w:b w:val="1"/>
          <w:bCs w:val="1"/>
          <w:color w:val="auto"/>
        </w:rPr>
        <w:t>Indemnified Party</w:t>
      </w:r>
      <w:r>
        <w:rPr>
          <w:rFonts w:ascii="Arial" w:cs="Arial" w:eastAsia="Arial" w:hAnsi="Arial"/>
          <w:sz w:val="21"/>
          <w:szCs w:val="21"/>
          <w:color w:val="auto"/>
        </w:rPr>
        <w:t>”) shall</w:t>
      </w:r>
      <w:r>
        <w:rPr>
          <w:rFonts w:ascii="Arial" w:cs="Arial" w:eastAsia="Arial" w:hAnsi="Arial"/>
          <w:sz w:val="21"/>
          <w:szCs w:val="21"/>
          <w:b w:val="1"/>
          <w:bCs w:val="1"/>
          <w:color w:val="auto"/>
        </w:rPr>
        <w:t xml:space="preserve"> </w:t>
      </w:r>
      <w:r>
        <w:rPr>
          <w:rFonts w:ascii="Arial" w:cs="Arial" w:eastAsia="Arial" w:hAnsi="Arial"/>
          <w:sz w:val="21"/>
          <w:szCs w:val="21"/>
          <w:color w:val="auto"/>
        </w:rPr>
        <w:t>give written notice to the Party from whom indemnity is being sought (the “</w:t>
      </w:r>
      <w:r>
        <w:rPr>
          <w:rFonts w:ascii="Arial" w:cs="Arial" w:eastAsia="Arial" w:hAnsi="Arial"/>
          <w:sz w:val="21"/>
          <w:szCs w:val="21"/>
          <w:b w:val="1"/>
          <w:bCs w:val="1"/>
          <w:color w:val="auto"/>
        </w:rPr>
        <w:t>Indemnifying Party</w:t>
      </w:r>
      <w:r>
        <w:rPr>
          <w:rFonts w:ascii="Arial" w:cs="Arial" w:eastAsia="Arial" w:hAnsi="Arial"/>
          <w:sz w:val="21"/>
          <w:szCs w:val="21"/>
          <w:color w:val="auto"/>
        </w:rPr>
        <w:t>”) promptly after learning of such Claim.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So long as the Indemnifying Party is actively defending the Claim in</w:t>
      </w:r>
    </w:p>
    <w:p>
      <w:pPr>
        <w:sectPr>
          <w:pgSz w:w="11900" w:h="16838" w:orient="portrait"/>
          <w:cols w:equalWidth="0" w:num="1">
            <w:col w:w="11240"/>
          </w:cols>
          <w:pgMar w:left="320" w:top="1427" w:right="339" w:bottom="1440" w:gutter="0" w:footer="0" w:header="0"/>
        </w:sectPr>
      </w:pPr>
    </w:p>
    <w:bookmarkStart w:id="434" w:name="page435"/>
    <w:bookmarkEnd w:id="434"/>
    <w:p>
      <w:pPr>
        <w:jc w:val="both"/>
        <w:spacing w:after="0" w:line="261" w:lineRule="auto"/>
        <w:rPr>
          <w:sz w:val="20"/>
          <w:szCs w:val="20"/>
          <w:color w:val="auto"/>
        </w:rPr>
      </w:pPr>
      <w:r>
        <w:rPr>
          <w:rFonts w:ascii="Arial" w:cs="Arial" w:eastAsia="Arial" w:hAnsi="Arial"/>
          <w:sz w:val="21"/>
          <w:szCs w:val="21"/>
          <w:color w:val="auto"/>
        </w:rPr>
        <w:t>good faith, the Indemnified Party shall not settle or compromise 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11.</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11.4 Limitation of Liability</w:t>
      </w:r>
      <w:r>
        <w:rPr>
          <w:rFonts w:ascii="Arial" w:cs="Arial" w:eastAsia="Arial" w:hAnsi="Arial"/>
          <w:sz w:val="21"/>
          <w:szCs w:val="21"/>
          <w:color w:val="auto"/>
        </w:rPr>
        <w:t>. NEITHER PARTY SHALL BE LIABLE TO THE OTHER FOR ANY SPECIAL,</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CONSEQUENTIAL, INCIDENTAL, PUNITIVE, OR INDIRECT DAMAGES ARISING FROM OR RELATING TO ANY BREACH OF THIS AGREEMENT, REGARDLESS OF ANY NOTICE OF THE POSSIBILITY OF SUCH DAMAGES.</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NOTWITHSTANDING THE FOREGOING, NOTHING IN THIS SECTION 11.4 IS INTENDED TO OR SHALL LIMIT OR RESTRICT THE INDEMNIFICATION RIGHTS OR OBLIGATIONS OF ANY PARTY UNDER SECTION 11.1 OR 11.2, OR DAMAGES AVAILABLE FOR A PARTY’S BREACH OF CONFIDENTIALITY OBLIGATIONS IN ARTICLE 12.</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11.5 Insurance</w:t>
      </w:r>
      <w:r>
        <w:rPr>
          <w:rFonts w:ascii="Arial" w:cs="Arial" w:eastAsia="Arial" w:hAnsi="Arial"/>
          <w:sz w:val="21"/>
          <w:szCs w:val="21"/>
          <w:color w:val="auto"/>
        </w:rPr>
        <w:t>. Each Party shall procure and maintain insurance, including Commercial General Liability having</w:t>
      </w:r>
      <w:r>
        <w:rPr>
          <w:rFonts w:ascii="Arial" w:cs="Arial" w:eastAsia="Arial" w:hAnsi="Arial"/>
          <w:sz w:val="21"/>
          <w:szCs w:val="21"/>
          <w:b w:val="1"/>
          <w:bCs w:val="1"/>
          <w:color w:val="auto"/>
        </w:rPr>
        <w:t xml:space="preserve"> </w:t>
      </w:r>
      <w:r>
        <w:rPr>
          <w:rFonts w:ascii="Arial" w:cs="Arial" w:eastAsia="Arial" w:hAnsi="Arial"/>
          <w:sz w:val="21"/>
          <w:szCs w:val="21"/>
          <w:color w:val="auto"/>
        </w:rPr>
        <w:t>product/completed operations coverage adequate to cover its obligations hereunder and consistent with normal business practices of prudent companies similarly situated at all times during which any Licensed Product is being clinically tested in human subjects or commercially distributed or sold by such Party and for a five (5) year period thereafter; provided that the foregoing obligation with respect to clinical activities shall apply to Molecular Partners with respect to any Clinical Trial conducted by Molecular Partners. It is understood that such insurance shall not be construed to create a limit of either Party’s liability with respect to its indemnification obligations under this Article 11. Each Party shall provide the other Party with written evidence of such insurance upon request. Each Party shall provide the other Party with written notice at least thirty (30) days prior to the cancellation, non renewal or material change in such insurance.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CONFIDENTIALITY</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12.1 Confidentiality</w:t>
      </w:r>
      <w:r>
        <w:rPr>
          <w:rFonts w:ascii="Arial" w:cs="Arial" w:eastAsia="Arial" w:hAnsi="Arial"/>
          <w:sz w:val="22"/>
          <w:szCs w:val="22"/>
          <w:color w:val="auto"/>
        </w:rPr>
        <w:t>. Each Party agrees that, during the Term and for a period of *** thereafter, it shall keep</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The foregoing confidentiality and</w:t>
      </w:r>
    </w:p>
    <w:p>
      <w:pPr>
        <w:sectPr>
          <w:pgSz w:w="11900" w:h="16838" w:orient="portrait"/>
          <w:cols w:equalWidth="0" w:num="1">
            <w:col w:w="11240"/>
          </w:cols>
          <w:pgMar w:left="320" w:top="1427" w:right="339" w:bottom="1440" w:gutter="0" w:footer="0" w:header="0"/>
        </w:sectPr>
      </w:pPr>
    </w:p>
    <w:bookmarkStart w:id="435" w:name="page436"/>
    <w:bookmarkEnd w:id="435"/>
    <w:p>
      <w:pPr>
        <w:spacing w:after="0" w:line="263" w:lineRule="auto"/>
        <w:rPr>
          <w:sz w:val="20"/>
          <w:szCs w:val="20"/>
          <w:color w:val="auto"/>
        </w:rPr>
      </w:pPr>
      <w:r>
        <w:rPr>
          <w:rFonts w:ascii="Arial" w:cs="Arial" w:eastAsia="Arial" w:hAnsi="Arial"/>
          <w:sz w:val="22"/>
          <w:szCs w:val="22"/>
          <w:color w:val="auto"/>
        </w:rPr>
        <w:t>non-use obligations shall not apply to any portion of the other Party’s Confidential Information that the receiving Party can demonstrate by competent written proof:</w:t>
      </w:r>
    </w:p>
    <w:p>
      <w:pPr>
        <w:spacing w:after="0" w:line="175" w:lineRule="exact"/>
        <w:rPr>
          <w:sz w:val="20"/>
          <w:szCs w:val="20"/>
          <w:color w:val="auto"/>
        </w:rPr>
      </w:pPr>
    </w:p>
    <w:p>
      <w:pPr>
        <w:ind w:firstLine="1304"/>
        <w:spacing w:after="0" w:line="263" w:lineRule="auto"/>
        <w:tabs>
          <w:tab w:leader="none" w:pos="1777" w:val="left"/>
        </w:tabs>
        <w:numPr>
          <w:ilvl w:val="0"/>
          <w:numId w:val="414"/>
        </w:numPr>
        <w:rPr>
          <w:rFonts w:ascii="Arial" w:cs="Arial" w:eastAsia="Arial" w:hAnsi="Arial"/>
          <w:sz w:val="22"/>
          <w:szCs w:val="22"/>
          <w:b w:val="1"/>
          <w:bCs w:val="1"/>
          <w:color w:val="auto"/>
        </w:rPr>
      </w:pPr>
      <w:r>
        <w:rPr>
          <w:rFonts w:ascii="Arial" w:cs="Arial" w:eastAsia="Arial" w:hAnsi="Arial"/>
          <w:sz w:val="22"/>
          <w:szCs w:val="22"/>
          <w:color w:val="auto"/>
        </w:rPr>
        <w:t>was already known to the receiving Party or its Affiliate, other than under an obligation of confidentiality, at the time of disclosure by the other Party;</w:t>
      </w:r>
    </w:p>
    <w:p>
      <w:pPr>
        <w:spacing w:after="0" w:line="174" w:lineRule="exact"/>
        <w:rPr>
          <w:rFonts w:ascii="Arial" w:cs="Arial" w:eastAsia="Arial" w:hAnsi="Arial"/>
          <w:sz w:val="22"/>
          <w:szCs w:val="22"/>
          <w:b w:val="1"/>
          <w:bCs w:val="1"/>
          <w:color w:val="auto"/>
        </w:rPr>
      </w:pPr>
    </w:p>
    <w:p>
      <w:pPr>
        <w:ind w:left="1780" w:hanging="476"/>
        <w:spacing w:after="0"/>
        <w:tabs>
          <w:tab w:leader="none" w:pos="1780" w:val="left"/>
        </w:tabs>
        <w:numPr>
          <w:ilvl w:val="0"/>
          <w:numId w:val="414"/>
        </w:numPr>
        <w:rPr>
          <w:rFonts w:ascii="Arial" w:cs="Arial" w:eastAsia="Arial" w:hAnsi="Arial"/>
          <w:sz w:val="19"/>
          <w:szCs w:val="19"/>
          <w:b w:val="1"/>
          <w:bCs w:val="1"/>
          <w:color w:val="auto"/>
        </w:rPr>
      </w:pPr>
      <w:r>
        <w:rPr>
          <w:rFonts w:ascii="Arial" w:cs="Arial" w:eastAsia="Arial" w:hAnsi="Arial"/>
          <w:sz w:val="19"/>
          <w:szCs w:val="19"/>
          <w:color w:val="auto"/>
        </w:rPr>
        <w:t>was generally available to the public or otherwise part of the public domain at the time of its disclosure to the</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receiving Party;</w:t>
      </w:r>
    </w:p>
    <w:p>
      <w:pPr>
        <w:spacing w:after="0" w:line="201" w:lineRule="exact"/>
        <w:rPr>
          <w:rFonts w:ascii="Arial" w:cs="Arial" w:eastAsia="Arial" w:hAnsi="Arial"/>
          <w:sz w:val="19"/>
          <w:szCs w:val="19"/>
          <w:b w:val="1"/>
          <w:bCs w:val="1"/>
          <w:color w:val="auto"/>
        </w:rPr>
      </w:pPr>
    </w:p>
    <w:p>
      <w:pPr>
        <w:ind w:firstLine="1304"/>
        <w:spacing w:after="0" w:line="263" w:lineRule="auto"/>
        <w:tabs>
          <w:tab w:leader="none" w:pos="1765" w:val="left"/>
        </w:tabs>
        <w:numPr>
          <w:ilvl w:val="0"/>
          <w:numId w:val="414"/>
        </w:numPr>
        <w:rPr>
          <w:rFonts w:ascii="Arial" w:cs="Arial" w:eastAsia="Arial" w:hAnsi="Arial"/>
          <w:sz w:val="22"/>
          <w:szCs w:val="22"/>
          <w:b w:val="1"/>
          <w:bCs w:val="1"/>
          <w:color w:val="auto"/>
        </w:rPr>
      </w:pPr>
      <w:r>
        <w:rPr>
          <w:rFonts w:ascii="Arial" w:cs="Arial" w:eastAsia="Arial" w:hAnsi="Arial"/>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74" w:lineRule="exact"/>
        <w:rPr>
          <w:rFonts w:ascii="Arial" w:cs="Arial" w:eastAsia="Arial" w:hAnsi="Arial"/>
          <w:sz w:val="22"/>
          <w:szCs w:val="22"/>
          <w:b w:val="1"/>
          <w:bCs w:val="1"/>
          <w:color w:val="auto"/>
        </w:rPr>
      </w:pPr>
    </w:p>
    <w:p>
      <w:pPr>
        <w:ind w:firstLine="1304"/>
        <w:spacing w:after="0" w:line="343" w:lineRule="auto"/>
        <w:tabs>
          <w:tab w:leader="none" w:pos="1830" w:val="left"/>
        </w:tabs>
        <w:numPr>
          <w:ilvl w:val="0"/>
          <w:numId w:val="414"/>
        </w:numPr>
        <w:rPr>
          <w:rFonts w:ascii="Arial" w:cs="Arial" w:eastAsia="Arial" w:hAnsi="Arial"/>
          <w:sz w:val="19"/>
          <w:szCs w:val="19"/>
          <w:b w:val="1"/>
          <w:bCs w:val="1"/>
          <w:color w:val="auto"/>
        </w:rPr>
      </w:pPr>
      <w:r>
        <w:rPr>
          <w:rFonts w:ascii="Arial" w:cs="Arial" w:eastAsia="Arial" w:hAnsi="Arial"/>
          <w:sz w:val="19"/>
          <w:szCs w:val="19"/>
          <w:color w:val="auto"/>
        </w:rPr>
        <w:t>was disclosed to the receiving Party or its Affiliate on a non-confidential basis by a Third Party who has a legal right to make such disclosure and who did not obtain such information directly or indirectly from the other Party; or</w:t>
      </w:r>
    </w:p>
    <w:p>
      <w:pPr>
        <w:spacing w:after="0" w:line="104" w:lineRule="exact"/>
        <w:rPr>
          <w:rFonts w:ascii="Arial" w:cs="Arial" w:eastAsia="Arial" w:hAnsi="Arial"/>
          <w:sz w:val="19"/>
          <w:szCs w:val="19"/>
          <w:b w:val="1"/>
          <w:bCs w:val="1"/>
          <w:color w:val="auto"/>
        </w:rPr>
      </w:pPr>
    </w:p>
    <w:p>
      <w:pPr>
        <w:ind w:firstLine="1304"/>
        <w:spacing w:after="0" w:line="287" w:lineRule="auto"/>
        <w:tabs>
          <w:tab w:leader="none" w:pos="1806" w:val="left"/>
        </w:tabs>
        <w:numPr>
          <w:ilvl w:val="0"/>
          <w:numId w:val="414"/>
        </w:numPr>
        <w:rPr>
          <w:rFonts w:ascii="Arial" w:cs="Arial" w:eastAsia="Arial" w:hAnsi="Arial"/>
          <w:sz w:val="21"/>
          <w:szCs w:val="21"/>
          <w:b w:val="1"/>
          <w:bCs w:val="1"/>
          <w:color w:val="auto"/>
        </w:rPr>
      </w:pPr>
      <w:r>
        <w:rPr>
          <w:rFonts w:ascii="Arial" w:cs="Arial" w:eastAsia="Arial" w:hAnsi="Arial"/>
          <w:sz w:val="21"/>
          <w:szCs w:val="21"/>
          <w:color w:val="auto"/>
        </w:rPr>
        <w:t>was independently discovered or developed by the receiving Party or its Affiliate without access to or aid, application or use of the other Party’s Confidential Information, as evidenced by a contemporaneous writing.</w:t>
      </w:r>
    </w:p>
    <w:p>
      <w:pPr>
        <w:spacing w:after="0" w:line="14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Notwithstanding the definition of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in Article 1, all Information generated in connection with Development activities under this Agreement, whether generated by one or both Parties, shall be deemed to be Confidential Information of Allergan and Allergan shall be deemed to be the disclosing Party with respect to such Confidential Information. In addition, the exceptions set forth in subsections (a) and (e) shall not apply to Information generated during or resulting from the Development activities, which Information shall be deemed Confidential Information regardless of whether such Information satisfies the criteria set forth in one or both subsections.</w:t>
      </w:r>
    </w:p>
    <w:p>
      <w:pPr>
        <w:spacing w:after="0" w:line="17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Authorized Disclosure</w:t>
      </w:r>
      <w:r>
        <w:rPr>
          <w:rFonts w:ascii="Arial" w:cs="Arial" w:eastAsia="Arial" w:hAnsi="Arial"/>
          <w:sz w:val="19"/>
          <w:szCs w:val="19"/>
          <w:color w:val="auto"/>
        </w:rPr>
        <w:t>. Notwithstanding the obligations set forth in Section 12.1, a Party may disclose the other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Party’s Confidential Information and the terms of this Agreement to the extent:</w:t>
      </w:r>
    </w:p>
    <w:p>
      <w:pPr>
        <w:spacing w:after="0" w:line="202" w:lineRule="exact"/>
        <w:rPr>
          <w:sz w:val="20"/>
          <w:szCs w:val="20"/>
          <w:color w:val="auto"/>
        </w:rPr>
      </w:pPr>
    </w:p>
    <w:p>
      <w:pPr>
        <w:jc w:val="both"/>
        <w:ind w:firstLine="1304"/>
        <w:spacing w:after="0" w:line="253" w:lineRule="auto"/>
        <w:tabs>
          <w:tab w:leader="none" w:pos="1804" w:val="left"/>
        </w:tabs>
        <w:numPr>
          <w:ilvl w:val="0"/>
          <w:numId w:val="415"/>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(i) to comply with the requirements of Regulatory Authorities with respect to obtaining and maintaining Regulatory Approval of a Licensed Product; or (ii) for prosecuting or defending litigation as contemplated by this Agreement;</w:t>
      </w:r>
    </w:p>
    <w:p>
      <w:pPr>
        <w:spacing w:after="0" w:line="185" w:lineRule="exact"/>
        <w:rPr>
          <w:rFonts w:ascii="Arial" w:cs="Arial" w:eastAsia="Arial" w:hAnsi="Arial"/>
          <w:sz w:val="22"/>
          <w:szCs w:val="22"/>
          <w:b w:val="1"/>
          <w:bCs w:val="1"/>
          <w:color w:val="auto"/>
        </w:rPr>
      </w:pPr>
    </w:p>
    <w:p>
      <w:pPr>
        <w:jc w:val="both"/>
        <w:ind w:firstLine="1304"/>
        <w:spacing w:after="0" w:line="250" w:lineRule="auto"/>
        <w:tabs>
          <w:tab w:leader="none" w:pos="1938" w:val="left"/>
        </w:tabs>
        <w:numPr>
          <w:ilvl w:val="0"/>
          <w:numId w:val="415"/>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its employees, agents, consultants, 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w:t>
      </w:r>
    </w:p>
    <w:p>
      <w:pPr>
        <w:sectPr>
          <w:pgSz w:w="11900" w:h="16838" w:orient="portrait"/>
          <w:cols w:equalWidth="0" w:num="1">
            <w:col w:w="11240"/>
          </w:cols>
          <w:pgMar w:left="320" w:top="1427" w:right="339" w:bottom="1440" w:gutter="0" w:footer="0" w:header="0"/>
        </w:sectPr>
      </w:pPr>
    </w:p>
    <w:bookmarkStart w:id="436" w:name="page437"/>
    <w:bookmarkEnd w:id="436"/>
    <w:p>
      <w:pPr>
        <w:jc w:val="both"/>
        <w:ind w:firstLine="1304"/>
        <w:spacing w:after="0" w:line="297" w:lineRule="auto"/>
        <w:tabs>
          <w:tab w:leader="none" w:pos="1752" w:val="left"/>
        </w:tabs>
        <w:numPr>
          <w:ilvl w:val="0"/>
          <w:numId w:val="416"/>
        </w:numPr>
        <w:rPr>
          <w:rFonts w:ascii="Arial" w:cs="Arial" w:eastAsia="Arial" w:hAnsi="Arial"/>
          <w:sz w:val="19"/>
          <w:szCs w:val="19"/>
          <w:b w:val="1"/>
          <w:bCs w:val="1"/>
          <w:color w:val="auto"/>
        </w:rPr>
      </w:pPr>
      <w:r>
        <w:rPr>
          <w:rFonts w:ascii="Arial" w:cs="Arial" w:eastAsia="Arial" w:hAnsi="Arial"/>
          <w:sz w:val="19"/>
          <w:szCs w:val="19"/>
          <w:color w:val="auto"/>
        </w:rPr>
        <w:t>such disclosure is reasonably necessary to any bona fide potential or actual investor, acquiror, merger partner, licensee, sublicensee, or other financial or commercial partner for the sole purpose of evaluating an actual or potential investment, acquisition or other business relationship; provided that in connection with such disclosure, such Party shall use all reasonable efforts to inform each disclosee of the confidential nature of such Confidential Information and, in each case, the disclosees are bound by written obligations of confidentiality and non-use consistent with those contained in this Agreement; or</w:t>
      </w:r>
    </w:p>
    <w:p>
      <w:pPr>
        <w:spacing w:after="0" w:line="146" w:lineRule="exact"/>
        <w:rPr>
          <w:rFonts w:ascii="Arial" w:cs="Arial" w:eastAsia="Arial" w:hAnsi="Arial"/>
          <w:sz w:val="19"/>
          <w:szCs w:val="19"/>
          <w:b w:val="1"/>
          <w:bCs w:val="1"/>
          <w:color w:val="auto"/>
        </w:rPr>
      </w:pPr>
    </w:p>
    <w:p>
      <w:pPr>
        <w:ind w:firstLine="1304"/>
        <w:spacing w:after="0" w:line="263" w:lineRule="auto"/>
        <w:tabs>
          <w:tab w:leader="none" w:pos="1803" w:val="left"/>
        </w:tabs>
        <w:numPr>
          <w:ilvl w:val="0"/>
          <w:numId w:val="416"/>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comply with applicable Laws, including regulations promulgated by applicable security exchanges, court order, administrative subpoena or order.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foregoing, in the event a Party is required to make a disclosure of the other Party’s Confidential Information pursuant to Section 12.2(a) or 12.2(d), such Party shall promptly notify the other Party of such required disclosure and shall use reasonable efforts to obtain, or to assist the other Party in obtaining, a protective order preventing or limiting the required disclosure.</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12.3 Technical Publication</w:t>
      </w:r>
      <w:r>
        <w:rPr>
          <w:rFonts w:ascii="Arial" w:cs="Arial" w:eastAsia="Arial" w:hAnsi="Arial"/>
          <w:sz w:val="19"/>
          <w:szCs w:val="19"/>
          <w:color w:val="auto"/>
        </w:rPr>
        <w:t>. Neither Party may publish peer reviewed manuscripts, or give other forms of public</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 such as abstracts and presentations, of results of studies carried out under this Agreement, without the opportunity for prior review by the other Party, and subject to this Section 12.3, below, except to the extent required by applicable Laws. No publication shall include the other Party’s Confidential Information without the prior written consent of such other Party. A Party seeking publication shall provide the other Party the opportunity to review and comment on any proposed publication that relates to a Licensed Compound or Licensed Product at least thirty (30) days prior to its intended submission for publication. The other Party shall provide the Party seeking publication with its comments in writing, if any, within thirty (30) days after receipt of such proposed publication. The Party seeking publication shall consider in good faith any comments thereto provided by the other Party and shall comply with the other Party’s request to remove any and all of such other Party’s Confidential Information from the proposed publication. In addition, the Party seeking publication shall delay the submission for a period up to sixty (60) days in the event that the other Party can demonstrate reasonable need for such delay, including the preparation and filing of a patent application. If the other Party fails to provide its comments to the Party seeking publication within such thirty (30)-day period, such other Party shall be deemed not to have any comments, and the Party seeking publication shall be free to publish in accordance with this Section 12.3 after the thirty (30)-day period has elapsed; provided that such publication does not include Confidential Information of the other Party. The Party seeking publication shall provide the other Party a copy of the manuscript at the time of the submission. Each Party agrees to acknowledge the contributions of the other Party and its employees in all publications as scientifically appropriate.</w:t>
      </w:r>
    </w:p>
    <w:p>
      <w:pPr>
        <w:sectPr>
          <w:pgSz w:w="11900" w:h="16838" w:orient="portrait"/>
          <w:cols w:equalWidth="0" w:num="1">
            <w:col w:w="11240"/>
          </w:cols>
          <w:pgMar w:left="320" w:top="1427" w:right="339" w:bottom="1440" w:gutter="0" w:footer="0" w:header="0"/>
        </w:sectPr>
      </w:pPr>
    </w:p>
    <w:bookmarkStart w:id="437" w:name="page438"/>
    <w:bookmarkEnd w:id="437"/>
    <w:p>
      <w:pPr>
        <w:spacing w:after="0"/>
        <w:tabs>
          <w:tab w:leader="none" w:pos="5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Publicity; Terms of this Agreement</w:t>
      </w:r>
      <w:r>
        <w:rPr>
          <w:rFonts w:ascii="Arial" w:cs="Arial" w:eastAsia="Arial" w:hAnsi="Arial"/>
          <w:sz w:val="19"/>
          <w:szCs w:val="19"/>
          <w:color w:val="auto"/>
        </w:rPr>
        <w:t>.</w:t>
      </w:r>
    </w:p>
    <w:p>
      <w:pPr>
        <w:spacing w:after="0" w:line="226" w:lineRule="exact"/>
        <w:rPr>
          <w:sz w:val="20"/>
          <w:szCs w:val="20"/>
          <w:color w:val="auto"/>
        </w:rPr>
      </w:pPr>
    </w:p>
    <w:p>
      <w:pPr>
        <w:ind w:left="-660" w:firstLine="1304"/>
        <w:spacing w:after="0" w:line="263" w:lineRule="auto"/>
        <w:tabs>
          <w:tab w:leader="none" w:pos="1131" w:val="left"/>
        </w:tabs>
        <w:numPr>
          <w:ilvl w:val="0"/>
          <w:numId w:val="417"/>
        </w:numPr>
        <w:rPr>
          <w:rFonts w:ascii="Arial" w:cs="Arial" w:eastAsia="Arial" w:hAnsi="Arial"/>
          <w:sz w:val="22"/>
          <w:szCs w:val="22"/>
          <w:b w:val="1"/>
          <w:bCs w:val="1"/>
          <w:color w:val="auto"/>
        </w:rPr>
      </w:pPr>
      <w:r>
        <w:rPr>
          <w:rFonts w:ascii="Arial" w:cs="Arial" w:eastAsia="Arial" w:hAnsi="Arial"/>
          <w:sz w:val="22"/>
          <w:szCs w:val="22"/>
          <w:color w:val="auto"/>
        </w:rPr>
        <w:t>The Parties agree that the material terms of this Agreement are the Confidential Information of both Parties, subject to the special authorized disclosure provisions set forth in this Section 12.4.</w:t>
      </w:r>
    </w:p>
    <w:p>
      <w:pPr>
        <w:spacing w:after="0" w:line="174" w:lineRule="exact"/>
        <w:rPr>
          <w:rFonts w:ascii="Arial" w:cs="Arial" w:eastAsia="Arial" w:hAnsi="Arial"/>
          <w:sz w:val="22"/>
          <w:szCs w:val="22"/>
          <w:b w:val="1"/>
          <w:bCs w:val="1"/>
          <w:color w:val="auto"/>
        </w:rPr>
      </w:pPr>
    </w:p>
    <w:p>
      <w:pPr>
        <w:ind w:left="-660" w:firstLine="1304"/>
        <w:spacing w:after="0" w:line="263" w:lineRule="auto"/>
        <w:tabs>
          <w:tab w:leader="none" w:pos="1129" w:val="left"/>
        </w:tabs>
        <w:numPr>
          <w:ilvl w:val="0"/>
          <w:numId w:val="417"/>
        </w:numPr>
        <w:rPr>
          <w:rFonts w:ascii="Arial" w:cs="Arial" w:eastAsia="Arial" w:hAnsi="Arial"/>
          <w:sz w:val="22"/>
          <w:szCs w:val="22"/>
          <w:b w:val="1"/>
          <w:bCs w:val="1"/>
          <w:color w:val="auto"/>
        </w:rPr>
      </w:pPr>
      <w:r>
        <w:rPr>
          <w:rFonts w:ascii="Arial" w:cs="Arial" w:eastAsia="Arial" w:hAnsi="Arial"/>
          <w:sz w:val="22"/>
          <w:szCs w:val="22"/>
          <w:color w:val="auto"/>
        </w:rPr>
        <w:t xml:space="preserve">The Parties shall make a joint public announcement of the execution of this Agreement in the form attached as </w:t>
      </w:r>
      <w:r>
        <w:rPr>
          <w:rFonts w:ascii="Arial" w:cs="Arial" w:eastAsia="Arial" w:hAnsi="Arial"/>
          <w:sz w:val="22"/>
          <w:szCs w:val="22"/>
          <w:u w:val="single" w:color="auto"/>
          <w:color w:val="auto"/>
        </w:rPr>
        <w:t>Exhibit H</w:t>
      </w:r>
      <w:r>
        <w:rPr>
          <w:rFonts w:ascii="Arial" w:cs="Arial" w:eastAsia="Arial" w:hAnsi="Arial"/>
          <w:sz w:val="22"/>
          <w:szCs w:val="22"/>
          <w:color w:val="auto"/>
        </w:rPr>
        <w:t>, which shall be issued on or promptly after the Effective Date.</w:t>
      </w:r>
    </w:p>
    <w:p>
      <w:pPr>
        <w:spacing w:after="0" w:line="174" w:lineRule="exact"/>
        <w:rPr>
          <w:rFonts w:ascii="Arial" w:cs="Arial" w:eastAsia="Arial" w:hAnsi="Arial"/>
          <w:sz w:val="22"/>
          <w:szCs w:val="22"/>
          <w:b w:val="1"/>
          <w:bCs w:val="1"/>
          <w:color w:val="auto"/>
        </w:rPr>
      </w:pPr>
    </w:p>
    <w:p>
      <w:pPr>
        <w:jc w:val="both"/>
        <w:ind w:left="-660" w:firstLine="1304"/>
        <w:spacing w:after="0" w:line="286" w:lineRule="auto"/>
        <w:tabs>
          <w:tab w:leader="none" w:pos="1173" w:val="left"/>
        </w:tabs>
        <w:numPr>
          <w:ilvl w:val="0"/>
          <w:numId w:val="417"/>
        </w:numPr>
        <w:rPr>
          <w:rFonts w:ascii="Arial" w:cs="Arial" w:eastAsia="Arial" w:hAnsi="Arial"/>
          <w:sz w:val="19"/>
          <w:szCs w:val="19"/>
          <w:b w:val="1"/>
          <w:bCs w:val="1"/>
          <w:color w:val="auto"/>
        </w:rPr>
      </w:pPr>
      <w:r>
        <w:rPr>
          <w:rFonts w:ascii="Arial" w:cs="Arial" w:eastAsia="Arial" w:hAnsi="Arial"/>
          <w:sz w:val="19"/>
          <w:szCs w:val="19"/>
          <w:color w:val="auto"/>
        </w:rPr>
        <w:t>After release of such press release, if either Party desires to make a public announcement concerning the material terms of this Agreement, such Party shall give reasonable prior advance notice of the proposed text of such announcement to the other Party for its prior review and approval (except as otherwise provided herein). A Party commenting on such a proposed press release shall provide its comments, if any, within three (3) Business Days after receiving the press release for review. Notwithstanding the foregoing, a Party shall have the right to make a public announcement or press release announcing the achievement of each Regulatory Approval development milestone event set forth in Section 8.2 (excluding, for clarity, the Initiation of Phase 3 Clinical Trial milestones for any Indication) as it is achieved, and the achievement of other Regulatory Approvals in the Territory as they occur either (i) with the consent of the other Party (not to be unreasonably withheld); (ii) where required by applicable Laws or regulations promulgated by an applicable security exchange; or (iii) as permitted under Section 12.2. Except as provided in this subsection (c) or permitted under Section 12.2, no press release shall include the other Party’s Confidential Information without the prior written consent of such other Party. In relation to the other Party’s review of such an announcement, such other Party may make specific, reasonable comments on such proposed press release within the prescribed time for commentary. Neither Party shall be required to seek the permission of the other Party to repeat any information regarding the terms of this Agreement that has already been publicly disclosed by such Party, or by the other Party, in accordance with this Section 12.4, provided such information remains accurate as of such time.</w:t>
      </w:r>
    </w:p>
    <w:p>
      <w:pPr>
        <w:spacing w:after="0" w:line="158" w:lineRule="exact"/>
        <w:rPr>
          <w:rFonts w:ascii="Arial" w:cs="Arial" w:eastAsia="Arial" w:hAnsi="Arial"/>
          <w:sz w:val="19"/>
          <w:szCs w:val="19"/>
          <w:b w:val="1"/>
          <w:bCs w:val="1"/>
          <w:color w:val="auto"/>
        </w:rPr>
      </w:pPr>
    </w:p>
    <w:p>
      <w:pPr>
        <w:jc w:val="both"/>
        <w:ind w:left="-660" w:firstLine="1304"/>
        <w:spacing w:after="0" w:line="288" w:lineRule="auto"/>
        <w:tabs>
          <w:tab w:leader="none" w:pos="1170" w:val="left"/>
        </w:tabs>
        <w:numPr>
          <w:ilvl w:val="0"/>
          <w:numId w:val="417"/>
        </w:numPr>
        <w:rPr>
          <w:rFonts w:ascii="Arial" w:cs="Arial" w:eastAsia="Arial" w:hAnsi="Arial"/>
          <w:sz w:val="19"/>
          <w:szCs w:val="19"/>
          <w:b w:val="1"/>
          <w:bCs w:val="1"/>
          <w:color w:val="auto"/>
        </w:rPr>
      </w:pPr>
      <w:r>
        <w:rPr>
          <w:rFonts w:ascii="Arial" w:cs="Arial" w:eastAsia="Arial" w:hAnsi="Arial"/>
          <w:sz w:val="19"/>
          <w:szCs w:val="19"/>
          <w:color w:val="auto"/>
        </w:rPr>
        <w:t>The Parties acknowledge that either or both Parties may be obligated to file a copy of this Agreement and summaries of the terms hereof with the U.S. Securities and Exchange Commission or other Governmental Authority as reasonably required to comply with applicable Laws or the rules of a nationally-recognized securities exchange. Each Party shall be entitled to make such filings, provided that it requests confidential treatment of the commercial terms and sensitive technical terms hereof and thereof to the extent such confidential treatment is reasonably available to such Party; provided that the foregoing obligation to request confidential treatment shall not apply with respect to any disclosure of this Agreement by either Party to the U.S. Internal Revenue Service or similar Governmental Authority outside the U.S. In the event of any such filing, each Party will provide the other Party with a copy of this Agreement and related filings marked to show provisions for which such Party intends to seek confidential treatment and shall reasonably consider and incorporate the other Party’s comments thereon to the extent consistent with the legal requirements and the rules of any nationally recognized</w:t>
      </w:r>
    </w:p>
    <w:p>
      <w:pPr>
        <w:sectPr>
          <w:pgSz w:w="11900" w:h="16838" w:orient="portrait"/>
          <w:cols w:equalWidth="0" w:num="1">
            <w:col w:w="10580"/>
          </w:cols>
          <w:pgMar w:left="980" w:top="1421" w:right="339" w:bottom="1440" w:gutter="0" w:footer="0" w:header="0"/>
        </w:sectPr>
      </w:pPr>
    </w:p>
    <w:bookmarkStart w:id="438" w:name="page439"/>
    <w:bookmarkEnd w:id="438"/>
    <w:p>
      <w:pPr>
        <w:jc w:val="both"/>
        <w:spacing w:after="0" w:line="263" w:lineRule="auto"/>
        <w:rPr>
          <w:sz w:val="20"/>
          <w:szCs w:val="20"/>
          <w:color w:val="auto"/>
        </w:rPr>
      </w:pPr>
      <w:r>
        <w:rPr>
          <w:rFonts w:ascii="Arial" w:cs="Arial" w:eastAsia="Arial" w:hAnsi="Arial"/>
          <w:sz w:val="22"/>
          <w:szCs w:val="22"/>
          <w:color w:val="auto"/>
        </w:rPr>
        <w:t>securities exchange, with respect to the filing Party, governing disclosure of material agreements and material information to be publicly filed.</w:t>
      </w:r>
    </w:p>
    <w:p>
      <w:pPr>
        <w:spacing w:after="0" w:line="16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12.5 Equitable Relief</w:t>
      </w:r>
      <w:r>
        <w:rPr>
          <w:rFonts w:ascii="Arial" w:cs="Arial" w:eastAsia="Arial" w:hAnsi="Arial"/>
          <w:sz w:val="19"/>
          <w:szCs w:val="19"/>
          <w:color w:val="auto"/>
        </w:rPr>
        <w:t>. Each Party acknowledges that its breach of this Article 12 may cause irreparable harm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which cannot be reasonably or adequately compensated in damages in an action at law. By reasons thereof, each Party agrees that the other Party shall be entitled, in addition to any other remedies it may have under this Agreement or otherwise, to seek preliminary and permanent injunctive and other equitable relief to prevent or curtail any actual or threatened breach of the obligations relating to Confidential Information set forth in this Article 12 by the other Party.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13.1 Term</w:t>
      </w:r>
      <w:r>
        <w:rPr>
          <w:rFonts w:ascii="Arial" w:cs="Arial" w:eastAsia="Arial" w:hAnsi="Arial"/>
          <w:sz w:val="19"/>
          <w:szCs w:val="19"/>
          <w:color w:val="auto"/>
        </w:rPr>
        <w:t>. This Agreement shall become effective on the Effective Date and, unless earlier terminated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13, shall remain in effect on a Licensed Product-by- Licensed Product and country-by-country basis, until the expiration of the Royalty Term for such Licensed Product in such country (the “</w:t>
      </w:r>
      <w:r>
        <w:rPr>
          <w:rFonts w:ascii="Arial" w:cs="Arial" w:eastAsia="Arial" w:hAnsi="Arial"/>
          <w:sz w:val="19"/>
          <w:szCs w:val="19"/>
          <w:b w:val="1"/>
          <w:bCs w:val="1"/>
          <w:color w:val="auto"/>
        </w:rPr>
        <w:t>Term</w:t>
      </w:r>
      <w:r>
        <w:rPr>
          <w:rFonts w:ascii="Arial" w:cs="Arial" w:eastAsia="Arial" w:hAnsi="Arial"/>
          <w:sz w:val="19"/>
          <w:szCs w:val="19"/>
          <w:color w:val="auto"/>
        </w:rPr>
        <w:t>”). Upon the expiration of the Royalty Term for a Licensed Product in a particular country, the licenses granted by Molecular Partners to Allergan under Section 2.1 with respect to such Licensed Product and such country shall become fully paid-up, sublicenseable, irrevocable, and perpetual.</w:t>
      </w:r>
    </w:p>
    <w:p>
      <w:pPr>
        <w:spacing w:after="0" w:line="14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Termination by Allergan for Convenience</w:t>
      </w:r>
      <w:r>
        <w:rPr>
          <w:rFonts w:ascii="Arial" w:cs="Arial" w:eastAsia="Arial" w:hAnsi="Arial"/>
          <w:sz w:val="19"/>
          <w:szCs w:val="19"/>
          <w:color w:val="auto"/>
        </w:rPr>
        <w:t>. Allergan may terminate this Agreement in its entirety for any reason</w:t>
      </w:r>
    </w:p>
    <w:p>
      <w:pPr>
        <w:spacing w:after="0" w:line="27" w:lineRule="exact"/>
        <w:rPr>
          <w:sz w:val="20"/>
          <w:szCs w:val="20"/>
          <w:color w:val="auto"/>
        </w:rPr>
      </w:pPr>
    </w:p>
    <w:p>
      <w:pPr>
        <w:jc w:val="both"/>
        <w:ind w:firstLine="8"/>
        <w:spacing w:after="0" w:line="244" w:lineRule="auto"/>
        <w:tabs>
          <w:tab w:leader="none" w:pos="341" w:val="left"/>
        </w:tabs>
        <w:numPr>
          <w:ilvl w:val="0"/>
          <w:numId w:val="418"/>
        </w:numPr>
        <w:rPr>
          <w:rFonts w:ascii="Arial" w:cs="Arial" w:eastAsia="Arial" w:hAnsi="Arial"/>
          <w:sz w:val="22"/>
          <w:szCs w:val="22"/>
          <w:color w:val="auto"/>
        </w:rPr>
      </w:pPr>
      <w:r>
        <w:rPr>
          <w:rFonts w:ascii="Arial" w:cs="Arial" w:eastAsia="Arial" w:hAnsi="Arial"/>
          <w:sz w:val="22"/>
          <w:szCs w:val="22"/>
          <w:color w:val="auto"/>
        </w:rPr>
        <w:t>upon at least ninety (90) days prior written notice to Molecular Partners if such notice is delivered prior to the First Commercial Sale of a Licensed Product anywhere in the Territory, or (b) upon at least one hundred eighty (180) days prior written notice to Molecular Partners if such notice is delivered after the First Commercial Sale of a Licensed Product anywhere in the Territory. In the event of any significant adverse clinical events or the termination of a Clinical Trial for safety reasons and Allergan terminates this Agreement under this Section 13.2, the foregoing notice periods shall be reduced to forty-five (45) days and ninety (90) days, respectively.</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13.3 Termination for Breach</w:t>
      </w:r>
      <w:r>
        <w:rPr>
          <w:rFonts w:ascii="Arial" w:cs="Arial" w:eastAsia="Arial" w:hAnsi="Arial"/>
          <w:sz w:val="19"/>
          <w:szCs w:val="19"/>
          <w:color w:val="auto"/>
        </w:rPr>
        <w:t>. Each Party (the “</w:t>
      </w:r>
      <w:r>
        <w:rPr>
          <w:rFonts w:ascii="Arial" w:cs="Arial" w:eastAsia="Arial" w:hAnsi="Arial"/>
          <w:sz w:val="19"/>
          <w:szCs w:val="19"/>
          <w:b w:val="1"/>
          <w:bCs w:val="1"/>
          <w:color w:val="auto"/>
        </w:rPr>
        <w:t>Non-Breaching Party</w:t>
      </w:r>
      <w:r>
        <w:rPr>
          <w:rFonts w:ascii="Arial" w:cs="Arial" w:eastAsia="Arial" w:hAnsi="Arial"/>
          <w:sz w:val="19"/>
          <w:szCs w:val="19"/>
          <w:color w:val="auto"/>
        </w:rPr>
        <w:t>”) shall have the right, without prejudice to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remedies available to it at law or in equity, to terminate this Agreement in its entirety upon written notice to the other Party if the other Party materially breaches its obligations under this Agreement and, after receiving written notice identifying such material breach in reasonable detail, fails to cure such material breach, or if such material breach is not susceptible to cure within the Cure Period, fails to deliver to the Non-Breaching Party a written plan that is reasonably calculated to resolve such material breach, within ninety (90) days from the date of such notice (or within thirty (30) days from the date of such notice in the event such material breach is solely based on the breaching Party’s failure to pay any undisputed amounts due hereunder) (the “</w:t>
      </w:r>
      <w:r>
        <w:rPr>
          <w:rFonts w:ascii="Arial" w:cs="Arial" w:eastAsia="Arial" w:hAnsi="Arial"/>
          <w:sz w:val="19"/>
          <w:szCs w:val="19"/>
          <w:b w:val="1"/>
          <w:bCs w:val="1"/>
          <w:color w:val="auto"/>
        </w:rPr>
        <w:t>Cure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If the Parties reasonably and in good faith disagree as to whether there has been a material breach, the Party that</w:t>
      </w:r>
      <w:r>
        <w:rPr>
          <w:rFonts w:ascii="Arial" w:cs="Arial" w:eastAsia="Arial" w:hAnsi="Arial"/>
          <w:sz w:val="19"/>
          <w:szCs w:val="19"/>
          <w:b w:val="1"/>
          <w:bCs w:val="1"/>
          <w:color w:val="auto"/>
        </w:rPr>
        <w:t xml:space="preserve"> </w:t>
      </w:r>
      <w:r>
        <w:rPr>
          <w:rFonts w:ascii="Arial" w:cs="Arial" w:eastAsia="Arial" w:hAnsi="Arial"/>
          <w:sz w:val="19"/>
          <w:szCs w:val="19"/>
          <w:color w:val="auto"/>
        </w:rPr>
        <w:t>disputes that there has been a material breach may contest the allegation in accordance with Article 14. It is understood and acknowledged that, during the pendency of such a Dispute, the Cure Period shall be extended by</w:t>
      </w:r>
    </w:p>
    <w:p>
      <w:pPr>
        <w:sectPr>
          <w:pgSz w:w="11900" w:h="16838" w:orient="portrait"/>
          <w:cols w:equalWidth="0" w:num="1">
            <w:col w:w="11240"/>
          </w:cols>
          <w:pgMar w:left="320" w:top="1427" w:right="339" w:bottom="1440" w:gutter="0" w:footer="0" w:header="0"/>
        </w:sectPr>
      </w:pPr>
    </w:p>
    <w:bookmarkStart w:id="439" w:name="page440"/>
    <w:bookmarkEnd w:id="439"/>
    <w:p>
      <w:pPr>
        <w:jc w:val="both"/>
        <w:spacing w:after="0" w:line="289" w:lineRule="auto"/>
        <w:rPr>
          <w:sz w:val="20"/>
          <w:szCs w:val="20"/>
          <w:color w:val="auto"/>
        </w:rPr>
      </w:pPr>
      <w:r>
        <w:rPr>
          <w:rFonts w:ascii="Arial" w:cs="Arial" w:eastAsia="Arial" w:hAnsi="Arial"/>
          <w:sz w:val="19"/>
          <w:szCs w:val="19"/>
          <w:color w:val="auto"/>
        </w:rPr>
        <w:t>the period of time of such pendency, all of the terms and conditions of this Agreement shall remain in effect, and the Parties shall continue to perform all of their respective obligations under this Agreement. If in connection with such Dispute brought under Article 14, an arbitrator determines that Allergan has materially breached its obligations under Section 4.2 or 6.2 or asserts a patent challenge pursuant to Section 13.4 that is not permitted under Section 13.4, then this Agreement shall terminate and the consequences of Section 13.5 shall apply. In the case of material breach of this Agreement by Allergan other that covered by the foregoing sentence, then the arbitrator may terminate this Agreement if Molecular Partners does not have a reasonable remedy for all damages resulting from such material breach or the character, frequency, nature and extent of such breach (including the culpability of the Parties) supports termination of this Agreement as an appropriate remedy. Nothing in this Section 13.3 shall limit a Party’s ability to seek remedies available under this Agreement in law or equity.</w:t>
      </w:r>
    </w:p>
    <w:p>
      <w:pPr>
        <w:spacing w:after="0" w:line="15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13.4 Termination by Molecular Partners for Patent Challenge</w:t>
      </w:r>
      <w:r>
        <w:rPr>
          <w:rFonts w:ascii="Arial" w:cs="Arial" w:eastAsia="Arial" w:hAnsi="Arial"/>
          <w:sz w:val="19"/>
          <w:szCs w:val="19"/>
          <w:color w:val="auto"/>
        </w:rPr>
        <w:t>. Molecular Partners may terminate this Agreement in</w:t>
      </w:r>
      <w:r>
        <w:rPr>
          <w:rFonts w:ascii="Arial" w:cs="Arial" w:eastAsia="Arial" w:hAnsi="Arial"/>
          <w:sz w:val="19"/>
          <w:szCs w:val="19"/>
          <w:b w:val="1"/>
          <w:bCs w:val="1"/>
          <w:color w:val="auto"/>
        </w:rPr>
        <w:t xml:space="preserve"> </w:t>
      </w:r>
      <w:r>
        <w:rPr>
          <w:rFonts w:ascii="Arial" w:cs="Arial" w:eastAsia="Arial" w:hAnsi="Arial"/>
          <w:sz w:val="19"/>
          <w:szCs w:val="19"/>
          <w:color w:val="auto"/>
        </w:rPr>
        <w:t>its entirety immediately upon written notice to Allergan if Allergan or its Affiliates or Sublicensees (directly or indirectly, individually or in association with any other person or entity) challenges the validity, enforceability or scope of any Molecular Partners Patent anywhere in the world. Notwithstanding the foregoing, in the event that Molecular Partners (directly or indirectly) first initiates or participates in a legal proceeding against Allergan, its Affiliates or Sublicensees in which the Patents within the Molecular Partners Patents are asserted against Allergan, its Affiliates or Sublicensees, then Allergan its Affiliates or Sublicensees, as applicable, shall have the right to participate in such actions including by challenging the validity, enforceability or scope of any Molecular Partners Patent, and no such challenge by Allergan, its Affiliates or Sublicensees shall give Molecular Partners the right to terminate this Agreement under this Section 13.4.</w:t>
      </w:r>
    </w:p>
    <w:p>
      <w:pPr>
        <w:spacing w:after="0" w:line="1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Consequences of Termination</w:t>
      </w:r>
      <w:r>
        <w:rPr>
          <w:rFonts w:ascii="Arial" w:cs="Arial" w:eastAsia="Arial" w:hAnsi="Arial"/>
          <w:sz w:val="19"/>
          <w:szCs w:val="19"/>
          <w:color w:val="auto"/>
        </w:rPr>
        <w:t>.</w:t>
      </w:r>
    </w:p>
    <w:p>
      <w:pPr>
        <w:spacing w:after="0" w:line="226" w:lineRule="exact"/>
        <w:rPr>
          <w:sz w:val="20"/>
          <w:szCs w:val="20"/>
          <w:color w:val="auto"/>
        </w:rPr>
      </w:pPr>
    </w:p>
    <w:p>
      <w:pPr>
        <w:ind w:firstLine="1304"/>
        <w:spacing w:after="0" w:line="263" w:lineRule="auto"/>
        <w:tabs>
          <w:tab w:leader="none" w:pos="1764" w:val="left"/>
        </w:tabs>
        <w:numPr>
          <w:ilvl w:val="0"/>
          <w:numId w:val="419"/>
        </w:numPr>
        <w:rPr>
          <w:rFonts w:ascii="Arial" w:cs="Arial" w:eastAsia="Arial" w:hAnsi="Arial"/>
          <w:sz w:val="22"/>
          <w:szCs w:val="22"/>
          <w:b w:val="1"/>
          <w:bCs w:val="1"/>
          <w:color w:val="auto"/>
        </w:rPr>
      </w:pPr>
      <w:r>
        <w:rPr>
          <w:rFonts w:ascii="Arial" w:cs="Arial" w:eastAsia="Arial" w:hAnsi="Arial"/>
          <w:sz w:val="22"/>
          <w:szCs w:val="22"/>
          <w:color w:val="auto"/>
        </w:rPr>
        <w:t>Upon any termination of this Agreement, except as otherwise set forth in Section 13.6, all licenses and rights granted by either Party under this Agreement shall terminate.</w:t>
      </w:r>
    </w:p>
    <w:p>
      <w:pPr>
        <w:spacing w:after="0" w:line="174" w:lineRule="exact"/>
        <w:rPr>
          <w:rFonts w:ascii="Arial" w:cs="Arial" w:eastAsia="Arial" w:hAnsi="Arial"/>
          <w:sz w:val="22"/>
          <w:szCs w:val="22"/>
          <w:b w:val="1"/>
          <w:bCs w:val="1"/>
          <w:color w:val="auto"/>
        </w:rPr>
      </w:pPr>
    </w:p>
    <w:p>
      <w:pPr>
        <w:jc w:val="both"/>
        <w:ind w:firstLine="1304"/>
        <w:spacing w:after="0" w:line="302" w:lineRule="auto"/>
        <w:tabs>
          <w:tab w:leader="none" w:pos="1776" w:val="left"/>
        </w:tabs>
        <w:numPr>
          <w:ilvl w:val="0"/>
          <w:numId w:val="419"/>
        </w:numPr>
        <w:rPr>
          <w:rFonts w:ascii="Arial" w:cs="Arial" w:eastAsia="Arial" w:hAnsi="Arial"/>
          <w:sz w:val="19"/>
          <w:szCs w:val="19"/>
          <w:b w:val="1"/>
          <w:bCs w:val="1"/>
          <w:color w:val="auto"/>
        </w:rPr>
      </w:pPr>
      <w:r>
        <w:rPr>
          <w:rFonts w:ascii="Arial" w:cs="Arial" w:eastAsia="Arial" w:hAnsi="Arial"/>
          <w:sz w:val="19"/>
          <w:szCs w:val="19"/>
          <w:color w:val="auto"/>
        </w:rPr>
        <w:t>Upon termination of this Agreement by Allergan pursuant to Section 13.2, or by Molecular Partners pursuant to Section 13.3 in the event an arbitrator determines pursuant to Section 13.3 that Allergan has materially breached its obligations under Section 4.2 or 6.2 or asserts a patent challenge pursuant to Section 13.4 that is not permitted under Section 13.4, except to the extent Allergan has sublicensed rights with respect to a Terminated Product to a Sublicensee pursuant to Section 2.3:</w:t>
      </w:r>
    </w:p>
    <w:p>
      <w:pPr>
        <w:spacing w:after="0" w:line="142" w:lineRule="exact"/>
        <w:rPr>
          <w:rFonts w:ascii="Arial" w:cs="Arial" w:eastAsia="Arial" w:hAnsi="Arial"/>
          <w:sz w:val="19"/>
          <w:szCs w:val="19"/>
          <w:b w:val="1"/>
          <w:bCs w:val="1"/>
          <w:color w:val="auto"/>
        </w:rPr>
      </w:pPr>
    </w:p>
    <w:p>
      <w:pPr>
        <w:jc w:val="both"/>
        <w:ind w:firstLine="1952"/>
        <w:spacing w:after="0" w:line="297" w:lineRule="auto"/>
        <w:tabs>
          <w:tab w:leader="none" w:pos="2418" w:val="left"/>
        </w:tabs>
        <w:numPr>
          <w:ilvl w:val="1"/>
          <w:numId w:val="419"/>
        </w:numPr>
        <w:rPr>
          <w:rFonts w:ascii="Arial" w:cs="Arial" w:eastAsia="Arial" w:hAnsi="Arial"/>
          <w:sz w:val="19"/>
          <w:szCs w:val="19"/>
          <w:b w:val="1"/>
          <w:bCs w:val="1"/>
          <w:color w:val="auto"/>
        </w:rPr>
      </w:pPr>
      <w:r>
        <w:rPr>
          <w:rFonts w:ascii="Arial" w:cs="Arial" w:eastAsia="Arial" w:hAnsi="Arial"/>
          <w:sz w:val="19"/>
          <w:szCs w:val="19"/>
          <w:color w:val="auto"/>
        </w:rPr>
        <w:t>to the extent permitted by applicable Laws, Allergan shall transfer and assign to Molecular Partners all Regulatory Materials (including all Information and clinical data referenced therein or generated under this Agreement) and Regulatory Approvals for Licensed Compounds and Licensed Products Controlled by Allergan and shall treat the foregoing as “Confidential Information” of Molecular Partners (and not of Allergan) under Article 12; provided that Allergan will be allowed to retain a copy of any such Regulatory Materials that a Regulatory Authority requires Allergan to retain under applicable Laws;</w:t>
      </w:r>
    </w:p>
    <w:p>
      <w:pPr>
        <w:sectPr>
          <w:pgSz w:w="11900" w:h="16838" w:orient="portrait"/>
          <w:cols w:equalWidth="0" w:num="1">
            <w:col w:w="11240"/>
          </w:cols>
          <w:pgMar w:left="320" w:top="1427" w:right="339" w:bottom="1440" w:gutter="0" w:footer="0" w:header="0"/>
        </w:sectPr>
      </w:pPr>
    </w:p>
    <w:bookmarkStart w:id="440" w:name="page441"/>
    <w:bookmarkEnd w:id="440"/>
    <w:p>
      <w:pPr>
        <w:ind w:left="2560" w:hanging="608"/>
        <w:spacing w:after="0"/>
        <w:tabs>
          <w:tab w:leader="none" w:pos="2560" w:val="left"/>
        </w:tabs>
        <w:numPr>
          <w:ilvl w:val="0"/>
          <w:numId w:val="420"/>
        </w:numPr>
        <w:rPr>
          <w:rFonts w:ascii="Arial" w:cs="Arial" w:eastAsia="Arial" w:hAnsi="Arial"/>
          <w:sz w:val="21"/>
          <w:szCs w:val="21"/>
          <w:b w:val="1"/>
          <w:bCs w:val="1"/>
          <w:color w:val="auto"/>
        </w:rPr>
      </w:pPr>
      <w:r>
        <w:rPr>
          <w:rFonts w:ascii="Arial" w:cs="Arial" w:eastAsia="Arial" w:hAnsi="Arial"/>
          <w:sz w:val="21"/>
          <w:szCs w:val="21"/>
          <w:color w:val="auto"/>
        </w:rPr>
        <w:t>Allergan hereby grants to Molecular Partners, effective upon such termination, ***, license ***</w:t>
      </w:r>
    </w:p>
    <w:p>
      <w:pPr>
        <w:spacing w:after="0" w:line="32" w:lineRule="exact"/>
        <w:rPr>
          <w:rFonts w:ascii="Arial" w:cs="Arial" w:eastAsia="Arial" w:hAnsi="Arial"/>
          <w:sz w:val="21"/>
          <w:szCs w:val="21"/>
          <w:b w:val="1"/>
          <w:bCs w:val="1"/>
          <w:color w:val="auto"/>
        </w:rPr>
      </w:pPr>
    </w:p>
    <w:p>
      <w:pPr>
        <w:jc w:val="both"/>
        <w:spacing w:after="0" w:line="256" w:lineRule="auto"/>
        <w:rPr>
          <w:rFonts w:ascii="Arial" w:cs="Arial" w:eastAsia="Arial" w:hAnsi="Arial"/>
          <w:sz w:val="21"/>
          <w:szCs w:val="21"/>
          <w:b w:val="1"/>
          <w:bCs w:val="1"/>
          <w:color w:val="auto"/>
        </w:rPr>
      </w:pPr>
      <w:r>
        <w:rPr>
          <w:rFonts w:ascii="Arial" w:cs="Arial" w:eastAsia="Arial" w:hAnsi="Arial"/>
          <w:sz w:val="21"/>
          <w:szCs w:val="21"/>
          <w:color w:val="auto"/>
        </w:rPr>
        <w:t>under (A) all Patents Controlled by Allergan and Licensed Product Marks (excluding, for clarity, any Trademarks that include, in whole or part, any corporate name or logo of Allergan) in each case solely to the extent claiming or covering for the continued clinical development, Manufacture or Commercialization of the applicable Terminated Products, (B) all Information (including Inventions) Controlled by Allergan solely to the extent reasonably necessary for the continued clinical development, Manufacture or Commercialization of the applicable Terminated Products, and (C) any Joint Patents, solely to make, sell, offer for sale, and import such Terminated Products; provided that Molecular Partners shall be responsible for any payments to Third Parties for any Patent or Information owned by such Third Party and licensed to Molecular Partners from Allergan under this subsection (ii) to the extent such payments result from Molecular Partner’s development, manufacture or commercialization of such Terminated Products. Notwithstanding anything to the contrary in this Agreement, the foregoing license shall not extend to any modification of a Terminated Product;</w:t>
      </w:r>
    </w:p>
    <w:p>
      <w:pPr>
        <w:spacing w:after="0" w:line="187" w:lineRule="exact"/>
        <w:rPr>
          <w:rFonts w:ascii="Arial" w:cs="Arial" w:eastAsia="Arial" w:hAnsi="Arial"/>
          <w:sz w:val="21"/>
          <w:szCs w:val="21"/>
          <w:b w:val="1"/>
          <w:bCs w:val="1"/>
          <w:color w:val="auto"/>
        </w:rPr>
      </w:pPr>
    </w:p>
    <w:p>
      <w:pPr>
        <w:jc w:val="both"/>
        <w:ind w:firstLine="1952"/>
        <w:spacing w:after="0" w:line="287" w:lineRule="auto"/>
        <w:tabs>
          <w:tab w:leader="none" w:pos="2619" w:val="left"/>
        </w:tabs>
        <w:numPr>
          <w:ilvl w:val="0"/>
          <w:numId w:val="420"/>
        </w:numPr>
        <w:rPr>
          <w:rFonts w:ascii="Arial" w:cs="Arial" w:eastAsia="Arial" w:hAnsi="Arial"/>
          <w:sz w:val="19"/>
          <w:szCs w:val="19"/>
          <w:b w:val="1"/>
          <w:bCs w:val="1"/>
          <w:color w:val="auto"/>
        </w:rPr>
      </w:pPr>
      <w:r>
        <w:rPr>
          <w:rFonts w:ascii="Arial" w:cs="Arial" w:eastAsia="Arial" w:hAnsi="Arial"/>
          <w:sz w:val="19"/>
          <w:szCs w:val="19"/>
          <w:color w:val="auto"/>
        </w:rPr>
        <w:t>Allergan shall use reasonable efforts to transfer the then-current Manufacturing process for the Terminated Products, including using reasonable efforts to transfer any applicable Third Party agreements covering such Manufacture, to Molecular Partners or its designee (which will be designated as soon as reasonably practical but in no event later than *** following the effective date of the termination of this Agreement). Molecular Partners shall have the right to use such Manufacturing process solely for the purpose of Manufacturing such Terminated Product. Such assistance shall be provided at Allergan’s then current FTE rates, subject to a pre-approved budget therefor. At Molecular Partners’ request, Allergan shall use reasonable efforts to supply, or cause to be supplied, to Molecular Partners sufficient quantities of Terminated Products to satisfy Molecular Partners’ and its sublicensees’ requirements for Terminated Products for a period of the earlier of ***; provided that Molecular Partners shall use reasonable efforts to be able to Manufacture Terminated Products as promptly as practicable. Any such supply will be made pursuant to a mutually acceptable supply agreement between the Parties that provides for supply at a price equal to *** of Allergan’s fully-burdened cost to manufacture Terminated Products;</w:t>
      </w:r>
    </w:p>
    <w:p>
      <w:pPr>
        <w:spacing w:after="0" w:line="163" w:lineRule="exact"/>
        <w:rPr>
          <w:rFonts w:ascii="Arial" w:cs="Arial" w:eastAsia="Arial" w:hAnsi="Arial"/>
          <w:sz w:val="19"/>
          <w:szCs w:val="19"/>
          <w:b w:val="1"/>
          <w:bCs w:val="1"/>
          <w:color w:val="auto"/>
        </w:rPr>
      </w:pPr>
    </w:p>
    <w:p>
      <w:pPr>
        <w:jc w:val="both"/>
        <w:ind w:firstLine="1952"/>
        <w:spacing w:after="0" w:line="292" w:lineRule="auto"/>
        <w:tabs>
          <w:tab w:leader="none" w:pos="2634" w:val="left"/>
        </w:tabs>
        <w:numPr>
          <w:ilvl w:val="0"/>
          <w:numId w:val="420"/>
        </w:numPr>
        <w:rPr>
          <w:rFonts w:ascii="Arial" w:cs="Arial" w:eastAsia="Arial" w:hAnsi="Arial"/>
          <w:sz w:val="19"/>
          <w:szCs w:val="19"/>
          <w:b w:val="1"/>
          <w:bCs w:val="1"/>
          <w:color w:val="auto"/>
        </w:rPr>
      </w:pPr>
      <w:r>
        <w:rPr>
          <w:rFonts w:ascii="Arial" w:cs="Arial" w:eastAsia="Arial" w:hAnsi="Arial"/>
          <w:sz w:val="19"/>
          <w:szCs w:val="19"/>
          <w:color w:val="auto"/>
        </w:rPr>
        <w:t>Allergan shall provide such assistance, at Allergan’s then current FTE rates, subject to a pre-approved budget therefor, as may be reasonably necessary or useful for Molecular Partners to continue Developing or Commercializing Terminated Products, to the extent Allergan is then performing or having performed such activities, including assigning or amending as appropriate, upon request of Molecular Partners, any agreements or arrangements with Third Party vendors to Develop or Commercialize Terminated Products. To the extent that any such contract between Allergan and a Third Party is not assignable to Molecular Partners, Allergan shall reasonably cooperate with Molecular Partners to arrange to continue to provide such services for a reasonable time after termination, at Molecular Partner’s cost;</w:t>
      </w:r>
    </w:p>
    <w:p>
      <w:pPr>
        <w:spacing w:after="0" w:line="150" w:lineRule="exact"/>
        <w:rPr>
          <w:rFonts w:ascii="Arial" w:cs="Arial" w:eastAsia="Arial" w:hAnsi="Arial"/>
          <w:sz w:val="19"/>
          <w:szCs w:val="19"/>
          <w:b w:val="1"/>
          <w:bCs w:val="1"/>
          <w:color w:val="auto"/>
        </w:rPr>
      </w:pPr>
    </w:p>
    <w:p>
      <w:pPr>
        <w:jc w:val="both"/>
        <w:ind w:firstLine="1952"/>
        <w:spacing w:after="0" w:line="312" w:lineRule="auto"/>
        <w:tabs>
          <w:tab w:leader="none" w:pos="2601" w:val="left"/>
        </w:tabs>
        <w:numPr>
          <w:ilvl w:val="0"/>
          <w:numId w:val="420"/>
        </w:numPr>
        <w:rPr>
          <w:rFonts w:ascii="Arial" w:cs="Arial" w:eastAsia="Arial" w:hAnsi="Arial"/>
          <w:sz w:val="19"/>
          <w:szCs w:val="19"/>
          <w:b w:val="1"/>
          <w:bCs w:val="1"/>
          <w:color w:val="auto"/>
        </w:rPr>
      </w:pPr>
      <w:r>
        <w:rPr>
          <w:rFonts w:ascii="Arial" w:cs="Arial" w:eastAsia="Arial" w:hAnsi="Arial"/>
          <w:sz w:val="19"/>
          <w:szCs w:val="19"/>
          <w:color w:val="auto"/>
        </w:rPr>
        <w:t>Allergan shall, at the request of Molecular Partners, either transfer to Molecular Partners the management and continued performance of all Clinical Trials for Terminated Products ongoing or terminate one or more of such Clinical Trials. Notwithstanding, Allergan may perform any Clinical Trial requested to be terminated by Molecular Partners (for</w:t>
      </w:r>
    </w:p>
    <w:p>
      <w:pPr>
        <w:sectPr>
          <w:pgSz w:w="11900" w:h="16838" w:orient="portrait"/>
          <w:cols w:equalWidth="0" w:num="1">
            <w:col w:w="11240"/>
          </w:cols>
          <w:pgMar w:left="320" w:top="1427" w:right="339" w:bottom="1440" w:gutter="0" w:footer="0" w:header="0"/>
        </w:sectPr>
      </w:pPr>
    </w:p>
    <w:bookmarkStart w:id="441" w:name="page442"/>
    <w:bookmarkEnd w:id="441"/>
    <w:p>
      <w:pPr>
        <w:spacing w:after="0" w:line="263" w:lineRule="auto"/>
        <w:rPr>
          <w:sz w:val="20"/>
          <w:szCs w:val="20"/>
          <w:color w:val="auto"/>
        </w:rPr>
      </w:pPr>
      <w:r>
        <w:rPr>
          <w:rFonts w:ascii="Arial" w:cs="Arial" w:eastAsia="Arial" w:hAnsi="Arial"/>
          <w:sz w:val="22"/>
          <w:szCs w:val="22"/>
          <w:color w:val="auto"/>
        </w:rPr>
        <w:t>clarity, including following the effective date of termination of this Agreement) that may not be terminated under applicable Law or ethical clinical practices;</w:t>
      </w:r>
    </w:p>
    <w:p>
      <w:pPr>
        <w:spacing w:after="0" w:line="175" w:lineRule="exact"/>
        <w:rPr>
          <w:sz w:val="20"/>
          <w:szCs w:val="20"/>
          <w:color w:val="auto"/>
        </w:rPr>
      </w:pPr>
    </w:p>
    <w:p>
      <w:pPr>
        <w:ind w:left="2520" w:hanging="568"/>
        <w:spacing w:after="0"/>
        <w:tabs>
          <w:tab w:leader="none" w:pos="2520" w:val="left"/>
        </w:tabs>
        <w:numPr>
          <w:ilvl w:val="0"/>
          <w:numId w:val="421"/>
        </w:numPr>
        <w:rPr>
          <w:rFonts w:ascii="Arial" w:cs="Arial" w:eastAsia="Arial" w:hAnsi="Arial"/>
          <w:sz w:val="19"/>
          <w:szCs w:val="19"/>
          <w:b w:val="1"/>
          <w:bCs w:val="1"/>
          <w:color w:val="auto"/>
        </w:rPr>
      </w:pPr>
      <w:r>
        <w:rPr>
          <w:rFonts w:ascii="Arial" w:cs="Arial" w:eastAsia="Arial" w:hAnsi="Arial"/>
          <w:sz w:val="19"/>
          <w:szCs w:val="19"/>
          <w:color w:val="auto"/>
        </w:rPr>
        <w:t>Allergan shall pay Molecular Partners any and all payments that have accrued prior to the effective</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date of such termination;</w:t>
      </w:r>
    </w:p>
    <w:p>
      <w:pPr>
        <w:spacing w:after="0" w:line="201" w:lineRule="exact"/>
        <w:rPr>
          <w:rFonts w:ascii="Arial" w:cs="Arial" w:eastAsia="Arial" w:hAnsi="Arial"/>
          <w:sz w:val="19"/>
          <w:szCs w:val="19"/>
          <w:b w:val="1"/>
          <w:bCs w:val="1"/>
          <w:color w:val="auto"/>
        </w:rPr>
      </w:pPr>
    </w:p>
    <w:p>
      <w:pPr>
        <w:jc w:val="both"/>
        <w:ind w:firstLine="1952"/>
        <w:spacing w:after="0" w:line="253" w:lineRule="auto"/>
        <w:tabs>
          <w:tab w:leader="none" w:pos="2734" w:val="left"/>
        </w:tabs>
        <w:numPr>
          <w:ilvl w:val="0"/>
          <w:numId w:val="421"/>
        </w:numPr>
        <w:rPr>
          <w:rFonts w:ascii="Arial" w:cs="Arial" w:eastAsia="Arial" w:hAnsi="Arial"/>
          <w:sz w:val="22"/>
          <w:szCs w:val="22"/>
          <w:b w:val="1"/>
          <w:bCs w:val="1"/>
          <w:color w:val="auto"/>
        </w:rPr>
      </w:pPr>
      <w:r>
        <w:rPr>
          <w:rFonts w:ascii="Arial" w:cs="Arial" w:eastAsia="Arial" w:hAnsi="Arial"/>
          <w:sz w:val="22"/>
          <w:szCs w:val="22"/>
          <w:color w:val="auto"/>
        </w:rPr>
        <w:t>Allergan shall continue to perform all obligations under this Agreement with respect to the Development, Manufacture and Commercialization of Licensed Products until the effective date of termination and shall not modify in any material respects such activities from past practices during such period; and</w:t>
      </w:r>
    </w:p>
    <w:p>
      <w:pPr>
        <w:spacing w:after="0" w:line="185" w:lineRule="exact"/>
        <w:rPr>
          <w:rFonts w:ascii="Arial" w:cs="Arial" w:eastAsia="Arial" w:hAnsi="Arial"/>
          <w:sz w:val="22"/>
          <w:szCs w:val="22"/>
          <w:b w:val="1"/>
          <w:bCs w:val="1"/>
          <w:color w:val="auto"/>
        </w:rPr>
      </w:pPr>
    </w:p>
    <w:p>
      <w:pPr>
        <w:jc w:val="both"/>
        <w:ind w:firstLine="1952"/>
        <w:spacing w:after="0" w:line="292" w:lineRule="auto"/>
        <w:tabs>
          <w:tab w:leader="none" w:pos="2605" w:val="left"/>
        </w:tabs>
        <w:numPr>
          <w:ilvl w:val="0"/>
          <w:numId w:val="421"/>
        </w:numPr>
        <w:rPr>
          <w:rFonts w:ascii="Arial" w:cs="Arial" w:eastAsia="Arial" w:hAnsi="Arial"/>
          <w:sz w:val="19"/>
          <w:szCs w:val="19"/>
          <w:b w:val="1"/>
          <w:bCs w:val="1"/>
          <w:color w:val="auto"/>
        </w:rPr>
      </w:pPr>
      <w:r>
        <w:rPr>
          <w:rFonts w:ascii="Arial" w:cs="Arial" w:eastAsia="Arial" w:hAnsi="Arial"/>
          <w:sz w:val="19"/>
          <w:szCs w:val="19"/>
          <w:color w:val="auto"/>
        </w:rPr>
        <w:t>Solely in the case of any termination of this Agreement by Allergan for convenience under Section 13.2, in consideration for the rights granted and the Information and items provided to Molecular Partners under Section 13.5(a), Molecular Partners will pay Allergan a royalty on post-termination Net Sales of Terminated Products. The royalty rate will be based upon the effective date of termination as follows: ***. The determination of royalties shall be determined using the definition of Net Sales applied mutatis mutandis to sales by Molecular Partners, its Affiliates and sublicensees and the terms of such royalty (including the Royalty Term and any deductions thereto) shall be as set forth in Section 8.4 (except for subsection (a)), 8.7, 8.8, and 8.9 as applied mutatis mutandis to Molecular Partners its Affiliates and sublicensees.</w:t>
      </w:r>
    </w:p>
    <w:p>
      <w:pPr>
        <w:spacing w:after="0" w:line="14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13.6 Survival</w:t>
      </w:r>
      <w:r>
        <w:rPr>
          <w:rFonts w:ascii="Arial" w:cs="Arial" w:eastAsia="Arial" w:hAnsi="Arial"/>
          <w:sz w:val="21"/>
          <w:szCs w:val="21"/>
          <w:color w:val="auto"/>
        </w:rPr>
        <w:t>. Termination or expiration of this Agreement shall not affect any rights or obligations of the Parties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that have accrued prior to the date of termination or expiration. Notwithstanding anything to the contrary, the following provisions shall survive any expiration or termination of this Agreement: Articles 1, 11, 12 (for the period set forth in Section 12.1), 14, and 15 and Sections 2.1(b), 2.4, 2.5, 4.7(f), 8.4 (except for subsection (a)), 8.7, 8.8, and 8.9 (each such listed section in Article 8 to the extent applicable to payments (a) accrued prior to the effective date of such termination or expiration and payable by Allergan under Article 8 or (b) payable under Section 13.5(b)(viii), as applicable), 9.1, 9.3, 9.4(b), 10.5, 13.5 (as applicable), 13.6, and 13.7.</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13.7 No Limitation on Remedies</w:t>
      </w:r>
      <w:r>
        <w:rPr>
          <w:rFonts w:ascii="Arial" w:cs="Arial" w:eastAsia="Arial" w:hAnsi="Arial"/>
          <w:sz w:val="21"/>
          <w:szCs w:val="21"/>
          <w:color w:val="auto"/>
        </w:rPr>
        <w:t>. Notwithstanding anything to the contrary in this Agreement, termination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of this Agreement shall not relieve the Parties of any liability or obligation which accrued hereunder prior to the effective date of such termination or expiration nor prejudice either Party’s right to obtain performance of any obligation. Subject to the terms and conditions of this Agreement, each Party shall be free to seek (without restriction as to the number of times it may seek) damages, costs and remedies that may be available at Law or in equity and shall be entitled to offset the amount of any damages and costs obtained in a final, non-appealable judgment (or judgment from which no appeal was taken within the allowable time period) of monetary damages or costs (as permitted by this Agreement) against the other Party against any amounts otherwise due to such other Party under this Agreement.</w:t>
      </w:r>
    </w:p>
    <w:p>
      <w:pPr>
        <w:sectPr>
          <w:pgSz w:w="11900" w:h="16838" w:orient="portrait"/>
          <w:cols w:equalWidth="0" w:num="1">
            <w:col w:w="11240"/>
          </w:cols>
          <w:pgMar w:left="320" w:top="1427" w:right="339" w:bottom="1440" w:gutter="0" w:footer="0" w:header="0"/>
        </w:sectPr>
      </w:pPr>
    </w:p>
    <w:bookmarkStart w:id="442" w:name="page443"/>
    <w:bookmarkEnd w:id="442"/>
    <w:p>
      <w:pPr>
        <w:jc w:val="center"/>
        <w:spacing w:after="0"/>
        <w:rPr>
          <w:sz w:val="20"/>
          <w:szCs w:val="20"/>
          <w:color w:val="auto"/>
        </w:rPr>
      </w:pPr>
      <w:r>
        <w:rPr>
          <w:rFonts w:ascii="Arial" w:cs="Arial" w:eastAsia="Arial" w:hAnsi="Arial"/>
          <w:sz w:val="22"/>
          <w:szCs w:val="22"/>
          <w:b w:val="1"/>
          <w:bCs w:val="1"/>
          <w:color w:val="auto"/>
        </w:rPr>
        <w:t>ARTICLE 14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14.1 Disputes</w:t>
      </w:r>
      <w:r>
        <w:rPr>
          <w:rFonts w:ascii="Arial" w:cs="Arial" w:eastAsia="Arial" w:hAnsi="Arial"/>
          <w:sz w:val="21"/>
          <w:szCs w:val="21"/>
          <w:color w:val="auto"/>
        </w:rPr>
        <w:t>. The Parties recognize that controversies or claims arising out of, relating to or in connection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of this Agreement as to certain matters may from time to time arise that relate to either Party’s rights or obligations hereunder (collectively, “</w:t>
      </w:r>
      <w:r>
        <w:rPr>
          <w:rFonts w:ascii="Arial" w:cs="Arial" w:eastAsia="Arial" w:hAnsi="Arial"/>
          <w:sz w:val="21"/>
          <w:szCs w:val="21"/>
          <w:b w:val="1"/>
          <w:bCs w:val="1"/>
          <w:color w:val="auto"/>
        </w:rPr>
        <w:t>Disputes</w:t>
      </w:r>
      <w:r>
        <w:rPr>
          <w:rFonts w:ascii="Arial" w:cs="Arial" w:eastAsia="Arial" w:hAnsi="Arial"/>
          <w:sz w:val="21"/>
          <w:szCs w:val="21"/>
          <w:color w:val="auto"/>
        </w:rPr>
        <w:t>”). It is the objective of the Parties to establish procedures to facilitate the resolution of Disputes in an expedient manner by mutual cooperation and without resort to litigation. To accomplish this objective, the Parties agree to follow the procedures set forth in this Article 14 to resolve any Dispute.</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14.2 Internal Resolution</w:t>
      </w:r>
      <w:r>
        <w:rPr>
          <w:rFonts w:ascii="Arial" w:cs="Arial" w:eastAsia="Arial" w:hAnsi="Arial"/>
          <w:sz w:val="21"/>
          <w:szCs w:val="21"/>
          <w:color w:val="auto"/>
        </w:rPr>
        <w:t>. With respect to all Disputes, including any alleged breach under this Agreement or any issue</w:t>
      </w:r>
      <w:r>
        <w:rPr>
          <w:rFonts w:ascii="Arial" w:cs="Arial" w:eastAsia="Arial" w:hAnsi="Arial"/>
          <w:sz w:val="21"/>
          <w:szCs w:val="21"/>
          <w:b w:val="1"/>
          <w:bCs w:val="1"/>
          <w:color w:val="auto"/>
        </w:rPr>
        <w:t xml:space="preserve"> </w:t>
      </w:r>
      <w:r>
        <w:rPr>
          <w:rFonts w:ascii="Arial" w:cs="Arial" w:eastAsia="Arial" w:hAnsi="Arial"/>
          <w:sz w:val="21"/>
          <w:szCs w:val="21"/>
          <w:color w:val="auto"/>
        </w:rPr>
        <w:t>relating to the interpretation or application of this Agreement, if the Parties are unable to resolve such Dispute within thirty (30) days after such Dispute is first identified by either Party in writing to the other, the Parties shall refer such Dispute to the Executive Officers of the Parties for attempted resolution by good faith negotiations within thirty (30) days after such notice is received, including at least one (1) in-person meeting of the Executive Officers within twenty (20) days after such notice is received. Each Party may, in its sole discretion, seek resolution of any and all Disputes that are not resolved under this Section 14.2 within such thirty (30) day period in accordance with Section 14.3.</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14.3 Submission to Arbitration for Resolution</w:t>
      </w:r>
      <w:r>
        <w:rPr>
          <w:rFonts w:ascii="Arial" w:cs="Arial" w:eastAsia="Arial" w:hAnsi="Arial"/>
          <w:sz w:val="19"/>
          <w:szCs w:val="19"/>
          <w:color w:val="auto"/>
        </w:rPr>
        <w:t>. If the Executive Officers are not able to resolve such dispute 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them under Section 14.2 within such thirty (30) day period, then such dispute shall be finally resolved by final and binding arbitration conducted in accordance with the terms of this Section 14.3. The arbitration will be held in New York, New York, USA according to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Commercial Arbitration Rules then in effect. The arbitration will be conducted by a panel of three (3) independent arbitrators with significant experience in the pharmaceutical industry, unless otherwise agreed by the Parties, appointed in accordance with applicable AAA rules. Any arbitration herewith will be conducted in the English language to the maximum extent possible. The arbitrators will be instructed not to award any punitive or special damages and the Parties will take all reasonable actions (including to an expedited discovery and hearing schedule) to conclude the arbitration as promptly as possible. The arbitrator shall be required to render a written decision no later than twelve</w:t>
      </w:r>
    </w:p>
    <w:p>
      <w:pPr>
        <w:spacing w:after="0" w:line="6" w:lineRule="exact"/>
        <w:rPr>
          <w:sz w:val="20"/>
          <w:szCs w:val="20"/>
          <w:color w:val="auto"/>
        </w:rPr>
      </w:pPr>
    </w:p>
    <w:p>
      <w:pPr>
        <w:jc w:val="both"/>
        <w:ind w:firstLine="8"/>
        <w:spacing w:after="0" w:line="243" w:lineRule="auto"/>
        <w:tabs>
          <w:tab w:leader="none" w:pos="441" w:val="left"/>
        </w:tabs>
        <w:numPr>
          <w:ilvl w:val="0"/>
          <w:numId w:val="422"/>
        </w:numPr>
        <w:rPr>
          <w:rFonts w:ascii="Arial" w:cs="Arial" w:eastAsia="Arial" w:hAnsi="Arial"/>
          <w:sz w:val="22"/>
          <w:szCs w:val="22"/>
          <w:color w:val="auto"/>
        </w:rPr>
      </w:pPr>
      <w:r>
        <w:rPr>
          <w:rFonts w:ascii="Arial" w:cs="Arial" w:eastAsia="Arial" w:hAnsi="Arial"/>
          <w:sz w:val="22"/>
          <w:szCs w:val="22"/>
          <w:color w:val="auto"/>
        </w:rPr>
        <w:t>months following the selection of the arbitrator, including a basis for any damages awarded and a statement of how the damages were calculated; provided that such time period may be extended by the Parties or upon petition to extend such time period to avoid manifest injustice. Any award will be immediately paid in Dollars free of any tax, deduction or offset. Each Party agrees to abide by the award rendered in any arbitration conducted pursuant to this Section 14.3. With respect to money damages, nothing contained herein will be construed to permit the arbitrator or any court or any other forum to award punitive or exemplary damages. By entering into this agreement to arbitrate, the Parties expressly waive any claim for punitive or exemplary damages. Each Party will pay its legal fees and costs related to the arbitration (including witness and expert fees). Judgment on the award so rendered will be final and may be entered in any court having jurisdiction thereof. The Parties further hereby irrevocably and</w:t>
      </w:r>
    </w:p>
    <w:p>
      <w:pPr>
        <w:sectPr>
          <w:pgSz w:w="11900" w:h="16838" w:orient="portrait"/>
          <w:cols w:equalWidth="0" w:num="1">
            <w:col w:w="11240"/>
          </w:cols>
          <w:pgMar w:left="320" w:top="1421" w:right="339" w:bottom="1440" w:gutter="0" w:footer="0" w:header="0"/>
        </w:sectPr>
      </w:pPr>
    </w:p>
    <w:bookmarkStart w:id="443" w:name="page444"/>
    <w:bookmarkEnd w:id="443"/>
    <w:p>
      <w:pPr>
        <w:jc w:val="both"/>
        <w:spacing w:after="0" w:line="297" w:lineRule="auto"/>
        <w:rPr>
          <w:sz w:val="20"/>
          <w:szCs w:val="20"/>
          <w:color w:val="auto"/>
        </w:rPr>
      </w:pPr>
      <w:r>
        <w:rPr>
          <w:rFonts w:ascii="Arial" w:cs="Arial" w:eastAsia="Arial" w:hAnsi="Arial"/>
          <w:sz w:val="19"/>
          <w:szCs w:val="19"/>
          <w:color w:val="auto"/>
        </w:rPr>
        <w:t>unconditionally waive any objection to the laying of venue of an arbitration proceeding initiated under this Section 14.3 in New York, New York, U.S., and hereby further irrevocably and unconditionally waive and agree not to plead or claim that any such action, suit or proceeding brought in any such court has been brought in an inconvenient forum. Each Party further agrees that service of any process, summons, notice or document by registered mail to its address set forth in Section 15.4 shall be effective service of process for any action, suit or proceeding brought against it under this Agreement in any such court.</w:t>
      </w:r>
    </w:p>
    <w:p>
      <w:pPr>
        <w:spacing w:after="0" w:line="1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14.4 Preliminary Injunctions</w:t>
      </w:r>
      <w:r>
        <w:rPr>
          <w:rFonts w:ascii="Arial" w:cs="Arial" w:eastAsia="Arial" w:hAnsi="Arial"/>
          <w:sz w:val="22"/>
          <w:szCs w:val="22"/>
          <w:color w:val="auto"/>
        </w:rPr>
        <w:t>. Notwithstanding anything in this Agreement to the contrary, a Party may,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seek a temporary restraining order or a preliminary injunction from any court of competent jurisdiction in order to prevent immediate and irreparable injury, loss, or damage on a provisional basis, pending the decision of the arbitrator(s) on the ultimate merits of any dispute.</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14.5 Patent Disputes</w:t>
      </w:r>
      <w:r>
        <w:rPr>
          <w:rFonts w:ascii="Arial" w:cs="Arial" w:eastAsia="Arial" w:hAnsi="Arial"/>
          <w:sz w:val="21"/>
          <w:szCs w:val="21"/>
          <w:color w:val="auto"/>
        </w:rPr>
        <w:t>. Notwithstanding anything in this Agreement to the contrary, any and all issues regarding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validity and enforceability of any patent in a country within the Territory (“</w:t>
      </w:r>
      <w:r>
        <w:rPr>
          <w:rFonts w:ascii="Arial" w:cs="Arial" w:eastAsia="Arial" w:hAnsi="Arial"/>
          <w:sz w:val="21"/>
          <w:szCs w:val="21"/>
          <w:b w:val="1"/>
          <w:bCs w:val="1"/>
          <w:color w:val="auto"/>
        </w:rPr>
        <w:t>Patent Matters</w:t>
      </w:r>
      <w:r>
        <w:rPr>
          <w:rFonts w:ascii="Arial" w:cs="Arial" w:eastAsia="Arial" w:hAnsi="Arial"/>
          <w:sz w:val="21"/>
          <w:szCs w:val="21"/>
          <w:color w:val="auto"/>
        </w:rPr>
        <w:t>”) shall be determined in a court or other tribunal, as the case may be, of competent jurisdiction under the applicable patent laws of such country. If such Dispute involves both Patent Matters and other matters, the arbitrators will have the right to stay the arbitration until determination of Patent Matters material to the resolution of the Dispute as to other matters is resolved.</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14.6 Confidentiality</w:t>
      </w:r>
      <w:r>
        <w:rPr>
          <w:rFonts w:ascii="Arial" w:cs="Arial" w:eastAsia="Arial" w:hAnsi="Arial"/>
          <w:sz w:val="22"/>
          <w:szCs w:val="22"/>
          <w:color w:val="auto"/>
        </w:rPr>
        <w:t>. Any and all activities conducted under Sections 14.1 through 14.3, including without limitation</w:t>
      </w:r>
      <w:r>
        <w:rPr>
          <w:rFonts w:ascii="Arial" w:cs="Arial" w:eastAsia="Arial" w:hAnsi="Arial"/>
          <w:sz w:val="22"/>
          <w:szCs w:val="22"/>
          <w:b w:val="1"/>
          <w:bCs w:val="1"/>
          <w:color w:val="auto"/>
        </w:rPr>
        <w:t xml:space="preserve"> </w:t>
      </w:r>
      <w:r>
        <w:rPr>
          <w:rFonts w:ascii="Arial" w:cs="Arial" w:eastAsia="Arial" w:hAnsi="Arial"/>
          <w:sz w:val="22"/>
          <w:szCs w:val="22"/>
          <w:color w:val="auto"/>
        </w:rPr>
        <w:t>any and all proceedings and decisions of arbitrator(s) under Section 14.3, shall be deemed Confidential Information of each of the Parties, and shall be subject to Article 12.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15.1 English Language; Governing Law</w:t>
      </w:r>
      <w:r>
        <w:rPr>
          <w:rFonts w:ascii="Arial" w:cs="Arial" w:eastAsia="Arial" w:hAnsi="Arial"/>
          <w:sz w:val="19"/>
          <w:szCs w:val="19"/>
          <w:color w:val="auto"/>
        </w:rPr>
        <w:t>. This Agreement was prepared in the English language, which language shall</w:t>
      </w:r>
      <w:r>
        <w:rPr>
          <w:rFonts w:ascii="Arial" w:cs="Arial" w:eastAsia="Arial" w:hAnsi="Arial"/>
          <w:sz w:val="19"/>
          <w:szCs w:val="19"/>
          <w:b w:val="1"/>
          <w:bCs w:val="1"/>
          <w:color w:val="auto"/>
        </w:rPr>
        <w:t xml:space="preserve"> </w:t>
      </w:r>
      <w:r>
        <w:rPr>
          <w:rFonts w:ascii="Arial" w:cs="Arial" w:eastAsia="Arial" w:hAnsi="Arial"/>
          <w:sz w:val="19"/>
          <w:szCs w:val="19"/>
          <w:color w:val="auto"/>
        </w:rPr>
        <w:t>govern the interpretation of, and any dispute regarding, the terms of this Agreement. This Agreement and all disputes arising out of or related to this Agreement or any breach hereof shall be governed by and construed under the laws of the State of New York, USA (as permitted by Section 5-1401 of the New York General Obligations Law, or any similar successor provision), without giving effect to any choice of law principles that would require the application of the laws of a different jurisdiction.</w:t>
      </w:r>
    </w:p>
    <w:p>
      <w:pPr>
        <w:spacing w:after="0" w:line="14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15.2 Entire Agreement; Amendment</w:t>
      </w:r>
      <w:r>
        <w:rPr>
          <w:rFonts w:ascii="Arial" w:cs="Arial" w:eastAsia="Arial" w:hAnsi="Arial"/>
          <w:sz w:val="22"/>
          <w:szCs w:val="22"/>
          <w:color w:val="auto"/>
        </w:rPr>
        <w:t>. This Agreement, including the Exhibits hereto, sets forth the complete, final and</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agreement and all the covenants, promises, agreements, warranties, representations, conditions and understandings between the Parties with respect to the subject matter hereof and supersedes, as of the Effective Date, all prior and contemporaneous agreements and understandings between the Parties with respect to the subject matter hereof, including the Confidentiality Agreement (as defined in Section 1.19). No</w:t>
      </w:r>
    </w:p>
    <w:p>
      <w:pPr>
        <w:sectPr>
          <w:pgSz w:w="11900" w:h="16838" w:orient="portrait"/>
          <w:cols w:equalWidth="0" w:num="1">
            <w:col w:w="11240"/>
          </w:cols>
          <w:pgMar w:left="320" w:top="1427" w:right="339" w:bottom="1440" w:gutter="0" w:footer="0" w:header="0"/>
        </w:sectPr>
      </w:pPr>
    </w:p>
    <w:bookmarkStart w:id="444" w:name="page445"/>
    <w:bookmarkEnd w:id="444"/>
    <w:p>
      <w:pPr>
        <w:jc w:val="both"/>
        <w:spacing w:after="0" w:line="263" w:lineRule="auto"/>
        <w:rPr>
          <w:sz w:val="20"/>
          <w:szCs w:val="20"/>
          <w:color w:val="auto"/>
        </w:rPr>
      </w:pPr>
      <w:r>
        <w:rPr>
          <w:rFonts w:ascii="Arial" w:cs="Arial" w:eastAsia="Arial" w:hAnsi="Arial"/>
          <w:sz w:val="22"/>
          <w:szCs w:val="22"/>
          <w:color w:val="auto"/>
        </w:rPr>
        <w:t>subsequent alteration, amendment, change or addition to this Agreement shall be binding upon the Parties unless reduced to writing and signed by an authorized officer of each Party.</w:t>
      </w:r>
    </w:p>
    <w:p>
      <w:pPr>
        <w:spacing w:after="0" w:line="1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15.3 Force Majeure</w:t>
      </w:r>
      <w:r>
        <w:rPr>
          <w:rFonts w:ascii="Arial" w:cs="Arial" w:eastAsia="Arial" w:hAnsi="Arial"/>
          <w:sz w:val="19"/>
          <w:szCs w:val="19"/>
          <w:color w:val="auto"/>
        </w:rPr>
        <w:t>. Both Parties shall be excused from the performance of their obligations under this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terrorist act, labor strike or lock-out, epidemic, and fire, earthquake, storm, release of radioactive material into the environment, or like catastrophe. Notwithstanding the foregoing, a Party shall not be excused from making payments owed hereunder because of a force majeure affecting such Party. If a force majeure persists for more than ninety (90) days, then the Parties will discuss in good faith the modification of the Parties’ obligations under this Agreement in order to mitigate the delays caused by such force majeure.</w:t>
      </w:r>
    </w:p>
    <w:p>
      <w:pPr>
        <w:spacing w:after="0" w:line="1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15.4 Notices</w:t>
      </w:r>
      <w:r>
        <w:rPr>
          <w:rFonts w:ascii="Arial" w:cs="Arial" w:eastAsia="Arial" w:hAnsi="Arial"/>
          <w:sz w:val="19"/>
          <w:szCs w:val="19"/>
          <w:color w:val="auto"/>
        </w:rPr>
        <w:t>. Any notice required or permitted to be given under this Agreement shall be in writing, shall specifically</w:t>
      </w:r>
      <w:r>
        <w:rPr>
          <w:rFonts w:ascii="Arial" w:cs="Arial" w:eastAsia="Arial" w:hAnsi="Arial"/>
          <w:sz w:val="19"/>
          <w:szCs w:val="19"/>
          <w:b w:val="1"/>
          <w:bCs w:val="1"/>
          <w:color w:val="auto"/>
        </w:rPr>
        <w:t xml:space="preserve"> </w:t>
      </w:r>
      <w:r>
        <w:rPr>
          <w:rFonts w:ascii="Arial" w:cs="Arial" w:eastAsia="Arial" w:hAnsi="Arial"/>
          <w:sz w:val="19"/>
          <w:szCs w:val="19"/>
          <w:color w:val="auto"/>
        </w:rPr>
        <w:t>refer to this Agreement, and shall be addressed to the appropriate Party at the address specified below or such other address as may be specified by such Party in writing in accordance with this Section 15.4, and shall be deemed to have been given for all purposes (a) when received, if hand-delivered or sent by confirmed facsimile or a reputable courier service, or (b) five (5) Business Days after mailing, if mailed by first class certified or registered airmail, postage prepaid, return receipt requested.</w:t>
      </w:r>
    </w:p>
    <w:p>
      <w:pPr>
        <w:sectPr>
          <w:pgSz w:w="11900" w:h="16838" w:orient="portrait"/>
          <w:cols w:equalWidth="0" w:num="1">
            <w:col w:w="11240"/>
          </w:cols>
          <w:pgMar w:left="320" w:top="1427" w:right="339" w:bottom="1440" w:gutter="0" w:footer="0" w:header="0"/>
        </w:sectPr>
      </w:pPr>
    </w:p>
    <w:bookmarkStart w:id="445" w:name="page446"/>
    <w:bookmarkEnd w:id="445"/>
    <w:p>
      <w:pPr>
        <w:spacing w:after="0" w:line="42" w:lineRule="exact"/>
        <w:rPr>
          <w:sz w:val="20"/>
          <w:szCs w:val="20"/>
          <w:color w:val="auto"/>
        </w:rPr>
      </w:pPr>
    </w:p>
    <w:p>
      <w:pPr>
        <w:ind w:left="2180"/>
        <w:spacing w:after="0"/>
        <w:tabs>
          <w:tab w:leader="none" w:pos="5500" w:val="left"/>
        </w:tabs>
        <w:rPr>
          <w:sz w:val="20"/>
          <w:szCs w:val="20"/>
          <w:color w:val="auto"/>
        </w:rPr>
      </w:pPr>
      <w:r>
        <w:rPr>
          <w:rFonts w:ascii="Arial" w:cs="Arial" w:eastAsia="Arial" w:hAnsi="Arial"/>
          <w:sz w:val="22"/>
          <w:szCs w:val="22"/>
          <w:color w:val="auto"/>
        </w:rPr>
        <w:t>If to Molecular Partners:</w:t>
      </w:r>
      <w:r>
        <w:rPr>
          <w:sz w:val="20"/>
          <w:szCs w:val="20"/>
          <w:color w:val="auto"/>
        </w:rPr>
        <w:tab/>
      </w:r>
      <w:r>
        <w:rPr>
          <w:rFonts w:ascii="Arial" w:cs="Arial" w:eastAsia="Arial" w:hAnsi="Arial"/>
          <w:sz w:val="19"/>
          <w:szCs w:val="19"/>
          <w:color w:val="auto"/>
        </w:rPr>
        <w:t>Molecular Partners AG</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Wagistrasse 11a 8952</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Zürich-Schlieren, Switzerland</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Attn: Kinga Frater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Fax: +41 44 755 57 95</w:t>
      </w:r>
    </w:p>
    <w:p>
      <w:pPr>
        <w:spacing w:after="0" w:line="314"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With a copy to (which shall not constitute notice):</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Cooley LLP</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One Freedom Square</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Reston Town Center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11951 Freedom Drive</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Reston, VA 20190-5656</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Attn: Kenneth J. Krisko</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Fax: 703/456-8100</w:t>
      </w:r>
    </w:p>
    <w:p>
      <w:pPr>
        <w:spacing w:after="0" w:line="314" w:lineRule="exact"/>
        <w:rPr>
          <w:sz w:val="20"/>
          <w:szCs w:val="20"/>
          <w:color w:val="auto"/>
        </w:rPr>
      </w:pPr>
    </w:p>
    <w:p>
      <w:pPr>
        <w:ind w:left="2180"/>
        <w:spacing w:after="0"/>
        <w:tabs>
          <w:tab w:leader="none" w:pos="5500" w:val="left"/>
        </w:tabs>
        <w:rPr>
          <w:sz w:val="20"/>
          <w:szCs w:val="20"/>
          <w:color w:val="auto"/>
        </w:rPr>
      </w:pPr>
      <w:r>
        <w:rPr>
          <w:rFonts w:ascii="Arial" w:cs="Arial" w:eastAsia="Arial" w:hAnsi="Arial"/>
          <w:sz w:val="22"/>
          <w:szCs w:val="22"/>
          <w:color w:val="auto"/>
        </w:rPr>
        <w:t>If to Allergan:</w:t>
      </w:r>
      <w:r>
        <w:rPr>
          <w:sz w:val="20"/>
          <w:szCs w:val="20"/>
          <w:color w:val="auto"/>
        </w:rPr>
        <w:tab/>
      </w:r>
      <w:r>
        <w:rPr>
          <w:rFonts w:ascii="Arial" w:cs="Arial" w:eastAsia="Arial" w:hAnsi="Arial"/>
          <w:sz w:val="19"/>
          <w:szCs w:val="19"/>
          <w:color w:val="auto"/>
        </w:rPr>
        <w:t>Allergan, Inc.</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2525 Dupont Drive</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Irvine, CA 92612</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Attn: General Counsel</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Fax: (714) 246-4774</w:t>
      </w:r>
    </w:p>
    <w:p>
      <w:pPr>
        <w:spacing w:after="0" w:line="314"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With a copy to (which shall not constitute notice):</w:t>
      </w:r>
    </w:p>
    <w:p>
      <w:pPr>
        <w:spacing w:after="0" w:line="31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Latham &amp; Watkins LLP</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650 Town Center Drive</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20th Floor</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Costa Mesa, CA 92626-1925</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Attn: Cary K. Hyden</w:t>
      </w:r>
    </w:p>
    <w:p>
      <w:pPr>
        <w:spacing w:after="0" w:line="5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Fax: (714) 755-8290</w:t>
      </w:r>
    </w:p>
    <w:p>
      <w:pPr>
        <w:spacing w:after="0" w:line="33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15.5 No Strict Construction; Headings</w:t>
      </w:r>
      <w:r>
        <w:rPr>
          <w:rFonts w:ascii="Arial" w:cs="Arial" w:eastAsia="Arial" w:hAnsi="Arial"/>
          <w:sz w:val="21"/>
          <w:szCs w:val="21"/>
          <w:color w:val="auto"/>
        </w:rPr>
        <w:t>. This Agreement has been prepared jointly by the Parties and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The use of any gender shall be applicable to all genders. The word “or” is used in the inclusive sense (and/or). The term “including” means “including without limitation,” without limiting the generality of any description preceding such term. The term “shall” means “will”.</w:t>
      </w:r>
    </w:p>
    <w:p>
      <w:pPr>
        <w:spacing w:after="0" w:line="17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26" w:lineRule="exact"/>
        <w:rPr>
          <w:sz w:val="20"/>
          <w:szCs w:val="20"/>
          <w:color w:val="auto"/>
        </w:rPr>
      </w:pPr>
    </w:p>
    <w:p>
      <w:pPr>
        <w:jc w:val="both"/>
        <w:ind w:firstLine="1304"/>
        <w:spacing w:after="0" w:line="253" w:lineRule="auto"/>
        <w:tabs>
          <w:tab w:leader="none" w:pos="1791" w:val="left"/>
        </w:tabs>
        <w:numPr>
          <w:ilvl w:val="0"/>
          <w:numId w:val="423"/>
        </w:numPr>
        <w:rPr>
          <w:rFonts w:ascii="Arial" w:cs="Arial" w:eastAsia="Arial" w:hAnsi="Arial"/>
          <w:sz w:val="22"/>
          <w:szCs w:val="22"/>
          <w:b w:val="1"/>
          <w:bCs w:val="1"/>
          <w:color w:val="auto"/>
        </w:rPr>
      </w:pPr>
      <w:r>
        <w:rPr>
          <w:rFonts w:ascii="Arial" w:cs="Arial" w:eastAsia="Arial" w:hAnsi="Arial"/>
          <w:sz w:val="22"/>
          <w:szCs w:val="22"/>
          <w:color w:val="auto"/>
        </w:rPr>
        <w:t>Neither Party may assign or transfer this Agreement or any rights or obligations hereunder without the prior written consent of the other, except that a Party may make such an assignment without the other Party’s consent to (i) an Affiliate (for so long as such</w:t>
      </w:r>
    </w:p>
    <w:p>
      <w:pPr>
        <w:sectPr>
          <w:pgSz w:w="11900" w:h="16838" w:orient="portrait"/>
          <w:cols w:equalWidth="0" w:num="1">
            <w:col w:w="11240"/>
          </w:cols>
          <w:pgMar w:left="320" w:top="1440" w:right="339" w:bottom="1440" w:gutter="0" w:footer="0" w:header="0"/>
        </w:sectPr>
      </w:pPr>
    </w:p>
    <w:bookmarkStart w:id="446" w:name="page447"/>
    <w:bookmarkEnd w:id="446"/>
    <w:p>
      <w:pPr>
        <w:jc w:val="both"/>
        <w:spacing w:after="0" w:line="248" w:lineRule="auto"/>
        <w:rPr>
          <w:sz w:val="20"/>
          <w:szCs w:val="20"/>
          <w:color w:val="auto"/>
        </w:rPr>
      </w:pPr>
      <w:r>
        <w:rPr>
          <w:rFonts w:ascii="Arial" w:cs="Arial" w:eastAsia="Arial" w:hAnsi="Arial"/>
          <w:sz w:val="22"/>
          <w:szCs w:val="22"/>
          <w:color w:val="auto"/>
        </w:rPr>
        <w:t>entity remains an Affiliate) or (ii) a Third Party in connection with a Change of Control of such Party (such Third Party, an “</w:t>
      </w:r>
      <w:r>
        <w:rPr>
          <w:rFonts w:ascii="Arial" w:cs="Arial" w:eastAsia="Arial" w:hAnsi="Arial"/>
          <w:sz w:val="22"/>
          <w:szCs w:val="22"/>
          <w:b w:val="1"/>
          <w:bCs w:val="1"/>
          <w:color w:val="auto"/>
        </w:rPr>
        <w:t>Acquiror</w:t>
      </w:r>
      <w:r>
        <w:rPr>
          <w:rFonts w:ascii="Arial" w:cs="Arial" w:eastAsia="Arial" w:hAnsi="Arial"/>
          <w:sz w:val="22"/>
          <w:szCs w:val="22"/>
          <w:color w:val="auto"/>
        </w:rPr>
        <w:t>”). Any successor or assignee of rights or obligations permitted hereunder shall, in writing to the other Party, expressly assume performance of such rights or obligations. Any permitted assignment shall be binding on the successors of the assigning Party. Any assignment or attempted assignment by either Party in violation of the terms of this Section 15.6 shall be null, void and of no legal effect.</w:t>
      </w:r>
    </w:p>
    <w:p>
      <w:pPr>
        <w:spacing w:after="0" w:line="192" w:lineRule="exact"/>
        <w:rPr>
          <w:sz w:val="20"/>
          <w:szCs w:val="20"/>
          <w:color w:val="auto"/>
        </w:rPr>
      </w:pPr>
    </w:p>
    <w:p>
      <w:pPr>
        <w:jc w:val="both"/>
        <w:ind w:firstLine="1304"/>
        <w:spacing w:after="0" w:line="297" w:lineRule="auto"/>
        <w:tabs>
          <w:tab w:leader="none" w:pos="1857" w:val="left"/>
        </w:tabs>
        <w:numPr>
          <w:ilvl w:val="0"/>
          <w:numId w:val="424"/>
        </w:numPr>
        <w:rPr>
          <w:rFonts w:ascii="Arial" w:cs="Arial" w:eastAsia="Arial" w:hAnsi="Arial"/>
          <w:sz w:val="19"/>
          <w:szCs w:val="19"/>
          <w:b w:val="1"/>
          <w:bCs w:val="1"/>
          <w:color w:val="auto"/>
        </w:rPr>
      </w:pPr>
      <w:r>
        <w:rPr>
          <w:rFonts w:ascii="Arial" w:cs="Arial" w:eastAsia="Arial" w:hAnsi="Arial"/>
          <w:sz w:val="19"/>
          <w:szCs w:val="19"/>
          <w:color w:val="auto"/>
        </w:rPr>
        <w:t>In the event of any such assignment under subsection (ii) above, all intellectual property rights owned or otherwise controlled by an Acquiror or its Affiliates (except for Molecular Partners if remaining as a separate Affiliate or otherwise the successor entity thereto) shall be excluded from the licenses granted under this Agreement (including any such intellectual property owned or otherwise controlled by such Acquiror as of the date of consummation of such transaction), except for any Invention generated by the Acquiror or its Affiliates in performing any activity under this Agreement.</w:t>
      </w:r>
    </w:p>
    <w:p>
      <w:pPr>
        <w:spacing w:after="0" w:line="1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15.7 Performance by Affiliates</w:t>
      </w:r>
      <w:r>
        <w:rPr>
          <w:rFonts w:ascii="Arial" w:cs="Arial" w:eastAsia="Arial" w:hAnsi="Arial"/>
          <w:sz w:val="19"/>
          <w:szCs w:val="19"/>
          <w:color w:val="auto"/>
        </w:rPr>
        <w:t>. Each Party may discharge any obligations and exercise any right hereunder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 Without limiting the generality of this Section 15.7, each of Allergan, Inc. and Allergan Sales, LLC covenant as follows: (i) Allergan Sales, LLC shall be the entity responsible for the discharge and performance of the obligations of Allergan under this Agreement, (ii) the liability of each of Allergan, Inc. and Allergan Sales, LLC shall be joint and several; (iii) Allergan, Inc. unconditionally guarantees the payment and performance of Allergan Sales, LLC; (iv) all obligations of Molecular Partners shall be performed and discharged to Allergan Sales, LLC for the benefit of both of Allergan, Inc. and Allergan Sales, LLC.; and (v) Allergan Sales, LLC shall be terminated as a Party to this Agreement without the need for further action of the Parties in the event and as of the date that Allergan Sales, LLC shall cease to be an Affiliate of Allergan, Inc. Allergan, Inc. represents and warrants, as of the Effective Date, that Allergan Sales, LLC is a wholly-owned Affiliate of Allergan, Inc.</w:t>
      </w:r>
    </w:p>
    <w:p>
      <w:pPr>
        <w:spacing w:after="0" w:line="154"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15.8 Further Actions</w:t>
      </w:r>
      <w:r>
        <w:rPr>
          <w:rFonts w:ascii="Arial" w:cs="Arial" w:eastAsia="Arial" w:hAnsi="Arial"/>
          <w:sz w:val="19"/>
          <w:szCs w:val="19"/>
          <w:color w:val="auto"/>
        </w:rPr>
        <w:t>. Each Party agrees to execute, acknowledge and deliver such further instruments, and to do all</w:t>
      </w:r>
      <w:r>
        <w:rPr>
          <w:rFonts w:ascii="Arial" w:cs="Arial" w:eastAsia="Arial" w:hAnsi="Arial"/>
          <w:sz w:val="19"/>
          <w:szCs w:val="19"/>
          <w:b w:val="1"/>
          <w:bCs w:val="1"/>
          <w:color w:val="auto"/>
        </w:rPr>
        <w:t xml:space="preserve"> </w:t>
      </w:r>
      <w:r>
        <w:rPr>
          <w:rFonts w:ascii="Arial" w:cs="Arial" w:eastAsia="Arial" w:hAnsi="Arial"/>
          <w:sz w:val="19"/>
          <w:szCs w:val="19"/>
          <w:color w:val="auto"/>
        </w:rPr>
        <w:t>such other acts, as may be necessary or appropriate in order to carry out the purposes and intent of this Agreement.</w:t>
      </w:r>
    </w:p>
    <w:p>
      <w:pPr>
        <w:spacing w:after="0" w:line="9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15.9 Rights in Bankruptcy</w:t>
      </w:r>
      <w:r>
        <w:rPr>
          <w:rFonts w:ascii="Arial" w:cs="Arial" w:eastAsia="Arial" w:hAnsi="Arial"/>
          <w:sz w:val="19"/>
          <w:szCs w:val="19"/>
          <w:color w:val="auto"/>
        </w:rPr>
        <w:t>. All rights and licenses granted under or pursuant to this Agreement by Molecular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are, and shall otherwise be deemed to be, for purposes of Section 365(n) of the U.S. Bankruptcy Code, and foreign equivalents thereof (the “</w:t>
      </w:r>
      <w:r>
        <w:rPr>
          <w:rFonts w:ascii="Arial" w:cs="Arial" w:eastAsia="Arial" w:hAnsi="Arial"/>
          <w:sz w:val="19"/>
          <w:szCs w:val="19"/>
          <w:b w:val="1"/>
          <w:bCs w:val="1"/>
          <w:color w:val="auto"/>
        </w:rPr>
        <w:t>Bankruptcy Code</w:t>
      </w:r>
      <w:r>
        <w:rPr>
          <w:rFonts w:ascii="Arial" w:cs="Arial" w:eastAsia="Arial" w:hAnsi="Arial"/>
          <w:sz w:val="19"/>
          <w:szCs w:val="19"/>
          <w:color w:val="auto"/>
        </w:rPr>
        <w:t>”), licenses of right to “intellectual property” as defined under Section 61 of the U.S. Bankruptcy Code. The Parties agree that Allergan, as licensee of such rights under this Agreement, shall retain and may fully exercise all of its rights and elections under the Bankruptcy Code. The Parties further agree that, in the event of the commencement of a</w:t>
      </w:r>
    </w:p>
    <w:p>
      <w:pPr>
        <w:sectPr>
          <w:pgSz w:w="11900" w:h="16838" w:orient="portrait"/>
          <w:cols w:equalWidth="0" w:num="1">
            <w:col w:w="11240"/>
          </w:cols>
          <w:pgMar w:left="320" w:top="1427" w:right="339" w:bottom="1440" w:gutter="0" w:footer="0" w:header="0"/>
        </w:sectPr>
      </w:pPr>
    </w:p>
    <w:bookmarkStart w:id="447" w:name="page448"/>
    <w:bookmarkEnd w:id="447"/>
    <w:p>
      <w:pPr>
        <w:jc w:val="both"/>
        <w:spacing w:after="0" w:line="261" w:lineRule="auto"/>
        <w:rPr>
          <w:sz w:val="20"/>
          <w:szCs w:val="20"/>
          <w:color w:val="auto"/>
        </w:rPr>
      </w:pPr>
      <w:r>
        <w:rPr>
          <w:rFonts w:ascii="Arial" w:cs="Arial" w:eastAsia="Arial" w:hAnsi="Arial"/>
          <w:sz w:val="21"/>
          <w:szCs w:val="21"/>
          <w:color w:val="auto"/>
        </w:rPr>
        <w:t>bankruptcy proceeding by or against Molecular Partners under the Bankruptcy Code, Allergan shall be entitled to a complete duplicate of (or complete access to, as appropriate) any such intellectual property and all embodiments of such intellectual property, which, if not already in the Allergan’s possession, shall be promptly delivered to it (a) upon any such commencement of a bankruptcy proceeding upon Allergan’s written request therefor, unless Molecular Partners elects to continue to perform all of its obligations under this Agreement, or (b) if not delivered under Section 15.9(a), following the rejection of this Agreement by or on behalf of Molecular Partners upon written request therefor by Allergan.</w:t>
      </w:r>
    </w:p>
    <w:p>
      <w:pPr>
        <w:spacing w:after="0" w:line="1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15.10 Severability</w:t>
      </w:r>
      <w:r>
        <w:rPr>
          <w:rFonts w:ascii="Arial" w:cs="Arial" w:eastAsia="Arial" w:hAnsi="Arial"/>
          <w:sz w:val="22"/>
          <w:szCs w:val="22"/>
          <w:color w:val="auto"/>
        </w:rPr>
        <w:t>. If any one or more of the provisions of this Agreement is held to be invalid or unenforceable by any</w:t>
      </w:r>
      <w:r>
        <w:rPr>
          <w:rFonts w:ascii="Arial" w:cs="Arial" w:eastAsia="Arial" w:hAnsi="Arial"/>
          <w:sz w:val="22"/>
          <w:szCs w:val="22"/>
          <w:b w:val="1"/>
          <w:bCs w:val="1"/>
          <w:color w:val="auto"/>
        </w:rPr>
        <w:t xml:space="preserve"> </w:t>
      </w:r>
      <w:r>
        <w:rPr>
          <w:rFonts w:ascii="Arial" w:cs="Arial" w:eastAsia="Arial" w:hAnsi="Arial"/>
          <w:sz w:val="22"/>
          <w:szCs w:val="22"/>
          <w:color w:val="auto"/>
        </w:rPr>
        <w:t>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15.11 No Waiver</w:t>
      </w:r>
      <w:r>
        <w:rPr>
          <w:rFonts w:ascii="Arial" w:cs="Arial" w:eastAsia="Arial" w:hAnsi="Arial"/>
          <w:sz w:val="19"/>
          <w:szCs w:val="19"/>
          <w:color w:val="auto"/>
        </w:rPr>
        <w:t>. Any delay in enforcing a Party’s rights under this Agreement or any waiver as to a particular default</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15.12 Independent Contractors</w:t>
      </w:r>
      <w:r>
        <w:rPr>
          <w:rFonts w:ascii="Arial" w:cs="Arial" w:eastAsia="Arial" w:hAnsi="Arial"/>
          <w:sz w:val="22"/>
          <w:szCs w:val="22"/>
          <w:color w:val="auto"/>
        </w:rPr>
        <w:t>. Each Party shall act solely as an independent contractor, and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15.13 Counterparts; Electronic Delivery</w:t>
      </w:r>
      <w:r>
        <w:rPr>
          <w:rFonts w:ascii="Arial" w:cs="Arial" w:eastAsia="Arial" w:hAnsi="Arial"/>
          <w:sz w:val="21"/>
          <w:szCs w:val="21"/>
          <w:color w:val="auto"/>
        </w:rPr>
        <w:t>. This Agreement may be executed in one (1) or more counterparts, by</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facsimile or PDF signature, each of which shall be deemed an original, but all of which together shall constitute one and the same instrument. Signatures to this Agreement transmitted by facsimile, by email in “</w:t>
      </w:r>
      <w:r>
        <w:rPr>
          <w:rFonts w:ascii="Arial" w:cs="Arial" w:eastAsia="Arial" w:hAnsi="Arial"/>
          <w:sz w:val="21"/>
          <w:szCs w:val="21"/>
          <w:b w:val="1"/>
          <w:bCs w:val="1"/>
          <w:color w:val="auto"/>
        </w:rPr>
        <w:t>portable document format</w:t>
      </w:r>
      <w:r>
        <w:rPr>
          <w:rFonts w:ascii="Arial" w:cs="Arial" w:eastAsia="Arial" w:hAnsi="Arial"/>
          <w:sz w:val="21"/>
          <w:szCs w:val="21"/>
          <w:color w:val="auto"/>
        </w:rPr>
        <w:t>” (“</w:t>
      </w:r>
      <w:r>
        <w:rPr>
          <w:rFonts w:ascii="Arial" w:cs="Arial" w:eastAsia="Arial" w:hAnsi="Arial"/>
          <w:sz w:val="21"/>
          <w:szCs w:val="21"/>
          <w:b w:val="1"/>
          <w:bCs w:val="1"/>
          <w:color w:val="auto"/>
        </w:rPr>
        <w:t>.pdf</w:t>
      </w:r>
      <w:r>
        <w:rPr>
          <w:rFonts w:ascii="Arial" w:cs="Arial" w:eastAsia="Arial" w:hAnsi="Arial"/>
          <w:sz w:val="21"/>
          <w:szCs w:val="21"/>
          <w:color w:val="auto"/>
        </w:rPr>
        <w:t>”), or by any other electronic means intended to preserve the original graphic and pictorial appearance of this Agreement shall have the same effect as physical delivery of the paper document bearing original signature.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427" w:right="339" w:bottom="1440" w:gutter="0" w:footer="0" w:header="0"/>
        </w:sectPr>
      </w:pPr>
    </w:p>
    <w:bookmarkStart w:id="448" w:name="page449"/>
    <w:bookmarkEnd w:id="448"/>
    <w:p>
      <w:pPr>
        <w:ind w:firstLine="648"/>
        <w:spacing w:after="0" w:line="26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by their duly authorized officers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w:t>
      </w:r>
    </w:p>
    <w:p>
      <w:pPr>
        <w:spacing w:after="0" w:line="2"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22"/>
          <w:szCs w:val="22"/>
          <w:b w:val="1"/>
          <w:bCs w:val="1"/>
          <w:color w:val="auto"/>
        </w:rPr>
        <w:t>ALLERGAN, INC.</w:t>
      </w:r>
      <w:r>
        <w:rPr>
          <w:sz w:val="20"/>
          <w:szCs w:val="20"/>
          <w:color w:val="auto"/>
        </w:rPr>
        <w:tab/>
      </w:r>
      <w:r>
        <w:rPr>
          <w:rFonts w:ascii="Arial" w:cs="Arial" w:eastAsia="Arial" w:hAnsi="Arial"/>
          <w:sz w:val="21"/>
          <w:szCs w:val="21"/>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DAVID E.I. PYOTT</w:t>
            </w:r>
          </w:p>
        </w:tc>
        <w:tc>
          <w:tcPr>
            <w:tcW w:w="1680" w:type="dxa"/>
            <w:vAlign w:val="bottom"/>
          </w:tcPr>
          <w:p>
            <w:pPr>
              <w:ind w:left="620"/>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CHRISTIAN ZAHND</w:t>
            </w:r>
          </w:p>
        </w:tc>
      </w:tr>
      <w:tr>
        <w:trPr>
          <w:trHeight w:val="293"/>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320" w:type="dxa"/>
            <w:vAlign w:val="bottom"/>
          </w:tcPr>
          <w:p>
            <w:pPr>
              <w:ind w:left="20"/>
              <w:spacing w:after="0"/>
              <w:rPr>
                <w:sz w:val="20"/>
                <w:szCs w:val="20"/>
                <w:color w:val="auto"/>
              </w:rPr>
            </w:pPr>
            <w:r>
              <w:rPr>
                <w:rFonts w:ascii="Arial" w:cs="Arial" w:eastAsia="Arial" w:hAnsi="Arial"/>
                <w:sz w:val="22"/>
                <w:szCs w:val="22"/>
                <w:color w:val="auto"/>
              </w:rPr>
              <w:t>David E.I. Pyott</w:t>
            </w:r>
          </w:p>
        </w:tc>
        <w:tc>
          <w:tcPr>
            <w:tcW w:w="1680" w:type="dxa"/>
            <w:vAlign w:val="bottom"/>
          </w:tcPr>
          <w:p>
            <w:pPr>
              <w:ind w:left="620"/>
              <w:spacing w:after="0"/>
              <w:rPr>
                <w:sz w:val="20"/>
                <w:szCs w:val="20"/>
                <w:color w:val="auto"/>
              </w:rPr>
            </w:pPr>
            <w:r>
              <w:rPr>
                <w:rFonts w:ascii="Arial" w:cs="Arial" w:eastAsia="Arial" w:hAnsi="Arial"/>
                <w:sz w:val="22"/>
                <w:szCs w:val="22"/>
                <w:color w:val="auto"/>
              </w:rPr>
              <w:t>Name:</w:t>
            </w:r>
          </w:p>
        </w:tc>
        <w:tc>
          <w:tcPr>
            <w:tcW w:w="4320" w:type="dxa"/>
            <w:vAlign w:val="bottom"/>
          </w:tcPr>
          <w:p>
            <w:pPr>
              <w:ind w:left="20"/>
              <w:spacing w:after="0"/>
              <w:rPr>
                <w:sz w:val="20"/>
                <w:szCs w:val="20"/>
                <w:color w:val="auto"/>
              </w:rPr>
            </w:pPr>
            <w:r>
              <w:rPr>
                <w:rFonts w:ascii="Arial" w:cs="Arial" w:eastAsia="Arial" w:hAnsi="Arial"/>
                <w:sz w:val="22"/>
                <w:szCs w:val="22"/>
                <w:color w:val="auto"/>
              </w:rPr>
              <w:t>Christian Zahnd</w:t>
            </w:r>
          </w:p>
        </w:tc>
      </w:tr>
      <w:tr>
        <w:trPr>
          <w:trHeight w:val="293"/>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320" w:type="dxa"/>
            <w:vAlign w:val="bottom"/>
          </w:tcPr>
          <w:p>
            <w:pPr>
              <w:ind w:left="20"/>
              <w:spacing w:after="0"/>
              <w:rPr>
                <w:sz w:val="20"/>
                <w:szCs w:val="20"/>
                <w:color w:val="auto"/>
              </w:rPr>
            </w:pPr>
            <w:r>
              <w:rPr>
                <w:rFonts w:ascii="Arial" w:cs="Arial" w:eastAsia="Arial" w:hAnsi="Arial"/>
                <w:sz w:val="22"/>
                <w:szCs w:val="22"/>
                <w:color w:val="auto"/>
              </w:rPr>
              <w:t>Chairman of the Board, President and Chief</w:t>
            </w:r>
          </w:p>
        </w:tc>
        <w:tc>
          <w:tcPr>
            <w:tcW w:w="1680" w:type="dxa"/>
            <w:vAlign w:val="bottom"/>
          </w:tcPr>
          <w:p>
            <w:pPr>
              <w:ind w:left="620"/>
              <w:spacing w:after="0"/>
              <w:rPr>
                <w:sz w:val="20"/>
                <w:szCs w:val="20"/>
                <w:color w:val="auto"/>
              </w:rPr>
            </w:pPr>
            <w:r>
              <w:rPr>
                <w:rFonts w:ascii="Arial" w:cs="Arial" w:eastAsia="Arial" w:hAnsi="Arial"/>
                <w:sz w:val="22"/>
                <w:szCs w:val="22"/>
                <w:color w:val="auto"/>
              </w:rPr>
              <w:t>Title:</w:t>
            </w:r>
          </w:p>
        </w:tc>
        <w:tc>
          <w:tcPr>
            <w:tcW w:w="432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r>
        <w:trPr>
          <w:trHeight w:val="274"/>
        </w:trPr>
        <w:tc>
          <w:tcPr>
            <w:tcW w:w="900" w:type="dxa"/>
            <w:vAlign w:val="bottom"/>
          </w:tcPr>
          <w:p>
            <w:pPr>
              <w:spacing w:after="0"/>
              <w:rPr>
                <w:sz w:val="23"/>
                <w:szCs w:val="23"/>
                <w:color w:val="auto"/>
              </w:rPr>
            </w:pPr>
          </w:p>
        </w:tc>
        <w:tc>
          <w:tcPr>
            <w:tcW w:w="4320" w:type="dxa"/>
            <w:vAlign w:val="bottom"/>
          </w:tcPr>
          <w:p>
            <w:pPr>
              <w:ind w:left="20"/>
              <w:spacing w:after="0"/>
              <w:rPr>
                <w:sz w:val="20"/>
                <w:szCs w:val="20"/>
                <w:color w:val="auto"/>
              </w:rPr>
            </w:pPr>
            <w:r>
              <w:rPr>
                <w:rFonts w:ascii="Arial" w:cs="Arial" w:eastAsia="Arial" w:hAnsi="Arial"/>
                <w:sz w:val="22"/>
                <w:szCs w:val="22"/>
                <w:color w:val="auto"/>
              </w:rPr>
              <w:t>Executive Officer</w:t>
            </w:r>
          </w:p>
        </w:tc>
        <w:tc>
          <w:tcPr>
            <w:tcW w:w="168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851"/>
        </w:trPr>
        <w:tc>
          <w:tcPr>
            <w:tcW w:w="5220" w:type="dxa"/>
            <w:vAlign w:val="bottom"/>
            <w:gridSpan w:val="2"/>
          </w:tcPr>
          <w:p>
            <w:pPr>
              <w:ind w:left="20"/>
              <w:spacing w:after="0"/>
              <w:rPr>
                <w:sz w:val="20"/>
                <w:szCs w:val="20"/>
                <w:color w:val="auto"/>
              </w:rPr>
            </w:pPr>
            <w:r>
              <w:rPr>
                <w:rFonts w:ascii="Arial" w:cs="Arial" w:eastAsia="Arial" w:hAnsi="Arial"/>
                <w:sz w:val="22"/>
                <w:szCs w:val="22"/>
                <w:b w:val="1"/>
                <w:bCs w:val="1"/>
                <w:color w:val="auto"/>
              </w:rPr>
              <w:t>ALLERGAN SALES, LLC</w:t>
            </w:r>
          </w:p>
        </w:tc>
        <w:tc>
          <w:tcPr>
            <w:tcW w:w="6000" w:type="dxa"/>
            <w:vAlign w:val="bottom"/>
            <w:gridSpan w:val="2"/>
          </w:tcPr>
          <w:p>
            <w:pPr>
              <w:ind w:left="620"/>
              <w:spacing w:after="0"/>
              <w:rPr>
                <w:sz w:val="20"/>
                <w:szCs w:val="20"/>
                <w:color w:val="auto"/>
              </w:rPr>
            </w:pPr>
            <w:r>
              <w:rPr>
                <w:rFonts w:ascii="Arial" w:cs="Arial" w:eastAsia="Arial" w:hAnsi="Arial"/>
                <w:sz w:val="22"/>
                <w:szCs w:val="22"/>
                <w:b w:val="1"/>
                <w:bCs w:val="1"/>
                <w:color w:val="auto"/>
              </w:rPr>
              <w:t>MOLECULAR PARTNERS AG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DAVID E.I. PYOTT</w:t>
            </w:r>
          </w:p>
        </w:tc>
        <w:tc>
          <w:tcPr>
            <w:tcW w:w="1680" w:type="dxa"/>
            <w:vAlign w:val="bottom"/>
          </w:tcPr>
          <w:p>
            <w:pPr>
              <w:ind w:left="620"/>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i w:val="1"/>
                <w:iCs w:val="1"/>
                <w:color w:val="auto"/>
              </w:rPr>
              <w:t>/s/ PATRICK AMSTUTZ</w:t>
            </w:r>
          </w:p>
        </w:tc>
      </w:tr>
      <w:tr>
        <w:trPr>
          <w:trHeight w:val="294"/>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320" w:type="dxa"/>
            <w:vAlign w:val="bottom"/>
          </w:tcPr>
          <w:p>
            <w:pPr>
              <w:ind w:left="20"/>
              <w:spacing w:after="0"/>
              <w:rPr>
                <w:sz w:val="20"/>
                <w:szCs w:val="20"/>
                <w:color w:val="auto"/>
              </w:rPr>
            </w:pPr>
            <w:r>
              <w:rPr>
                <w:rFonts w:ascii="Arial" w:cs="Arial" w:eastAsia="Arial" w:hAnsi="Arial"/>
                <w:sz w:val="22"/>
                <w:szCs w:val="22"/>
                <w:color w:val="auto"/>
              </w:rPr>
              <w:t>David E.I. Pyott</w:t>
            </w:r>
          </w:p>
        </w:tc>
        <w:tc>
          <w:tcPr>
            <w:tcW w:w="1680" w:type="dxa"/>
            <w:vAlign w:val="bottom"/>
          </w:tcPr>
          <w:p>
            <w:pPr>
              <w:ind w:left="620"/>
              <w:spacing w:after="0"/>
              <w:rPr>
                <w:sz w:val="20"/>
                <w:szCs w:val="20"/>
                <w:color w:val="auto"/>
              </w:rPr>
            </w:pPr>
            <w:r>
              <w:rPr>
                <w:rFonts w:ascii="Arial" w:cs="Arial" w:eastAsia="Arial" w:hAnsi="Arial"/>
                <w:sz w:val="22"/>
                <w:szCs w:val="22"/>
                <w:color w:val="auto"/>
              </w:rPr>
              <w:t>Name:</w:t>
            </w:r>
          </w:p>
        </w:tc>
        <w:tc>
          <w:tcPr>
            <w:tcW w:w="4320" w:type="dxa"/>
            <w:vAlign w:val="bottom"/>
          </w:tcPr>
          <w:p>
            <w:pPr>
              <w:ind w:left="20"/>
              <w:spacing w:after="0"/>
              <w:rPr>
                <w:sz w:val="20"/>
                <w:szCs w:val="20"/>
                <w:color w:val="auto"/>
              </w:rPr>
            </w:pPr>
            <w:r>
              <w:rPr>
                <w:rFonts w:ascii="Arial" w:cs="Arial" w:eastAsia="Arial" w:hAnsi="Arial"/>
                <w:sz w:val="22"/>
                <w:szCs w:val="22"/>
                <w:color w:val="auto"/>
              </w:rPr>
              <w:t>Patrick Amstutz</w:t>
            </w:r>
          </w:p>
        </w:tc>
      </w:tr>
      <w:tr>
        <w:trPr>
          <w:trHeight w:val="310"/>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320" w:type="dxa"/>
            <w:vAlign w:val="bottom"/>
          </w:tcPr>
          <w:p>
            <w:pPr>
              <w:ind w:left="20"/>
              <w:spacing w:after="0"/>
              <w:rPr>
                <w:sz w:val="20"/>
                <w:szCs w:val="20"/>
                <w:color w:val="auto"/>
              </w:rPr>
            </w:pPr>
            <w:r>
              <w:rPr>
                <w:rFonts w:ascii="Arial" w:cs="Arial" w:eastAsia="Arial" w:hAnsi="Arial"/>
                <w:sz w:val="22"/>
                <w:szCs w:val="22"/>
                <w:color w:val="auto"/>
              </w:rPr>
              <w:t>Vice President</w:t>
            </w:r>
          </w:p>
        </w:tc>
        <w:tc>
          <w:tcPr>
            <w:tcW w:w="1680" w:type="dxa"/>
            <w:vAlign w:val="bottom"/>
          </w:tcPr>
          <w:p>
            <w:pPr>
              <w:ind w:left="620"/>
              <w:spacing w:after="0"/>
              <w:rPr>
                <w:sz w:val="20"/>
                <w:szCs w:val="20"/>
                <w:color w:val="auto"/>
              </w:rPr>
            </w:pPr>
            <w:r>
              <w:rPr>
                <w:rFonts w:ascii="Arial" w:cs="Arial" w:eastAsia="Arial" w:hAnsi="Arial"/>
                <w:sz w:val="22"/>
                <w:szCs w:val="22"/>
                <w:color w:val="auto"/>
              </w:rPr>
              <w:t>Title:</w:t>
            </w:r>
          </w:p>
        </w:tc>
        <w:tc>
          <w:tcPr>
            <w:tcW w:w="4320" w:type="dxa"/>
            <w:vAlign w:val="bottom"/>
          </w:tcPr>
          <w:p>
            <w:pPr>
              <w:ind w:left="20"/>
              <w:spacing w:after="0"/>
              <w:rPr>
                <w:sz w:val="20"/>
                <w:szCs w:val="20"/>
                <w:color w:val="auto"/>
              </w:rPr>
            </w:pPr>
            <w:r>
              <w:rPr>
                <w:rFonts w:ascii="Arial" w:cs="Arial" w:eastAsia="Arial" w:hAnsi="Arial"/>
                <w:sz w:val="22"/>
                <w:szCs w:val="22"/>
                <w:color w:val="auto"/>
              </w:rPr>
              <w:t>Chief Business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License and Collaboration Agreement]</w:t>
      </w:r>
    </w:p>
    <w:p>
      <w:pPr>
        <w:sectPr>
          <w:pgSz w:w="11900" w:h="16838" w:orient="portrait"/>
          <w:cols w:equalWidth="0" w:num="1">
            <w:col w:w="11240"/>
          </w:cols>
          <w:pgMar w:left="320" w:top="1421" w:right="339" w:bottom="1440" w:gutter="0" w:footer="0" w:header="0"/>
        </w:sectPr>
      </w:pPr>
    </w:p>
    <w:bookmarkStart w:id="449" w:name="page450"/>
    <w:bookmarkEnd w:id="449"/>
    <w:p>
      <w:pPr>
        <w:ind w:left="3960"/>
        <w:spacing w:after="0"/>
        <w:rPr>
          <w:sz w:val="20"/>
          <w:szCs w:val="20"/>
          <w:color w:val="auto"/>
        </w:rPr>
      </w:pPr>
      <w:r>
        <w:rPr>
          <w:rFonts w:ascii="Arial" w:cs="Arial" w:eastAsia="Arial" w:hAnsi="Arial"/>
          <w:sz w:val="22"/>
          <w:szCs w:val="22"/>
          <w:b w:val="1"/>
          <w:bCs w:val="1"/>
          <w:color w:val="auto"/>
        </w:rPr>
        <w:t>LIST OF EXHIBITS:</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Exhibit A: Initial Licensed Compounds (MP0112 and backup DARPin Compounds)</w:t>
      </w:r>
    </w:p>
    <w:p>
      <w:pPr>
        <w:spacing w:after="0" w:line="3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Exhibit B: Initial Development Plan</w:t>
      </w:r>
    </w:p>
    <w:p>
      <w:pPr>
        <w:spacing w:after="0" w:line="3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Exhibit C: Handover Plan</w:t>
      </w:r>
    </w:p>
    <w:p>
      <w:pPr>
        <w:spacing w:after="0" w:line="3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Exhibit D: Third Party Manufacturing Agreements</w:t>
      </w:r>
    </w:p>
    <w:p>
      <w:pPr>
        <w:spacing w:after="0" w:line="3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Exhibit E: Third Party License Agreements</w:t>
      </w:r>
    </w:p>
    <w:p>
      <w:pPr>
        <w:spacing w:after="0" w:line="3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Exhibit F: Molecular Partners Owned Patents</w:t>
      </w:r>
    </w:p>
    <w:p>
      <w:pPr>
        <w:spacing w:after="0" w:line="3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Exhibit G: Molecular Partners Licensed Patents</w:t>
      </w:r>
    </w:p>
    <w:p>
      <w:pPr>
        <w:spacing w:after="0" w:line="335"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right"/>
        <w:ind w:right="1159"/>
        <w:spacing w:after="0"/>
        <w:rPr>
          <w:sz w:val="20"/>
          <w:szCs w:val="20"/>
          <w:color w:val="auto"/>
        </w:rPr>
      </w:pPr>
      <w:r>
        <w:rPr>
          <w:rFonts w:ascii="Arial" w:cs="Arial" w:eastAsia="Arial" w:hAnsi="Arial"/>
          <w:sz w:val="22"/>
          <w:szCs w:val="22"/>
          <w:b w:val="1"/>
          <w:bCs w:val="1"/>
          <w:color w:val="auto"/>
        </w:rPr>
        <w:t>Initial Licensed Compounds (MP0112 and backup DARPin Compounds)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MP0112</w:t>
      </w:r>
      <w:r>
        <w:rPr>
          <w:rFonts w:ascii="Arial" w:cs="Arial" w:eastAsia="Arial" w:hAnsi="Arial"/>
          <w:sz w:val="22"/>
          <w:szCs w:val="22"/>
          <w:color w:val="auto"/>
        </w:rPr>
        <w:t>” means a compound consisting of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479"/>
          </w:cols>
          <w:pgMar w:left="980" w:top="1421" w:right="1440" w:bottom="1440" w:gutter="0" w:footer="0" w:header="0"/>
        </w:sectPr>
      </w:pPr>
    </w:p>
    <w:bookmarkStart w:id="450" w:name="page451"/>
    <w:bookmarkEnd w:id="450"/>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Initial Development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Entire Exhibit has been Redacted***</w:t>
      </w:r>
    </w:p>
    <w:p>
      <w:pPr>
        <w:sectPr>
          <w:pgSz w:w="11900" w:h="16838" w:orient="portrait"/>
          <w:cols w:equalWidth="0" w:num="1">
            <w:col w:w="9019"/>
          </w:cols>
          <w:pgMar w:left="1440" w:top="1421" w:right="1440" w:bottom="1440" w:gutter="0" w:footer="0" w:header="0"/>
        </w:sectPr>
      </w:pPr>
    </w:p>
    <w:bookmarkStart w:id="451" w:name="page452"/>
    <w:bookmarkEnd w:id="451"/>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Handover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Entire Exhibit has been Redacted***</w:t>
      </w:r>
    </w:p>
    <w:p>
      <w:pPr>
        <w:sectPr>
          <w:pgSz w:w="11900" w:h="16838" w:orient="portrait"/>
          <w:cols w:equalWidth="0" w:num="1">
            <w:col w:w="9019"/>
          </w:cols>
          <w:pgMar w:left="1440" w:top="1421" w:right="1440" w:bottom="1440" w:gutter="0" w:footer="0" w:header="0"/>
        </w:sectPr>
      </w:pPr>
    </w:p>
    <w:bookmarkStart w:id="452" w:name="page453"/>
    <w:bookmarkEnd w:id="452"/>
    <w:p>
      <w:pPr>
        <w:jc w:val="center"/>
        <w:ind w:right="-99"/>
        <w:spacing w:after="0"/>
        <w:rPr>
          <w:sz w:val="20"/>
          <w:szCs w:val="20"/>
          <w:color w:val="auto"/>
        </w:rPr>
      </w:pPr>
      <w:r>
        <w:rPr>
          <w:rFonts w:ascii="Arial" w:cs="Arial" w:eastAsia="Arial" w:hAnsi="Arial"/>
          <w:sz w:val="22"/>
          <w:szCs w:val="22"/>
          <w:b w:val="1"/>
          <w:bCs w:val="1"/>
          <w:color w:val="auto"/>
        </w:rPr>
        <w:t>Exhibit D</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Third Party Manufacturing Agreements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Master Development and Manufacturing Agreement between Molecular Partners AG and ***, effective as of ***</w:t>
      </w:r>
    </w:p>
    <w:p>
      <w:pPr>
        <w:sectPr>
          <w:pgSz w:w="11900" w:h="16838" w:orient="portrait"/>
          <w:cols w:equalWidth="0" w:num="1">
            <w:col w:w="9820"/>
          </w:cols>
          <w:pgMar w:left="980" w:top="1421" w:right="1099" w:bottom="1440" w:gutter="0" w:footer="0" w:header="0"/>
        </w:sectPr>
      </w:pPr>
    </w:p>
    <w:bookmarkStart w:id="453" w:name="page454"/>
    <w:bookmarkEnd w:id="453"/>
    <w:p>
      <w:pPr>
        <w:ind w:left="4520"/>
        <w:spacing w:after="0"/>
        <w:rPr>
          <w:sz w:val="20"/>
          <w:szCs w:val="20"/>
          <w:color w:val="auto"/>
        </w:rPr>
      </w:pPr>
      <w:r>
        <w:rPr>
          <w:rFonts w:ascii="Arial" w:cs="Arial" w:eastAsia="Arial" w:hAnsi="Arial"/>
          <w:sz w:val="22"/>
          <w:szCs w:val="22"/>
          <w:b w:val="1"/>
          <w:bCs w:val="1"/>
          <w:color w:val="auto"/>
        </w:rPr>
        <w:t>Exhibit E</w:t>
      </w:r>
    </w:p>
    <w:p>
      <w:pPr>
        <w:spacing w:after="0" w:line="220"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Third Party License Agreements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License Agreement between the University of Zurich and Molecular Partners AG effective as of ***.</w:t>
      </w:r>
    </w:p>
    <w:p>
      <w:pPr>
        <w:sectPr>
          <w:pgSz w:w="11900" w:h="16838" w:orient="portrait"/>
          <w:cols w:equalWidth="0" w:num="1">
            <w:col w:w="9479"/>
          </w:cols>
          <w:pgMar w:left="980" w:top="1421" w:right="1440" w:bottom="1440" w:gutter="0" w:footer="0" w:header="0"/>
        </w:sectPr>
      </w:pPr>
    </w:p>
    <w:bookmarkStart w:id="454" w:name="page455"/>
    <w:bookmarkEnd w:id="454"/>
    <w:p>
      <w:pPr>
        <w:jc w:val="center"/>
        <w:ind w:right="19"/>
        <w:spacing w:after="0"/>
        <w:rPr>
          <w:sz w:val="20"/>
          <w:szCs w:val="20"/>
          <w:color w:val="auto"/>
        </w:rPr>
      </w:pPr>
      <w:r>
        <w:rPr>
          <w:rFonts w:ascii="Arial" w:cs="Arial" w:eastAsia="Arial" w:hAnsi="Arial"/>
          <w:sz w:val="22"/>
          <w:szCs w:val="22"/>
          <w:b w:val="1"/>
          <w:bCs w:val="1"/>
          <w:color w:val="auto"/>
        </w:rPr>
        <w:t>Exhibit F</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Molecular Partners Owned Patents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Entire Exhibit has been Redacted***</w:t>
      </w:r>
    </w:p>
    <w:p>
      <w:pPr>
        <w:sectPr>
          <w:pgSz w:w="11900" w:h="16838" w:orient="portrait"/>
          <w:cols w:equalWidth="0" w:num="1">
            <w:col w:w="9019"/>
          </w:cols>
          <w:pgMar w:left="1440" w:top="1421" w:right="1440" w:bottom="1440" w:gutter="0" w:footer="0" w:header="0"/>
        </w:sectPr>
      </w:pPr>
    </w:p>
    <w:bookmarkStart w:id="455" w:name="page456"/>
    <w:bookmarkEnd w:id="455"/>
    <w:p>
      <w:pPr>
        <w:jc w:val="center"/>
        <w:spacing w:after="0"/>
        <w:rPr>
          <w:sz w:val="20"/>
          <w:szCs w:val="20"/>
          <w:color w:val="auto"/>
        </w:rPr>
      </w:pPr>
      <w:r>
        <w:rPr>
          <w:rFonts w:ascii="Arial" w:cs="Arial" w:eastAsia="Arial" w:hAnsi="Arial"/>
          <w:sz w:val="22"/>
          <w:szCs w:val="22"/>
          <w:b w:val="1"/>
          <w:bCs w:val="1"/>
          <w:color w:val="auto"/>
        </w:rPr>
        <w:t>Exhibit 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Molecular Partners Licensed Patents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Entire Exhibit has been Redacted***</w:t>
      </w:r>
    </w:p>
    <w:p>
      <w:pPr>
        <w:sectPr>
          <w:pgSz w:w="11900" w:h="16838" w:orient="portrait"/>
          <w:cols w:equalWidth="0" w:num="1">
            <w:col w:w="9019"/>
          </w:cols>
          <w:pgMar w:left="1440" w:top="1421" w:right="1440" w:bottom="1440"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22"/>
          <w:szCs w:val="22"/>
          <w:b w:val="1"/>
          <w:bCs w:val="1"/>
          <w:color w:val="auto"/>
        </w:rPr>
        <w:t>Exhibit H</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Press Release</w:t>
      </w:r>
    </w:p>
    <w:p>
      <w:pPr>
        <w:sectPr>
          <w:pgSz w:w="11900" w:h="16838" w:orient="portrait"/>
          <w:cols w:equalWidth="0" w:num="1">
            <w:col w:w="9019"/>
          </w:cols>
          <w:pgMar w:left="1440" w:top="1421" w:right="1440" w:bottom="1440" w:gutter="0" w:footer="0" w:header="0"/>
        </w:sectPr>
      </w:pPr>
    </w:p>
    <w:bookmarkStart w:id="457" w:name="page458"/>
    <w:bookmarkEnd w:id="4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740275" cy="523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402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Press Release</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Allergan and Molecular Partners enter into an exclusive license agreement for MP0112 for the treatment of retinal diseases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Irvine, California US / Zurich-Schlieren, Switzerland, May 4, 2011</w:t>
      </w:r>
      <w:r>
        <w:rPr>
          <w:rFonts w:ascii="Arial" w:cs="Arial" w:eastAsia="Arial" w:hAnsi="Arial"/>
          <w:sz w:val="22"/>
          <w:szCs w:val="22"/>
          <w:color w:val="auto"/>
        </w:rPr>
        <w:t>. Allergan, Inc. (NYSE: AGN) and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AG today announced that they have entered into a license agreement for MP0112, a phase II proprietary therapeutic DARPin® protein targeting VEGF under investigation for the treatment of retinal diseases.</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Under the agreement, Allergan obtains exclusive global rights for MP0112 for ophthalmic indications. The parties will work together during phase IIb development and, Allergan will be responsible for phase III development and commercialization activities. Molecular Partners will receive an up-front payment of USD $45 million and is further entitled to receive additional payments of up to an aggregate of USD $375 million upon meeting certain development, regulatory and sales milestones. In addition, Molecular Partners will receive tiered double-digit royalties on any future sales of MP0112.</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Scott M. Whitcup, M.D., Executive Vice President, Chief Scientific Officer of Allergan commented: “This agreement aligns with Allergan’s strategy to become a leader in developing new treatments for retinal disease. The goal of this program is to develop a potentially more effective treatment for diseases like neovascular age-related macular degeneration with the possibility for less frequent intravitreal injections.”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Data on MP0112 from two separate phase I/IIa trials in wet age-related macular degeneration (wetAMD) and diabetic macular edema (DME) were presented at the meeting of the Association for Research in Vision and Ophthalmology (ARVO) in Fort Lauderdale, FL earlier this week (May 1-5, 2011). The studies showed that MP0112 is well tolerated and has a potentially long lasting effect on vision gain after a single injection. In the studies, for most patients in the cohorts treated with the higher dose of the investigational compound, the potential beneficial effect on visual acuity lasted for approximately 16 weeks.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Christian Zahnd, Ph.D., Chief Executive Officer of Molecular Partners commented: “This is a transformational deal for Molecular Partners, and Allergan is the ideal partner for MP0112 to build the most value out of our lead product. Further, this agreement strengthens our ability to execute on the progression of our substantial internal systemic pipeline.”</w:t>
      </w:r>
    </w:p>
    <w:p>
      <w:pPr>
        <w:spacing w:after="0" w:line="1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Patrick Amstutz, Ph.D., Chief Business Officer of Molecular Partners added: “This deal validates our DARPin® platform in a clinical setting and sets the stage for additional clinical stage strategic collaborations in the near future.”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ends -</w:t>
      </w:r>
    </w:p>
    <w:p>
      <w:pPr>
        <w:sectPr>
          <w:pgSz w:w="11900" w:h="16838" w:orient="portrait"/>
          <w:cols w:equalWidth="0" w:num="1">
            <w:col w:w="11240"/>
          </w:cols>
          <w:pgMar w:left="320" w:top="1440" w:right="339" w:bottom="1440" w:gutter="0" w:footer="0" w:header="0"/>
        </w:sectPr>
      </w:pPr>
    </w:p>
    <w:bookmarkStart w:id="458" w:name="page459"/>
    <w:bookmarkEnd w:id="458"/>
    <w:p>
      <w:pPr>
        <w:ind w:left="660"/>
        <w:spacing w:after="0"/>
        <w:rPr>
          <w:sz w:val="20"/>
          <w:szCs w:val="20"/>
          <w:color w:val="auto"/>
        </w:rPr>
      </w:pPr>
      <w:r>
        <w:rPr>
          <w:rFonts w:ascii="Arial" w:cs="Arial" w:eastAsia="Arial" w:hAnsi="Arial"/>
          <w:sz w:val="19"/>
          <w:szCs w:val="19"/>
          <w:b w:val="1"/>
          <w:bCs w:val="1"/>
          <w:color w:val="auto"/>
        </w:rPr>
        <w:t>For further details please contact: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For Molecular Partners:</w:t>
      </w:r>
    </w:p>
    <w:p>
      <w:pPr>
        <w:sectPr>
          <w:pgSz w:w="11900" w:h="16838" w:orient="portrait"/>
          <w:cols w:equalWidth="0" w:num="1">
            <w:col w:w="11240"/>
          </w:cols>
          <w:pgMar w:left="320" w:top="1421" w:right="339" w:bottom="1440" w:gutter="0" w:footer="0" w:header="0"/>
        </w:sectPr>
      </w:pPr>
    </w:p>
    <w:p>
      <w:pPr>
        <w:spacing w:after="0" w:line="274"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Media relations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Molecular Partners</w:t>
      </w:r>
    </w:p>
    <w:p>
      <w:pPr>
        <w:spacing w:after="0" w:line="200" w:lineRule="exact"/>
        <w:rPr>
          <w:sz w:val="20"/>
          <w:szCs w:val="20"/>
          <w:color w:val="auto"/>
        </w:rPr>
      </w:pPr>
    </w:p>
    <w:p>
      <w:pPr>
        <w:sectPr>
          <w:pgSz w:w="11900" w:h="16838" w:orient="portrait"/>
          <w:cols w:equalWidth="0" w:num="2">
            <w:col w:w="3240" w:space="720"/>
            <w:col w:w="7280"/>
          </w:cols>
          <w:pgMar w:left="320" w:top="1421" w:right="339" w:bottom="1440" w:gutter="0" w:footer="0" w:header="0"/>
          <w:type w:val="continuous"/>
        </w:sectPr>
      </w:pPr>
    </w:p>
    <w:p>
      <w:pPr>
        <w:spacing w:after="0" w:line="60"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Nicole Yost</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21"/>
          <w:szCs w:val="21"/>
          <w:color w:val="auto"/>
        </w:rPr>
        <w:t>College Hill Life Sciences</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Tel: +44 (0) 20 7866 7855</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nicole.yost@collegehill.com</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Dr. Christian Zahnd, CEO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Dr. Patrick Amstutz, CBO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 +41 (0) 44 755 77 00</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info@molecularpartners.com</w:t>
      </w:r>
    </w:p>
    <w:p>
      <w:pPr>
        <w:spacing w:after="0" w:line="200" w:lineRule="exact"/>
        <w:rPr>
          <w:sz w:val="20"/>
          <w:szCs w:val="20"/>
          <w:color w:val="auto"/>
        </w:rPr>
      </w:pPr>
    </w:p>
    <w:p>
      <w:pPr>
        <w:sectPr>
          <w:pgSz w:w="11900" w:h="16838" w:orient="portrait"/>
          <w:cols w:equalWidth="0" w:num="2">
            <w:col w:w="3240" w:space="720"/>
            <w:col w:w="7280"/>
          </w:cols>
          <w:pgMar w:left="320" w:top="1421" w:right="339" w:bottom="1440" w:gutter="0" w:footer="0" w:header="0"/>
          <w:type w:val="continuous"/>
        </w:sect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editors: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About MP0112</w:t>
      </w:r>
    </w:p>
    <w:p>
      <w:pPr>
        <w:sectPr>
          <w:pgSz w:w="11900" w:h="16838" w:orient="portrait"/>
          <w:cols w:equalWidth="0" w:num="1">
            <w:col w:w="11240"/>
          </w:cols>
          <w:pgMar w:left="320" w:top="1421" w:right="339" w:bottom="1440" w:gutter="0" w:footer="0" w:header="0"/>
          <w:type w:val="continuous"/>
        </w:sectPr>
      </w:pP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MP0112 is a DARPin®-based, small therapeutic protein, which inhibits all relevant forms of vascular endothelial growth factor A (VEGF-A) with high potency and selectivity. The molecule is currently under development for the treatment of wet age-related macular degeneration (AMD) and diabetic macular edema (DME). Its high efficacy has been demonstrated in various preclinical models. MP0112 has shown the potential to show significantly longer therapeutic effects in various animal models potentially leading to a drug with the need for less frequent dosing as compared to standard of care.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About Allergan, Inc. (www.allergan.com)</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Allergan is a multi-specialty health care company established more than 60 years ago with a commitment to uncover the best of science and develop and deliver innovative and meaningful treatments to help people reach their life’s potential. Today, we have more than 9,000 highly dedicated and talented employees, global marketing and sales capabilities with a presence in more than 100 countries, a rich and ever-evolving portfolio of pharmaceuticals, biologics, medical devices and over-the-counter consumer products, and state-of-the-art resources in R&amp;D, manufacturing and safety surveillance that help millions of patients see more clearly, move more freely and express themselves more fully. From our beginnings as an eye care company to our focus today on several medical specialties, including ophthalmology, neurosciences, medical aesthetics, medical dermatology, breast aesthetics, obesity intervention and urologics, Allergan is proud to celebrate 60 years of medical advances and proud to support the patients and physicians who rely on our products and the employees and communities in which we live and work.</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About Molecular Partners AG (www.molecularpartners.com):</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Molecular Partners is a privately-owned biotech company focusing on the research, development and commercialization of a novel class of biological drugs known as DARPins®. The company is committed to create medicines for diseases with unmet medical need and to dramatically improve existing therapies. DARPins® combine the high specificity, selectivity and</w:t>
      </w:r>
    </w:p>
    <w:p>
      <w:pPr>
        <w:sectPr>
          <w:pgSz w:w="11900" w:h="16838" w:orient="portrait"/>
          <w:cols w:equalWidth="0" w:num="1">
            <w:col w:w="11240"/>
          </w:cols>
          <w:pgMar w:left="320" w:top="1421" w:right="339" w:bottom="1440" w:gutter="0" w:footer="0" w:header="0"/>
          <w:type w:val="continuous"/>
        </w:sectPr>
      </w:pPr>
    </w:p>
    <w:bookmarkStart w:id="459" w:name="page460"/>
    <w:bookmarkEnd w:id="459"/>
    <w:p>
      <w:pPr>
        <w:spacing w:after="0"/>
        <w:rPr>
          <w:sz w:val="20"/>
          <w:szCs w:val="20"/>
          <w:color w:val="auto"/>
        </w:rPr>
      </w:pPr>
      <w:r>
        <w:rPr>
          <w:rFonts w:ascii="Arial" w:cs="Arial" w:eastAsia="Arial" w:hAnsi="Arial"/>
          <w:sz w:val="19"/>
          <w:szCs w:val="19"/>
          <w:color w:val="auto"/>
        </w:rPr>
        <w:t>safety of monoclonal antibodies with many advantages of small molecules, including high stability and low-cost production.</w:t>
      </w:r>
    </w:p>
    <w:p>
      <w:pPr>
        <w:spacing w:after="0" w:line="2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Molecular Partners has established a strong DARPin® pipeline which is well differentiated from standard therapeutic approaches. Next to MP0112, Molecular Partners is focusing on DARPin® drugs in inflammation, oncology and other disease areas. The internal pipeline is expanded by partnered programs with leading pharmaceutical companies. Molecular Partners has established collaborations with F. Hoffmann-la Roche, Centocor Research &amp; Development Inc. and Bayer Schering Pharma. The company is backed by a strong syndicate of investors and holds a strong patent estate covering all DARPin® applications.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Allergan Forward-Looking Statements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This press release contains “</w:t>
      </w:r>
      <w:r>
        <w:rPr>
          <w:rFonts w:ascii="Arial" w:cs="Arial" w:eastAsia="Arial" w:hAnsi="Arial"/>
          <w:sz w:val="19"/>
          <w:szCs w:val="19"/>
          <w:b w:val="1"/>
          <w:bCs w:val="1"/>
          <w:color w:val="auto"/>
        </w:rPr>
        <w:t>f</w:t>
      </w:r>
      <w:r>
        <w:rPr>
          <w:rFonts w:ascii="Arial" w:cs="Arial" w:eastAsia="Arial" w:hAnsi="Arial"/>
          <w:sz w:val="19"/>
          <w:szCs w:val="19"/>
          <w:color w:val="auto"/>
        </w:rPr>
        <w:t>orward-looking statements,” including, but not limited to, the statements by Drs. Whitcup, Zahnd and Amstutz and other statements regarding the development of MP0112 as well as the safety, effectiveness, approvals, adverse events and market potential of MP0112. These statements are based on current expectations of future events. If underlying assumptions prove inaccurate or unknown risks or uncertainties materialize, actual results could vary materially from Allergan’s expectations and projections. Risks and uncertainties include, among other things, general industry and pharmaceutical market conditions; technological advances and patents attained by competitors; challenges inherent in the research and development and regulatory processes; challenges related to product marketing, such as the unpredictability of market acceptance for new products and/or the acceptance of new indications for such products; inconsistency of treatment results among patients; general economic conditions; and governmental laws and regulations affecting domestic and foreign operations. Allergan expressly disclaims any intent or obligation to update these forward-looking statements except as required by law. Additional information concerning the above-referenced risk factors and other risk factors can be found in Allergan’s public periodic filings with the Securities and Exchange Commission, including the discussion under the heading “Risk Factors” in Allergan’s 2010 Annual Report on Form 10-K. Additional information about Allergan is available at www.allergan.com or you can contact the Allergan Investor Relations Department by calling 714-246-4636.</w:t>
      </w:r>
    </w:p>
    <w:p>
      <w:pPr>
        <w:sectPr>
          <w:pgSz w:w="11900" w:h="16838" w:orient="portrait"/>
          <w:cols w:equalWidth="0" w:num="1">
            <w:col w:w="11240"/>
          </w:cols>
          <w:pgMar w:left="320" w:top="1427" w:right="339" w:bottom="1440" w:gutter="0" w:footer="0" w:header="0"/>
        </w:sectPr>
      </w:pPr>
    </w:p>
    <w:bookmarkStart w:id="460" w:name="page461"/>
    <w:bookmarkEnd w:id="460"/>
    <w:p>
      <w:pPr>
        <w:ind w:left="10320"/>
        <w:spacing w:after="0"/>
        <w:rPr>
          <w:sz w:val="20"/>
          <w:szCs w:val="20"/>
          <w:color w:val="auto"/>
        </w:rPr>
      </w:pPr>
      <w:r>
        <w:rPr>
          <w:rFonts w:ascii="Arial" w:cs="Arial" w:eastAsia="Arial" w:hAnsi="Arial"/>
          <w:sz w:val="16"/>
          <w:szCs w:val="16"/>
          <w:b w:val="1"/>
          <w:bCs w:val="1"/>
          <w:color w:val="auto"/>
        </w:rPr>
        <w:t>Exhibit 10.4</w:t>
      </w:r>
    </w:p>
    <w:p>
      <w:pPr>
        <w:spacing w:after="0" w:line="50" w:lineRule="exact"/>
        <w:rPr>
          <w:sz w:val="20"/>
          <w:szCs w:val="20"/>
          <w:color w:val="auto"/>
        </w:rPr>
      </w:pPr>
    </w:p>
    <w:p>
      <w:pPr>
        <w:ind w:right="160" w:firstLine="8"/>
        <w:spacing w:after="0" w:line="260" w:lineRule="auto"/>
        <w:tabs>
          <w:tab w:leader="none" w:pos="43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DISCOVERY ALLIANCE AGREEMENT</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Discovery Alliance Agreement</w:t>
      </w:r>
      <w:r>
        <w:rPr>
          <w:rFonts w:ascii="Arial" w:cs="Arial" w:eastAsia="Arial" w:hAnsi="Arial"/>
          <w:sz w:val="21"/>
          <w:szCs w:val="21"/>
          <w:color w:val="auto"/>
        </w:rPr>
        <w:t xml:space="preserve">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as of August 20, 2012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by and between (a) </w:t>
      </w:r>
      <w:r>
        <w:rPr>
          <w:rFonts w:ascii="Arial" w:cs="Arial" w:eastAsia="Arial" w:hAnsi="Arial"/>
          <w:sz w:val="21"/>
          <w:szCs w:val="21"/>
          <w:b w:val="1"/>
          <w:bCs w:val="1"/>
          <w:color w:val="auto"/>
        </w:rPr>
        <w:t>Molecular Partners AG</w:t>
      </w:r>
      <w:r>
        <w:rPr>
          <w:rFonts w:ascii="Arial" w:cs="Arial" w:eastAsia="Arial" w:hAnsi="Arial"/>
          <w:sz w:val="21"/>
          <w:szCs w:val="21"/>
          <w:color w:val="auto"/>
        </w:rPr>
        <w:t>, a corporation organized and existing under the laws of Switzerland, having its principal place of business at Wagistrasse 14, 8952 Zürich-Schlieren, Switzerland (“</w:t>
      </w:r>
      <w:r>
        <w:rPr>
          <w:rFonts w:ascii="Arial" w:cs="Arial" w:eastAsia="Arial" w:hAnsi="Arial"/>
          <w:sz w:val="21"/>
          <w:szCs w:val="21"/>
          <w:b w:val="1"/>
          <w:bCs w:val="1"/>
          <w:color w:val="auto"/>
        </w:rPr>
        <w:t>Molecular Partners</w:t>
      </w:r>
      <w:r>
        <w:rPr>
          <w:rFonts w:ascii="Arial" w:cs="Arial" w:eastAsia="Arial" w:hAnsi="Arial"/>
          <w:sz w:val="21"/>
          <w:szCs w:val="21"/>
          <w:color w:val="auto"/>
        </w:rPr>
        <w:t xml:space="preserve">”) and (b) </w:t>
      </w:r>
      <w:r>
        <w:rPr>
          <w:rFonts w:ascii="Arial" w:cs="Arial" w:eastAsia="Arial" w:hAnsi="Arial"/>
          <w:sz w:val="21"/>
          <w:szCs w:val="21"/>
          <w:b w:val="1"/>
          <w:bCs w:val="1"/>
          <w:color w:val="auto"/>
        </w:rPr>
        <w:t>Allergan,</w:t>
      </w:r>
      <w:r>
        <w:rPr>
          <w:rFonts w:ascii="Arial" w:cs="Arial" w:eastAsia="Arial" w:hAnsi="Arial"/>
          <w:sz w:val="21"/>
          <w:szCs w:val="21"/>
          <w:color w:val="auto"/>
        </w:rPr>
        <w:t xml:space="preserve"> </w:t>
      </w:r>
      <w:r>
        <w:rPr>
          <w:rFonts w:ascii="Arial" w:cs="Arial" w:eastAsia="Arial" w:hAnsi="Arial"/>
          <w:sz w:val="21"/>
          <w:szCs w:val="21"/>
          <w:b w:val="1"/>
          <w:bCs w:val="1"/>
          <w:color w:val="auto"/>
        </w:rPr>
        <w:t>Inc.</w:t>
      </w:r>
      <w:r>
        <w:rPr>
          <w:rFonts w:ascii="Arial" w:cs="Arial" w:eastAsia="Arial" w:hAnsi="Arial"/>
          <w:sz w:val="21"/>
          <w:szCs w:val="21"/>
          <w:color w:val="auto"/>
        </w:rPr>
        <w:t>, a Delaware corporation having a place of business at 2525 Dupont Drive, Irvine, California 92612 USA, and</w:t>
      </w:r>
      <w:r>
        <w:rPr>
          <w:rFonts w:ascii="Arial" w:cs="Arial" w:eastAsia="Arial" w:hAnsi="Arial"/>
          <w:sz w:val="21"/>
          <w:szCs w:val="21"/>
          <w:b w:val="1"/>
          <w:bCs w:val="1"/>
          <w:color w:val="auto"/>
        </w:rPr>
        <w:t xml:space="preserve"> Allergan Sales, LLC</w:t>
      </w:r>
      <w:r>
        <w:rPr>
          <w:rFonts w:ascii="Arial" w:cs="Arial" w:eastAsia="Arial" w:hAnsi="Arial"/>
          <w:sz w:val="21"/>
          <w:szCs w:val="21"/>
          <w:color w:val="auto"/>
        </w:rPr>
        <w:t>, a Delaware limited liability company having a place of business at 2525 Dupont Drive, Irvine, California 92612</w:t>
      </w:r>
      <w:r>
        <w:rPr>
          <w:rFonts w:ascii="Arial" w:cs="Arial" w:eastAsia="Arial" w:hAnsi="Arial"/>
          <w:sz w:val="21"/>
          <w:szCs w:val="21"/>
          <w:b w:val="1"/>
          <w:bCs w:val="1"/>
          <w:color w:val="auto"/>
        </w:rPr>
        <w:t xml:space="preserve"> </w:t>
      </w:r>
      <w:r>
        <w:rPr>
          <w:rFonts w:ascii="Arial" w:cs="Arial" w:eastAsia="Arial" w:hAnsi="Arial"/>
          <w:sz w:val="21"/>
          <w:szCs w:val="21"/>
          <w:color w:val="auto"/>
        </w:rPr>
        <w:t>USA (Allergan, Inc. and Allergan Sales, LLC, together “</w:t>
      </w:r>
      <w:r>
        <w:rPr>
          <w:rFonts w:ascii="Arial" w:cs="Arial" w:eastAsia="Arial" w:hAnsi="Arial"/>
          <w:sz w:val="21"/>
          <w:szCs w:val="21"/>
          <w:b w:val="1"/>
          <w:bCs w:val="1"/>
          <w:color w:val="auto"/>
        </w:rPr>
        <w:t>Allergan</w:t>
      </w:r>
      <w:r>
        <w:rPr>
          <w:rFonts w:ascii="Arial" w:cs="Arial" w:eastAsia="Arial" w:hAnsi="Arial"/>
          <w:sz w:val="21"/>
          <w:szCs w:val="21"/>
          <w:color w:val="auto"/>
        </w:rPr>
        <w:t>”). Molecular Partners and Allergan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Molecular Partners possesses proprietary technology and know-how related to the discovery, identification,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synthesis and development of DARPin Compounds (as defined below) as drug candidates;</w:t>
      </w:r>
    </w:p>
    <w:p>
      <w:pPr>
        <w:spacing w:after="0" w:line="16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Allergan possesses resources and expertise in the development and commercialization of pharmaceutical</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in the field of ophthalmology, and is interested in developing DARPin Compounds as drug candidates in such field;</w:t>
      </w:r>
    </w:p>
    <w:p>
      <w:pPr>
        <w:spacing w:after="0" w:line="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Allergan and Molecular Partners desire to engage in a research collaboration pursuant to which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will identify DARPin domains binding [***] different targets (including [***]) and will generate product candidates from certain combinations of such DARPin domains, and pursuant to which Allergan will have three options, exercisable at Allergan’s sole discretion, to obtain a license from Molecular Partners to develop and commercialize certain of such product candidates in the field of ophthalmology; and</w:t>
      </w:r>
    </w:p>
    <w:p>
      <w:pPr>
        <w:spacing w:after="0" w:line="18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Molecular Partners and Allergan are parties to that certain License and Collaboration Agreement, dated</w:t>
      </w:r>
      <w:r>
        <w:rPr>
          <w:rFonts w:ascii="Arial" w:cs="Arial" w:eastAsia="Arial" w:hAnsi="Arial"/>
          <w:sz w:val="19"/>
          <w:szCs w:val="19"/>
          <w:b w:val="1"/>
          <w:bCs w:val="1"/>
          <w:color w:val="auto"/>
        </w:rPr>
        <w:t xml:space="preserve"> </w:t>
      </w:r>
      <w:r>
        <w:rPr>
          <w:rFonts w:ascii="Arial" w:cs="Arial" w:eastAsia="Arial" w:hAnsi="Arial"/>
          <w:sz w:val="19"/>
          <w:szCs w:val="19"/>
          <w:color w:val="auto"/>
        </w:rPr>
        <w:t>May 3, 2011 (the “</w:t>
      </w:r>
      <w:r>
        <w:rPr>
          <w:rFonts w:ascii="Arial" w:cs="Arial" w:eastAsia="Arial" w:hAnsi="Arial"/>
          <w:sz w:val="19"/>
          <w:szCs w:val="19"/>
          <w:b w:val="1"/>
          <w:bCs w:val="1"/>
          <w:color w:val="auto"/>
        </w:rPr>
        <w:t>MP0112 Agreement</w:t>
      </w:r>
      <w:r>
        <w:rPr>
          <w:rFonts w:ascii="Arial" w:cs="Arial" w:eastAsia="Arial" w:hAnsi="Arial"/>
          <w:sz w:val="19"/>
          <w:szCs w:val="19"/>
          <w:color w:val="auto"/>
        </w:rPr>
        <w:t>”), pursuant to which the Parties are developing a DARPin that binds VEGF-A for use in the field of [***], and concurrent with the entry into this Agreement, the Parties are entering into a License and Collaboration Agreement (the “</w:t>
      </w:r>
      <w:r>
        <w:rPr>
          <w:rFonts w:ascii="Arial" w:cs="Arial" w:eastAsia="Arial" w:hAnsi="Arial"/>
          <w:sz w:val="19"/>
          <w:szCs w:val="19"/>
          <w:b w:val="1"/>
          <w:bCs w:val="1"/>
          <w:color w:val="auto"/>
        </w:rPr>
        <w:t>MP0260 Agreement</w:t>
      </w:r>
      <w:r>
        <w:rPr>
          <w:rFonts w:ascii="Arial" w:cs="Arial" w:eastAsia="Arial" w:hAnsi="Arial"/>
          <w:sz w:val="19"/>
          <w:szCs w:val="19"/>
          <w:color w:val="auto"/>
        </w:rPr>
        <w:t>”) pursuant to which the Parties are developing a DARPin that binds VEGF-A and PDGF-B for use in the field of [***] and a Joint Steering Committee Agreement (the “</w:t>
      </w:r>
      <w:r>
        <w:rPr>
          <w:rFonts w:ascii="Arial" w:cs="Arial" w:eastAsia="Arial" w:hAnsi="Arial"/>
          <w:sz w:val="19"/>
          <w:szCs w:val="19"/>
          <w:b w:val="1"/>
          <w:bCs w:val="1"/>
          <w:color w:val="auto"/>
        </w:rPr>
        <w:t>JSC Agreement</w:t>
      </w:r>
      <w:r>
        <w:rPr>
          <w:rFonts w:ascii="Arial" w:cs="Arial" w:eastAsia="Arial" w:hAnsi="Arial"/>
          <w:sz w:val="19"/>
          <w:szCs w:val="19"/>
          <w:color w:val="auto"/>
        </w:rPr>
        <w:t>”).</w:t>
      </w:r>
    </w:p>
    <w:p>
      <w:pPr>
        <w:spacing w:after="0" w:line="14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and conditions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AAA</w:t>
      </w:r>
      <w:r>
        <w:rPr>
          <w:rFonts w:ascii="Arial" w:cs="Arial" w:eastAsia="Arial" w:hAnsi="Arial"/>
          <w:sz w:val="19"/>
          <w:szCs w:val="19"/>
          <w:color w:val="auto"/>
        </w:rPr>
        <w:t>” has the meaning set forth in Section 15.3.</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Acquiror</w:t>
      </w:r>
      <w:r>
        <w:rPr>
          <w:rFonts w:ascii="Arial" w:cs="Arial" w:eastAsia="Arial" w:hAnsi="Arial"/>
          <w:sz w:val="19"/>
          <w:szCs w:val="19"/>
          <w:color w:val="auto"/>
        </w:rPr>
        <w:t>” has the meaning set forth in Section 16.6(a)(ii).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21" w:right="339" w:bottom="1440" w:gutter="0" w:footer="0" w:header="0"/>
        </w:sectPr>
      </w:pPr>
    </w:p>
    <w:bookmarkStart w:id="461" w:name="page462"/>
    <w:bookmarkEnd w:id="461"/>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particular Party, a person, corporation, partnership, or other entity that controls,</w:t>
      </w:r>
      <w:r>
        <w:rPr>
          <w:rFonts w:ascii="Arial" w:cs="Arial" w:eastAsia="Arial" w:hAnsi="Arial"/>
          <w:sz w:val="19"/>
          <w:szCs w:val="19"/>
          <w:b w:val="1"/>
          <w:bCs w:val="1"/>
          <w:color w:val="auto"/>
        </w:rPr>
        <w:t xml:space="preserve"> </w:t>
      </w:r>
      <w:r>
        <w:rPr>
          <w:rFonts w:ascii="Arial" w:cs="Arial" w:eastAsia="Arial" w:hAnsi="Arial"/>
          <w:sz w:val="19"/>
          <w:szCs w:val="19"/>
          <w:color w:val="auto"/>
        </w:rPr>
        <w:t>is controlled by or is under common control with such Party. For the purposes of this definition, the word “control” (including, with correlative meaning, the terms “controlled by” or “under common control with”) shall mean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4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color w:val="auto"/>
        </w:rPr>
        <w:t>“</w:t>
      </w:r>
      <w:r>
        <w:rPr>
          <w:rFonts w:ascii="Arial" w:cs="Arial" w:eastAsia="Arial" w:hAnsi="Arial"/>
          <w:sz w:val="19"/>
          <w:szCs w:val="19"/>
          <w:b w:val="1"/>
          <w:bCs w:val="1"/>
          <w:color w:val="auto"/>
        </w:rPr>
        <w:t>AGN Collaboration Results</w:t>
      </w:r>
      <w:r>
        <w:rPr>
          <w:rFonts w:ascii="Arial" w:cs="Arial" w:eastAsia="Arial" w:hAnsi="Arial"/>
          <w:sz w:val="19"/>
          <w:szCs w:val="19"/>
          <w:color w:val="auto"/>
        </w:rPr>
        <w:t>” means all Collaboration Results (a) generated solely by or on behalf of Allergan or</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(b) generated solely or jointly by or on behalf of the Parties or their Affiliates with any Product Candidate, or (c) generated solely or jointly by or on behalf of the Parties or their Affiliates directed to Allergan Core Inventions (other than, in the case of (a) and (b), any Collaboration Result that is defined as an MP Collaboration Result in Section 1.108(b)).</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color w:val="auto"/>
        </w:rPr>
        <w:t>AGN DARPin Domain</w:t>
      </w:r>
      <w:r>
        <w:rPr>
          <w:rFonts w:ascii="Arial" w:cs="Arial" w:eastAsia="Arial" w:hAnsi="Arial"/>
          <w:sz w:val="22"/>
          <w:szCs w:val="22"/>
          <w:color w:val="auto"/>
        </w:rPr>
        <w:t>” means, with respect to a particular Collaboration Target, one of the three (3) DARPin</w:t>
      </w:r>
      <w:r>
        <w:rPr>
          <w:rFonts w:ascii="Arial" w:cs="Arial" w:eastAsia="Arial" w:hAnsi="Arial"/>
          <w:sz w:val="22"/>
          <w:szCs w:val="22"/>
          <w:b w:val="1"/>
          <w:bCs w:val="1"/>
          <w:color w:val="auto"/>
        </w:rPr>
        <w:t xml:space="preserve"> </w:t>
      </w:r>
      <w:r>
        <w:rPr>
          <w:rFonts w:ascii="Arial" w:cs="Arial" w:eastAsia="Arial" w:hAnsi="Arial"/>
          <w:sz w:val="22"/>
          <w:szCs w:val="22"/>
          <w:color w:val="auto"/>
        </w:rPr>
        <w:t>Domains Binding such Collaboration Target selected by Allergan through the JSC pursuant to Section 2.4(b), or selected by Allergan through the JSC as a replacement for an existing AGN DARPin Domain (which existing AGN DARPin Domain will no longer be considered an AGN DARPin Domain) pursuant to Section 2.4(c).</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introductory paragraph.</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Allergan</w:t>
      </w:r>
      <w:r>
        <w:rPr>
          <w:rFonts w:ascii="Arial" w:cs="Arial" w:eastAsia="Arial" w:hAnsi="Arial"/>
          <w:sz w:val="19"/>
          <w:szCs w:val="19"/>
          <w:color w:val="auto"/>
        </w:rPr>
        <w:t>” has the meaning set forth in the introductory paragraph.</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Allergan Core Inventions</w:t>
      </w:r>
      <w:r>
        <w:rPr>
          <w:rFonts w:ascii="Arial" w:cs="Arial" w:eastAsia="Arial" w:hAnsi="Arial"/>
          <w:sz w:val="19"/>
          <w:szCs w:val="19"/>
          <w:color w:val="auto"/>
        </w:rPr>
        <w:t>” has the meaning set forth in Section 10.2(a).</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Allergan Indemnitees</w:t>
      </w:r>
      <w:r>
        <w:rPr>
          <w:rFonts w:ascii="Arial" w:cs="Arial" w:eastAsia="Arial" w:hAnsi="Arial"/>
          <w:sz w:val="19"/>
          <w:szCs w:val="19"/>
          <w:color w:val="auto"/>
        </w:rPr>
        <w:t>” has the meaning set forth in Section 12.1.</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Allergan Withholding Tax Action</w:t>
      </w:r>
      <w:r>
        <w:rPr>
          <w:rFonts w:ascii="Arial" w:cs="Arial" w:eastAsia="Arial" w:hAnsi="Arial"/>
          <w:sz w:val="19"/>
          <w:szCs w:val="19"/>
          <w:color w:val="auto"/>
        </w:rPr>
        <w:t>” has the meaning set forth in Section 9.13(c).</w:t>
      </w:r>
    </w:p>
    <w:p>
      <w:pPr>
        <w:spacing w:after="0" w:line="22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Backup Compound</w:t>
      </w:r>
      <w:r>
        <w:rPr>
          <w:rFonts w:ascii="Arial" w:cs="Arial" w:eastAsia="Arial" w:hAnsi="Arial"/>
          <w:sz w:val="19"/>
          <w:szCs w:val="19"/>
          <w:color w:val="auto"/>
        </w:rPr>
        <w:t>” has the meaning set forth in Section 5.7(a).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has the meaning set forth in Section 16.9.</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color w:val="auto"/>
        </w:rPr>
        <w:t>Bind</w:t>
      </w:r>
      <w:r>
        <w:rPr>
          <w:rFonts w:ascii="Arial" w:cs="Arial" w:eastAsia="Arial" w:hAnsi="Arial"/>
          <w:sz w:val="22"/>
          <w:szCs w:val="22"/>
          <w:color w:val="auto"/>
        </w:rPr>
        <w:t>” means, with respect to a protein domain and Target, that the [***]. “</w:t>
      </w:r>
      <w:r>
        <w:rPr>
          <w:rFonts w:ascii="Arial" w:cs="Arial" w:eastAsia="Arial" w:hAnsi="Arial"/>
          <w:sz w:val="22"/>
          <w:szCs w:val="22"/>
          <w:b w:val="1"/>
          <w:bCs w:val="1"/>
          <w:color w:val="auto"/>
        </w:rPr>
        <w:t>Bound</w:t>
      </w:r>
      <w:r>
        <w:rPr>
          <w:rFonts w:ascii="Arial" w:cs="Arial" w:eastAsia="Arial" w:hAnsi="Arial"/>
          <w:sz w:val="22"/>
          <w:szCs w:val="22"/>
          <w:color w:val="auto"/>
        </w:rPr>
        <w:t>” and “</w:t>
      </w:r>
      <w:r>
        <w:rPr>
          <w:rFonts w:ascii="Arial" w:cs="Arial" w:eastAsia="Arial" w:hAnsi="Arial"/>
          <w:sz w:val="22"/>
          <w:szCs w:val="22"/>
          <w:b w:val="1"/>
          <w:bCs w:val="1"/>
          <w:color w:val="auto"/>
        </w:rPr>
        <w:t>Binding</w:t>
      </w:r>
      <w:r>
        <w:rPr>
          <w:rFonts w:ascii="Arial" w:cs="Arial" w:eastAsia="Arial" w:hAnsi="Arial"/>
          <w:sz w:val="22"/>
          <w:szCs w:val="22"/>
          <w:color w:val="auto"/>
        </w:rPr>
        <w:t>” have</w:t>
      </w:r>
      <w:r>
        <w:rPr>
          <w:rFonts w:ascii="Arial" w:cs="Arial" w:eastAsia="Arial" w:hAnsi="Arial"/>
          <w:sz w:val="22"/>
          <w:szCs w:val="22"/>
          <w:b w:val="1"/>
          <w:bCs w:val="1"/>
          <w:color w:val="auto"/>
        </w:rPr>
        <w:t xml:space="preserve"> </w:t>
      </w:r>
      <w:r>
        <w:rPr>
          <w:rFonts w:ascii="Arial" w:cs="Arial" w:eastAsia="Arial" w:hAnsi="Arial"/>
          <w:sz w:val="22"/>
          <w:szCs w:val="22"/>
          <w:color w:val="auto"/>
        </w:rPr>
        <w:t>correlative meanings.</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color w:val="auto"/>
        </w:rPr>
        <w:t>“</w:t>
      </w:r>
      <w:r>
        <w:rPr>
          <w:rFonts w:ascii="Arial" w:cs="Arial" w:eastAsia="Arial" w:hAnsi="Arial"/>
          <w:sz w:val="19"/>
          <w:szCs w:val="19"/>
          <w:b w:val="1"/>
          <w:bCs w:val="1"/>
          <w:color w:val="auto"/>
        </w:rPr>
        <w:t>Biosimilar</w:t>
      </w:r>
      <w:r>
        <w:rPr>
          <w:rFonts w:ascii="Arial" w:cs="Arial" w:eastAsia="Arial" w:hAnsi="Arial"/>
          <w:sz w:val="19"/>
          <w:szCs w:val="19"/>
          <w:color w:val="auto"/>
        </w:rPr>
        <w:t>” means, with respect to a Licensed Product and country, a biological or drug product that (a) is</w:t>
      </w:r>
      <w:r>
        <w:rPr>
          <w:rFonts w:ascii="Arial" w:cs="Arial" w:eastAsia="Arial" w:hAnsi="Arial"/>
          <w:sz w:val="19"/>
          <w:szCs w:val="19"/>
          <w:b w:val="1"/>
          <w:bCs w:val="1"/>
          <w:color w:val="auto"/>
        </w:rPr>
        <w:t xml:space="preserve"> </w:t>
      </w:r>
      <w:r>
        <w:rPr>
          <w:rFonts w:ascii="Arial" w:cs="Arial" w:eastAsia="Arial" w:hAnsi="Arial"/>
          <w:sz w:val="19"/>
          <w:szCs w:val="19"/>
          <w:color w:val="auto"/>
        </w:rPr>
        <w:t>biosimilar to or interchangeable with such Licensed Product as described in 42 U.S.C. § 262(k)(2)(A)(i), or an equivalent determination by the applicable Regulatory Authorities in such country outside the U.S., or any other equivalent provision that comes into force during the Term, (b) relies on or references, in its Regulatory Approval Application in such country, Information, including safety or efficacy data, in the Regulatory Materials for such Licensed Product, (c) is the subject of a notice with respect to such Licensed Product under 42 U.S.C. § 262(l)(2) or any other equivalent provision that comes into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62" w:name="page463"/>
    <w:bookmarkEnd w:id="462"/>
    <w:p>
      <w:pPr>
        <w:jc w:val="both"/>
        <w:spacing w:after="0" w:line="245" w:lineRule="auto"/>
        <w:rPr>
          <w:sz w:val="20"/>
          <w:szCs w:val="20"/>
          <w:color w:val="auto"/>
        </w:rPr>
      </w:pPr>
      <w:r>
        <w:rPr>
          <w:rFonts w:ascii="Arial" w:cs="Arial" w:eastAsia="Arial" w:hAnsi="Arial"/>
          <w:sz w:val="22"/>
          <w:szCs w:val="22"/>
          <w:color w:val="auto"/>
        </w:rPr>
        <w:t>during the Term in such country, or (d) is an A/B Rated product with respect to such Licensed Product in such country. For clarity, a product may be a Biosimilar with respect to a Licensed Product regardless of whether it is subject to regulation as a biologic or drug product and regardless of the route used to obtain approval (for example, whether by Abbreviated New Drug Application, BLA or under 42 U.S.C. § 262). For the purposes of this definition, “</w:t>
      </w:r>
      <w:r>
        <w:rPr>
          <w:rFonts w:ascii="Arial" w:cs="Arial" w:eastAsia="Arial" w:hAnsi="Arial"/>
          <w:sz w:val="22"/>
          <w:szCs w:val="22"/>
          <w:b w:val="1"/>
          <w:bCs w:val="1"/>
          <w:color w:val="auto"/>
        </w:rPr>
        <w:t>A/B Rated</w:t>
      </w:r>
      <w:r>
        <w:rPr>
          <w:rFonts w:ascii="Arial" w:cs="Arial" w:eastAsia="Arial" w:hAnsi="Arial"/>
          <w:sz w:val="22"/>
          <w:szCs w:val="22"/>
          <w:color w:val="auto"/>
        </w:rPr>
        <w:t>” means, inside the U.S., “therapeutically equivalent” as determined by the FDA, applying the definition of “therapeutically equivalent” set forth in the preface to the then-current edition of the FDA publication “Approved Drug Products With Therapeutic Equivalence Evaluations” and, outside the U.S., such equivalent determination by the applicable Regulatory Authorities as is necessary to permit pharmacists or other individuals authorized to dispense biological or drug products under applicable Law to substitute one product for another product in the absence of specific instruction from a physician or other authorized prescriber under applicable Law.</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color w:val="auto"/>
        </w:rPr>
        <w:t>BLA</w:t>
      </w:r>
      <w:r>
        <w:rPr>
          <w:rFonts w:ascii="Arial" w:cs="Arial" w:eastAsia="Arial" w:hAnsi="Arial"/>
          <w:sz w:val="22"/>
          <w:szCs w:val="22"/>
          <w:color w:val="auto"/>
        </w:rPr>
        <w:t>” means a Biologics License Application (or supplement thereto) or similar application that is submitted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the FDA, or a foreign equivalent of the FDA, for marketing approval of a Licensed Product in the U.S. or any other country in the Territory, respectively.</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1.16 </w:t>
      </w: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any weekday that is not a legal holiday in either Zurich, Switzerland or New York, New</w:t>
      </w:r>
      <w:r>
        <w:rPr>
          <w:rFonts w:ascii="Arial" w:cs="Arial" w:eastAsia="Arial" w:hAnsi="Arial"/>
          <w:sz w:val="21"/>
          <w:szCs w:val="21"/>
          <w:b w:val="1"/>
          <w:bCs w:val="1"/>
          <w:color w:val="auto"/>
        </w:rPr>
        <w:t xml:space="preserve"> </w:t>
      </w:r>
      <w:r>
        <w:rPr>
          <w:rFonts w:ascii="Arial" w:cs="Arial" w:eastAsia="Arial" w:hAnsi="Arial"/>
          <w:sz w:val="21"/>
          <w:szCs w:val="21"/>
          <w:color w:val="auto"/>
        </w:rPr>
        <w:t>York, U.S., and is not a day on which banking institutions in such cities are required by Law to be closed.</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respective periods of three (3) consecutive calendar months ending on March 31,</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September 30 and December 31; provided, however, that (a) the first Calendar Quarter of any particular period shall extend from the commencement of such period to the end of the first complete Calendar Quarter thereafter; and (b) the last Calendar Quarter shall end upon the expiration or termination of this Agreement.</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1.18 </w:t>
      </w:r>
      <w:r>
        <w:rPr>
          <w:rFonts w:ascii="Arial" w:cs="Arial" w:eastAsia="Arial" w:hAnsi="Arial"/>
          <w:sz w:val="21"/>
          <w:szCs w:val="21"/>
          <w:color w:val="auto"/>
        </w:rPr>
        <w:t>“</w:t>
      </w:r>
      <w:r>
        <w:rPr>
          <w:rFonts w:ascii="Arial" w:cs="Arial" w:eastAsia="Arial" w:hAnsi="Arial"/>
          <w:sz w:val="21"/>
          <w:szCs w:val="21"/>
          <w:b w:val="1"/>
          <w:bCs w:val="1"/>
          <w:color w:val="auto"/>
        </w:rPr>
        <w:t>Calendar Year</w:t>
      </w:r>
      <w:r>
        <w:rPr>
          <w:rFonts w:ascii="Arial" w:cs="Arial" w:eastAsia="Arial" w:hAnsi="Arial"/>
          <w:sz w:val="21"/>
          <w:szCs w:val="21"/>
          <w:color w:val="auto"/>
        </w:rPr>
        <w:t>” means (a) for the first Calendar Year of the Term, the period beginning on the Effective Date and</w:t>
      </w:r>
      <w:r>
        <w:rPr>
          <w:rFonts w:ascii="Arial" w:cs="Arial" w:eastAsia="Arial" w:hAnsi="Arial"/>
          <w:sz w:val="21"/>
          <w:szCs w:val="21"/>
          <w:b w:val="1"/>
          <w:bCs w:val="1"/>
          <w:color w:val="auto"/>
        </w:rPr>
        <w:t xml:space="preserve"> </w:t>
      </w:r>
      <w:r>
        <w:rPr>
          <w:rFonts w:ascii="Arial" w:cs="Arial" w:eastAsia="Arial" w:hAnsi="Arial"/>
          <w:sz w:val="21"/>
          <w:szCs w:val="21"/>
          <w:color w:val="auto"/>
        </w:rPr>
        <w:t>ending on December 31, 2012, (b) for each Calendar Year of the Term thereafter, each successive period beginning on January 1 and ending twelve (12) consecutive calendar months later on December 31, and (c) for the last Calendar Year of the Term, the period beginning on January 1 of the Calendar Year in which the Agreement expires or terminates and ending on the effective date of expiration or termination of this Agreement.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1.19 </w:t>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the occurrence of any of the following: (a) a Party enters into a merger, consolidation,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sale or sale or transfer of all or substantially all of its assets to which this Agreement relates, or other similar transaction or series of transactions with a Third Party; or (b) any transaction or series of related transactions in which any Third Party or group of Third Parties acquires beneficial ownership of securities of a Party representing more than fifty percent (50%) of the combined voting power of the then outstanding securities of such Party. Notwithstanding the foregoing clauses (a) or (b), a stock sale to underwriters of a public offering of a Party’s capital stock or other Third Parties solely for the purpose of financing or a transaction solely to change the domicile of a Party shall not constitute a Change of Control.</w:t>
      </w:r>
    </w:p>
    <w:p>
      <w:pPr>
        <w:spacing w:after="0" w:line="14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 Countries</w:t>
      </w:r>
      <w:r>
        <w:rPr>
          <w:rFonts w:ascii="Arial" w:cs="Arial" w:eastAsia="Arial" w:hAnsi="Arial"/>
          <w:sz w:val="19"/>
          <w:szCs w:val="19"/>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63" w:name="page464"/>
    <w:bookmarkEnd w:id="463"/>
    <w:p>
      <w:pPr>
        <w:ind w:left="660"/>
        <w:spacing w:after="0"/>
        <w:tabs>
          <w:tab w:leader="none" w:pos="12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has the meaning set forth in Section 12.1.</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any human clinical trial of a Licensed Product, such as those described in 21 C.F.R. §</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312.21, or a human clinical trial prescribed by the Regulatory Authorities in a foreign country.</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has the meaning set forth in Section 9.13(b).</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w:t>
      </w:r>
      <w:r>
        <w:rPr>
          <w:rFonts w:ascii="Arial" w:cs="Arial" w:eastAsia="Arial" w:hAnsi="Arial"/>
          <w:sz w:val="22"/>
          <w:szCs w:val="22"/>
          <w:b w:val="1"/>
          <w:bCs w:val="1"/>
          <w:color w:val="auto"/>
        </w:rPr>
        <w:t>Collaboration Results</w:t>
      </w:r>
      <w:r>
        <w:rPr>
          <w:rFonts w:ascii="Arial" w:cs="Arial" w:eastAsia="Arial" w:hAnsi="Arial"/>
          <w:sz w:val="22"/>
          <w:szCs w:val="22"/>
          <w:color w:val="auto"/>
        </w:rPr>
        <w:t>” means all Information generated under the Research Program during the Research Term</w:t>
      </w:r>
      <w:r>
        <w:rPr>
          <w:rFonts w:ascii="Arial" w:cs="Arial" w:eastAsia="Arial" w:hAnsi="Arial"/>
          <w:sz w:val="22"/>
          <w:szCs w:val="22"/>
          <w:b w:val="1"/>
          <w:bCs w:val="1"/>
          <w:color w:val="auto"/>
        </w:rPr>
        <w:t xml:space="preserve"> </w:t>
      </w:r>
      <w:r>
        <w:rPr>
          <w:rFonts w:ascii="Arial" w:cs="Arial" w:eastAsia="Arial" w:hAnsi="Arial"/>
          <w:sz w:val="22"/>
          <w:szCs w:val="22"/>
          <w:color w:val="auto"/>
        </w:rPr>
        <w:t>or any Research Term Extension, whether by or on behalf of Molecular Partners or Allergan (or their respective Affiliates) solely or jointly by or on behalf of the Parties (or their respective Affiliates).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1.25 </w:t>
      </w:r>
      <w:r>
        <w:rPr>
          <w:rFonts w:ascii="Arial" w:cs="Arial" w:eastAsia="Arial" w:hAnsi="Arial"/>
          <w:sz w:val="21"/>
          <w:szCs w:val="21"/>
          <w:color w:val="auto"/>
        </w:rPr>
        <w:t>“</w:t>
      </w:r>
      <w:r>
        <w:rPr>
          <w:rFonts w:ascii="Arial" w:cs="Arial" w:eastAsia="Arial" w:hAnsi="Arial"/>
          <w:sz w:val="21"/>
          <w:szCs w:val="21"/>
          <w:b w:val="1"/>
          <w:bCs w:val="1"/>
          <w:color w:val="auto"/>
        </w:rPr>
        <w:t>Collaboration Target</w:t>
      </w:r>
      <w:r>
        <w:rPr>
          <w:rFonts w:ascii="Arial" w:cs="Arial" w:eastAsia="Arial" w:hAnsi="Arial"/>
          <w:sz w:val="21"/>
          <w:szCs w:val="21"/>
          <w:color w:val="auto"/>
        </w:rPr>
        <w:t>” means (a) as of the Effective Date, one of the [***] Targets listed on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and (b) any Target that replaces a Collaboration Target in clause (a) (other than [***], which may not be replaced) pursuant to Section 2.8; provided, that any Collaboration Target that is replaced pursuant to Section 2.8 will no longer be deemed a Collaboration Target. In no event will there be more than [***] Collaboration Targets at any time during the Research Term. Upon the expiration of the Research Term, all Collaboration Targets that are not included in Licensed Target Combinations or RTE Target Combinations shall no longer be deemed Collaboration Targets, and upon the expiration of the Research Term Extension, all Collaboration Targets that are not included in Licensed Target Combinations shall no longer be deemed Collaboration Targets.</w:t>
      </w:r>
    </w:p>
    <w:p>
      <w:pPr>
        <w:spacing w:after="0" w:line="17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1.26 </w:t>
      </w:r>
      <w:r>
        <w:rPr>
          <w:rFonts w:ascii="Arial" w:cs="Arial" w:eastAsia="Arial" w:hAnsi="Arial"/>
          <w:sz w:val="19"/>
          <w:szCs w:val="19"/>
          <w:color w:val="auto"/>
        </w:rPr>
        <w:t>“</w:t>
      </w:r>
      <w:r>
        <w:rPr>
          <w:rFonts w:ascii="Arial" w:cs="Arial" w:eastAsia="Arial" w:hAnsi="Arial"/>
          <w:sz w:val="19"/>
          <w:szCs w:val="19"/>
          <w:b w:val="1"/>
          <w:bCs w:val="1"/>
          <w:color w:val="auto"/>
        </w:rPr>
        <w:t>Collaboration Target Combination</w:t>
      </w:r>
      <w:r>
        <w:rPr>
          <w:rFonts w:ascii="Arial" w:cs="Arial" w:eastAsia="Arial" w:hAnsi="Arial"/>
          <w:sz w:val="19"/>
          <w:szCs w:val="19"/>
          <w:color w:val="auto"/>
        </w:rPr>
        <w:t>” means a single Collaboration Target or a combination of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Targets, as designated by AGN through the JSC pursuant to Section 2.5, for which Molecular Partners will develop DARPin Compounds comprising AGN DARPin Domains pursuant to the Research Program. Upon the expiration of the Research Term, there shall no longer be any Collaboration Target Combinations (other than Licensed Target Combinations).</w:t>
      </w:r>
    </w:p>
    <w:p>
      <w:pPr>
        <w:spacing w:after="0" w:line="13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Collaboration Target Isoform</w:t>
      </w:r>
      <w:r>
        <w:rPr>
          <w:rFonts w:ascii="Arial" w:cs="Arial" w:eastAsia="Arial" w:hAnsi="Arial"/>
          <w:sz w:val="22"/>
          <w:szCs w:val="22"/>
          <w:color w:val="auto"/>
        </w:rPr>
        <w:t>” means, with respect to a particular Collaboration Target, the Isoforms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Collaboration Target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amended from time to time after the Effective Date); provided that any Collaboration Target Isoform for a Collaboration Target that is replaced pursuant to Section 2.8 will no longer be deemed a Collaboration Target Isoform. Upon the expiration of the Research Term, all Collaboration Target Isoforms that are not Isoforms of a Collaboration Target included in a Licensed Target Combination or RTE Target Combination shall no longer be deemed Collaboration Target Isoforms, and upon the expiration of the Research Term Extension, all Collaboration Target Isoforms that are not Isoforms of a Collaboration Target included in a Licensed Target Combination shall no longer be deemed Collaboration Target Isoforms.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Licensed Product that includes a Licensed Compound and at least one (1)</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therapeutically active pharmaceutical ingredient other than a Licensed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64" w:name="page465"/>
    <w:bookmarkEnd w:id="464"/>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Commercialization</w:t>
      </w:r>
      <w:r>
        <w:rPr>
          <w:rFonts w:ascii="Arial" w:cs="Arial" w:eastAsia="Arial" w:hAnsi="Arial"/>
          <w:sz w:val="22"/>
          <w:szCs w:val="22"/>
          <w:color w:val="auto"/>
        </w:rPr>
        <w:t>” means the marketing, promotion, sale or distribution of a Licensed Product in the Field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Territory. “</w:t>
      </w:r>
      <w:r>
        <w:rPr>
          <w:rFonts w:ascii="Arial" w:cs="Arial" w:eastAsia="Arial" w:hAnsi="Arial"/>
          <w:sz w:val="22"/>
          <w:szCs w:val="22"/>
          <w:b w:val="1"/>
          <w:bCs w:val="1"/>
          <w:color w:val="auto"/>
        </w:rPr>
        <w:t>Commercialize</w:t>
      </w:r>
      <w:r>
        <w:rPr>
          <w:rFonts w:ascii="Arial" w:cs="Arial" w:eastAsia="Arial" w:hAnsi="Arial"/>
          <w:sz w:val="22"/>
          <w:szCs w:val="22"/>
          <w:color w:val="auto"/>
        </w:rPr>
        <w:t>” has a correlative meaning.</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1.30 </w:t>
      </w:r>
      <w:r>
        <w:rPr>
          <w:rFonts w:ascii="Arial" w:cs="Arial" w:eastAsia="Arial" w:hAnsi="Arial"/>
          <w:sz w:val="21"/>
          <w:szCs w:val="21"/>
          <w:color w:val="auto"/>
        </w:rPr>
        <w:t>“</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means, (a) with respect to a Party’s obligations under this Agreement during</w:t>
      </w:r>
      <w:r>
        <w:rPr>
          <w:rFonts w:ascii="Arial" w:cs="Arial" w:eastAsia="Arial" w:hAnsi="Arial"/>
          <w:sz w:val="21"/>
          <w:szCs w:val="21"/>
          <w:b w:val="1"/>
          <w:bCs w:val="1"/>
          <w:color w:val="auto"/>
        </w:rPr>
        <w:t xml:space="preserve"> </w:t>
      </w:r>
      <w:r>
        <w:rPr>
          <w:rFonts w:ascii="Arial" w:cs="Arial" w:eastAsia="Arial" w:hAnsi="Arial"/>
          <w:sz w:val="21"/>
          <w:szCs w:val="21"/>
          <w:color w:val="auto"/>
        </w:rPr>
        <w:t>the Research Term and any Research Term Extension, efforts consistent with the efforts and resources such Party normally uses in the exercise of its reasonable business discretion relating to the discovery and development of product candidates either itself or in collaboration with a Third Party, taking into account all relevant technical and scientific issues, and (b) with respect to a Party’s obligations under this Agreement following Allergan’s exercise of an Option, and, in the case of Allergan, with respect to a Licensed Target Combination and Licensed Product, efforts consistent with the efforts and resources normally used by a similarly situated pharmaceutical or biotechnology company in the exercise of its reasonable business discretion relating to the development or commercialization of a pharmaceutical product with similar product characteristics that is of similar market potential at a similar stage of development or commercialization, taking into account issues of efficacy, safety, patent and regulatory exclusivity, product profile, anticipated or approved labeling, present and future market potential, competitive market conditions, the proprietary position of the compound or product, the regulatory structure involved, and other technical, legal, scientific, medical or commercial factors, and the profitability of the product, including in light of pricing and reimbursement issues.</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has the meaning set forth in Section 1.32.</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1.32 </w:t>
      </w: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of a Party means any and all Information of such Party that is disclosed to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under this Agreement, except as otherwise set forth in Section 13.1 (after clause (e)) or as otherwise expressly set forth in this Agreement, whether in oral, written, graphic, or electronic form, regardless of whether any of the foregoing are marked “confidential” or “proprietary”. All Information disclosed by a Party pursuant to the Mutual Non-Disclosure Agreement between Molecular Partners and Allergan, Inc., effective as of July 9, 2012 (the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shall be deemed to be such Party’s Confidential Information disclosed hereunder (with the mutual understanding and agreement that any use or disclosure thereof that is authorized under Article 13 shall not be restricted by, or be deemed a violation of, the Confidentiality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with respect to any Information or intellectual property right, that an entity (a) owns or (b) has</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 to grant access, a license, or a sublicense (as applicable) to such Information or intellectual property right on the terms and conditions set forth in this Agreement without violating the terms of any then-existing agreement or other arrangement with any Third Party.</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Cure Period</w:t>
      </w:r>
      <w:r>
        <w:rPr>
          <w:rFonts w:ascii="Arial" w:cs="Arial" w:eastAsia="Arial" w:hAnsi="Arial"/>
          <w:sz w:val="19"/>
          <w:szCs w:val="19"/>
          <w:color w:val="auto"/>
        </w:rPr>
        <w:t>” has the meaning set forth in Section 14.3.</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b w:val="1"/>
          <w:bCs w:val="1"/>
          <w:color w:val="auto"/>
        </w:rPr>
        <w:t>DARPin Compound</w:t>
      </w:r>
      <w:r>
        <w:rPr>
          <w:rFonts w:ascii="Arial" w:cs="Arial" w:eastAsia="Arial" w:hAnsi="Arial"/>
          <w:sz w:val="22"/>
          <w:szCs w:val="22"/>
          <w:color w:val="auto"/>
        </w:rPr>
        <w:t>” means any compound comprising a designed ankyrin repeat protein or a designed ankyrin</w:t>
      </w:r>
      <w:r>
        <w:rPr>
          <w:rFonts w:ascii="Arial" w:cs="Arial" w:eastAsia="Arial" w:hAnsi="Arial"/>
          <w:sz w:val="22"/>
          <w:szCs w:val="22"/>
          <w:b w:val="1"/>
          <w:bCs w:val="1"/>
          <w:color w:val="auto"/>
        </w:rPr>
        <w:t xml:space="preserve"> </w:t>
      </w:r>
      <w:r>
        <w:rPr>
          <w:rFonts w:ascii="Arial" w:cs="Arial" w:eastAsia="Arial" w:hAnsi="Arial"/>
          <w:sz w:val="22"/>
          <w:szCs w:val="22"/>
          <w:color w:val="auto"/>
        </w:rPr>
        <w:t>repeat domain as described or otherwise disclosed in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65" w:name="page466"/>
    <w:bookmarkEnd w:id="465"/>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color w:val="auto"/>
        </w:rPr>
        <w:t>“</w:t>
      </w:r>
      <w:r>
        <w:rPr>
          <w:rFonts w:ascii="Arial" w:cs="Arial" w:eastAsia="Arial" w:hAnsi="Arial"/>
          <w:sz w:val="22"/>
          <w:szCs w:val="22"/>
          <w:b w:val="1"/>
          <w:bCs w:val="1"/>
          <w:color w:val="auto"/>
        </w:rPr>
        <w:t>DARPin Domain</w:t>
      </w:r>
      <w:r>
        <w:rPr>
          <w:rFonts w:ascii="Arial" w:cs="Arial" w:eastAsia="Arial" w:hAnsi="Arial"/>
          <w:sz w:val="22"/>
          <w:szCs w:val="22"/>
          <w:color w:val="auto"/>
        </w:rPr>
        <w:t>” means a DARPin Compound that is a mono-specific designed ankyrin repeat domain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capable of Binding a Collaboration Target.</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DARPin Licensed Technology</w:t>
      </w:r>
      <w:r>
        <w:rPr>
          <w:rFonts w:ascii="Arial" w:cs="Arial" w:eastAsia="Arial" w:hAnsi="Arial"/>
          <w:sz w:val="19"/>
          <w:szCs w:val="19"/>
          <w:color w:val="auto"/>
        </w:rPr>
        <w:t>” has the meaning set forth in Section 11.2(a).</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1.38 </w:t>
      </w:r>
      <w:r>
        <w:rPr>
          <w:rFonts w:ascii="Arial" w:cs="Arial" w:eastAsia="Arial" w:hAnsi="Arial"/>
          <w:sz w:val="19"/>
          <w:szCs w:val="19"/>
          <w:color w:val="auto"/>
        </w:rPr>
        <w:t>“</w:t>
      </w:r>
      <w:r>
        <w:rPr>
          <w:rFonts w:ascii="Arial" w:cs="Arial" w:eastAsia="Arial" w:hAnsi="Arial"/>
          <w:sz w:val="19"/>
          <w:szCs w:val="19"/>
          <w:b w:val="1"/>
          <w:bCs w:val="1"/>
          <w:color w:val="auto"/>
        </w:rPr>
        <w:t>DARPin Supported Allergan Claim</w:t>
      </w:r>
      <w:r>
        <w:rPr>
          <w:rFonts w:ascii="Arial" w:cs="Arial" w:eastAsia="Arial" w:hAnsi="Arial"/>
          <w:sz w:val="19"/>
          <w:szCs w:val="19"/>
          <w:color w:val="auto"/>
        </w:rPr>
        <w:t>” means the claim of any Patent owned or otherwise Controlled by Allergan</w:t>
      </w:r>
      <w:r>
        <w:rPr>
          <w:rFonts w:ascii="Arial" w:cs="Arial" w:eastAsia="Arial" w:hAnsi="Arial"/>
          <w:sz w:val="19"/>
          <w:szCs w:val="19"/>
          <w:b w:val="1"/>
          <w:bCs w:val="1"/>
          <w:color w:val="auto"/>
        </w:rPr>
        <w:t xml:space="preserve"> </w:t>
      </w:r>
      <w:r>
        <w:rPr>
          <w:rFonts w:ascii="Arial" w:cs="Arial" w:eastAsia="Arial" w:hAnsi="Arial"/>
          <w:sz w:val="19"/>
          <w:szCs w:val="19"/>
          <w:color w:val="auto"/>
        </w:rPr>
        <w:t>or its Affiliates that is (a) supported under 35 U.S.C. § 112, first paragraph, by data generated by or on behalf of Allergan or its Affiliates, subcontractors or sublicensees under this Agreement during the Term, or the MP0112 Agreement or MP0260 Agreement, in each case, after the Effective Date of this Agreement and using a DARPin Compound, other than any such data that is published or otherwise made publicly available by Molecular Partners, and (b) claims a DARPin Compound or method of making or using a DARPin Compound. The DARPin Supported Allergan Claims exclude any claim to the extent (i) recited by Patents in the MP Core Inventions or Allergan Core Inventions, (ii) directly covering the use of a Licensed Product in the Field, or (iii) arising or resulting from, whether before or after the Effective Date, the use of any Information, Patents, or DARPin Compounds licensed or provided to Allergan pursuant to the MP0112 Agreement as a result of any research and development activities being conducted as of the Effective Date by Allergan pursuant to the MP0112 Agreement under any partnership, joint venture, collaboration, licensing arrangement, or other similar arrangement of Allergan or its Affiliates; provided, that activities that Allergan conducts after the Effective Date with respect to any DARPin Compound licensed pursuant to this Agreement or the MP0260 Agreement shall not fall within the preceding subsection (iii) even if included as part of research and development activities that were conducted as of the Effective Date pursuant to the MP0112 Agreement.</w:t>
      </w:r>
    </w:p>
    <w:p>
      <w:pPr>
        <w:spacing w:after="0" w:line="16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1.39 </w:t>
      </w:r>
      <w:r>
        <w:rPr>
          <w:rFonts w:ascii="Arial" w:cs="Arial" w:eastAsia="Arial" w:hAnsi="Arial"/>
          <w:sz w:val="19"/>
          <w:szCs w:val="19"/>
          <w:color w:val="auto"/>
        </w:rPr>
        <w:t>“</w:t>
      </w:r>
      <w:r>
        <w:rPr>
          <w:rFonts w:ascii="Arial" w:cs="Arial" w:eastAsia="Arial" w:hAnsi="Arial"/>
          <w:sz w:val="19"/>
          <w:szCs w:val="19"/>
          <w:b w:val="1"/>
          <w:bCs w:val="1"/>
          <w:color w:val="auto"/>
        </w:rPr>
        <w:t>DARPin Supported Allergan Claim Information</w:t>
      </w:r>
      <w:r>
        <w:rPr>
          <w:rFonts w:ascii="Arial" w:cs="Arial" w:eastAsia="Arial" w:hAnsi="Arial"/>
          <w:sz w:val="19"/>
          <w:szCs w:val="19"/>
          <w:color w:val="auto"/>
        </w:rPr>
        <w:t>” means all Information owned or otherwise Controlled by</w:t>
      </w:r>
      <w:r>
        <w:rPr>
          <w:rFonts w:ascii="Arial" w:cs="Arial" w:eastAsia="Arial" w:hAnsi="Arial"/>
          <w:sz w:val="19"/>
          <w:szCs w:val="19"/>
          <w:b w:val="1"/>
          <w:bCs w:val="1"/>
          <w:color w:val="auto"/>
        </w:rPr>
        <w:t xml:space="preserve"> </w:t>
      </w:r>
      <w:r>
        <w:rPr>
          <w:rFonts w:ascii="Arial" w:cs="Arial" w:eastAsia="Arial" w:hAnsi="Arial"/>
          <w:sz w:val="19"/>
          <w:szCs w:val="19"/>
          <w:color w:val="auto"/>
        </w:rPr>
        <w:t>Allergan or its Affiliates that is generated by Allergan or its Affiliates, sublicensees or subcontractors under this Agreement during the Term, or under the MP0112 Agreement or the MP0260 Agreement, in each case, after the Effective Date, in each case that is related to or reasonably useful for the practice of a DARPin Supported Allergan Claim.</w:t>
      </w:r>
    </w:p>
    <w:p>
      <w:pPr>
        <w:spacing w:after="0" w:line="13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Designated Backup Compounds</w:t>
      </w:r>
      <w:r>
        <w:rPr>
          <w:rFonts w:ascii="Arial" w:cs="Arial" w:eastAsia="Arial" w:hAnsi="Arial"/>
          <w:sz w:val="19"/>
          <w:szCs w:val="19"/>
          <w:color w:val="auto"/>
        </w:rPr>
        <w:t>” has the meaning set forth in Section 5.7(a).</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1.41 </w:t>
      </w:r>
      <w:r>
        <w:rPr>
          <w:rFonts w:ascii="Arial" w:cs="Arial" w:eastAsia="Arial" w:hAnsi="Arial"/>
          <w:sz w:val="21"/>
          <w:szCs w:val="21"/>
          <w:color w:val="auto"/>
        </w:rPr>
        <w:t>“</w:t>
      </w:r>
      <w:r>
        <w:rPr>
          <w:rFonts w:ascii="Arial" w:cs="Arial" w:eastAsia="Arial" w:hAnsi="Arial"/>
          <w:sz w:val="21"/>
          <w:szCs w:val="21"/>
          <w:b w:val="1"/>
          <w:bCs w:val="1"/>
          <w:color w:val="auto"/>
        </w:rPr>
        <w:t>Development</w:t>
      </w:r>
      <w:r>
        <w:rPr>
          <w:rFonts w:ascii="Arial" w:cs="Arial" w:eastAsia="Arial" w:hAnsi="Arial"/>
          <w:sz w:val="21"/>
          <w:szCs w:val="21"/>
          <w:color w:val="auto"/>
        </w:rPr>
        <w:t>” means all activities that relate to obtaining, maintaining or expanding Regulatory Approval for a</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Product, including preclinical testing, toxicology, formulation, Clinical Trials, preparation, submission, review, and development of data or information for the purpose of submission to a Governmental Authority to obtain, maintain or expand Regulatory Approval for a Licensed Product, and including the activities described in Section 5.7 to modify a Licensed Compound, evaluate Backup Compounds and select Designated Backup Compounds, but excluding research that is intended to evaluate DARPin Compounds generally and not specifically a particular Licensed Compound or Licensed Product. “</w:t>
      </w:r>
      <w:r>
        <w:rPr>
          <w:rFonts w:ascii="Arial" w:cs="Arial" w:eastAsia="Arial" w:hAnsi="Arial"/>
          <w:sz w:val="21"/>
          <w:szCs w:val="21"/>
          <w:b w:val="1"/>
          <w:bCs w:val="1"/>
          <w:color w:val="auto"/>
        </w:rPr>
        <w:t>Develop</w:t>
      </w:r>
      <w:r>
        <w:rPr>
          <w:rFonts w:ascii="Arial" w:cs="Arial" w:eastAsia="Arial" w:hAnsi="Arial"/>
          <w:sz w:val="21"/>
          <w:szCs w:val="21"/>
          <w:color w:val="auto"/>
        </w:rPr>
        <w:t>” and “</w:t>
      </w:r>
      <w:r>
        <w:rPr>
          <w:rFonts w:ascii="Arial" w:cs="Arial" w:eastAsia="Arial" w:hAnsi="Arial"/>
          <w:sz w:val="21"/>
          <w:szCs w:val="21"/>
          <w:b w:val="1"/>
          <w:bCs w:val="1"/>
          <w:color w:val="auto"/>
        </w:rPr>
        <w:t>Developing</w:t>
      </w:r>
      <w:r>
        <w:rPr>
          <w:rFonts w:ascii="Arial" w:cs="Arial" w:eastAsia="Arial" w:hAnsi="Arial"/>
          <w:sz w:val="21"/>
          <w:szCs w:val="21"/>
          <w:color w:val="auto"/>
        </w:rPr>
        <w:t>” have correlative meanings.</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Plan</w:t>
      </w:r>
      <w:r>
        <w:rPr>
          <w:rFonts w:ascii="Arial" w:cs="Arial" w:eastAsia="Arial" w:hAnsi="Arial"/>
          <w:sz w:val="19"/>
          <w:szCs w:val="19"/>
          <w:color w:val="auto"/>
        </w:rPr>
        <w:t>” has the meaning set forth in Section 5.2(a).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66" w:name="page467"/>
    <w:bookmarkEnd w:id="466"/>
    <w:p>
      <w:pPr>
        <w:ind w:left="660"/>
        <w:spacing w:after="0"/>
        <w:tabs>
          <w:tab w:leader="none" w:pos="124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Disputes</w:t>
      </w:r>
      <w:r>
        <w:rPr>
          <w:rFonts w:ascii="Arial" w:cs="Arial" w:eastAsia="Arial" w:hAnsi="Arial"/>
          <w:sz w:val="19"/>
          <w:szCs w:val="19"/>
          <w:color w:val="auto"/>
        </w:rPr>
        <w:t>” has the meaning set forth in Section 15.1.</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means a U.S. dollar, and “</w:t>
      </w:r>
      <w:r>
        <w:rPr>
          <w:rFonts w:ascii="Arial" w:cs="Arial" w:eastAsia="Arial" w:hAnsi="Arial"/>
          <w:sz w:val="19"/>
          <w:szCs w:val="19"/>
          <w:b w:val="1"/>
          <w:bCs w:val="1"/>
          <w:color w:val="auto"/>
        </w:rPr>
        <w:t>$</w:t>
      </w:r>
      <w:r>
        <w:rPr>
          <w:rFonts w:ascii="Arial" w:cs="Arial" w:eastAsia="Arial" w:hAnsi="Arial"/>
          <w:sz w:val="19"/>
          <w:szCs w:val="19"/>
          <w:color w:val="auto"/>
        </w:rPr>
        <w:t>” shall be interpreted accordingly.</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color w:val="auto"/>
        </w:rPr>
        <w:t>Domain Name</w:t>
      </w:r>
      <w:r>
        <w:rPr>
          <w:rFonts w:ascii="Arial" w:cs="Arial" w:eastAsia="Arial" w:hAnsi="Arial"/>
          <w:sz w:val="22"/>
          <w:szCs w:val="22"/>
          <w:color w:val="auto"/>
        </w:rPr>
        <w:t>” means any identification label that defines a realm of administrative autonomy, authority, or</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on the Internet that is identical or similar to any Trademark.</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Drug Delivery System</w:t>
      </w:r>
      <w:r>
        <w:rPr>
          <w:rFonts w:ascii="Arial" w:cs="Arial" w:eastAsia="Arial" w:hAnsi="Arial"/>
          <w:sz w:val="22"/>
          <w:szCs w:val="22"/>
          <w:color w:val="auto"/>
        </w:rPr>
        <w:t>” means a substrate, encapsulant, mechanical device, ocular implant, or other means for</w:t>
      </w:r>
      <w:r>
        <w:rPr>
          <w:rFonts w:ascii="Arial" w:cs="Arial" w:eastAsia="Arial" w:hAnsi="Arial"/>
          <w:sz w:val="22"/>
          <w:szCs w:val="22"/>
          <w:b w:val="1"/>
          <w:bCs w:val="1"/>
          <w:color w:val="auto"/>
        </w:rPr>
        <w:t xml:space="preserve"> </w:t>
      </w:r>
      <w:r>
        <w:rPr>
          <w:rFonts w:ascii="Arial" w:cs="Arial" w:eastAsia="Arial" w:hAnsi="Arial"/>
          <w:sz w:val="22"/>
          <w:szCs w:val="22"/>
          <w:color w:val="auto"/>
        </w:rPr>
        <w:t>delivering a compound directly to the eye or eyelid of a patient.</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introductory paragraph.</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entity.</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or “</w:t>
      </w:r>
      <w:r>
        <w:rPr>
          <w:rFonts w:ascii="Arial" w:cs="Arial" w:eastAsia="Arial" w:hAnsi="Arial"/>
          <w:sz w:val="22"/>
          <w:szCs w:val="22"/>
          <w:b w:val="1"/>
          <w:bCs w:val="1"/>
          <w:color w:val="auto"/>
        </w:rPr>
        <w:t>European Union</w:t>
      </w:r>
      <w:r>
        <w:rPr>
          <w:rFonts w:ascii="Arial" w:cs="Arial" w:eastAsia="Arial" w:hAnsi="Arial"/>
          <w:sz w:val="22"/>
          <w:szCs w:val="22"/>
          <w:color w:val="auto"/>
        </w:rPr>
        <w:t>” means the European Union member states as then constituted.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the European Union member states are Austria, Belgium, Bulgaria, Cyprus, Czech Republic, Denmark, Estonia, Finland, France, Germany, Greece, Hungary, Ireland, Italy, Latvia, Lithuania, Luxembourg, Malta, Netherlands, Poland, Portugal, Romania, Slovakia, Slovenia, Spain, Sweden, and United Kingdom.</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DARPin Domains</w:t>
      </w:r>
      <w:r>
        <w:rPr>
          <w:rFonts w:ascii="Arial" w:cs="Arial" w:eastAsia="Arial" w:hAnsi="Arial"/>
          <w:sz w:val="19"/>
          <w:szCs w:val="19"/>
          <w:color w:val="auto"/>
        </w:rPr>
        <w:t>” has the meaning set forth in Section 2.4(a).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IP</w:t>
      </w:r>
      <w:r>
        <w:rPr>
          <w:rFonts w:ascii="Arial" w:cs="Arial" w:eastAsia="Arial" w:hAnsi="Arial"/>
          <w:sz w:val="19"/>
          <w:szCs w:val="19"/>
          <w:color w:val="auto"/>
        </w:rPr>
        <w:t>” has the meaning set forth in Section 9.7(b).</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Exclusive DARPin</w:t>
      </w:r>
      <w:r>
        <w:rPr>
          <w:rFonts w:ascii="Arial" w:cs="Arial" w:eastAsia="Arial" w:hAnsi="Arial"/>
          <w:sz w:val="22"/>
          <w:szCs w:val="22"/>
          <w:color w:val="auto"/>
        </w:rPr>
        <w:t>” means a DARPin Compound Binding at least one Collaboration Target Isoform or</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Exclusivity Target Isoform of each Target in a Licensed Target Combination.</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1.53 </w:t>
      </w:r>
      <w:r>
        <w:rPr>
          <w:rFonts w:ascii="Arial" w:cs="Arial" w:eastAsia="Arial" w:hAnsi="Arial"/>
          <w:sz w:val="22"/>
          <w:szCs w:val="22"/>
          <w:color w:val="auto"/>
        </w:rPr>
        <w:t>“</w:t>
      </w:r>
      <w:r>
        <w:rPr>
          <w:rFonts w:ascii="Arial" w:cs="Arial" w:eastAsia="Arial" w:hAnsi="Arial"/>
          <w:sz w:val="22"/>
          <w:szCs w:val="22"/>
          <w:b w:val="1"/>
          <w:bCs w:val="1"/>
          <w:color w:val="auto"/>
        </w:rPr>
        <w:t>Exclusivity Target</w:t>
      </w:r>
      <w:r>
        <w:rPr>
          <w:rFonts w:ascii="Arial" w:cs="Arial" w:eastAsia="Arial" w:hAnsi="Arial"/>
          <w:sz w:val="22"/>
          <w:szCs w:val="22"/>
          <w:color w:val="auto"/>
        </w:rPr>
        <w:t>” means (a) with respect to a Collaboration Target identified as of the Effective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corresponding protein(s)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directly interact with such Collaboration Target and (b) with respect to a Collaboration Target that replaces a Collaboration Target in clause (a) pursuant to Section 2.8, the protein(s) that interact directly with such Collaboration Target (such as a ligand or receptor) as agreed by the Parties pursuant to Section 2.8 and reflected on an amended </w:t>
      </w:r>
      <w:r>
        <w:rPr>
          <w:rFonts w:ascii="Arial" w:cs="Arial" w:eastAsia="Arial" w:hAnsi="Arial"/>
          <w:sz w:val="22"/>
          <w:szCs w:val="22"/>
          <w:u w:val="single" w:color="auto"/>
          <w:color w:val="auto"/>
        </w:rPr>
        <w:t>Exhibit A</w:t>
      </w:r>
      <w:r>
        <w:rPr>
          <w:rFonts w:ascii="Arial" w:cs="Arial" w:eastAsia="Arial" w:hAnsi="Arial"/>
          <w:sz w:val="22"/>
          <w:szCs w:val="22"/>
          <w:color w:val="auto"/>
        </w:rPr>
        <w:t>; provided that any Exclusivity Target(s) for a Collaboration Target that is replaced pursuant to Section 2.8 will no longer be deemed an Exclusivity Target.</w:t>
      </w:r>
    </w:p>
    <w:p>
      <w:pPr>
        <w:spacing w:after="0" w:line="1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1.54 </w:t>
      </w:r>
      <w:r>
        <w:rPr>
          <w:rFonts w:ascii="Arial" w:cs="Arial" w:eastAsia="Arial" w:hAnsi="Arial"/>
          <w:sz w:val="21"/>
          <w:szCs w:val="21"/>
          <w:color w:val="auto"/>
        </w:rPr>
        <w:t>“</w:t>
      </w:r>
      <w:r>
        <w:rPr>
          <w:rFonts w:ascii="Arial" w:cs="Arial" w:eastAsia="Arial" w:hAnsi="Arial"/>
          <w:sz w:val="21"/>
          <w:szCs w:val="21"/>
          <w:b w:val="1"/>
          <w:bCs w:val="1"/>
          <w:color w:val="auto"/>
        </w:rPr>
        <w:t>Exclusivity Target Isoform</w:t>
      </w:r>
      <w:r>
        <w:rPr>
          <w:rFonts w:ascii="Arial" w:cs="Arial" w:eastAsia="Arial" w:hAnsi="Arial"/>
          <w:sz w:val="21"/>
          <w:szCs w:val="21"/>
          <w:color w:val="auto"/>
        </w:rPr>
        <w:t>” means, with respect to a particular Exclusivity Target, any Isoform of such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Exclusivity Target that exists or has been identified as of the Effective Date; provided, however, that upon the amendment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pursuant to Section 2.17, “Exclusivity Target Isoform,” with respect to a particular Exclusivity Target, shall mean the Isoforms of such Exclusivity Target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(as amended from time to time after the Effective Date); provided that any Exclusivity Target Isoform of an Exclusivity Target of a Collaboration Target that is replaced pursuant to Section 2.8 will no longer be deemed an Exclusivity Target Isoform.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67" w:name="page468"/>
    <w:bookmarkEnd w:id="467"/>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with respect to Molecular Partners, its Chief Executive Officer, and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Allergan, its Executive Vice President, Research and Development.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FD&amp;C Act</w:t>
      </w:r>
      <w:r>
        <w:rPr>
          <w:rFonts w:ascii="Arial" w:cs="Arial" w:eastAsia="Arial" w:hAnsi="Arial"/>
          <w:sz w:val="22"/>
          <w:szCs w:val="22"/>
          <w:color w:val="auto"/>
        </w:rPr>
        <w:t>” means the U.S. Federal Food, Drug and Cosmetic Act, as amended, and applicable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 by the FDA.</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entity.</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the [***].</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Financial Statements</w:t>
      </w:r>
      <w:r>
        <w:rPr>
          <w:rFonts w:ascii="Arial" w:cs="Arial" w:eastAsia="Arial" w:hAnsi="Arial"/>
          <w:sz w:val="19"/>
          <w:szCs w:val="19"/>
          <w:color w:val="auto"/>
        </w:rPr>
        <w:t>” has the meaning set forth in Section 9.12.</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Licensed Product, the first sale to a Third Party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in a given regulatory jurisdiction following the receipt of Regulatory Approval.</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1.61 </w:t>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the equivalent of a full-time professional individual’s work, at [***] hours per year, as adjusted to</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for permitted time off, for a twelve (12)-month period, performing activities pursuant to this Agreement. In the case that any full time personnel of a Party works partially on work pursuant to this Agreement and partially on other work in a given time period, then the full-time equivalent to be attributed to such individual’s work hereunder shall be calculated based upon the percentage of such individual’s total work time in such time period that such individual spent working under this Agreement and the percentage of a twelve (12)-month period that such time period equals. In the event that any part-time personnel of a Party works under this Agreement, the full time equivalent to be attributed to such work shall reflect appropriate adjustment for such personnel’s reduced total work time relative to full time personnel. FTE efforts shall include professional, scientific or technical work only and shall not include general corporate and administrative overhead. Each Party shall track FTEs using its standard practice and normal systems and methodologies.</w:t>
      </w:r>
    </w:p>
    <w:p>
      <w:pPr>
        <w:spacing w:after="0" w:line="15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color w:val="auto"/>
        </w:rPr>
        <w:t>“</w:t>
      </w:r>
      <w:r>
        <w:rPr>
          <w:rFonts w:ascii="Arial" w:cs="Arial" w:eastAsia="Arial" w:hAnsi="Arial"/>
          <w:sz w:val="19"/>
          <w:szCs w:val="19"/>
          <w:b w:val="1"/>
          <w:bCs w:val="1"/>
          <w:color w:val="auto"/>
        </w:rPr>
        <w:t>FTE Rate</w:t>
      </w:r>
      <w:r>
        <w:rPr>
          <w:rFonts w:ascii="Arial" w:cs="Arial" w:eastAsia="Arial" w:hAnsi="Arial"/>
          <w:sz w:val="19"/>
          <w:szCs w:val="19"/>
          <w:color w:val="auto"/>
        </w:rPr>
        <w:t>” means the rate of FTE costs incurred by a Party, which for the purpose of this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initially be set at [***]. The FTE Rate shall be changed annually commencing January 1, 2013 to reflect any year-to-year percentage increase or decrease in the Swiss National Consumer Price Index as quoted by the Swiss Federal Statistical Office (Landesindex der Konsumentenpreise gemäss Bundesamt für Statistik BFS; www.lik.bfs.admin.ch) after the Effective Date.</w:t>
      </w:r>
    </w:p>
    <w:p>
      <w:pPr>
        <w:spacing w:after="0" w:line="13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U.S. applied on a consistent basis.</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1.64 </w:t>
      </w:r>
      <w:r>
        <w:rPr>
          <w:rFonts w:ascii="Arial" w:cs="Arial" w:eastAsia="Arial" w:hAnsi="Arial"/>
          <w:sz w:val="19"/>
          <w:szCs w:val="19"/>
          <w:color w:val="auto"/>
        </w:rPr>
        <w:t>“</w:t>
      </w:r>
      <w:r>
        <w:rPr>
          <w:rFonts w:ascii="Arial" w:cs="Arial" w:eastAsia="Arial" w:hAnsi="Arial"/>
          <w:sz w:val="19"/>
          <w:szCs w:val="19"/>
          <w:b w:val="1"/>
          <w:bCs w:val="1"/>
          <w:color w:val="auto"/>
        </w:rPr>
        <w:t>GCP</w:t>
      </w:r>
      <w:r>
        <w:rPr>
          <w:rFonts w:ascii="Arial" w:cs="Arial" w:eastAsia="Arial" w:hAnsi="Arial"/>
          <w:sz w:val="19"/>
          <w:szCs w:val="19"/>
          <w:color w:val="auto"/>
        </w:rPr>
        <w:t>” or “</w:t>
      </w:r>
      <w:r>
        <w:rPr>
          <w:rFonts w:ascii="Arial" w:cs="Arial" w:eastAsia="Arial" w:hAnsi="Arial"/>
          <w:sz w:val="19"/>
          <w:szCs w:val="19"/>
          <w:b w:val="1"/>
          <w:bCs w:val="1"/>
          <w:color w:val="auto"/>
        </w:rPr>
        <w:t>Good Clinical Practices</w:t>
      </w:r>
      <w:r>
        <w:rPr>
          <w:rFonts w:ascii="Arial" w:cs="Arial" w:eastAsia="Arial" w:hAnsi="Arial"/>
          <w:sz w:val="19"/>
          <w:szCs w:val="19"/>
          <w:color w:val="auto"/>
        </w:rPr>
        <w:t>” means the then-current standards, practices and procedures promulgated or</w:t>
      </w:r>
      <w:r>
        <w:rPr>
          <w:rFonts w:ascii="Arial" w:cs="Arial" w:eastAsia="Arial" w:hAnsi="Arial"/>
          <w:sz w:val="19"/>
          <w:szCs w:val="19"/>
          <w:b w:val="1"/>
          <w:bCs w:val="1"/>
          <w:color w:val="auto"/>
        </w:rPr>
        <w:t xml:space="preserve"> </w:t>
      </w:r>
      <w:r>
        <w:rPr>
          <w:rFonts w:ascii="Arial" w:cs="Arial" w:eastAsia="Arial" w:hAnsi="Arial"/>
          <w:sz w:val="19"/>
          <w:szCs w:val="19"/>
          <w:color w:val="auto"/>
        </w:rPr>
        <w:t>endorsed by the FDA as set forth in the guidelines entitled “Guidance for Industry E6 Good Clinical Practice: Consolidated Guidance,” including related regulatory requirements imposed by the FDA and comparable regulatory standards, practices and procedures promulgated by the EMA or other Regulatory Authority applicable to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68" w:name="page469"/>
    <w:bookmarkEnd w:id="468"/>
    <w:p>
      <w:pPr>
        <w:spacing w:after="0"/>
        <w:rPr>
          <w:sz w:val="20"/>
          <w:szCs w:val="20"/>
          <w:color w:val="auto"/>
        </w:rPr>
      </w:pPr>
      <w:r>
        <w:rPr>
          <w:rFonts w:ascii="Arial" w:cs="Arial" w:eastAsia="Arial" w:hAnsi="Arial"/>
          <w:sz w:val="22"/>
          <w:szCs w:val="22"/>
          <w:color w:val="auto"/>
        </w:rPr>
        <w:t>as they may be updated from time to time, including applicable quality guidelines promulgated under the ICH.</w:t>
      </w:r>
    </w:p>
    <w:p>
      <w:pPr>
        <w:spacing w:after="0" w:line="21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Generic Competition</w:t>
      </w:r>
      <w:r>
        <w:rPr>
          <w:rFonts w:ascii="Arial" w:cs="Arial" w:eastAsia="Arial" w:hAnsi="Arial"/>
          <w:sz w:val="19"/>
          <w:szCs w:val="19"/>
          <w:color w:val="auto"/>
        </w:rPr>
        <w:t>” means, with respect to a Licensed Product in a given country in the Territory, that during</w:t>
      </w:r>
    </w:p>
    <w:p>
      <w:pPr>
        <w:spacing w:after="0" w:line="27" w:lineRule="exact"/>
        <w:rPr>
          <w:sz w:val="20"/>
          <w:szCs w:val="20"/>
          <w:color w:val="auto"/>
        </w:rPr>
      </w:pPr>
    </w:p>
    <w:p>
      <w:pPr>
        <w:jc w:val="both"/>
        <w:ind w:right="20" w:firstLine="8"/>
        <w:spacing w:after="0" w:line="245" w:lineRule="auto"/>
        <w:tabs>
          <w:tab w:leader="none" w:pos="546" w:val="left"/>
        </w:tabs>
        <w:numPr>
          <w:ilvl w:val="0"/>
          <w:numId w:val="426"/>
        </w:numPr>
        <w:rPr>
          <w:rFonts w:ascii="Arial" w:cs="Arial" w:eastAsia="Arial" w:hAnsi="Arial"/>
          <w:sz w:val="22"/>
          <w:szCs w:val="22"/>
          <w:color w:val="auto"/>
        </w:rPr>
      </w:pPr>
      <w:r>
        <w:rPr>
          <w:rFonts w:ascii="Arial" w:cs="Arial" w:eastAsia="Arial" w:hAnsi="Arial"/>
          <w:sz w:val="22"/>
          <w:szCs w:val="22"/>
          <w:color w:val="auto"/>
        </w:rPr>
        <w:t>consecutive calendar months, one (1) or more Generic Products with respect to such Licensed Product are sold in such country and units of such Generic Product(s) sold account for more than [***] of the aggregate of all units of such Licensed Product and all units of such Generic Product(s) sold in such country.</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1.66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on a country-by-country and Licensed Product-by-Licensed Product basis, any</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biological or drug product sold by a Third Party that is used in the Field, other than pursuant to a sublicense from Allergan, its Affiliates or its Sublicensees, that either: (a) contains the same active ingredients as the applicable Licensed Product, (b) contains a DARPin Compound and is Biosimilar with respect to the applicable Licensed Product or (c) contains any [***].</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GLP</w:t>
      </w:r>
      <w:r>
        <w:rPr>
          <w:rFonts w:ascii="Arial" w:cs="Arial" w:eastAsia="Arial" w:hAnsi="Arial"/>
          <w:sz w:val="22"/>
          <w:szCs w:val="22"/>
          <w:color w:val="auto"/>
        </w:rPr>
        <w:t>” or “</w:t>
      </w:r>
      <w:r>
        <w:rPr>
          <w:rFonts w:ascii="Arial" w:cs="Arial" w:eastAsia="Arial" w:hAnsi="Arial"/>
          <w:sz w:val="22"/>
          <w:szCs w:val="22"/>
          <w:b w:val="1"/>
          <w:bCs w:val="1"/>
          <w:color w:val="auto"/>
        </w:rPr>
        <w:t>Good Laboratory Practices</w:t>
      </w:r>
      <w:r>
        <w:rPr>
          <w:rFonts w:ascii="Arial" w:cs="Arial" w:eastAsia="Arial" w:hAnsi="Arial"/>
          <w:sz w:val="22"/>
          <w:szCs w:val="22"/>
          <w:color w:val="auto"/>
        </w:rPr>
        <w:t>” means the then-current good laboratory practice standards promulgated</w:t>
      </w:r>
      <w:r>
        <w:rPr>
          <w:rFonts w:ascii="Arial" w:cs="Arial" w:eastAsia="Arial" w:hAnsi="Arial"/>
          <w:sz w:val="22"/>
          <w:szCs w:val="22"/>
          <w:b w:val="1"/>
          <w:bCs w:val="1"/>
          <w:color w:val="auto"/>
        </w:rPr>
        <w:t xml:space="preserve"> </w:t>
      </w:r>
      <w:r>
        <w:rPr>
          <w:rFonts w:ascii="Arial" w:cs="Arial" w:eastAsia="Arial" w:hAnsi="Arial"/>
          <w:sz w:val="22"/>
          <w:szCs w:val="22"/>
          <w:color w:val="auto"/>
        </w:rPr>
        <w:t>or endorsed by the FDA as defined in 21 C.F.R. Part 58, and comparable regulatory standards promulgated by the EMA or other Regulatory Authority applicable to the Territory, as they may be updated from time to time, including applicable quality guidelines promulgated under the ICH.</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1.68 </w:t>
      </w:r>
      <w:r>
        <w:rPr>
          <w:rFonts w:ascii="Arial" w:cs="Arial" w:eastAsia="Arial" w:hAnsi="Arial"/>
          <w:sz w:val="21"/>
          <w:szCs w:val="21"/>
          <w:color w:val="auto"/>
        </w:rPr>
        <w:t>“</w:t>
      </w:r>
      <w:r>
        <w:rPr>
          <w:rFonts w:ascii="Arial" w:cs="Arial" w:eastAsia="Arial" w:hAnsi="Arial"/>
          <w:sz w:val="21"/>
          <w:szCs w:val="21"/>
          <w:b w:val="1"/>
          <w:bCs w:val="1"/>
          <w:color w:val="auto"/>
        </w:rPr>
        <w:t>GMP</w:t>
      </w:r>
      <w:r>
        <w:rPr>
          <w:rFonts w:ascii="Arial" w:cs="Arial" w:eastAsia="Arial" w:hAnsi="Arial"/>
          <w:sz w:val="21"/>
          <w:szCs w:val="21"/>
          <w:color w:val="auto"/>
        </w:rPr>
        <w:t>” or “</w:t>
      </w:r>
      <w:r>
        <w:rPr>
          <w:rFonts w:ascii="Arial" w:cs="Arial" w:eastAsia="Arial" w:hAnsi="Arial"/>
          <w:sz w:val="21"/>
          <w:szCs w:val="21"/>
          <w:b w:val="1"/>
          <w:bCs w:val="1"/>
          <w:color w:val="auto"/>
        </w:rPr>
        <w:t>Good Manufacturing Practices</w:t>
      </w:r>
      <w:r>
        <w:rPr>
          <w:rFonts w:ascii="Arial" w:cs="Arial" w:eastAsia="Arial" w:hAnsi="Arial"/>
          <w:sz w:val="21"/>
          <w:szCs w:val="21"/>
          <w:color w:val="auto"/>
        </w:rPr>
        <w:t>” means the then-current Good Manufacturing Practices required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FDA, as set forth in the FD&amp;C Act and the regulations promulgated thereunder, for the manufacture and testing of pharmaceutical materials, and comparable laws or regulations applicable to the manufacture and testing of pharmaceutical materials promulgated by other Regulatory Authorities, as they may be updated from time to time.</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multinational, federal, state, local, municipal, provincial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of any nature (including any governmental division, prefecture, subdivision, department, agency, bureau, branch, office, commission, council, court or other tribunal).</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ICH</w:t>
      </w:r>
      <w:r>
        <w:rPr>
          <w:rFonts w:ascii="Arial" w:cs="Arial" w:eastAsia="Arial" w:hAnsi="Arial"/>
          <w:sz w:val="19"/>
          <w:szCs w:val="19"/>
          <w:color w:val="auto"/>
        </w:rPr>
        <w:t>” means International Conference on Harmonisation.</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IFRS</w:t>
      </w:r>
      <w:r>
        <w:rPr>
          <w:rFonts w:ascii="Arial" w:cs="Arial" w:eastAsia="Arial" w:hAnsi="Arial"/>
          <w:sz w:val="19"/>
          <w:szCs w:val="19"/>
          <w:color w:val="auto"/>
        </w:rPr>
        <w:t>” means international financing reporting standards in the EU, applied on a consistent basis.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1.72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an Investigational New Drug Application as defined in the FD&amp;C Act and applicable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 by the FDA, or (b) the equivalent application to the equivalent agency in any other regulatory jurisdiction, the filing of which is necessary to Initiate or conduct a Clinical Trial of a pharmaceutical product in humans in such jurisdiction.</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69" w:name="page470"/>
    <w:bookmarkEnd w:id="469"/>
    <w:p>
      <w:pPr>
        <w:ind w:left="660"/>
        <w:spacing w:after="0"/>
        <w:tabs>
          <w:tab w:leader="none" w:pos="124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set forth in Section 12.3.</w:t>
      </w:r>
    </w:p>
    <w:p>
      <w:pPr>
        <w:spacing w:after="0" w:line="22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1.75 </w:t>
      </w:r>
      <w:r>
        <w:rPr>
          <w:rFonts w:ascii="Arial" w:cs="Arial" w:eastAsia="Arial" w:hAnsi="Arial"/>
          <w:sz w:val="19"/>
          <w:szCs w:val="19"/>
          <w:color w:val="auto"/>
        </w:rPr>
        <w:t>“</w:t>
      </w:r>
      <w:r>
        <w:rPr>
          <w:rFonts w:ascii="Arial" w:cs="Arial" w:eastAsia="Arial" w:hAnsi="Arial"/>
          <w:sz w:val="19"/>
          <w:szCs w:val="19"/>
          <w:b w:val="1"/>
          <w:bCs w:val="1"/>
          <w:color w:val="auto"/>
        </w:rPr>
        <w:t>Indication</w:t>
      </w:r>
      <w:r>
        <w:rPr>
          <w:rFonts w:ascii="Arial" w:cs="Arial" w:eastAsia="Arial" w:hAnsi="Arial"/>
          <w:sz w:val="19"/>
          <w:szCs w:val="19"/>
          <w:color w:val="auto"/>
        </w:rPr>
        <w:t>” means a separately defined, well-categorized class of human disease or condition for which a</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Regulatory Approval Application (including any extensions or supplements) may be filed with a Regulatory Authority.</w:t>
      </w:r>
    </w:p>
    <w:p>
      <w:pPr>
        <w:spacing w:after="0" w:line="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means any and all data, results, technology, business or financial information or information of any</w:t>
      </w:r>
      <w:r>
        <w:rPr>
          <w:rFonts w:ascii="Arial" w:cs="Arial" w:eastAsia="Arial" w:hAnsi="Arial"/>
          <w:sz w:val="22"/>
          <w:szCs w:val="22"/>
          <w:b w:val="1"/>
          <w:bCs w:val="1"/>
          <w:color w:val="auto"/>
        </w:rPr>
        <w:t xml:space="preserve"> </w:t>
      </w:r>
      <w:r>
        <w:rPr>
          <w:rFonts w:ascii="Arial" w:cs="Arial" w:eastAsia="Arial" w:hAnsi="Arial"/>
          <w:sz w:val="22"/>
          <w:szCs w:val="22"/>
          <w:color w:val="auto"/>
        </w:rPr>
        <w:t>type whatsoever, in any tangible or intangible form, including know-how, trade secrets, practices, techniques, methods, processes, developments, specifications, formulations, or formulae of any type or kind (patentable or otherwise), software, algorithms, marketing reports, expertise, technology, test data (including pharmacological, biological, chemical, biochemical, clinical test data and data resulting from non-clinical studies), chemistry, manufacture and control (“</w:t>
      </w:r>
      <w:r>
        <w:rPr>
          <w:rFonts w:ascii="Arial" w:cs="Arial" w:eastAsia="Arial" w:hAnsi="Arial"/>
          <w:sz w:val="22"/>
          <w:szCs w:val="22"/>
          <w:b w:val="1"/>
          <w:bCs w:val="1"/>
          <w:color w:val="auto"/>
        </w:rPr>
        <w:t>CMC</w:t>
      </w:r>
      <w:r>
        <w:rPr>
          <w:rFonts w:ascii="Arial" w:cs="Arial" w:eastAsia="Arial" w:hAnsi="Arial"/>
          <w:sz w:val="22"/>
          <w:szCs w:val="22"/>
          <w:color w:val="auto"/>
        </w:rPr>
        <w:t>”) information, stability data and other study data and procedures.</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of a Clinical Trial means the first dosing of the first subject in such Clinical Trial. “</w:t>
      </w:r>
      <w:r>
        <w:rPr>
          <w:rFonts w:ascii="Arial" w:cs="Arial" w:eastAsia="Arial" w:hAnsi="Arial"/>
          <w:sz w:val="22"/>
          <w:szCs w:val="22"/>
          <w:b w:val="1"/>
          <w:bCs w:val="1"/>
          <w:color w:val="auto"/>
        </w:rPr>
        <w:t>Initiate</w:t>
      </w:r>
      <w:r>
        <w:rPr>
          <w:rFonts w:ascii="Arial" w:cs="Arial" w:eastAsia="Arial" w:hAnsi="Arial"/>
          <w:sz w:val="22"/>
          <w:szCs w:val="22"/>
          <w:color w:val="auto"/>
        </w:rPr>
        <w:t>” has a</w:t>
      </w:r>
      <w:r>
        <w:rPr>
          <w:rFonts w:ascii="Arial" w:cs="Arial" w:eastAsia="Arial" w:hAnsi="Arial"/>
          <w:sz w:val="22"/>
          <w:szCs w:val="22"/>
          <w:b w:val="1"/>
          <w:bCs w:val="1"/>
          <w:color w:val="auto"/>
        </w:rPr>
        <w:t xml:space="preserve"> </w:t>
      </w:r>
      <w:r>
        <w:rPr>
          <w:rFonts w:ascii="Arial" w:cs="Arial" w:eastAsia="Arial" w:hAnsi="Arial"/>
          <w:sz w:val="22"/>
          <w:szCs w:val="22"/>
          <w:color w:val="auto"/>
        </w:rPr>
        <w:t>correlative meaning.</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has the meaning set forth in Section 10.1.</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Isoform</w:t>
      </w:r>
      <w:r>
        <w:rPr>
          <w:rFonts w:ascii="Arial" w:cs="Arial" w:eastAsia="Arial" w:hAnsi="Arial"/>
          <w:sz w:val="19"/>
          <w:szCs w:val="19"/>
          <w:color w:val="auto"/>
        </w:rPr>
        <w:t>” means all proteins translated from the same gene.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1.80 </w:t>
      </w:r>
      <w:r>
        <w:rPr>
          <w:rFonts w:ascii="Arial" w:cs="Arial" w:eastAsia="Arial" w:hAnsi="Arial"/>
          <w:sz w:val="22"/>
          <w:szCs w:val="22"/>
          <w:color w:val="auto"/>
        </w:rPr>
        <w:t>“</w:t>
      </w:r>
      <w:r>
        <w:rPr>
          <w:rFonts w:ascii="Arial" w:cs="Arial" w:eastAsia="Arial" w:hAnsi="Arial"/>
          <w:sz w:val="22"/>
          <w:szCs w:val="22"/>
          <w:b w:val="1"/>
          <w:bCs w:val="1"/>
          <w:color w:val="auto"/>
        </w:rPr>
        <w:t>Joint Collaboration Results</w:t>
      </w:r>
      <w:r>
        <w:rPr>
          <w:rFonts w:ascii="Arial" w:cs="Arial" w:eastAsia="Arial" w:hAnsi="Arial"/>
          <w:sz w:val="22"/>
          <w:szCs w:val="22"/>
          <w:color w:val="auto"/>
        </w:rPr>
        <w:t>” means all Collaboration Results generated jointly by or on behalf of both Allergan</w:t>
      </w:r>
      <w:r>
        <w:rPr>
          <w:rFonts w:ascii="Arial" w:cs="Arial" w:eastAsia="Arial" w:hAnsi="Arial"/>
          <w:sz w:val="22"/>
          <w:szCs w:val="22"/>
          <w:b w:val="1"/>
          <w:bCs w:val="1"/>
          <w:color w:val="auto"/>
        </w:rPr>
        <w:t xml:space="preserve"> </w:t>
      </w:r>
      <w:r>
        <w:rPr>
          <w:rFonts w:ascii="Arial" w:cs="Arial" w:eastAsia="Arial" w:hAnsi="Arial"/>
          <w:sz w:val="22"/>
          <w:szCs w:val="22"/>
          <w:color w:val="auto"/>
        </w:rPr>
        <w:t>and Molecular Partners (or their respective Affiliates), but excluding any Collaboration Results that are specifically designated as AGN Collaboration Results or MP Collaboration Results.</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Invention</w:t>
      </w:r>
      <w:r>
        <w:rPr>
          <w:rFonts w:ascii="Arial" w:cs="Arial" w:eastAsia="Arial" w:hAnsi="Arial"/>
          <w:sz w:val="19"/>
          <w:szCs w:val="19"/>
          <w:color w:val="auto"/>
        </w:rPr>
        <w:t>” has the meaning set forth in Section 10.2(a).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w:t>
      </w:r>
      <w:r>
        <w:rPr>
          <w:rFonts w:ascii="Arial" w:cs="Arial" w:eastAsia="Arial" w:hAnsi="Arial"/>
          <w:sz w:val="19"/>
          <w:szCs w:val="19"/>
          <w:color w:val="auto"/>
        </w:rPr>
        <w:t>” has the meaning set forth in Section 10.2(a).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has the meaning set forth in Section 2.2.</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JSC Agreement</w:t>
      </w:r>
      <w:r>
        <w:rPr>
          <w:rFonts w:ascii="Arial" w:cs="Arial" w:eastAsia="Arial" w:hAnsi="Arial"/>
          <w:sz w:val="19"/>
          <w:szCs w:val="19"/>
          <w:color w:val="auto"/>
        </w:rPr>
        <w:t>” has the meaning set forth in the fourth recital.</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JSC Term</w:t>
      </w:r>
      <w:r>
        <w:rPr>
          <w:rFonts w:ascii="Arial" w:cs="Arial" w:eastAsia="Arial" w:hAnsi="Arial"/>
          <w:sz w:val="19"/>
          <w:szCs w:val="19"/>
          <w:color w:val="auto"/>
        </w:rPr>
        <w:t>” has the meaning given such term in the JSC Agreement.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of a Party has the meaning set forth in Section 11.6.</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1.87 </w:t>
      </w:r>
      <w:r>
        <w:rPr>
          <w:rFonts w:ascii="Arial" w:cs="Arial" w:eastAsia="Arial" w:hAnsi="Arial"/>
          <w:sz w:val="22"/>
          <w:szCs w:val="22"/>
          <w:color w:val="auto"/>
        </w:rPr>
        <w:t>“</w:t>
      </w:r>
      <w:r>
        <w:rPr>
          <w:rFonts w:ascii="Arial" w:cs="Arial" w:eastAsia="Arial" w:hAnsi="Arial"/>
          <w:sz w:val="22"/>
          <w:szCs w:val="22"/>
          <w:b w:val="1"/>
          <w:bCs w:val="1"/>
          <w:color w:val="auto"/>
        </w:rPr>
        <w:t>Laws</w:t>
      </w:r>
      <w:r>
        <w:rPr>
          <w:rFonts w:ascii="Arial" w:cs="Arial" w:eastAsia="Arial" w:hAnsi="Arial"/>
          <w:sz w:val="22"/>
          <w:szCs w:val="22"/>
          <w:color w:val="auto"/>
        </w:rPr>
        <w:t>” means all laws, statutes, rules, regulations, ordinances and other pronouncements having the effect of law</w:t>
      </w:r>
      <w:r>
        <w:rPr>
          <w:rFonts w:ascii="Arial" w:cs="Arial" w:eastAsia="Arial" w:hAnsi="Arial"/>
          <w:sz w:val="22"/>
          <w:szCs w:val="22"/>
          <w:b w:val="1"/>
          <w:bCs w:val="1"/>
          <w:color w:val="auto"/>
        </w:rPr>
        <w:t xml:space="preserve"> </w:t>
      </w:r>
      <w:r>
        <w:rPr>
          <w:rFonts w:ascii="Arial" w:cs="Arial" w:eastAsia="Arial" w:hAnsi="Arial"/>
          <w:sz w:val="22"/>
          <w:szCs w:val="22"/>
          <w:color w:val="auto"/>
        </w:rPr>
        <w:t>of any federal, national, multinational, state, provincial, county, city or other political subdivision.</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1.88 </w:t>
      </w:r>
      <w:r>
        <w:rPr>
          <w:rFonts w:ascii="Arial" w:cs="Arial" w:eastAsia="Arial" w:hAnsi="Arial"/>
          <w:sz w:val="19"/>
          <w:szCs w:val="19"/>
          <w:color w:val="auto"/>
        </w:rPr>
        <w:t>“</w:t>
      </w:r>
      <w:r>
        <w:rPr>
          <w:rFonts w:ascii="Arial" w:cs="Arial" w:eastAsia="Arial" w:hAnsi="Arial"/>
          <w:sz w:val="19"/>
          <w:szCs w:val="19"/>
          <w:b w:val="1"/>
          <w:bCs w:val="1"/>
          <w:color w:val="auto"/>
        </w:rPr>
        <w:t>Licensed Compound</w:t>
      </w:r>
      <w:r>
        <w:rPr>
          <w:rFonts w:ascii="Arial" w:cs="Arial" w:eastAsia="Arial" w:hAnsi="Arial"/>
          <w:sz w:val="19"/>
          <w:szCs w:val="19"/>
          <w:color w:val="auto"/>
        </w:rPr>
        <w:t>” means, with respect to a Licensed Target Combination, a DARPin Compound containing</w:t>
      </w:r>
      <w:r>
        <w:rPr>
          <w:rFonts w:ascii="Arial" w:cs="Arial" w:eastAsia="Arial" w:hAnsi="Arial"/>
          <w:sz w:val="19"/>
          <w:szCs w:val="19"/>
          <w:b w:val="1"/>
          <w:bCs w:val="1"/>
          <w:color w:val="auto"/>
        </w:rPr>
        <w:t xml:space="preserve"> </w:t>
      </w:r>
      <w:r>
        <w:rPr>
          <w:rFonts w:ascii="Arial" w:cs="Arial" w:eastAsia="Arial" w:hAnsi="Arial"/>
          <w:sz w:val="19"/>
          <w:szCs w:val="19"/>
          <w:color w:val="auto"/>
        </w:rPr>
        <w:t>an AGN DARPin Domain for each Collaboration Target in such Licensed Target Combination. Upon Allergan’s termination of any Licensed Compound under Section 4.10(b), such Licensed Compound shall no longer be deemed a Licensed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70" w:name="page471"/>
    <w:bookmarkEnd w:id="470"/>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1.89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pharmaceutical product containing a Licensed Compound as an active</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ingredient either alone or in combination with other therapeutically active ingredients.</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Product Marks</w:t>
      </w:r>
      <w:r>
        <w:rPr>
          <w:rFonts w:ascii="Arial" w:cs="Arial" w:eastAsia="Arial" w:hAnsi="Arial"/>
          <w:sz w:val="19"/>
          <w:szCs w:val="19"/>
          <w:color w:val="auto"/>
        </w:rPr>
        <w:t>” has the meaning set forth in Section 10.10(a).</w:t>
      </w:r>
    </w:p>
    <w:p>
      <w:pPr>
        <w:spacing w:after="0" w:line="22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1.91 </w:t>
      </w:r>
      <w:r>
        <w:rPr>
          <w:rFonts w:ascii="Arial" w:cs="Arial" w:eastAsia="Arial" w:hAnsi="Arial"/>
          <w:sz w:val="22"/>
          <w:szCs w:val="22"/>
          <w:color w:val="auto"/>
        </w:rPr>
        <w:t>“</w:t>
      </w:r>
      <w:r>
        <w:rPr>
          <w:rFonts w:ascii="Arial" w:cs="Arial" w:eastAsia="Arial" w:hAnsi="Arial"/>
          <w:sz w:val="22"/>
          <w:szCs w:val="22"/>
          <w:b w:val="1"/>
          <w:bCs w:val="1"/>
          <w:color w:val="auto"/>
        </w:rPr>
        <w:t>Licensed Target Combination</w:t>
      </w:r>
      <w:r>
        <w:rPr>
          <w:rFonts w:ascii="Arial" w:cs="Arial" w:eastAsia="Arial" w:hAnsi="Arial"/>
          <w:sz w:val="22"/>
          <w:szCs w:val="22"/>
          <w:color w:val="auto"/>
        </w:rPr>
        <w:t>” means each of the (up to three) Collaboration Target Combinations for which</w:t>
      </w:r>
      <w:r>
        <w:rPr>
          <w:rFonts w:ascii="Arial" w:cs="Arial" w:eastAsia="Arial" w:hAnsi="Arial"/>
          <w:sz w:val="22"/>
          <w:szCs w:val="22"/>
          <w:b w:val="1"/>
          <w:bCs w:val="1"/>
          <w:color w:val="auto"/>
        </w:rPr>
        <w:t xml:space="preserve"> </w:t>
      </w:r>
      <w:r>
        <w:rPr>
          <w:rFonts w:ascii="Arial" w:cs="Arial" w:eastAsia="Arial" w:hAnsi="Arial"/>
          <w:sz w:val="22"/>
          <w:szCs w:val="22"/>
          <w:color w:val="auto"/>
        </w:rPr>
        <w:t>Allergan exercises an Option. Upon termination of Allergan’s rights with respect to any Licensed Target Combination, it will no longer be considered a Licensed Target Combination.</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1.92 </w:t>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means all activities related to the manufacturing of a Licensed Compound or Licensed Product, or</w:t>
      </w:r>
      <w:r>
        <w:rPr>
          <w:rFonts w:ascii="Arial" w:cs="Arial" w:eastAsia="Arial" w:hAnsi="Arial"/>
          <w:sz w:val="19"/>
          <w:szCs w:val="19"/>
          <w:b w:val="1"/>
          <w:bCs w:val="1"/>
          <w:color w:val="auto"/>
        </w:rPr>
        <w:t xml:space="preserve"> </w:t>
      </w:r>
      <w:r>
        <w:rPr>
          <w:rFonts w:ascii="Arial" w:cs="Arial" w:eastAsia="Arial" w:hAnsi="Arial"/>
          <w:sz w:val="19"/>
          <w:szCs w:val="19"/>
          <w:color w:val="auto"/>
        </w:rPr>
        <w:t>any ingredient thereof, including test method development and stability testing, formulation, process development, manufacturing scale-up, manufacturing any Licensed Compound or Licensed Product in bulk or finished form for Development, manufacturing finished Licensed Product for Commercialization, packaging, in-process and finished Licensed Product testing, release of Licensed Product or any component or ingredient thereof, quality assurance activities related to manufacturing and release of Licensed Product, and regulatory activities related to any of the foregoing. “</w:t>
      </w:r>
      <w:r>
        <w:rPr>
          <w:rFonts w:ascii="Arial" w:cs="Arial" w:eastAsia="Arial" w:hAnsi="Arial"/>
          <w:sz w:val="19"/>
          <w:szCs w:val="19"/>
          <w:b w:val="1"/>
          <w:bCs w:val="1"/>
          <w:color w:val="auto"/>
        </w:rPr>
        <w:t>Manufacturing</w:t>
      </w:r>
      <w:r>
        <w:rPr>
          <w:rFonts w:ascii="Arial" w:cs="Arial" w:eastAsia="Arial" w:hAnsi="Arial"/>
          <w:sz w:val="19"/>
          <w:szCs w:val="19"/>
          <w:color w:val="auto"/>
        </w:rPr>
        <w:t>” has a correlative meaning.</w:t>
      </w:r>
    </w:p>
    <w:p>
      <w:pPr>
        <w:spacing w:after="0" w:line="14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Materials</w:t>
      </w:r>
      <w:r>
        <w:rPr>
          <w:rFonts w:ascii="Arial" w:cs="Arial" w:eastAsia="Arial" w:hAnsi="Arial"/>
          <w:sz w:val="19"/>
          <w:szCs w:val="19"/>
          <w:color w:val="auto"/>
        </w:rPr>
        <w:t>” has the meaning set forth in Section 2.14.</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MHLW</w:t>
      </w:r>
      <w:r>
        <w:rPr>
          <w:rFonts w:ascii="Arial" w:cs="Arial" w:eastAsia="Arial" w:hAnsi="Arial"/>
          <w:sz w:val="19"/>
          <w:szCs w:val="19"/>
          <w:color w:val="auto"/>
        </w:rPr>
        <w:t>” means the Japanese Ministry of Health, Labour and Welfare or any successor entity.</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1.95 </w:t>
      </w:r>
      <w:r>
        <w:rPr>
          <w:rFonts w:ascii="Arial" w:cs="Arial" w:eastAsia="Arial" w:hAnsi="Arial"/>
          <w:sz w:val="21"/>
          <w:szCs w:val="21"/>
          <w:color w:val="auto"/>
        </w:rPr>
        <w:t>“</w:t>
      </w:r>
      <w:r>
        <w:rPr>
          <w:rFonts w:ascii="Arial" w:cs="Arial" w:eastAsia="Arial" w:hAnsi="Arial"/>
          <w:sz w:val="21"/>
          <w:szCs w:val="21"/>
          <w:b w:val="1"/>
          <w:bCs w:val="1"/>
          <w:color w:val="auto"/>
        </w:rPr>
        <w:t>Modifications</w:t>
      </w:r>
      <w:r>
        <w:rPr>
          <w:rFonts w:ascii="Arial" w:cs="Arial" w:eastAsia="Arial" w:hAnsi="Arial"/>
          <w:sz w:val="21"/>
          <w:szCs w:val="21"/>
          <w:color w:val="auto"/>
        </w:rPr>
        <w:t>” means (i) post-translational modifications of amino acids of a DARPin Compound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purpose of modifying the stability, release profile, solubility, delivery, pharmacokinetic properties, purity, manufacturability, or expressability of such DARPin Compound; or (ii) pre- (i.e. addition of amino acids) or post-translational modifications to a DARPin Compound outside the DARPin Domains. “</w:t>
      </w:r>
      <w:r>
        <w:rPr>
          <w:rFonts w:ascii="Arial" w:cs="Arial" w:eastAsia="Arial" w:hAnsi="Arial"/>
          <w:sz w:val="21"/>
          <w:szCs w:val="21"/>
          <w:b w:val="1"/>
          <w:bCs w:val="1"/>
          <w:color w:val="auto"/>
        </w:rPr>
        <w:t>Modify</w:t>
      </w:r>
      <w:r>
        <w:rPr>
          <w:rFonts w:ascii="Arial" w:cs="Arial" w:eastAsia="Arial" w:hAnsi="Arial"/>
          <w:sz w:val="21"/>
          <w:szCs w:val="21"/>
          <w:color w:val="auto"/>
        </w:rPr>
        <w:t>” has a correlative meaning.</w:t>
      </w:r>
    </w:p>
    <w:p>
      <w:pPr>
        <w:spacing w:after="0" w:line="16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w:t>
      </w:r>
      <w:r>
        <w:rPr>
          <w:rFonts w:ascii="Arial" w:cs="Arial" w:eastAsia="Arial" w:hAnsi="Arial"/>
          <w:sz w:val="19"/>
          <w:szCs w:val="19"/>
          <w:color w:val="auto"/>
        </w:rPr>
        <w:t>” has the meaning set forth in the introductory paragraph.</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1.97 </w:t>
      </w:r>
      <w:r>
        <w:rPr>
          <w:rFonts w:ascii="Arial" w:cs="Arial" w:eastAsia="Arial" w:hAnsi="Arial"/>
          <w:sz w:val="22"/>
          <w:szCs w:val="22"/>
          <w:color w:val="auto"/>
        </w:rPr>
        <w:t>“</w:t>
      </w:r>
      <w:r>
        <w:rPr>
          <w:rFonts w:ascii="Arial" w:cs="Arial" w:eastAsia="Arial" w:hAnsi="Arial"/>
          <w:sz w:val="22"/>
          <w:szCs w:val="22"/>
          <w:b w:val="1"/>
          <w:bCs w:val="1"/>
          <w:color w:val="auto"/>
        </w:rPr>
        <w:t>Molecular Partners Competitive Event</w:t>
      </w:r>
      <w:r>
        <w:rPr>
          <w:rFonts w:ascii="Arial" w:cs="Arial" w:eastAsia="Arial" w:hAnsi="Arial"/>
          <w:sz w:val="22"/>
          <w:szCs w:val="22"/>
          <w:color w:val="auto"/>
        </w:rPr>
        <w:t>” means the filing of an IND for a Clinical Trial by Molecular Partners</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through an Affiliate, joint venture, partnership, collaboration, license, or other similar arrangement) of any product containing a DARPin Compound for the treatment of retinal disease.</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 Indemnitees</w:t>
      </w:r>
      <w:r>
        <w:rPr>
          <w:rFonts w:ascii="Arial" w:cs="Arial" w:eastAsia="Arial" w:hAnsi="Arial"/>
          <w:sz w:val="19"/>
          <w:szCs w:val="19"/>
          <w:color w:val="auto"/>
        </w:rPr>
        <w:t>” has the meaning set forth in Section 12.2.</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1.99 </w:t>
      </w:r>
      <w:r>
        <w:rPr>
          <w:rFonts w:ascii="Arial" w:cs="Arial" w:eastAsia="Arial" w:hAnsi="Arial"/>
          <w:sz w:val="19"/>
          <w:szCs w:val="19"/>
          <w:color w:val="auto"/>
        </w:rPr>
        <w:t>“</w:t>
      </w:r>
      <w:r>
        <w:rPr>
          <w:rFonts w:ascii="Arial" w:cs="Arial" w:eastAsia="Arial" w:hAnsi="Arial"/>
          <w:sz w:val="19"/>
          <w:szCs w:val="19"/>
          <w:b w:val="1"/>
          <w:bCs w:val="1"/>
          <w:color w:val="auto"/>
        </w:rPr>
        <w:t>Molecular Partners Know-How</w:t>
      </w:r>
      <w:r>
        <w:rPr>
          <w:rFonts w:ascii="Arial" w:cs="Arial" w:eastAsia="Arial" w:hAnsi="Arial"/>
          <w:sz w:val="19"/>
          <w:szCs w:val="19"/>
          <w:color w:val="auto"/>
        </w:rPr>
        <w:t>” means all Information that is Controlled by Molecular Partners (a)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(b) that is generated in the course of conducting activities under this Agreement during the Term, or the MP0260 Agreement or the MP0112 Agreement during the applicable term thereof, or (c) that is related to or reasonably useful for the practice of a Molecular Partners Patent, and, in each case, is directly related to the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71" w:name="page472"/>
    <w:bookmarkEnd w:id="471"/>
    <w:p>
      <w:pPr>
        <w:jc w:val="both"/>
        <w:spacing w:after="0" w:line="283" w:lineRule="auto"/>
        <w:rPr>
          <w:sz w:val="20"/>
          <w:szCs w:val="20"/>
          <w:color w:val="auto"/>
        </w:rPr>
      </w:pPr>
      <w:r>
        <w:rPr>
          <w:rFonts w:ascii="Arial" w:cs="Arial" w:eastAsia="Arial" w:hAnsi="Arial"/>
          <w:sz w:val="19"/>
          <w:szCs w:val="19"/>
          <w:color w:val="auto"/>
        </w:rPr>
        <w:t>Manufacturing, or Commercialization of Licensed Compounds or Licensed Products in the Field; provided that if Molecular Partners obtains during the Term a license for any Information (other than Information licensed pursuant to a Necessary License) from a Third Party for which payments would be due to such Third Party on account of such license, then Molecular Partners shall notify Allergan, identifying the relevant Information, and such Information will be deemed Molecular Partners Know-How only if Allergan provides Molecular Partners with written notice in which (i) Allergan consents to including such Information as Molecular Partners Know-How under this Agreement and (ii) Allergan agrees to be responsible for all payments due to such Third Party on account of the use of such Information in connection with the use, sale, offer for sale, importation, Development, Manufacture or Commercialization of any Licensed Compound or Licensed Product in the Field; and provided, further, that solely with respect to licenses for Information that is related to or reasonably useful for the use, sale, offer for sale, importation, Development, Manufacture or Commercialization of any Licensed Compound, the aggregate amount of all such payments due to Third Parties for such licenses shall not exceed, in any Calendar Quarter, [***] of the Net Sales of all Licensed Products containing such Licensed Compound in such Calendar Quarter. For clarity, Molecular Partners Know-How excludes Information</w:t>
      </w:r>
    </w:p>
    <w:p>
      <w:pPr>
        <w:spacing w:after="0" w:line="4" w:lineRule="exact"/>
        <w:rPr>
          <w:sz w:val="20"/>
          <w:szCs w:val="20"/>
          <w:color w:val="auto"/>
        </w:rPr>
      </w:pPr>
    </w:p>
    <w:p>
      <w:pPr>
        <w:ind w:firstLine="8"/>
        <w:spacing w:after="0" w:line="246" w:lineRule="auto"/>
        <w:tabs>
          <w:tab w:leader="none" w:pos="328" w:val="left"/>
        </w:tabs>
        <w:numPr>
          <w:ilvl w:val="0"/>
          <w:numId w:val="427"/>
        </w:numPr>
        <w:rPr>
          <w:rFonts w:ascii="Arial" w:cs="Arial" w:eastAsia="Arial" w:hAnsi="Arial"/>
          <w:sz w:val="22"/>
          <w:szCs w:val="22"/>
          <w:color w:val="auto"/>
        </w:rPr>
      </w:pPr>
      <w:r>
        <w:rPr>
          <w:rFonts w:ascii="Arial" w:cs="Arial" w:eastAsia="Arial" w:hAnsi="Arial"/>
          <w:sz w:val="22"/>
          <w:szCs w:val="22"/>
          <w:color w:val="auto"/>
        </w:rPr>
        <w:t>contained within the Molecular Partners Patents and (2) to the extent solely related to Drug Delivery Systems that are not Controlled by Allergan or its Affiliates.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1.100 </w:t>
      </w:r>
      <w:r>
        <w:rPr>
          <w:rFonts w:ascii="Arial" w:cs="Arial" w:eastAsia="Arial" w:hAnsi="Arial"/>
          <w:sz w:val="22"/>
          <w:szCs w:val="22"/>
          <w:color w:val="auto"/>
        </w:rPr>
        <w:t>“</w:t>
      </w:r>
      <w:r>
        <w:rPr>
          <w:rFonts w:ascii="Arial" w:cs="Arial" w:eastAsia="Arial" w:hAnsi="Arial"/>
          <w:sz w:val="22"/>
          <w:szCs w:val="22"/>
          <w:b w:val="1"/>
          <w:bCs w:val="1"/>
          <w:color w:val="auto"/>
        </w:rPr>
        <w:t>Molecular Partners Licensed Technology</w:t>
      </w:r>
      <w:r>
        <w:rPr>
          <w:rFonts w:ascii="Arial" w:cs="Arial" w:eastAsia="Arial" w:hAnsi="Arial"/>
          <w:sz w:val="22"/>
          <w:szCs w:val="22"/>
          <w:color w:val="auto"/>
        </w:rPr>
        <w:t>” means the Molecular Partners Know-How and Molecular Partners</w:t>
      </w:r>
      <w:r>
        <w:rPr>
          <w:rFonts w:ascii="Arial" w:cs="Arial" w:eastAsia="Arial" w:hAnsi="Arial"/>
          <w:sz w:val="22"/>
          <w:szCs w:val="22"/>
          <w:b w:val="1"/>
          <w:bCs w:val="1"/>
          <w:color w:val="auto"/>
        </w:rPr>
        <w:t xml:space="preserve"> </w:t>
      </w:r>
      <w:r>
        <w:rPr>
          <w:rFonts w:ascii="Arial" w:cs="Arial" w:eastAsia="Arial" w:hAnsi="Arial"/>
          <w:sz w:val="22"/>
          <w:szCs w:val="22"/>
          <w:color w:val="auto"/>
        </w:rPr>
        <w:t>Patents.</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1.101 </w:t>
      </w:r>
      <w:r>
        <w:rPr>
          <w:rFonts w:ascii="Arial" w:cs="Arial" w:eastAsia="Arial" w:hAnsi="Arial"/>
          <w:sz w:val="19"/>
          <w:szCs w:val="19"/>
          <w:color w:val="auto"/>
        </w:rPr>
        <w:t>“</w:t>
      </w:r>
      <w:r>
        <w:rPr>
          <w:rFonts w:ascii="Arial" w:cs="Arial" w:eastAsia="Arial" w:hAnsi="Arial"/>
          <w:sz w:val="19"/>
          <w:szCs w:val="19"/>
          <w:b w:val="1"/>
          <w:bCs w:val="1"/>
          <w:color w:val="auto"/>
        </w:rPr>
        <w:t>Molecular Partners Patent</w:t>
      </w:r>
      <w:r>
        <w:rPr>
          <w:rFonts w:ascii="Arial" w:cs="Arial" w:eastAsia="Arial" w:hAnsi="Arial"/>
          <w:sz w:val="19"/>
          <w:szCs w:val="19"/>
          <w:color w:val="auto"/>
        </w:rPr>
        <w:t>” means any Patent (other than a Joint Patent) that (a) is Controlled by Molecular</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 as of the Effective Date or at any time during the Term, and (b) would be infringed, absent a license, by the Development, Manufacture, Commercialization, use, sale, offer for sale or importation of any Licensed Compound or Licensed Product in the Field; provided that if Molecular Partners obtains, during the Term, a license for any Patent (other than a Patent licensed pursuant to a Necessary License) from a Third Party for which payments would be due to such Third Party on account of such license, then Molecular Partners shall notify Allergan, identifying the relevant Patent, and such Patent will be deemed a Molecular Partners Patent only if Allergan provides Molecular Partners with written notice in which (i) Allergan consents to including such Patent as a Molecular Partners Patent under this Agreement and (ii) Allergan agrees to be responsible for all payments due to such Third Party on account of such Patent in connection with the use, sale, offer for sale, importation, Development, Manufacture, or Commercialization of any Licensed Compound or Licensed Product in the Field; and provided, further, that solely with respect to licenses for Patents that would be infringed, absent such license, by the use, sale, offer for sale, importation, Development, Manufacture or Commercialization of any Licensed Compound, the aggregate amount of all such payments due to Third Parties for such licenses (and any licenses described in Section 1.99) shall not exceed, in any [***] of the Net Sales of all Licensed Products containing such Licensed Compound in such Calendar Quarter. “Molecular Partners Patent” includes the Patents set forth on Exhibits E and F; any Patent that claims priority, directly or indirectly, from the Patents set forth on Exhibits E and F; and any Patent from which the Patents set forth on Exhibits E and F claim priority,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72" w:name="page473"/>
    <w:bookmarkEnd w:id="472"/>
    <w:p>
      <w:pPr>
        <w:ind w:left="660"/>
        <w:spacing w:after="0"/>
        <w:tabs>
          <w:tab w:leader="none" w:pos="134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 [***] Patents</w:t>
      </w:r>
      <w:r>
        <w:rPr>
          <w:rFonts w:ascii="Arial" w:cs="Arial" w:eastAsia="Arial" w:hAnsi="Arial"/>
          <w:sz w:val="19"/>
          <w:szCs w:val="19"/>
          <w:color w:val="auto"/>
        </w:rPr>
        <w:t>” has the meaning set forth in Section 10.3(a)(i).</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 [***] Patents</w:t>
      </w:r>
      <w:r>
        <w:rPr>
          <w:rFonts w:ascii="Arial" w:cs="Arial" w:eastAsia="Arial" w:hAnsi="Arial"/>
          <w:sz w:val="19"/>
          <w:szCs w:val="19"/>
          <w:color w:val="auto"/>
        </w:rPr>
        <w:t>” has the meaning set forth in Section 10.3(a)(ii).</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1.104 </w:t>
      </w:r>
      <w:r>
        <w:rPr>
          <w:rFonts w:ascii="Arial" w:cs="Arial" w:eastAsia="Arial" w:hAnsi="Arial"/>
          <w:sz w:val="19"/>
          <w:szCs w:val="19"/>
          <w:color w:val="auto"/>
        </w:rPr>
        <w:t>“</w:t>
      </w:r>
      <w:r>
        <w:rPr>
          <w:rFonts w:ascii="Arial" w:cs="Arial" w:eastAsia="Arial" w:hAnsi="Arial"/>
          <w:sz w:val="19"/>
          <w:szCs w:val="19"/>
          <w:b w:val="1"/>
          <w:bCs w:val="1"/>
          <w:color w:val="auto"/>
        </w:rPr>
        <w:t>Molecular Partners Research IP</w:t>
      </w:r>
      <w:r>
        <w:rPr>
          <w:rFonts w:ascii="Arial" w:cs="Arial" w:eastAsia="Arial" w:hAnsi="Arial"/>
          <w:sz w:val="19"/>
          <w:szCs w:val="19"/>
          <w:color w:val="auto"/>
        </w:rPr>
        <w:t>” means all Patents and Information Controlled by Molecular Partners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Research Term or Research Term Extension that are necessary or reasonably useful for Allergan to conduct its activities described under Section 2.7 solely in connection with the performance of the Research Program in accordance with the terms of this Agreement. By way of clarification, Molecular Partners Research IP may include, if within the scope of the preceding sentence, Information that relates to or arises from a MP DARPin Domain, but shall not include any MP DARPin Domain itself.</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1.105 </w:t>
      </w:r>
      <w:r>
        <w:rPr>
          <w:rFonts w:ascii="Arial" w:cs="Arial" w:eastAsia="Arial" w:hAnsi="Arial"/>
          <w:sz w:val="22"/>
          <w:szCs w:val="22"/>
          <w:color w:val="auto"/>
        </w:rPr>
        <w:t>“</w:t>
      </w:r>
      <w:r>
        <w:rPr>
          <w:rFonts w:ascii="Arial" w:cs="Arial" w:eastAsia="Arial" w:hAnsi="Arial"/>
          <w:sz w:val="22"/>
          <w:szCs w:val="22"/>
          <w:b w:val="1"/>
          <w:bCs w:val="1"/>
          <w:color w:val="auto"/>
        </w:rPr>
        <w:t>Molecular Partners Terminating Event</w:t>
      </w:r>
      <w:r>
        <w:rPr>
          <w:rFonts w:ascii="Arial" w:cs="Arial" w:eastAsia="Arial" w:hAnsi="Arial"/>
          <w:sz w:val="22"/>
          <w:szCs w:val="22"/>
          <w:color w:val="auto"/>
        </w:rPr>
        <w:t>” means either (i) a Change of Control of Molecular Partners where the</w:t>
      </w:r>
      <w:r>
        <w:rPr>
          <w:rFonts w:ascii="Arial" w:cs="Arial" w:eastAsia="Arial" w:hAnsi="Arial"/>
          <w:sz w:val="22"/>
          <w:szCs w:val="22"/>
          <w:b w:val="1"/>
          <w:bCs w:val="1"/>
          <w:color w:val="auto"/>
        </w:rPr>
        <w:t xml:space="preserve"> </w:t>
      </w:r>
      <w:r>
        <w:rPr>
          <w:rFonts w:ascii="Arial" w:cs="Arial" w:eastAsia="Arial" w:hAnsi="Arial"/>
          <w:sz w:val="22"/>
          <w:szCs w:val="22"/>
          <w:color w:val="auto"/>
        </w:rPr>
        <w:t>Acquiror has Initiated a Clinical Trial or is commercializing a pharmaceutical product in the Field or (ii) a Molecular Partners Competitive Event.</w:t>
      </w:r>
    </w:p>
    <w:p>
      <w:pPr>
        <w:spacing w:after="0" w:line="17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MP0112 Agreement</w:t>
      </w:r>
      <w:r>
        <w:rPr>
          <w:rFonts w:ascii="Arial" w:cs="Arial" w:eastAsia="Arial" w:hAnsi="Arial"/>
          <w:sz w:val="19"/>
          <w:szCs w:val="19"/>
          <w:color w:val="auto"/>
        </w:rPr>
        <w:t>” has the meaning set forth in the fourth recital.</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MP0260 Agreement</w:t>
      </w:r>
      <w:r>
        <w:rPr>
          <w:rFonts w:ascii="Arial" w:cs="Arial" w:eastAsia="Arial" w:hAnsi="Arial"/>
          <w:sz w:val="19"/>
          <w:szCs w:val="19"/>
          <w:color w:val="auto"/>
        </w:rPr>
        <w:t>” has the meaning set forth in the fourth recital.</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1.108 </w:t>
      </w:r>
      <w:r>
        <w:rPr>
          <w:rFonts w:ascii="Arial" w:cs="Arial" w:eastAsia="Arial" w:hAnsi="Arial"/>
          <w:sz w:val="22"/>
          <w:szCs w:val="22"/>
          <w:color w:val="auto"/>
        </w:rPr>
        <w:t>“</w:t>
      </w:r>
      <w:r>
        <w:rPr>
          <w:rFonts w:ascii="Arial" w:cs="Arial" w:eastAsia="Arial" w:hAnsi="Arial"/>
          <w:sz w:val="22"/>
          <w:szCs w:val="22"/>
          <w:b w:val="1"/>
          <w:bCs w:val="1"/>
          <w:color w:val="auto"/>
        </w:rPr>
        <w:t>MP Collaboration Results</w:t>
      </w:r>
      <w:r>
        <w:rPr>
          <w:rFonts w:ascii="Arial" w:cs="Arial" w:eastAsia="Arial" w:hAnsi="Arial"/>
          <w:sz w:val="22"/>
          <w:szCs w:val="22"/>
          <w:color w:val="auto"/>
        </w:rPr>
        <w:t>” means all Collaboration Results (a) generated solely by or on behalf of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or its Affiliates (other than any such Collaboration Result that is defined as an AGN Collaboration Result in Section 1.4(b) or (c)) or (b) generated solely or jointly by or on behalf of the Parties or their Affiliates that are directed to MP Core Inventions.</w:t>
      </w:r>
    </w:p>
    <w:p>
      <w:pPr>
        <w:spacing w:after="0" w:line="18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MP Core Inventions</w:t>
      </w:r>
      <w:r>
        <w:rPr>
          <w:rFonts w:ascii="Arial" w:cs="Arial" w:eastAsia="Arial" w:hAnsi="Arial"/>
          <w:sz w:val="19"/>
          <w:szCs w:val="19"/>
          <w:color w:val="auto"/>
        </w:rPr>
        <w:t>” has the meaning set forth in Section 10.2(a).</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1.110 </w:t>
      </w:r>
      <w:r>
        <w:rPr>
          <w:rFonts w:ascii="Arial" w:cs="Arial" w:eastAsia="Arial" w:hAnsi="Arial"/>
          <w:sz w:val="21"/>
          <w:szCs w:val="21"/>
          <w:color w:val="auto"/>
        </w:rPr>
        <w:t>“</w:t>
      </w:r>
      <w:r>
        <w:rPr>
          <w:rFonts w:ascii="Arial" w:cs="Arial" w:eastAsia="Arial" w:hAnsi="Arial"/>
          <w:sz w:val="21"/>
          <w:szCs w:val="21"/>
          <w:b w:val="1"/>
          <w:bCs w:val="1"/>
          <w:color w:val="auto"/>
        </w:rPr>
        <w:t>MP DARPin Domains</w:t>
      </w:r>
      <w:r>
        <w:rPr>
          <w:rFonts w:ascii="Arial" w:cs="Arial" w:eastAsia="Arial" w:hAnsi="Arial"/>
          <w:sz w:val="21"/>
          <w:szCs w:val="21"/>
          <w:color w:val="auto"/>
        </w:rPr>
        <w:t>” means (a) initially, (i) with respect to [***], the Excluded DARPin Domains, and (ii)</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each Collaboration Target (including [***]), the three (3) DARPin Domains Binding such Collaboration Target selected by Molecular Partners through the JSC pursuant to Section 2.4(b), or (b) thereafter, DARPin Domains selected by Molecular Partners through the JSC as a replacement for an existing MP DARPin Domain under (a) above (which existing MP DARPin Domain will no longer be considered an MP DARPin Domain) pursuant to Section 2.4(c).</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Necessary License</w:t>
      </w:r>
      <w:r>
        <w:rPr>
          <w:rFonts w:ascii="Arial" w:cs="Arial" w:eastAsia="Arial" w:hAnsi="Arial"/>
          <w:sz w:val="19"/>
          <w:szCs w:val="19"/>
          <w:color w:val="auto"/>
        </w:rPr>
        <w:t>” has the meaning set forth in Section 9.7(b).</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22"/>
          <w:szCs w:val="22"/>
          <w:color w:val="auto"/>
        </w:rPr>
        <w:t>:[***]</w:t>
      </w:r>
    </w:p>
    <w:p>
      <w:pPr>
        <w:spacing w:after="0" w:line="226" w:lineRule="exact"/>
        <w:rPr>
          <w:sz w:val="20"/>
          <w:szCs w:val="20"/>
          <w:color w:val="auto"/>
        </w:rPr>
      </w:pPr>
    </w:p>
    <w:p>
      <w:pPr>
        <w:ind w:left="1780" w:hanging="476"/>
        <w:spacing w:after="0"/>
        <w:tabs>
          <w:tab w:leader="none" w:pos="1780" w:val="left"/>
        </w:tabs>
        <w:numPr>
          <w:ilvl w:val="0"/>
          <w:numId w:val="42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780" w:hanging="476"/>
        <w:spacing w:after="0"/>
        <w:tabs>
          <w:tab w:leader="none" w:pos="1780" w:val="left"/>
        </w:tabs>
        <w:numPr>
          <w:ilvl w:val="0"/>
          <w:numId w:val="42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760" w:hanging="456"/>
        <w:spacing w:after="0"/>
        <w:tabs>
          <w:tab w:leader="none" w:pos="1760" w:val="left"/>
        </w:tabs>
        <w:numPr>
          <w:ilvl w:val="0"/>
          <w:numId w:val="428"/>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73" w:name="page474"/>
    <w:bookmarkEnd w:id="473"/>
    <w:p>
      <w:pPr>
        <w:ind w:left="1780" w:hanging="476"/>
        <w:spacing w:after="0"/>
        <w:tabs>
          <w:tab w:leader="none" w:pos="1780" w:val="left"/>
        </w:tabs>
        <w:numPr>
          <w:ilvl w:val="0"/>
          <w:numId w:val="42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760" w:hanging="456"/>
        <w:spacing w:after="0"/>
        <w:tabs>
          <w:tab w:leader="none" w:pos="1760" w:val="left"/>
        </w:tabs>
        <w:numPr>
          <w:ilvl w:val="0"/>
          <w:numId w:val="42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740" w:hanging="436"/>
        <w:spacing w:after="0"/>
        <w:tabs>
          <w:tab w:leader="none" w:pos="1740" w:val="left"/>
        </w:tabs>
        <w:numPr>
          <w:ilvl w:val="0"/>
          <w:numId w:val="42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780" w:hanging="476"/>
        <w:spacing w:after="0"/>
        <w:tabs>
          <w:tab w:leader="none" w:pos="1780" w:val="left"/>
        </w:tabs>
        <w:numPr>
          <w:ilvl w:val="0"/>
          <w:numId w:val="429"/>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Sales of Licensed Product between or among Allergan and its Affiliates or Sublicensees shall be excluded from the computation of Net Sales, but the subsequent final sales of Licensed Product to Third Parties by such Affiliates and Sublicensees shall be included in the computation of Net Sales.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in the event a Licensed Product is sold in a country in the Territory as a Combination Product, Net Sales of the Combination Product will be calculated as follows:</w:t>
      </w:r>
    </w:p>
    <w:p>
      <w:pPr>
        <w:spacing w:after="0" w:line="175" w:lineRule="exact"/>
        <w:rPr>
          <w:sz w:val="20"/>
          <w:szCs w:val="20"/>
          <w:color w:val="auto"/>
        </w:rPr>
      </w:pPr>
    </w:p>
    <w:p>
      <w:pPr>
        <w:ind w:left="660" w:firstLine="644"/>
        <w:spacing w:after="0" w:line="263" w:lineRule="auto"/>
        <w:tabs>
          <w:tab w:leader="none" w:pos="1741" w:val="left"/>
        </w:tabs>
        <w:numPr>
          <w:ilvl w:val="0"/>
          <w:numId w:val="430"/>
        </w:numPr>
        <w:rPr>
          <w:rFonts w:ascii="Arial" w:cs="Arial" w:eastAsia="Arial" w:hAnsi="Arial"/>
          <w:sz w:val="22"/>
          <w:szCs w:val="22"/>
          <w:color w:val="auto"/>
        </w:rPr>
      </w:pPr>
      <w:r>
        <w:rPr>
          <w:rFonts w:ascii="Arial" w:cs="Arial" w:eastAsia="Arial" w:hAnsi="Arial"/>
          <w:sz w:val="22"/>
          <w:szCs w:val="22"/>
          <w:color w:val="auto"/>
        </w:rPr>
        <w:t>If Licensed Product and other active component(s) each are sold separately in such country, Net Sales will be calculated by [***].</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842" w:val="left"/>
        </w:tabs>
        <w:numPr>
          <w:ilvl w:val="0"/>
          <w:numId w:val="430"/>
        </w:numPr>
        <w:rPr>
          <w:rFonts w:ascii="Arial" w:cs="Arial" w:eastAsia="Arial" w:hAnsi="Arial"/>
          <w:sz w:val="22"/>
          <w:szCs w:val="22"/>
          <w:color w:val="auto"/>
        </w:rPr>
      </w:pPr>
      <w:r>
        <w:rPr>
          <w:rFonts w:ascii="Arial" w:cs="Arial" w:eastAsia="Arial" w:hAnsi="Arial"/>
          <w:sz w:val="22"/>
          <w:szCs w:val="22"/>
          <w:color w:val="auto"/>
        </w:rPr>
        <w:t>If the Licensed Product is sold independently of the other active component(s) therein in such country, but the average gross selling price of such other active component(s) cannot be determined, Net Sales will be calculated by [***].</w:t>
      </w:r>
    </w:p>
    <w:p>
      <w:pPr>
        <w:spacing w:after="0" w:line="185" w:lineRule="exact"/>
        <w:rPr>
          <w:rFonts w:ascii="Arial" w:cs="Arial" w:eastAsia="Arial" w:hAnsi="Arial"/>
          <w:sz w:val="22"/>
          <w:szCs w:val="22"/>
          <w:color w:val="auto"/>
        </w:rPr>
      </w:pPr>
    </w:p>
    <w:p>
      <w:pPr>
        <w:ind w:left="660" w:firstLine="644"/>
        <w:spacing w:after="0" w:line="343" w:lineRule="auto"/>
        <w:tabs>
          <w:tab w:leader="none" w:pos="1867" w:val="left"/>
        </w:tabs>
        <w:numPr>
          <w:ilvl w:val="0"/>
          <w:numId w:val="430"/>
        </w:numPr>
        <w:rPr>
          <w:rFonts w:ascii="Arial" w:cs="Arial" w:eastAsia="Arial" w:hAnsi="Arial"/>
          <w:sz w:val="19"/>
          <w:szCs w:val="19"/>
          <w:color w:val="auto"/>
        </w:rPr>
      </w:pPr>
      <w:r>
        <w:rPr>
          <w:rFonts w:ascii="Arial" w:cs="Arial" w:eastAsia="Arial" w:hAnsi="Arial"/>
          <w:sz w:val="19"/>
          <w:szCs w:val="19"/>
          <w:color w:val="auto"/>
        </w:rPr>
        <w:t>If the other active component(s) are sold independently of the Licensed Product therein in such country, but the average gross selling price of such Licensed Product cannot be determined, Net Sales will be calculated [***].</w:t>
      </w:r>
    </w:p>
    <w:p>
      <w:pPr>
        <w:spacing w:after="0" w:line="104" w:lineRule="exact"/>
        <w:rPr>
          <w:rFonts w:ascii="Arial" w:cs="Arial" w:eastAsia="Arial" w:hAnsi="Arial"/>
          <w:sz w:val="19"/>
          <w:szCs w:val="19"/>
          <w:color w:val="auto"/>
        </w:rPr>
      </w:pPr>
    </w:p>
    <w:p>
      <w:pPr>
        <w:ind w:left="660" w:right="20" w:firstLine="644"/>
        <w:spacing w:after="0" w:line="263" w:lineRule="auto"/>
        <w:tabs>
          <w:tab w:leader="none" w:pos="1836" w:val="left"/>
        </w:tabs>
        <w:numPr>
          <w:ilvl w:val="0"/>
          <w:numId w:val="430"/>
        </w:numPr>
        <w:rPr>
          <w:rFonts w:ascii="Arial" w:cs="Arial" w:eastAsia="Arial" w:hAnsi="Arial"/>
          <w:sz w:val="22"/>
          <w:szCs w:val="22"/>
          <w:color w:val="auto"/>
        </w:rPr>
      </w:pPr>
      <w:r>
        <w:rPr>
          <w:rFonts w:ascii="Arial" w:cs="Arial" w:eastAsia="Arial" w:hAnsi="Arial"/>
          <w:sz w:val="22"/>
          <w:szCs w:val="22"/>
          <w:color w:val="auto"/>
        </w:rPr>
        <w:t>If neither the Licensed Product nor the other active component(s) are sold independently in such country, the Parties shall determine Net Sales for such Combination Product by [***].</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For purposes of the foregoing, in the Calendar Year during which a Combination Product is first sold in a country, a forecasted average gross selling price shall be used for the Licensed Product and the other active component(s), to be determined in good faith mutually by the Parties. Any over or under payment due to a difference between forecasted and actual average gross selling prices in such country shall be paid or credited, as applicable, in the first royalty payment of the following Calendar Year. In the following Calendar Year the average gross selling price of both the Licensed Product and the other active component(s) included in the Combination Product in the previous Calendar Year shall apply.</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Allergan, its Affiliates, and Sublicensees will not sell any Licensed Product in combination with or as part of a bundle with other products, or offer packaged arrangements to customers that include a Licensed Product, in such a manner as to disproportionately discount the selling price of such Licensed Product as compared with the weighted-average discount applied to the other products, as a percent of the respective list prices (or if not available, a good faith estimate thereof) of such products and the Licensed Product prior to applying the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74" w:name="page475"/>
    <w:bookmarkEnd w:id="474"/>
    <w:p>
      <w:pPr>
        <w:ind w:left="660"/>
        <w:spacing w:after="0"/>
        <w:tabs>
          <w:tab w:leader="none" w:pos="1320" w:val="left"/>
        </w:tabs>
        <w:rPr>
          <w:sz w:val="20"/>
          <w:szCs w:val="20"/>
          <w:color w:val="auto"/>
        </w:rPr>
      </w:pPr>
      <w:r>
        <w:rPr>
          <w:rFonts w:ascii="Arial" w:cs="Arial" w:eastAsia="Arial" w:hAnsi="Arial"/>
          <w:sz w:val="22"/>
          <w:szCs w:val="22"/>
          <w:b w:val="1"/>
          <w:bCs w:val="1"/>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has the meaning set forth in Section 14.3.</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Option</w:t>
      </w:r>
      <w:r>
        <w:rPr>
          <w:rFonts w:ascii="Arial" w:cs="Arial" w:eastAsia="Arial" w:hAnsi="Arial"/>
          <w:sz w:val="19"/>
          <w:szCs w:val="19"/>
          <w:color w:val="auto"/>
        </w:rPr>
        <w:t>” has the meaning set forth in Section 4.2.</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has the meaning set forth in the introductory paragraph.</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Patent Matters</w:t>
      </w:r>
      <w:r>
        <w:rPr>
          <w:rFonts w:ascii="Arial" w:cs="Arial" w:eastAsia="Arial" w:hAnsi="Arial"/>
          <w:sz w:val="19"/>
          <w:szCs w:val="19"/>
          <w:color w:val="auto"/>
        </w:rPr>
        <w:t>” has the meaning set forth in Section 15.5.</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1.117 </w:t>
      </w:r>
      <w:r>
        <w:rPr>
          <w:rFonts w:ascii="Arial" w:cs="Arial" w:eastAsia="Arial" w:hAnsi="Arial"/>
          <w:sz w:val="22"/>
          <w:szCs w:val="22"/>
          <w:color w:val="auto"/>
        </w:rPr>
        <w:t>“</w:t>
      </w:r>
      <w:r>
        <w:rPr>
          <w:rFonts w:ascii="Arial" w:cs="Arial" w:eastAsia="Arial" w:hAnsi="Arial"/>
          <w:sz w:val="22"/>
          <w:szCs w:val="22"/>
          <w:b w:val="1"/>
          <w:bCs w:val="1"/>
          <w:color w:val="auto"/>
        </w:rPr>
        <w:t>Patents</w:t>
      </w:r>
      <w:r>
        <w:rPr>
          <w:rFonts w:ascii="Arial" w:cs="Arial" w:eastAsia="Arial" w:hAnsi="Arial"/>
          <w:sz w:val="22"/>
          <w:szCs w:val="22"/>
          <w:color w:val="auto"/>
        </w:rPr>
        <w:t>” means (a) pending patent applications, issued patents, utility models and designs; (b) reissues,</w:t>
      </w:r>
      <w:r>
        <w:rPr>
          <w:rFonts w:ascii="Arial" w:cs="Arial" w:eastAsia="Arial" w:hAnsi="Arial"/>
          <w:sz w:val="22"/>
          <w:szCs w:val="22"/>
          <w:b w:val="1"/>
          <w:bCs w:val="1"/>
          <w:color w:val="auto"/>
        </w:rPr>
        <w:t xml:space="preserve"> </w:t>
      </w:r>
      <w:r>
        <w:rPr>
          <w:rFonts w:ascii="Arial" w:cs="Arial" w:eastAsia="Arial" w:hAnsi="Arial"/>
          <w:sz w:val="22"/>
          <w:szCs w:val="22"/>
          <w:color w:val="auto"/>
        </w:rPr>
        <w:t>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1.118 </w:t>
      </w:r>
      <w:r>
        <w:rPr>
          <w:rFonts w:ascii="Arial" w:cs="Arial" w:eastAsia="Arial" w:hAnsi="Arial"/>
          <w:sz w:val="22"/>
          <w:szCs w:val="22"/>
          <w:color w:val="auto"/>
        </w:rPr>
        <w:t>“[***]” means [***], as defined as of the Effective Date by the SwissProt number [***]. For clarity,</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Target Isoforms for [***] do not include [***].</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1.119 </w:t>
      </w:r>
      <w:r>
        <w:rPr>
          <w:rFonts w:ascii="Arial" w:cs="Arial" w:eastAsia="Arial" w:hAnsi="Arial"/>
          <w:sz w:val="22"/>
          <w:szCs w:val="22"/>
          <w:color w:val="auto"/>
        </w:rPr>
        <w:t>“</w:t>
      </w:r>
      <w:r>
        <w:rPr>
          <w:rFonts w:ascii="Arial" w:cs="Arial" w:eastAsia="Arial" w:hAnsi="Arial"/>
          <w:sz w:val="22"/>
          <w:szCs w:val="22"/>
          <w:b w:val="1"/>
          <w:bCs w:val="1"/>
          <w:color w:val="auto"/>
        </w:rPr>
        <w:t>Phase 1 Clinical Trial</w:t>
      </w:r>
      <w:r>
        <w:rPr>
          <w:rFonts w:ascii="Arial" w:cs="Arial" w:eastAsia="Arial" w:hAnsi="Arial"/>
          <w:sz w:val="22"/>
          <w:szCs w:val="22"/>
          <w:color w:val="auto"/>
        </w:rPr>
        <w:t>” means a Clinical Trial of a Licensed Product in the Field to establish that such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is reasonably safe for continued testing and to support its continued testing in later phase Clinical Trials, as and to the extent defined for the U.S. in 21 C.F.R. § 312.21(a), as amended from time to time, or equivalent law or regulation in regulatory jurisdictions outside the U.S.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1.120 </w:t>
      </w:r>
      <w:r>
        <w:rPr>
          <w:rFonts w:ascii="Arial" w:cs="Arial" w:eastAsia="Arial" w:hAnsi="Arial"/>
          <w:sz w:val="22"/>
          <w:szCs w:val="22"/>
          <w:color w:val="auto"/>
        </w:rPr>
        <w:t>“</w:t>
      </w:r>
      <w:r>
        <w:rPr>
          <w:rFonts w:ascii="Arial" w:cs="Arial" w:eastAsia="Arial" w:hAnsi="Arial"/>
          <w:sz w:val="22"/>
          <w:szCs w:val="22"/>
          <w:b w:val="1"/>
          <w:bCs w:val="1"/>
          <w:color w:val="auto"/>
        </w:rPr>
        <w:t>Phase 2 Clinical Trial</w:t>
      </w:r>
      <w:r>
        <w:rPr>
          <w:rFonts w:ascii="Arial" w:cs="Arial" w:eastAsia="Arial" w:hAnsi="Arial"/>
          <w:sz w:val="22"/>
          <w:szCs w:val="22"/>
          <w:color w:val="auto"/>
        </w:rPr>
        <w:t>” means a Clinical Trial of a Licensed Product in the Field conducted in patients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disease or condition under study to evaluate the effectiveness of the Licensed Product for the proposed therapeutic Indication, as and to the extent defined for the U.S. in 21 C.F.R. § 312.21(b), as amended from time to time, or equivalent law or regulation in regulatory jurisdictions outside the U.S.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1.121 </w:t>
      </w:r>
      <w:r>
        <w:rPr>
          <w:rFonts w:ascii="Arial" w:cs="Arial" w:eastAsia="Arial" w:hAnsi="Arial"/>
          <w:sz w:val="22"/>
          <w:szCs w:val="22"/>
          <w:color w:val="auto"/>
        </w:rPr>
        <w:t>“</w:t>
      </w:r>
      <w:r>
        <w:rPr>
          <w:rFonts w:ascii="Arial" w:cs="Arial" w:eastAsia="Arial" w:hAnsi="Arial"/>
          <w:sz w:val="22"/>
          <w:szCs w:val="22"/>
          <w:b w:val="1"/>
          <w:bCs w:val="1"/>
          <w:color w:val="auto"/>
        </w:rPr>
        <w:t>Phase 3 Clinical Trial</w:t>
      </w:r>
      <w:r>
        <w:rPr>
          <w:rFonts w:ascii="Arial" w:cs="Arial" w:eastAsia="Arial" w:hAnsi="Arial"/>
          <w:sz w:val="22"/>
          <w:szCs w:val="22"/>
          <w:color w:val="auto"/>
        </w:rPr>
        <w:t>” means a pivotal Clinical Trial of a Licensed Product in the Field with a defined dose or</w:t>
      </w:r>
      <w:r>
        <w:rPr>
          <w:rFonts w:ascii="Arial" w:cs="Arial" w:eastAsia="Arial" w:hAnsi="Arial"/>
          <w:sz w:val="22"/>
          <w:szCs w:val="22"/>
          <w:b w:val="1"/>
          <w:bCs w:val="1"/>
          <w:color w:val="auto"/>
        </w:rPr>
        <w:t xml:space="preserve"> </w:t>
      </w:r>
      <w:r>
        <w:rPr>
          <w:rFonts w:ascii="Arial" w:cs="Arial" w:eastAsia="Arial" w:hAnsi="Arial"/>
          <w:sz w:val="22"/>
          <w:szCs w:val="22"/>
          <w:color w:val="auto"/>
        </w:rPr>
        <w:t>a set of defined doses of such Licensed Product on sufficient numbers of human patients designed to confirm with statistical significance the safety and efficacy of such Licensed Product and to support a Regulatory Approval for the proposed Indication as and to the extent defined for the U.S. in 21 C.F.R. § 312.21(c), as amended from time to time, or equivalent law or regulation in regulatory jurisdictions outside the U.S.</w:t>
      </w:r>
    </w:p>
    <w:p>
      <w:pPr>
        <w:spacing w:after="0" w:line="18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1.122 </w:t>
      </w:r>
      <w:r>
        <w:rPr>
          <w:rFonts w:ascii="Arial" w:cs="Arial" w:eastAsia="Arial" w:hAnsi="Arial"/>
          <w:sz w:val="19"/>
          <w:szCs w:val="19"/>
          <w:color w:val="auto"/>
        </w:rPr>
        <w:t>“</w:t>
      </w:r>
      <w:r>
        <w:rPr>
          <w:rFonts w:ascii="Arial" w:cs="Arial" w:eastAsia="Arial" w:hAnsi="Arial"/>
          <w:sz w:val="19"/>
          <w:szCs w:val="19"/>
          <w:b w:val="1"/>
          <w:bCs w:val="1"/>
          <w:color w:val="auto"/>
        </w:rPr>
        <w:t>Physiochemical Properties</w:t>
      </w:r>
      <w:r>
        <w:rPr>
          <w:rFonts w:ascii="Arial" w:cs="Arial" w:eastAsia="Arial" w:hAnsi="Arial"/>
          <w:sz w:val="19"/>
          <w:szCs w:val="19"/>
          <w:color w:val="auto"/>
        </w:rPr>
        <w:t>” means, with respect to a DARPin Domain or Product Candidate, physiochemical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properties such as binding kinetics, expression stability in aqueous solution, primary and higher-order structure, extent of structural heterogeneity, aggregation, and any other properties set forth in Appendix 6.1 of the ICH Topic Q 6 B.</w:t>
      </w:r>
    </w:p>
    <w:p>
      <w:pPr>
        <w:spacing w:after="0" w:line="12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1.123 </w:t>
      </w:r>
      <w:r>
        <w:rPr>
          <w:rFonts w:ascii="Arial" w:cs="Arial" w:eastAsia="Arial" w:hAnsi="Arial"/>
          <w:sz w:val="19"/>
          <w:szCs w:val="19"/>
          <w:color w:val="auto"/>
        </w:rPr>
        <w:t>“</w:t>
      </w:r>
      <w:r>
        <w:rPr>
          <w:rFonts w:ascii="Arial" w:cs="Arial" w:eastAsia="Arial" w:hAnsi="Arial"/>
          <w:sz w:val="19"/>
          <w:szCs w:val="19"/>
          <w:b w:val="1"/>
          <w:bCs w:val="1"/>
          <w:color w:val="auto"/>
        </w:rPr>
        <w:t>Product Candidate</w:t>
      </w:r>
      <w:r>
        <w:rPr>
          <w:rFonts w:ascii="Arial" w:cs="Arial" w:eastAsia="Arial" w:hAnsi="Arial"/>
          <w:sz w:val="19"/>
          <w:szCs w:val="19"/>
          <w:color w:val="auto"/>
        </w:rPr>
        <w:t>” means, with respect to a Collaboration Target Combination, a mono-specific or multi-specific DARPin Compound made by Molecular Partners during the Research Term or any Research Term Extension containing one or more AGN DARPin Domains for each Collaboration Target in such Collaboration Target Combination.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75" w:name="page476"/>
    <w:bookmarkEnd w:id="475"/>
    <w:p>
      <w:pPr>
        <w:jc w:val="both"/>
        <w:spacing w:after="0" w:line="253" w:lineRule="auto"/>
        <w:rPr>
          <w:sz w:val="20"/>
          <w:szCs w:val="20"/>
          <w:color w:val="auto"/>
        </w:rPr>
      </w:pPr>
      <w:r>
        <w:rPr>
          <w:rFonts w:ascii="Arial" w:cs="Arial" w:eastAsia="Arial" w:hAnsi="Arial"/>
          <w:sz w:val="22"/>
          <w:szCs w:val="22"/>
          <w:color w:val="auto"/>
        </w:rPr>
        <w:t>clarity, if an AGN DARPin Domain in a Product Candidate, or any Collaboration Target in the Collaboration Target Combination for a Product Candidate, is replaced during the Research Term or any Research Term Extension, such Product Candidate will no longer be considered a Product Candidate.</w:t>
      </w:r>
    </w:p>
    <w:p>
      <w:pPr>
        <w:spacing w:after="0" w:line="1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1.124 </w:t>
      </w:r>
      <w:r>
        <w:rPr>
          <w:rFonts w:ascii="Arial" w:cs="Arial" w:eastAsia="Arial" w:hAnsi="Arial"/>
          <w:sz w:val="19"/>
          <w:szCs w:val="19"/>
          <w:color w:val="auto"/>
        </w:rPr>
        <w:t>“</w:t>
      </w:r>
      <w:r>
        <w:rPr>
          <w:rFonts w:ascii="Arial" w:cs="Arial" w:eastAsia="Arial" w:hAnsi="Arial"/>
          <w:sz w:val="19"/>
          <w:szCs w:val="19"/>
          <w:b w:val="1"/>
          <w:bCs w:val="1"/>
          <w:color w:val="auto"/>
        </w:rPr>
        <w:t>Regulatory Approval</w:t>
      </w:r>
      <w:r>
        <w:rPr>
          <w:rFonts w:ascii="Arial" w:cs="Arial" w:eastAsia="Arial" w:hAnsi="Arial"/>
          <w:sz w:val="19"/>
          <w:szCs w:val="19"/>
          <w:color w:val="auto"/>
        </w:rPr>
        <w:t>” means all approvals from the relevant Regulatory Authority in a given country or</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jurisdiction of the Regulatory Approval Application for a Licensed Product in the Field, including all licenses, registrations, and pricing or reimbursement approvals, that are necessary for the sale of such Licensed Product, including clinical testing, manufacture, distribution, or use of such Licensed Product, in such country or regulatory jurisdiction.</w:t>
      </w:r>
    </w:p>
    <w:p>
      <w:pPr>
        <w:spacing w:after="0" w:line="13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1.125 </w:t>
      </w:r>
      <w:r>
        <w:rPr>
          <w:rFonts w:ascii="Arial" w:cs="Arial" w:eastAsia="Arial" w:hAnsi="Arial"/>
          <w:sz w:val="22"/>
          <w:szCs w:val="22"/>
          <w:color w:val="auto"/>
        </w:rPr>
        <w:t>“</w:t>
      </w:r>
      <w:r>
        <w:rPr>
          <w:rFonts w:ascii="Arial" w:cs="Arial" w:eastAsia="Arial" w:hAnsi="Arial"/>
          <w:sz w:val="22"/>
          <w:szCs w:val="22"/>
          <w:b w:val="1"/>
          <w:bCs w:val="1"/>
          <w:color w:val="auto"/>
        </w:rPr>
        <w:t>Regulatory Approval Application</w:t>
      </w:r>
      <w:r>
        <w:rPr>
          <w:rFonts w:ascii="Arial" w:cs="Arial" w:eastAsia="Arial" w:hAnsi="Arial"/>
          <w:sz w:val="22"/>
          <w:szCs w:val="22"/>
          <w:color w:val="auto"/>
        </w:rPr>
        <w:t>” means an application to the appropriate Regulatory Authority for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to sell a Licensed Product in any particular jurisdiction, including a BLA in the U.S.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1.126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in a particular country or jurisdiction, any applicable Governmental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that has the authority to regulate the manufacture, marketing, testing, pricing, or sale of drug products in such country or jurisdiction.</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1.127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under applicable Law with respect to a Licensed Product in a country or jurisdiction in the Territory to prevent Third Parties from Commercializing such Licensed Product in such country or jurisdiction, other than a Patent right, including orphan drug exclusivity, pediatric exclusivity, rights conferred in the U.S. under the Hatch-Waxman Act or the FDA Modernization Act of 1997, in the EU under Directive 2001/83/EC, or rights similar thereto in other countries or regulatory jurisdictions in the Territory.</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1.128 </w:t>
      </w: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regulatory applications, submissions, notifications, communications,</w:t>
      </w:r>
      <w:r>
        <w:rPr>
          <w:rFonts w:ascii="Arial" w:cs="Arial" w:eastAsia="Arial" w:hAnsi="Arial"/>
          <w:sz w:val="22"/>
          <w:szCs w:val="22"/>
          <w:b w:val="1"/>
          <w:bCs w:val="1"/>
          <w:color w:val="auto"/>
        </w:rPr>
        <w:t xml:space="preserve"> </w:t>
      </w:r>
      <w:r>
        <w:rPr>
          <w:rFonts w:ascii="Arial" w:cs="Arial" w:eastAsia="Arial" w:hAnsi="Arial"/>
          <w:sz w:val="22"/>
          <w:szCs w:val="22"/>
          <w:color w:val="auto"/>
        </w:rPr>
        <w:t>correspondence, registrations, Regulatory Approvals or other filings made to, received from or otherwise conducted with a Regulatory Authority in order to Develop, Manufacture, or Commercialize a Licensed Product in a particular country or jurisdiction.</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1.129 </w:t>
      </w:r>
      <w:r>
        <w:rPr>
          <w:rFonts w:ascii="Arial" w:cs="Arial" w:eastAsia="Arial" w:hAnsi="Arial"/>
          <w:sz w:val="22"/>
          <w:szCs w:val="22"/>
          <w:color w:val="auto"/>
        </w:rPr>
        <w:t>“</w:t>
      </w:r>
      <w:r>
        <w:rPr>
          <w:rFonts w:ascii="Arial" w:cs="Arial" w:eastAsia="Arial" w:hAnsi="Arial"/>
          <w:sz w:val="22"/>
          <w:szCs w:val="22"/>
          <w:b w:val="1"/>
          <w:bCs w:val="1"/>
          <w:color w:val="auto"/>
        </w:rPr>
        <w:t>Rejected Product Candidate</w:t>
      </w:r>
      <w:r>
        <w:rPr>
          <w:rFonts w:ascii="Arial" w:cs="Arial" w:eastAsia="Arial" w:hAnsi="Arial"/>
          <w:sz w:val="22"/>
          <w:szCs w:val="22"/>
          <w:color w:val="auto"/>
        </w:rPr>
        <w:t>” means, with respect to a Collaboration Target Combination for which Allergan</w:t>
      </w:r>
      <w:r>
        <w:rPr>
          <w:rFonts w:ascii="Arial" w:cs="Arial" w:eastAsia="Arial" w:hAnsi="Arial"/>
          <w:sz w:val="22"/>
          <w:szCs w:val="22"/>
          <w:b w:val="1"/>
          <w:bCs w:val="1"/>
          <w:color w:val="auto"/>
        </w:rPr>
        <w:t xml:space="preserve"> </w:t>
      </w:r>
      <w:r>
        <w:rPr>
          <w:rFonts w:ascii="Arial" w:cs="Arial" w:eastAsia="Arial" w:hAnsi="Arial"/>
          <w:sz w:val="22"/>
          <w:szCs w:val="22"/>
          <w:color w:val="auto"/>
        </w:rPr>
        <w:t>does not exercise an Option prior to the expiration of the Research Term (or, if such Collaboration Target Combination is a RTE Target Combination, prior to the expiration of the Research Term Extension), each Product Candidate and each AGN DARPin Domain for such Collaboration Target Combination. A Rejected Product Candidate does not include: (a) any DARPin Compound Binding a Collaboration Target Combination for which one or more Collaboration Targets were replaced prior to the end of the Research Term, (b) any AGN DARPin Domain that was replaced prior to the end of the Research Term or any Research Term Extension, or (c) any Product Candidate containing an AGN DARPin Domain that was replaced prior to the end of the Research Term.</w:t>
      </w:r>
    </w:p>
    <w:p>
      <w:pPr>
        <w:spacing w:after="0" w:line="18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Remedial Action</w:t>
      </w:r>
      <w:r>
        <w:rPr>
          <w:rFonts w:ascii="Arial" w:cs="Arial" w:eastAsia="Arial" w:hAnsi="Arial"/>
          <w:sz w:val="19"/>
          <w:szCs w:val="19"/>
          <w:color w:val="auto"/>
        </w:rPr>
        <w:t>” has the meaning set forth in Section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76" w:name="page477"/>
    <w:bookmarkEnd w:id="476"/>
    <w:p>
      <w:pPr>
        <w:ind w:left="660"/>
        <w:spacing w:after="0"/>
        <w:tabs>
          <w:tab w:leader="none" w:pos="1340" w:val="left"/>
        </w:tabs>
        <w:rPr>
          <w:sz w:val="20"/>
          <w:szCs w:val="20"/>
          <w:color w:val="auto"/>
        </w:rPr>
      </w:pPr>
      <w:r>
        <w:rPr>
          <w:rFonts w:ascii="Arial" w:cs="Arial" w:eastAsia="Arial" w:hAnsi="Arial"/>
          <w:sz w:val="22"/>
          <w:szCs w:val="22"/>
          <w:b w:val="1"/>
          <w:bCs w:val="1"/>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Replaced MP DARPin Domain</w:t>
      </w:r>
      <w:r>
        <w:rPr>
          <w:rFonts w:ascii="Arial" w:cs="Arial" w:eastAsia="Arial" w:hAnsi="Arial"/>
          <w:sz w:val="19"/>
          <w:szCs w:val="19"/>
          <w:color w:val="auto"/>
        </w:rPr>
        <w:t>” has the meaning set forth in Section 2.4(c)(ii).</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Replacement DARPin Domain</w:t>
      </w:r>
      <w:r>
        <w:rPr>
          <w:rFonts w:ascii="Arial" w:cs="Arial" w:eastAsia="Arial" w:hAnsi="Arial"/>
          <w:sz w:val="19"/>
          <w:szCs w:val="19"/>
          <w:color w:val="auto"/>
        </w:rPr>
        <w:t>” has the meaning set forth in Section 2.4(c)(ii).</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Program</w:t>
      </w:r>
      <w:r>
        <w:rPr>
          <w:rFonts w:ascii="Arial" w:cs="Arial" w:eastAsia="Arial" w:hAnsi="Arial"/>
          <w:sz w:val="19"/>
          <w:szCs w:val="19"/>
          <w:color w:val="auto"/>
        </w:rPr>
        <w:t>” has the meaning set forth in Section 2.1.</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1.134 </w:t>
      </w:r>
      <w:r>
        <w:rPr>
          <w:rFonts w:ascii="Arial" w:cs="Arial" w:eastAsia="Arial" w:hAnsi="Arial"/>
          <w:sz w:val="22"/>
          <w:szCs w:val="22"/>
          <w:color w:val="auto"/>
        </w:rPr>
        <w:t>“</w:t>
      </w:r>
      <w:r>
        <w:rPr>
          <w:rFonts w:ascii="Arial" w:cs="Arial" w:eastAsia="Arial" w:hAnsi="Arial"/>
          <w:sz w:val="22"/>
          <w:szCs w:val="22"/>
          <w:b w:val="1"/>
          <w:bCs w:val="1"/>
          <w:color w:val="auto"/>
        </w:rPr>
        <w:t>Research Term</w:t>
      </w:r>
      <w:r>
        <w:rPr>
          <w:rFonts w:ascii="Arial" w:cs="Arial" w:eastAsia="Arial" w:hAnsi="Arial"/>
          <w:sz w:val="22"/>
          <w:szCs w:val="22"/>
          <w:color w:val="auto"/>
        </w:rPr>
        <w:t>” means the period commencing on the Effective Date and ending on the earlier of (a) [***]</w:t>
      </w:r>
      <w:r>
        <w:rPr>
          <w:rFonts w:ascii="Arial" w:cs="Arial" w:eastAsia="Arial" w:hAnsi="Arial"/>
          <w:sz w:val="22"/>
          <w:szCs w:val="22"/>
          <w:b w:val="1"/>
          <w:bCs w:val="1"/>
          <w:color w:val="auto"/>
        </w:rPr>
        <w:t xml:space="preserve"> </w:t>
      </w:r>
      <w:r>
        <w:rPr>
          <w:rFonts w:ascii="Arial" w:cs="Arial" w:eastAsia="Arial" w:hAnsi="Arial"/>
          <w:sz w:val="22"/>
          <w:szCs w:val="22"/>
          <w:color w:val="auto"/>
        </w:rPr>
        <w:t>thereafter or (b) Allergan’s exercise of its third Option.</w:t>
      </w:r>
    </w:p>
    <w:p>
      <w:pPr>
        <w:spacing w:after="0" w:line="1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Term Extension</w:t>
      </w:r>
      <w:r>
        <w:rPr>
          <w:rFonts w:ascii="Arial" w:cs="Arial" w:eastAsia="Arial" w:hAnsi="Arial"/>
          <w:sz w:val="19"/>
          <w:szCs w:val="19"/>
          <w:color w:val="auto"/>
        </w:rPr>
        <w:t>” has the meaning set forth in Section 2.9.</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1.136 </w:t>
      </w:r>
      <w:r>
        <w:rPr>
          <w:rFonts w:ascii="Arial" w:cs="Arial" w:eastAsia="Arial" w:hAnsi="Arial"/>
          <w:sz w:val="22"/>
          <w:szCs w:val="22"/>
          <w:color w:val="auto"/>
        </w:rPr>
        <w:t>“</w:t>
      </w:r>
      <w:r>
        <w:rPr>
          <w:rFonts w:ascii="Arial" w:cs="Arial" w:eastAsia="Arial" w:hAnsi="Arial"/>
          <w:sz w:val="22"/>
          <w:szCs w:val="22"/>
          <w:b w:val="1"/>
          <w:bCs w:val="1"/>
          <w:color w:val="auto"/>
        </w:rPr>
        <w:t>Royalty-Bearing Sales</w:t>
      </w:r>
      <w:r>
        <w:rPr>
          <w:rFonts w:ascii="Arial" w:cs="Arial" w:eastAsia="Arial" w:hAnsi="Arial"/>
          <w:sz w:val="22"/>
          <w:szCs w:val="22"/>
          <w:color w:val="auto"/>
        </w:rPr>
        <w:t>” means, for each Licensed Product and each country in the Territory, Net Sales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in such country during the Royalty Term for such Licensed Product in such country.</w:t>
      </w:r>
    </w:p>
    <w:p>
      <w:pPr>
        <w:spacing w:after="0" w:line="1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has the meaning set forth in Section 9.6(b).</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RTE Compound</w:t>
      </w:r>
      <w:r>
        <w:rPr>
          <w:rFonts w:ascii="Arial" w:cs="Arial" w:eastAsia="Arial" w:hAnsi="Arial"/>
          <w:sz w:val="19"/>
          <w:szCs w:val="19"/>
          <w:color w:val="auto"/>
        </w:rPr>
        <w:t>” has the meaning set forth in Section 2.9.</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RTE Target Combination</w:t>
      </w:r>
      <w:r>
        <w:rPr>
          <w:rFonts w:ascii="Arial" w:cs="Arial" w:eastAsia="Arial" w:hAnsi="Arial"/>
          <w:sz w:val="19"/>
          <w:szCs w:val="19"/>
          <w:color w:val="auto"/>
        </w:rPr>
        <w:t>” has the meaning set forth in Section 2.9.</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has the meaning set forth in Section 9.12.</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Subject Patent</w:t>
      </w:r>
      <w:r>
        <w:rPr>
          <w:rFonts w:ascii="Arial" w:cs="Arial" w:eastAsia="Arial" w:hAnsi="Arial"/>
          <w:sz w:val="19"/>
          <w:szCs w:val="19"/>
          <w:color w:val="auto"/>
        </w:rPr>
        <w:t>” has the meaning set forth in Section 10.6.</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 has the meaning set forth in Section 4.5(a).</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1.143 </w:t>
      </w:r>
      <w:r>
        <w:rPr>
          <w:rFonts w:ascii="Arial" w:cs="Arial" w:eastAsia="Arial" w:hAnsi="Arial"/>
          <w:sz w:val="22"/>
          <w:szCs w:val="22"/>
          <w:color w:val="auto"/>
        </w:rPr>
        <w:t>“</w:t>
      </w:r>
      <w:r>
        <w:rPr>
          <w:rFonts w:ascii="Arial" w:cs="Arial" w:eastAsia="Arial" w:hAnsi="Arial"/>
          <w:sz w:val="22"/>
          <w:szCs w:val="22"/>
          <w:b w:val="1"/>
          <w:bCs w:val="1"/>
          <w:color w:val="auto"/>
        </w:rPr>
        <w:t>Systemic Delivery</w:t>
      </w:r>
      <w:r>
        <w:rPr>
          <w:rFonts w:ascii="Arial" w:cs="Arial" w:eastAsia="Arial" w:hAnsi="Arial"/>
          <w:sz w:val="22"/>
          <w:szCs w:val="22"/>
          <w:color w:val="auto"/>
        </w:rPr>
        <w:t>” means the administration of a drug product systemically in the body of the patient,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by intravenous, subcutaneous, oral or pulmonary administration. Administration of a drug product to the eye or its adnexa through a Drug Delivery System shall not be deemed to be Systemic Delivery.</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1.144 </w:t>
      </w:r>
      <w:r>
        <w:rPr>
          <w:rFonts w:ascii="Arial" w:cs="Arial" w:eastAsia="Arial" w:hAnsi="Arial"/>
          <w:sz w:val="22"/>
          <w:szCs w:val="22"/>
          <w:color w:val="auto"/>
        </w:rPr>
        <w:t>“</w:t>
      </w:r>
      <w:r>
        <w:rPr>
          <w:rFonts w:ascii="Arial" w:cs="Arial" w:eastAsia="Arial" w:hAnsi="Arial"/>
          <w:sz w:val="22"/>
          <w:szCs w:val="22"/>
          <w:b w:val="1"/>
          <w:bCs w:val="1"/>
          <w:color w:val="auto"/>
        </w:rPr>
        <w:t>Target</w:t>
      </w:r>
      <w:r>
        <w:rPr>
          <w:rFonts w:ascii="Arial" w:cs="Arial" w:eastAsia="Arial" w:hAnsi="Arial"/>
          <w:sz w:val="22"/>
          <w:szCs w:val="22"/>
          <w:color w:val="auto"/>
        </w:rPr>
        <w:t>” means a protein to which the Binding of a DARPin Compound may produce a therapeutic effect.</w:t>
      </w:r>
      <w:r>
        <w:rPr>
          <w:rFonts w:ascii="Arial" w:cs="Arial" w:eastAsia="Arial" w:hAnsi="Arial"/>
          <w:sz w:val="22"/>
          <w:szCs w:val="22"/>
          <w:b w:val="1"/>
          <w:bCs w:val="1"/>
          <w:color w:val="auto"/>
        </w:rPr>
        <w:t xml:space="preserve"> </w:t>
      </w:r>
      <w:r>
        <w:rPr>
          <w:rFonts w:ascii="Arial" w:cs="Arial" w:eastAsia="Arial" w:hAnsi="Arial"/>
          <w:sz w:val="22"/>
          <w:szCs w:val="22"/>
          <w:color w:val="auto"/>
        </w:rPr>
        <w:t>Substances to which the Binding of a DARPin Compound produces a therapeutic effect solely by modifying the pharmacokinetics of a DARPin Compound are not Targets.</w:t>
      </w:r>
    </w:p>
    <w:p>
      <w:pPr>
        <w:spacing w:after="0" w:line="17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14.1.</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1.146 </w:t>
      </w:r>
      <w:r>
        <w:rPr>
          <w:rFonts w:ascii="Arial" w:cs="Arial" w:eastAsia="Arial" w:hAnsi="Arial"/>
          <w:sz w:val="22"/>
          <w:szCs w:val="22"/>
          <w:color w:val="auto"/>
        </w:rPr>
        <w:t>“</w:t>
      </w:r>
      <w:r>
        <w:rPr>
          <w:rFonts w:ascii="Arial" w:cs="Arial" w:eastAsia="Arial" w:hAnsi="Arial"/>
          <w:sz w:val="22"/>
          <w:szCs w:val="22"/>
          <w:b w:val="1"/>
          <w:bCs w:val="1"/>
          <w:color w:val="auto"/>
        </w:rPr>
        <w:t>Terminated Product</w:t>
      </w:r>
      <w:r>
        <w:rPr>
          <w:rFonts w:ascii="Arial" w:cs="Arial" w:eastAsia="Arial" w:hAnsi="Arial"/>
          <w:sz w:val="22"/>
          <w:szCs w:val="22"/>
          <w:color w:val="auto"/>
        </w:rPr>
        <w:t>” means any Licensed Product for which Allergan terminates Development or</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under Section 4.10(b), as such Licensed Product is being Developed or Commercialized as of the effective date of such termination.</w:t>
      </w:r>
    </w:p>
    <w:p>
      <w:pPr>
        <w:spacing w:after="0" w:line="17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all of the countries of the world.</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entity other than Molecular Partners or Allergan or an Affiliate of either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77" w:name="page478"/>
    <w:bookmarkEnd w:id="477"/>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1.149 </w:t>
      </w:r>
      <w:r>
        <w:rPr>
          <w:rFonts w:ascii="Arial" w:cs="Arial" w:eastAsia="Arial" w:hAnsi="Arial"/>
          <w:sz w:val="21"/>
          <w:szCs w:val="21"/>
          <w:color w:val="auto"/>
        </w:rPr>
        <w:t>“</w:t>
      </w:r>
      <w:r>
        <w:rPr>
          <w:rFonts w:ascii="Arial" w:cs="Arial" w:eastAsia="Arial" w:hAnsi="Arial"/>
          <w:sz w:val="21"/>
          <w:szCs w:val="21"/>
          <w:b w:val="1"/>
          <w:bCs w:val="1"/>
          <w:color w:val="auto"/>
        </w:rPr>
        <w:t>Trademark</w:t>
      </w:r>
      <w:r>
        <w:rPr>
          <w:rFonts w:ascii="Arial" w:cs="Arial" w:eastAsia="Arial" w:hAnsi="Arial"/>
          <w:sz w:val="21"/>
          <w:szCs w:val="21"/>
          <w:color w:val="auto"/>
        </w:rPr>
        <w:t>” means any word, name, symbol, color, designation or device, or any combination thereof, whether</w:t>
      </w:r>
      <w:r>
        <w:rPr>
          <w:rFonts w:ascii="Arial" w:cs="Arial" w:eastAsia="Arial" w:hAnsi="Arial"/>
          <w:sz w:val="21"/>
          <w:szCs w:val="21"/>
          <w:b w:val="1"/>
          <w:bCs w:val="1"/>
          <w:color w:val="auto"/>
        </w:rPr>
        <w:t xml:space="preserve"> </w:t>
      </w:r>
      <w:r>
        <w:rPr>
          <w:rFonts w:ascii="Arial" w:cs="Arial" w:eastAsia="Arial" w:hAnsi="Arial"/>
          <w:sz w:val="21"/>
          <w:szCs w:val="21"/>
          <w:color w:val="auto"/>
        </w:rPr>
        <w:t>registered or unregistered, that is intended to indicate the source or origin of a product or service, including any trademark, trade dress, service mark, service name, brand mark, trade name, brand name, logo, or business symbol.</w:t>
      </w:r>
    </w:p>
    <w:p>
      <w:pPr>
        <w:spacing w:after="0" w:line="15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including all possessions and territories thereof.</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1.151 </w:t>
      </w:r>
      <w:r>
        <w:rPr>
          <w:rFonts w:ascii="Arial" w:cs="Arial" w:eastAsia="Arial" w:hAnsi="Arial"/>
          <w:sz w:val="22"/>
          <w:szCs w:val="22"/>
          <w:color w:val="auto"/>
        </w:rPr>
        <w:t>“[***]” [***], as defined as of the Effective Date by the SwissProt number [***]. For clarity,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Target Isoforms for [***] do not include [***].</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1.152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an issued claim that has not: (a) expired or been revoked or canceled; (b) been declared</w:t>
      </w:r>
      <w:r>
        <w:rPr>
          <w:rFonts w:ascii="Arial" w:cs="Arial" w:eastAsia="Arial" w:hAnsi="Arial"/>
          <w:sz w:val="21"/>
          <w:szCs w:val="21"/>
          <w:b w:val="1"/>
          <w:bCs w:val="1"/>
          <w:color w:val="auto"/>
        </w:rPr>
        <w:t xml:space="preserve"> </w:t>
      </w:r>
      <w:r>
        <w:rPr>
          <w:rFonts w:ascii="Arial" w:cs="Arial" w:eastAsia="Arial" w:hAnsi="Arial"/>
          <w:sz w:val="21"/>
          <w:szCs w:val="21"/>
          <w:color w:val="auto"/>
        </w:rPr>
        <w:t>invalid or unenforceable by a patent office or a decision of a court or other Governmental Authority of competent jurisdiction; provided that if any such claim that has been declared invalid or unenforceable is subsequently determined to be valid and enforceable by a court or other Governmental Authority of competent jurisdiction from which no appeal can be taken (or was taken within the allowable time period), then such claim shall thereafter be a Valid Claim except as otherwise provided under subsection (a), (c), or (d); (c) been admitted to be invalid or unenforceable through reissue, re-examination, disclaimer or otherwise; or (d) been abandoned or disclaimed.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PROGRAM</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2.1 Overview</w:t>
      </w:r>
      <w:r>
        <w:rPr>
          <w:rFonts w:ascii="Arial" w:cs="Arial" w:eastAsia="Arial" w:hAnsi="Arial"/>
          <w:sz w:val="22"/>
          <w:szCs w:val="22"/>
          <w:color w:val="auto"/>
        </w:rPr>
        <w:t>. Pursuant to this Agreement and as further described in this Article 2, Molecular Partners and Allergan</w:t>
      </w:r>
      <w:r>
        <w:rPr>
          <w:rFonts w:ascii="Arial" w:cs="Arial" w:eastAsia="Arial" w:hAnsi="Arial"/>
          <w:sz w:val="22"/>
          <w:szCs w:val="22"/>
          <w:b w:val="1"/>
          <w:bCs w:val="1"/>
          <w:color w:val="auto"/>
        </w:rPr>
        <w:t xml:space="preserve"> </w:t>
      </w:r>
      <w:r>
        <w:rPr>
          <w:rFonts w:ascii="Arial" w:cs="Arial" w:eastAsia="Arial" w:hAnsi="Arial"/>
          <w:sz w:val="22"/>
          <w:szCs w:val="22"/>
          <w:color w:val="auto"/>
        </w:rPr>
        <w:t>will conduct a research program to identify and optimize Product Candidates Binding to Collaboration Target Combinations for use in the Field, under the direction and oversight of the JSC (the “</w:t>
      </w:r>
      <w:r>
        <w:rPr>
          <w:rFonts w:ascii="Arial" w:cs="Arial" w:eastAsia="Arial" w:hAnsi="Arial"/>
          <w:sz w:val="22"/>
          <w:szCs w:val="22"/>
          <w:b w:val="1"/>
          <w:bCs w:val="1"/>
          <w:color w:val="auto"/>
        </w:rPr>
        <w:t>Research Program</w:t>
      </w:r>
      <w:r>
        <w:rPr>
          <w:rFonts w:ascii="Arial" w:cs="Arial" w:eastAsia="Arial" w:hAnsi="Arial"/>
          <w:sz w:val="22"/>
          <w:szCs w:val="22"/>
          <w:color w:val="auto"/>
        </w:rPr>
        <w:t>”). At any time during the Research Term (or, to the extent applicable, the Research Term Extension), Allergan may exercise up to a total of three (3) Options to further develop and commercialize Product Candidates under an exclusive license from Molecular Partners in the Field, as provided in Article 4.</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2.2 Governance</w:t>
      </w:r>
      <w:r>
        <w:rPr>
          <w:rFonts w:ascii="Arial" w:cs="Arial" w:eastAsia="Arial" w:hAnsi="Arial"/>
          <w:sz w:val="21"/>
          <w:szCs w:val="21"/>
          <w:color w:val="auto"/>
        </w:rPr>
        <w:t>. The Parties’ activities during the Research Term (and any Research Term Extension) will be directed</w:t>
      </w:r>
      <w:r>
        <w:rPr>
          <w:rFonts w:ascii="Arial" w:cs="Arial" w:eastAsia="Arial" w:hAnsi="Arial"/>
          <w:sz w:val="21"/>
          <w:szCs w:val="21"/>
          <w:b w:val="1"/>
          <w:bCs w:val="1"/>
          <w:color w:val="auto"/>
        </w:rPr>
        <w:t xml:space="preserve"> </w:t>
      </w:r>
      <w:r>
        <w:rPr>
          <w:rFonts w:ascii="Arial" w:cs="Arial" w:eastAsia="Arial" w:hAnsi="Arial"/>
          <w:sz w:val="21"/>
          <w:szCs w:val="21"/>
          <w:color w:val="auto"/>
        </w:rPr>
        <w:t>and overseen by the Joint Steering Committee formed under and operated in accordance with the JSC Agreement (the “</w:t>
      </w:r>
      <w:r>
        <w:rPr>
          <w:rFonts w:ascii="Arial" w:cs="Arial" w:eastAsia="Arial" w:hAnsi="Arial"/>
          <w:sz w:val="21"/>
          <w:szCs w:val="21"/>
          <w:b w:val="1"/>
          <w:bCs w:val="1"/>
          <w:color w:val="auto"/>
        </w:rPr>
        <w:t>JSC</w:t>
      </w:r>
      <w:r>
        <w:rPr>
          <w:rFonts w:ascii="Arial" w:cs="Arial" w:eastAsia="Arial" w:hAnsi="Arial"/>
          <w:sz w:val="21"/>
          <w:szCs w:val="21"/>
          <w:color w:val="auto"/>
        </w:rPr>
        <w:t>”), which will also oversee Allergan’s Development of Licensed Compounds and Licensed Products.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2.3 DARPin Domain Generation</w:t>
      </w:r>
      <w:r>
        <w:rPr>
          <w:rFonts w:ascii="Arial" w:cs="Arial" w:eastAsia="Arial" w:hAnsi="Arial"/>
          <w:sz w:val="19"/>
          <w:szCs w:val="19"/>
          <w:color w:val="auto"/>
        </w:rPr>
        <w:t>. Molecular Partners shall use Commercially Reasonable Efforts to generate DARPin</w:t>
      </w:r>
      <w:r>
        <w:rPr>
          <w:rFonts w:ascii="Arial" w:cs="Arial" w:eastAsia="Arial" w:hAnsi="Arial"/>
          <w:sz w:val="19"/>
          <w:szCs w:val="19"/>
          <w:b w:val="1"/>
          <w:bCs w:val="1"/>
          <w:color w:val="auto"/>
        </w:rPr>
        <w:t xml:space="preserve"> </w:t>
      </w:r>
      <w:r>
        <w:rPr>
          <w:rFonts w:ascii="Arial" w:cs="Arial" w:eastAsia="Arial" w:hAnsi="Arial"/>
          <w:sz w:val="19"/>
          <w:szCs w:val="19"/>
          <w:color w:val="auto"/>
        </w:rPr>
        <w:t>Domains for each Collaboration Target that Bind such Collaboration Target, that otherwise have characteristics that are expected to make them suitable for selection as an AGN DARPin Domain and, if included in a Product Candidate, that are expected to enable such Product Candidate to meet the criteria set forth in Section 2.5; provided, that Molecular Partners shall use Commercially Reasonable Efforts to provide, within a time period reasonably determined by the JSC, and subject to Section 2.6(i), a sufficient number of DARPin Domains for each Collaboration Target, as determined by the JSC, to enable Allergan to select three (3) suitable DARPin Domains as AGN DARPin Domains for each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78" w:name="page479"/>
    <w:bookmarkEnd w:id="478"/>
    <w:p>
      <w:pPr>
        <w:jc w:val="both"/>
        <w:spacing w:after="0" w:line="288" w:lineRule="auto"/>
        <w:rPr>
          <w:sz w:val="20"/>
          <w:szCs w:val="20"/>
          <w:color w:val="auto"/>
        </w:rPr>
      </w:pPr>
      <w:r>
        <w:rPr>
          <w:rFonts w:ascii="Arial" w:cs="Arial" w:eastAsia="Arial" w:hAnsi="Arial"/>
          <w:sz w:val="19"/>
          <w:szCs w:val="19"/>
          <w:color w:val="auto"/>
        </w:rPr>
        <w:t xml:space="preserve">Collaboration Target pursuant to Section 2.4(b). For each DARPin Domain identified pursuant to the preceding sentence, Molecular Partners will determine the Physiochemical Properties reasonably relevant to such DARPin Domain being selected as an AGN DARPin Domain (including any Physiochemical Properties specified by the JSC). Molecular Partners shall provide the JSC with a list of DARPin Domains generated pursuant to the first sentence of this Section 2.3, which list will (a) contain the set of DARPin Domains identified by Molecular Partners for the Collaboration Target that are most likely, as determined by Molecular Partners in its reasonable discretion, to enable a Product Candidate containing such DARPin Domain to meet the criteria set forth in Section 2.5 and (b) contain the DARPin Domains Binding [***] generated prior to the Effective Date and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 and a report summarizing the results of its determination of the applicable Physiochemical Properties for each such DARPin Domain. Molecular Partners shall periodically update such list and report throughout the Research Term for any additional DARPin Domains generated under the Research Program by Molecular Partners.</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AGN DARPin Domains and MP DARPin Domains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8" w:lineRule="auto"/>
        <w:tabs>
          <w:tab w:leader="none" w:pos="1764" w:val="left"/>
        </w:tabs>
        <w:numPr>
          <w:ilvl w:val="1"/>
          <w:numId w:val="431"/>
        </w:numPr>
        <w:rPr>
          <w:rFonts w:ascii="Arial" w:cs="Arial" w:eastAsia="Arial" w:hAnsi="Arial"/>
          <w:sz w:val="22"/>
          <w:szCs w:val="22"/>
          <w:b w:val="1"/>
          <w:bCs w:val="1"/>
          <w:color w:val="auto"/>
        </w:rPr>
      </w:pPr>
      <w:r>
        <w:rPr>
          <w:rFonts w:ascii="Arial" w:cs="Arial" w:eastAsia="Arial" w:hAnsi="Arial"/>
          <w:sz w:val="22"/>
          <w:szCs w:val="22"/>
          <w:b w:val="1"/>
          <w:bCs w:val="1"/>
          <w:color w:val="auto"/>
        </w:rPr>
        <w:t>Excluded DARPin Domains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C</w:t>
      </w:r>
      <w:r>
        <w:rPr>
          <w:rFonts w:ascii="Arial" w:cs="Arial" w:eastAsia="Arial" w:hAnsi="Arial"/>
          <w:sz w:val="22"/>
          <w:szCs w:val="22"/>
          <w:b w:val="1"/>
          <w:bCs w:val="1"/>
          <w:color w:val="auto"/>
        </w:rPr>
        <w:t xml:space="preserve"> </w:t>
      </w:r>
      <w:r>
        <w:rPr>
          <w:rFonts w:ascii="Arial" w:cs="Arial" w:eastAsia="Arial" w:hAnsi="Arial"/>
          <w:sz w:val="22"/>
          <w:szCs w:val="22"/>
          <w:color w:val="auto"/>
        </w:rPr>
        <w:t>sets forth a list of certain DARPin Domains identified by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prior to the Effective Date that Bind either [***] (such DARPin Domains, including all derivatives of such DARPin Domains created or identified by Molecular Partners after the Effective Date outside the scope of the Research Program, the “</w:t>
      </w:r>
      <w:r>
        <w:rPr>
          <w:rFonts w:ascii="Arial" w:cs="Arial" w:eastAsia="Arial" w:hAnsi="Arial"/>
          <w:sz w:val="22"/>
          <w:szCs w:val="22"/>
          <w:b w:val="1"/>
          <w:bCs w:val="1"/>
          <w:color w:val="auto"/>
        </w:rPr>
        <w:t>Excluded DARPin Domains</w:t>
      </w:r>
      <w:r>
        <w:rPr>
          <w:rFonts w:ascii="Arial" w:cs="Arial" w:eastAsia="Arial" w:hAnsi="Arial"/>
          <w:sz w:val="22"/>
          <w:szCs w:val="22"/>
          <w:color w:val="auto"/>
        </w:rPr>
        <w:t xml:space="preserve">”). Each Excluded DARPin Domain shall be deemed to be a MP DARPin Domain.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sets forth a list of certain DARPin Domains identified by Molecular Partners prior to the Effective Date that (i) Bind either [***], as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 and (ii) [***].</w:t>
      </w:r>
    </w:p>
    <w:p>
      <w:pPr>
        <w:spacing w:after="0" w:line="186" w:lineRule="exact"/>
        <w:rPr>
          <w:rFonts w:ascii="Arial" w:cs="Arial" w:eastAsia="Arial" w:hAnsi="Arial"/>
          <w:sz w:val="22"/>
          <w:szCs w:val="22"/>
          <w:b w:val="1"/>
          <w:bCs w:val="1"/>
          <w:color w:val="auto"/>
        </w:rPr>
      </w:pPr>
    </w:p>
    <w:p>
      <w:pPr>
        <w:jc w:val="both"/>
        <w:ind w:firstLine="1304"/>
        <w:spacing w:after="0" w:line="285" w:lineRule="auto"/>
        <w:tabs>
          <w:tab w:leader="none" w:pos="1830" w:val="left"/>
        </w:tabs>
        <w:numPr>
          <w:ilvl w:val="1"/>
          <w:numId w:val="431"/>
        </w:numPr>
        <w:rPr>
          <w:rFonts w:ascii="Arial" w:cs="Arial" w:eastAsia="Arial" w:hAnsi="Arial"/>
          <w:sz w:val="19"/>
          <w:szCs w:val="19"/>
          <w:b w:val="1"/>
          <w:bCs w:val="1"/>
          <w:color w:val="auto"/>
        </w:rPr>
      </w:pPr>
      <w:r>
        <w:rPr>
          <w:rFonts w:ascii="Arial" w:cs="Arial" w:eastAsia="Arial" w:hAnsi="Arial"/>
          <w:sz w:val="19"/>
          <w:szCs w:val="19"/>
          <w:b w:val="1"/>
          <w:bCs w:val="1"/>
          <w:color w:val="auto"/>
        </w:rPr>
        <w:t>Initial Selection</w:t>
      </w:r>
      <w:r>
        <w:rPr>
          <w:rFonts w:ascii="Arial" w:cs="Arial" w:eastAsia="Arial" w:hAnsi="Arial"/>
          <w:sz w:val="19"/>
          <w:szCs w:val="19"/>
          <w:color w:val="auto"/>
        </w:rPr>
        <w:t>. Following receipt of the initial list and report from Molecular Partners under Section 2.3</w:t>
      </w:r>
      <w:r>
        <w:rPr>
          <w:rFonts w:ascii="Arial" w:cs="Arial" w:eastAsia="Arial" w:hAnsi="Arial"/>
          <w:sz w:val="19"/>
          <w:szCs w:val="19"/>
          <w:b w:val="1"/>
          <w:bCs w:val="1"/>
          <w:color w:val="auto"/>
        </w:rPr>
        <w:t xml:space="preserve"> </w:t>
      </w:r>
      <w:r>
        <w:rPr>
          <w:rFonts w:ascii="Arial" w:cs="Arial" w:eastAsia="Arial" w:hAnsi="Arial"/>
          <w:sz w:val="19"/>
          <w:szCs w:val="19"/>
          <w:color w:val="auto"/>
        </w:rPr>
        <w:t>for a particular Collaboration Target, the JSC shall promptly schedule an ad hoc meeting (no later than [***] after delivery of the list) to discuss such list. Allergan, through the JSC, shall select three (3) DARPin Domains from the list for such Collaboration Target as AGN DARPin Domains, which may not be, for [***], any Excluded DARPin Domain. Immediately following such selection, Molecular Partners, through the JSC, shall have the right to select three (3) DARPin Domains from such list for such Collaboration Target (other than any DARPin Domains selected by Allergan as AGN DARPin Domains) as MP DARPin Domains, any Information related to which shall be the Confidential Information of Molecular Partners. By way of clarification, the Excluded DARPin Domains shall not reduce the number of such selections available to Molecular Partners with respect to</w:t>
      </w:r>
    </w:p>
    <w:p>
      <w:pPr>
        <w:ind w:left="520" w:hanging="512"/>
        <w:spacing w:after="0"/>
        <w:tabs>
          <w:tab w:leader="none" w:pos="520" w:val="left"/>
        </w:tabs>
        <w:numPr>
          <w:ilvl w:val="0"/>
          <w:numId w:val="431"/>
        </w:numPr>
        <w:rPr>
          <w:rFonts w:ascii="Arial" w:cs="Arial" w:eastAsia="Arial" w:hAnsi="Arial"/>
          <w:sz w:val="22"/>
          <w:szCs w:val="22"/>
          <w:color w:val="auto"/>
        </w:rPr>
      </w:pPr>
      <w:r>
        <w:rPr>
          <w:rFonts w:ascii="Arial" w:cs="Arial" w:eastAsia="Arial" w:hAnsi="Arial"/>
          <w:sz w:val="22"/>
          <w:szCs w:val="22"/>
          <w:color w:val="auto"/>
        </w:rPr>
        <w:t>under this Agreement.</w:t>
      </w:r>
    </w:p>
    <w:p>
      <w:pPr>
        <w:spacing w:after="0" w:line="195" w:lineRule="exact"/>
        <w:rPr>
          <w:rFonts w:ascii="Arial" w:cs="Arial" w:eastAsia="Arial" w:hAnsi="Arial"/>
          <w:sz w:val="22"/>
          <w:szCs w:val="22"/>
          <w:color w:val="auto"/>
        </w:rPr>
      </w:pPr>
    </w:p>
    <w:p>
      <w:pPr>
        <w:ind w:left="1760" w:hanging="456"/>
        <w:spacing w:after="0"/>
        <w:tabs>
          <w:tab w:leader="none" w:pos="1760" w:val="left"/>
        </w:tabs>
        <w:numPr>
          <w:ilvl w:val="1"/>
          <w:numId w:val="432"/>
        </w:numPr>
        <w:rPr>
          <w:rFonts w:ascii="Arial" w:cs="Arial" w:eastAsia="Arial" w:hAnsi="Arial"/>
          <w:sz w:val="22"/>
          <w:szCs w:val="22"/>
          <w:b w:val="1"/>
          <w:bCs w:val="1"/>
          <w:color w:val="auto"/>
        </w:rPr>
      </w:pPr>
      <w:r>
        <w:rPr>
          <w:rFonts w:ascii="Arial" w:cs="Arial" w:eastAsia="Arial" w:hAnsi="Arial"/>
          <w:sz w:val="22"/>
          <w:szCs w:val="22"/>
          <w:b w:val="1"/>
          <w:bCs w:val="1"/>
          <w:color w:val="auto"/>
        </w:rPr>
        <w:t>Replacement</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50" w:lineRule="auto"/>
        <w:tabs>
          <w:tab w:leader="none" w:pos="2431" w:val="left"/>
        </w:tabs>
        <w:numPr>
          <w:ilvl w:val="2"/>
          <w:numId w:val="432"/>
        </w:numPr>
        <w:rPr>
          <w:rFonts w:ascii="Arial" w:cs="Arial" w:eastAsia="Arial" w:hAnsi="Arial"/>
          <w:sz w:val="22"/>
          <w:szCs w:val="22"/>
          <w:b w:val="1"/>
          <w:bCs w:val="1"/>
          <w:color w:val="auto"/>
        </w:rPr>
      </w:pPr>
      <w:r>
        <w:rPr>
          <w:rFonts w:ascii="Arial" w:cs="Arial" w:eastAsia="Arial" w:hAnsi="Arial"/>
          <w:sz w:val="22"/>
          <w:szCs w:val="22"/>
          <w:color w:val="auto"/>
        </w:rPr>
        <w:t>At any time during the Research Term (and, solely with respect to RTE Compounds, any Research Term Extension), Allergan may, through the JSC, replace an AGN DARPin Domain with any DARPin Domain from the then-current list of DARPin Domains for the same Collaboration Target that is not an MP DARPin Domain for such Collaboration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79" w:name="page480"/>
    <w:bookmarkEnd w:id="479"/>
    <w:p>
      <w:pPr>
        <w:jc w:val="both"/>
        <w:ind w:firstLine="1952"/>
        <w:spacing w:after="0" w:line="257" w:lineRule="auto"/>
        <w:tabs>
          <w:tab w:leader="none" w:pos="2613" w:val="left"/>
        </w:tabs>
        <w:numPr>
          <w:ilvl w:val="0"/>
          <w:numId w:val="433"/>
        </w:numPr>
        <w:rPr>
          <w:rFonts w:ascii="Arial" w:cs="Arial" w:eastAsia="Arial" w:hAnsi="Arial"/>
          <w:sz w:val="21"/>
          <w:szCs w:val="21"/>
          <w:b w:val="1"/>
          <w:bCs w:val="1"/>
          <w:color w:val="auto"/>
        </w:rPr>
      </w:pPr>
      <w:r>
        <w:rPr>
          <w:rFonts w:ascii="Arial" w:cs="Arial" w:eastAsia="Arial" w:hAnsi="Arial"/>
          <w:sz w:val="21"/>
          <w:szCs w:val="21"/>
          <w:color w:val="auto"/>
        </w:rPr>
        <w:t>Subject to Section 2.4(c)(iii) and during the Research Term (and, solely with respect to RTE Compounds, any Research Term Extension), if Molecular Partners desires to replace one or more MP DARPin Domains for any Collaboration Target, Molecular Partners shall so notify Allergan, through the JSC, at least [***] prior to the next scheduled meeting of the JSC, and shall include in such notice an update to the list and report described in Section 2.3(b) for such Collaboration Target (which report and list shall include the Replacement DARPin Domains), the MP DARPin Domains that it intends to replace (the “</w:t>
      </w:r>
      <w:r>
        <w:rPr>
          <w:rFonts w:ascii="Arial" w:cs="Arial" w:eastAsia="Arial" w:hAnsi="Arial"/>
          <w:sz w:val="21"/>
          <w:szCs w:val="21"/>
          <w:b w:val="1"/>
          <w:bCs w:val="1"/>
          <w:color w:val="auto"/>
        </w:rPr>
        <w:t>Replaced MP DARPin Domains</w:t>
      </w:r>
      <w:r>
        <w:rPr>
          <w:rFonts w:ascii="Arial" w:cs="Arial" w:eastAsia="Arial" w:hAnsi="Arial"/>
          <w:sz w:val="21"/>
          <w:szCs w:val="21"/>
          <w:color w:val="auto"/>
        </w:rPr>
        <w:t>”), the DARPin Domains from such list that it intends to substitute the Replaced MP DARPin Domains with (the “</w:t>
      </w:r>
      <w:r>
        <w:rPr>
          <w:rFonts w:ascii="Arial" w:cs="Arial" w:eastAsia="Arial" w:hAnsi="Arial"/>
          <w:sz w:val="21"/>
          <w:szCs w:val="21"/>
          <w:b w:val="1"/>
          <w:bCs w:val="1"/>
          <w:color w:val="auto"/>
        </w:rPr>
        <w:t>Replacement DARPin Domains</w:t>
      </w:r>
      <w:r>
        <w:rPr>
          <w:rFonts w:ascii="Arial" w:cs="Arial" w:eastAsia="Arial" w:hAnsi="Arial"/>
          <w:sz w:val="21"/>
          <w:szCs w:val="21"/>
          <w:color w:val="auto"/>
        </w:rPr>
        <w:t>”), and a reasonably detailed summary of any Molecular Partners Research IP solely relating to any Replacement DARPin Domains. At such JSC meeting, the Parties shall discuss such proposed replacements, and Allergan shall have [***] following such JSC meeting to elect, through the JSC, to replace one or more AGN DARPin Domains with any DARPin Domain from such list (including any Replacement DARPin Domain, but excluding any MP DARPin Domain). Following such election or, if no such election is made, such [***] period, Molecular Partners may replace any MP DARPin Domain with any DARPin Domain from such list that, following the election by Allergan, is not an AGN DARPin Domain.</w:t>
      </w:r>
    </w:p>
    <w:p>
      <w:pPr>
        <w:spacing w:after="0" w:line="188" w:lineRule="exact"/>
        <w:rPr>
          <w:rFonts w:ascii="Arial" w:cs="Arial" w:eastAsia="Arial" w:hAnsi="Arial"/>
          <w:sz w:val="21"/>
          <w:szCs w:val="21"/>
          <w:b w:val="1"/>
          <w:bCs w:val="1"/>
          <w:color w:val="auto"/>
        </w:rPr>
      </w:pPr>
    </w:p>
    <w:p>
      <w:pPr>
        <w:jc w:val="both"/>
        <w:ind w:firstLine="1952"/>
        <w:spacing w:after="0" w:line="257" w:lineRule="auto"/>
        <w:tabs>
          <w:tab w:leader="none" w:pos="2511" w:val="left"/>
        </w:tabs>
        <w:numPr>
          <w:ilvl w:val="0"/>
          <w:numId w:val="433"/>
        </w:numPr>
        <w:rPr>
          <w:rFonts w:ascii="Arial" w:cs="Arial" w:eastAsia="Arial" w:hAnsi="Arial"/>
          <w:sz w:val="21"/>
          <w:szCs w:val="21"/>
          <w:b w:val="1"/>
          <w:bCs w:val="1"/>
          <w:color w:val="auto"/>
        </w:rPr>
      </w:pPr>
      <w:r>
        <w:rPr>
          <w:rFonts w:ascii="Arial" w:cs="Arial" w:eastAsia="Arial" w:hAnsi="Arial"/>
          <w:sz w:val="21"/>
          <w:szCs w:val="21"/>
          <w:color w:val="auto"/>
        </w:rPr>
        <w:t>In the event of any Change of Control of Molecular Partners, if Molecular Partners (or its successor entity) desires to replace an MP DARPin Domain during the Research Term (and, solely with respect to RTE Compounds, any Research Term Extension), Molecular Partners (or its successor entity) shall notify Allergan, identifying both the Replaced MP DARPin Domain and the proposed Replacement DARPin Domain, and the Parties shall proceed as follows under this Section 2.4(c)(iii) (which shall apply only following a Change of Control of Molecular Partners). If the proposed Replacement DARPin Domain was generated at the request of the JSC pursuant to Section 2.6(b), Allergan shall have [***] to replace, through the JSC, an AGN DARPin Domain with the proposed Replacement DARPin Domain pursuant to Section 2.4(c)(i), and, if such replacement is made, the Replacement DARPin Domain shall not be an MP DARPin Domain (and shall instead be an AGN DARPin Domain) and the Replaced MP DARPin Domain shall remain an MP DARPin Domain. If the Replacement DARPin Domain was not generated at the request of the JSC pursuant to Section 2.6(b), or if it was so generated but Allergan does not make the replacement described in the preceding sentence, the Replacement DARPin Domain shall replace the Replaced MP DARPin Domain as an MP DARPin Domain.</w:t>
      </w:r>
    </w:p>
    <w:p>
      <w:pPr>
        <w:spacing w:after="0" w:line="190" w:lineRule="exact"/>
        <w:rPr>
          <w:rFonts w:ascii="Arial" w:cs="Arial" w:eastAsia="Arial" w:hAnsi="Arial"/>
          <w:sz w:val="21"/>
          <w:szCs w:val="21"/>
          <w:b w:val="1"/>
          <w:bCs w:val="1"/>
          <w:color w:val="auto"/>
        </w:rPr>
      </w:pPr>
    </w:p>
    <w:p>
      <w:pPr>
        <w:jc w:val="both"/>
        <w:ind w:firstLine="1952"/>
        <w:spacing w:after="0" w:line="312" w:lineRule="auto"/>
        <w:tabs>
          <w:tab w:leader="none" w:pos="2485" w:val="left"/>
        </w:tabs>
        <w:numPr>
          <w:ilvl w:val="0"/>
          <w:numId w:val="433"/>
        </w:numPr>
        <w:rPr>
          <w:rFonts w:ascii="Arial" w:cs="Arial" w:eastAsia="Arial" w:hAnsi="Arial"/>
          <w:sz w:val="19"/>
          <w:szCs w:val="19"/>
          <w:b w:val="1"/>
          <w:bCs w:val="1"/>
          <w:color w:val="auto"/>
        </w:rPr>
      </w:pPr>
      <w:r>
        <w:rPr>
          <w:rFonts w:ascii="Arial" w:cs="Arial" w:eastAsia="Arial" w:hAnsi="Arial"/>
          <w:sz w:val="19"/>
          <w:szCs w:val="19"/>
          <w:color w:val="auto"/>
        </w:rPr>
        <w:t>Upon any replacement under this Section 2.4(c), the DARPin Domain that is replaced will no longer be deemed an AGN DARPin Domain or MP DARPin Domain, as the case may be. Notwithstanding anything to the contrary in Section 2.4(c)(ii) or (iii), Molecular Partners shall not have the right to replace any Excluded DARPin Domain.</w:t>
      </w:r>
    </w:p>
    <w:p>
      <w:pPr>
        <w:spacing w:after="0" w:line="12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2.5 Product Candidate Generation</w:t>
      </w:r>
      <w:r>
        <w:rPr>
          <w:rFonts w:ascii="Arial" w:cs="Arial" w:eastAsia="Arial" w:hAnsi="Arial"/>
          <w:sz w:val="19"/>
          <w:szCs w:val="19"/>
          <w:color w:val="auto"/>
        </w:rPr>
        <w:t>. Allergan shall, through the JSC, designate the Collaboration Target Combinations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which Molecular Partners will generate Product Candidates. Following selection of the AGN DARPin Domains for each Collaboration Target in a Collaboration Target Combination, Molecular Partners shall use Commercially Reasonable Efforts to commence generating Product Candidates for such Collaboration Target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80" w:name="page481"/>
    <w:bookmarkEnd w:id="480"/>
    <w:p>
      <w:pPr>
        <w:jc w:val="both"/>
        <w:spacing w:after="0" w:line="283" w:lineRule="auto"/>
        <w:rPr>
          <w:sz w:val="20"/>
          <w:szCs w:val="20"/>
          <w:color w:val="auto"/>
        </w:rPr>
      </w:pPr>
      <w:r>
        <w:rPr>
          <w:rFonts w:ascii="Arial" w:cs="Arial" w:eastAsia="Arial" w:hAnsi="Arial"/>
          <w:sz w:val="19"/>
          <w:szCs w:val="19"/>
          <w:color w:val="auto"/>
        </w:rPr>
        <w:t xml:space="preserve">from such AGN DARPin Domains in accordance with a mutually agreed timeframe during the Research Term. The JSC may direct Molecular Partners to perform Modifications or any other modifications to the Product Candidates, including [***] during the Research Term or (solely with respect to RTE Compounds) Research Term Extension. At any time during the Research Term or Research Term Extension, the JSC may direct Allergan to perform Modifications to Product Candidates or RTE Compounds, respectively, and, if so directed, Allergan shall perform such Modifications subject to the oversight of the JSC. In addition, at any time during the Research Term or Research Term Extension, Allergan may, at its sole discretion and not subject to oversight by the JSC, make Modifications to Product Candidates or RTE Compounds, respectively; provided that Allergan shall update the JSC, at its next regularly scheduled meeting following the completion of such Modification, regarding such Modification (unless Allergan has a compelling business justification to delay such update, in which case it will provide such update to the JSC at a time reasonably selected by Allergan, but subject to Section 10.2(b)). Molecular Partners shall use Commercially Reasonable Efforts to ensure that each Product Candidate satisfies the following criteria: (a) does not, to Molecular Partners’ knowledge at such time, contain a DARPin Domain that Binds to any Target other than the applicable Collaboration Targets, (b) is suitable for </w:t>
      </w:r>
      <w:r>
        <w:rPr>
          <w:rFonts w:ascii="Arial" w:cs="Arial" w:eastAsia="Arial" w:hAnsi="Arial"/>
          <w:sz w:val="19"/>
          <w:szCs w:val="19"/>
          <w:i w:val="1"/>
          <w:iCs w:val="1"/>
          <w:color w:val="auto"/>
        </w:rPr>
        <w:t xml:space="preserve">in vivo </w:t>
      </w:r>
      <w:r>
        <w:rPr>
          <w:rFonts w:ascii="Arial" w:cs="Arial" w:eastAsia="Arial" w:hAnsi="Arial"/>
          <w:sz w:val="19"/>
          <w:szCs w:val="19"/>
          <w:color w:val="auto"/>
        </w:rPr>
        <w:t>testing, including intravitreal injection, (c) specifically binds the applicable Collaboration Target with an affinity of [***],</w:t>
      </w:r>
    </w:p>
    <w:p>
      <w:pPr>
        <w:spacing w:after="0" w:line="3" w:lineRule="exact"/>
        <w:rPr>
          <w:sz w:val="20"/>
          <w:szCs w:val="20"/>
          <w:color w:val="auto"/>
        </w:rPr>
      </w:pPr>
    </w:p>
    <w:p>
      <w:pPr>
        <w:ind w:firstLine="8"/>
        <w:spacing w:after="0" w:line="246" w:lineRule="auto"/>
        <w:tabs>
          <w:tab w:leader="none" w:pos="338" w:val="left"/>
        </w:tabs>
        <w:numPr>
          <w:ilvl w:val="0"/>
          <w:numId w:val="434"/>
        </w:numPr>
        <w:rPr>
          <w:rFonts w:ascii="Arial" w:cs="Arial" w:eastAsia="Arial" w:hAnsi="Arial"/>
          <w:sz w:val="22"/>
          <w:szCs w:val="22"/>
          <w:color w:val="auto"/>
        </w:rPr>
      </w:pPr>
      <w:r>
        <w:rPr>
          <w:rFonts w:ascii="Arial" w:cs="Arial" w:eastAsia="Arial" w:hAnsi="Arial"/>
          <w:sz w:val="22"/>
          <w:szCs w:val="22"/>
          <w:color w:val="auto"/>
        </w:rPr>
        <w:t xml:space="preserve">may be produced in [***] (or other suitable expression system) at [***] and (e) conforms to the requirements of purity, potency, manufacturability, and modulation (e.g. inhibition or activation)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2.6 Molecular Partners Responsibilities</w:t>
      </w:r>
      <w:r>
        <w:rPr>
          <w:rFonts w:ascii="Arial" w:cs="Arial" w:eastAsia="Arial" w:hAnsi="Arial"/>
          <w:sz w:val="19"/>
          <w:szCs w:val="19"/>
          <w:color w:val="auto"/>
        </w:rPr>
        <w:t>. During the Research Term and any Research Term Extension, Molecular</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 shall use Commercially Reasonable Efforts to conduct the activities assigned to it in this Article 2; provided that, notwithstanding anything to the contrary in this Agreement, in no event shall Molecular Partners be required to conduct any activity that would obligate it to (i) devote more than [***] FTEs per year to its activities under this Agreement and under Section 4.6(a) of the MP0260 Agreement during the Research Term, or more than [***] FTEs per year to its activities under this Agreement and under Section 4.6(a) of the MP0260 Agreement during the Research Term Extension, (ii) breach any of its contractual obligations existing prior to the Effective Date, or (iii) in Molecular Partners’ reasonable judgment, infringe any Third Party intellectual property rights or subject its personnel to an unreasonable safety risk. Such activities are, as further detailed in this Article 2: (a) identifying DARPin Domains for each Collaboration Target pursuant to Section 2.3; (b) following the selection of AGN DARPin Domains under Section 2.4(b), identifying additional DARPin Domains and modifying and optimizing AGN DARPin Domains, in each case to the extent directed by the JSC; (c) generating and delivering Product Candidates based on AGN DARPin Domains for each Collaboration Target Combination pursuant to Section 2.5; (d) modifying Product Candidates previously delivered under clause (c), to the extent directed by the JSC; (e) determining applicable Physiochemical Properties for each DARPin Domain and Product Candidate generated; (f) expressing, producing and delivering to Allergan the AGN DARPin Domains and Product Candidates in reasonable and sufficient quantities to enable Allergan to conduct its activities under this Article 2 and, in the case of Product Candidates, to evaluate whether it will exercise its Option with respect to the applicable Collaboration Target Combination; and (g) to the extent agreed by the Parties, providing technical assistance as reasonably necessary or useful for Allergan’s evaluation and testing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81" w:name="page482"/>
    <w:bookmarkEnd w:id="481"/>
    <w:p>
      <w:pPr>
        <w:jc w:val="both"/>
        <w:ind w:firstLine="648"/>
        <w:spacing w:after="0" w:line="259" w:lineRule="auto"/>
        <w:rPr>
          <w:sz w:val="20"/>
          <w:szCs w:val="20"/>
          <w:color w:val="auto"/>
        </w:rPr>
      </w:pPr>
      <w:r>
        <w:rPr>
          <w:rFonts w:ascii="Arial" w:cs="Arial" w:eastAsia="Arial" w:hAnsi="Arial"/>
          <w:sz w:val="21"/>
          <w:szCs w:val="21"/>
          <w:b w:val="1"/>
          <w:bCs w:val="1"/>
          <w:color w:val="auto"/>
        </w:rPr>
        <w:t>2.7 Allergan Responsibilities</w:t>
      </w:r>
      <w:r>
        <w:rPr>
          <w:rFonts w:ascii="Arial" w:cs="Arial" w:eastAsia="Arial" w:hAnsi="Arial"/>
          <w:sz w:val="21"/>
          <w:szCs w:val="21"/>
          <w:color w:val="auto"/>
        </w:rPr>
        <w:t>. During the Research Term and any Research Term Extension, Allergan shall use</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Commercially Reasonable Efforts to conduct the following activities: (a) evaluate Product Candidates by performing appropriate preclinical efficacy, pharmacokinetic, formulation and safety studies; (b) through the JSC, select AGN DARPin Domains for each Collaboration Target; (c) through the JSC, designate the Collaboration Target Combinations for which Molecular Partners will generate Product Candidates, (d) perform the Modifications to Product Candidates that Allergan has been directed to perform by the JSC under Section 2.5, (e) determine the optimal route of delivery (e.g., by topical delivery, direct injection or delivery via a Drug Delivery System) for each Product Candidate; and (f) conduct all activities necessary for Allergan to determine, in its sole discretion, whether or not to exercise each Option for a Collaboration Target Combination. Notwithstanding anything to the contrary in this Agreement, except as expressly provided in Section 2.5 or 5.7, Allergan shall not have the right to modify any DARPin Domain.</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2.8 Collaboration Target Replacement</w:t>
      </w:r>
      <w:r>
        <w:rPr>
          <w:rFonts w:ascii="Arial" w:cs="Arial" w:eastAsia="Arial" w:hAnsi="Arial"/>
          <w:sz w:val="19"/>
          <w:szCs w:val="19"/>
          <w:color w:val="auto"/>
        </w:rPr>
        <w:t>. At any time during the Research Term, Allergan may replace a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Target, other than [***], with another Target according to the following procedure described in this Section 2.8; provided that Allergan shall not have the right to replace a Collaboration Target that is included in a Collaboration Target Combination for which Allergan has exercised an Option (i.e., a Licensed Target Combination). If Allergan desires to replace a Collaboration Target, Allergan shall provide written notice to Molecular Partners identifying the new Target and the corresponding Exclusivity Target(s) (each as identified by SwissProt numbers) and the existing Collaboration Target proposed to be replaced. Within [***] from receipt of such notice, Molecular Partners will notify Allergan: (a) if Molecular Partners or its Affiliate has, prior to the date of receipt of such notice, granted a Third Party any rights (including an option) with respect to such Target (or corresponding Exclusivity Target(s)) that prohibit Molecular Partners from performing its obligations under this Agreement with respect to such Target or granting Allergan an exclusive license to DARPin Compounds Binding such Target in accordance with the terms of this Agreement, (b) if Molecular Partners or its Affiliate is actively engaged and, at the time such notice was delivered, was actively engaged in good faith, bona fide negotiations with a Third Party with respect to an agreement that would grant any of the rights described in (a), (c) if Molecular Partners or its Affiliate has, prior to the date of receipt of such notice, commenced proven activities pursuing an internal research, preclinical, or clinical development program with respect to such Target (or corresponding Exclusivity Target(s)), (d) if Molecular Partners has identified, in good faith, any other compelling business reason for not including such Target as a Collaboration Target (e.g., Molecular Partners is a party to an agreement with a Third Party that would materially prevent it from performing its obligations under this Section 2.8), and shall include in such notice a description of such reason. If Molecular Partners provides a notice under clause (a), (b), or (c), then the Target will not become a Collaboration Target and the Target proposed to be replaced will remain a Collaboration Target. If Molecular Partners provides a notice under clause (d), then the Parties will promptly discuss in good faith the reason provided by Molecular Partners and whether or not to include such Target as a Collaboration Target notwithstanding such reason. If the Parties do not agree following such good faith discussions, the matter shall be submitted to an independent Third Party with significant experience in the pharmaceutical industry, as mutually selected by the Parties, who shall decide whether or not to include such Target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82" w:name="page483"/>
    <w:bookmarkEnd w:id="482"/>
    <w:p>
      <w:pPr>
        <w:jc w:val="both"/>
        <w:spacing w:after="0" w:line="286" w:lineRule="auto"/>
        <w:rPr>
          <w:sz w:val="20"/>
          <w:szCs w:val="20"/>
          <w:color w:val="auto"/>
        </w:rPr>
      </w:pPr>
      <w:r>
        <w:rPr>
          <w:rFonts w:ascii="Arial" w:cs="Arial" w:eastAsia="Arial" w:hAnsi="Arial"/>
          <w:sz w:val="19"/>
          <w:szCs w:val="19"/>
          <w:color w:val="auto"/>
        </w:rPr>
        <w:t xml:space="preserve">Collaboration Target. If Molecular Partners does not provide such notice within the applicable [***] period, or if, following the discussions after a notice under clause (d), the Parties agree to include a proposed Target as a Collaboration Target or the independent Third Party determines to include such Target as a Collaboration Target, or if Molecular Partners provides notice within such [***] period that it has no objection to such Target, then (i) the Parties will determine in good faith the one or more Exclusivity Targets for such Target, each of which must interact directly with such Collaboration Target, and (ii) such Target will become a Collaboration Target and the Target being replaced will no longer be a Collaboration Target. A Target will become an Exclusivity Target only upon the Parties’ mutual written agreement, provided that (A) neither Party shall unreasonably withhold such agreement and (B) Molecular Partners may not withhold agreement if Allergan proposes only a single Exclusivity Target that interacts directly with the Collaboration Target. In addition, the Parties shall negotiate, in good faith, the list of Collaboration Target Isoforms for such Collaboration Target and the Exclusivity Target Isoforms for the agreed upon Exclusivity Targets. Following determination of such Exclusivity Targets, Exclusivity Target Isoforms, and Collaboration Target Isoforms for such Collaboration Target, the Parties shall update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reflect the addition of such Collaboration Target (and such Exclusivity Targets, Exclusivity Target Isoforms, and Collaboration Target Isoforms) and the removal of the former Collaboration Target (and its related Exclusivity Targets, Exclusivity Target Isoforms, and Collaboration Target Isoforms).</w:t>
      </w:r>
    </w:p>
    <w:p>
      <w:pPr>
        <w:spacing w:after="0" w:line="1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2.9 Research Term Extension</w:t>
      </w:r>
      <w:r>
        <w:rPr>
          <w:rFonts w:ascii="Arial" w:cs="Arial" w:eastAsia="Arial" w:hAnsi="Arial"/>
          <w:sz w:val="19"/>
          <w:szCs w:val="19"/>
          <w:color w:val="auto"/>
        </w:rPr>
        <w:t>. If, not later than [***] after the Effective Date, Allergan has exercised one or two (but</w:t>
      </w:r>
      <w:r>
        <w:rPr>
          <w:rFonts w:ascii="Arial" w:cs="Arial" w:eastAsia="Arial" w:hAnsi="Arial"/>
          <w:sz w:val="19"/>
          <w:szCs w:val="19"/>
          <w:b w:val="1"/>
          <w:bCs w:val="1"/>
          <w:color w:val="auto"/>
        </w:rPr>
        <w:t xml:space="preserve"> </w:t>
      </w:r>
      <w:r>
        <w:rPr>
          <w:rFonts w:ascii="Arial" w:cs="Arial" w:eastAsia="Arial" w:hAnsi="Arial"/>
          <w:sz w:val="19"/>
          <w:szCs w:val="19"/>
          <w:color w:val="auto"/>
        </w:rPr>
        <w:t>not all three) Options, then Allergan may elect, by written notice to Molecular Partners within [***], to fund an additional [***] period of activity by Molecular Partners after the end of the Research Term (the “</w:t>
      </w:r>
      <w:r>
        <w:rPr>
          <w:rFonts w:ascii="Arial" w:cs="Arial" w:eastAsia="Arial" w:hAnsi="Arial"/>
          <w:sz w:val="19"/>
          <w:szCs w:val="19"/>
          <w:b w:val="1"/>
          <w:bCs w:val="1"/>
          <w:color w:val="auto"/>
        </w:rPr>
        <w:t>Research Term Extension</w:t>
      </w:r>
      <w:r>
        <w:rPr>
          <w:rFonts w:ascii="Arial" w:cs="Arial" w:eastAsia="Arial" w:hAnsi="Arial"/>
          <w:sz w:val="19"/>
          <w:szCs w:val="19"/>
          <w:color w:val="auto"/>
        </w:rPr>
        <w:t>”), for either (a) three (3) Product Candidates for each of three (3) Collaboration Target Combinations, if Allergan has then exercised one Option, or (b) three (3) Product Candidates for each of two (2) Collaboration Target Combinations, if Allergan has then exercised two Options. Allergan will specify the applicable Product Candidates (each, a “</w:t>
      </w:r>
      <w:r>
        <w:rPr>
          <w:rFonts w:ascii="Arial" w:cs="Arial" w:eastAsia="Arial" w:hAnsi="Arial"/>
          <w:sz w:val="19"/>
          <w:szCs w:val="19"/>
          <w:b w:val="1"/>
          <w:bCs w:val="1"/>
          <w:color w:val="auto"/>
        </w:rPr>
        <w:t>RTE Compound</w:t>
      </w:r>
      <w:r>
        <w:rPr>
          <w:rFonts w:ascii="Arial" w:cs="Arial" w:eastAsia="Arial" w:hAnsi="Arial"/>
          <w:sz w:val="19"/>
          <w:szCs w:val="19"/>
          <w:color w:val="auto"/>
        </w:rPr>
        <w:t>”) and Collaboration Target Combinations (each, a “</w:t>
      </w:r>
      <w:r>
        <w:rPr>
          <w:rFonts w:ascii="Arial" w:cs="Arial" w:eastAsia="Arial" w:hAnsi="Arial"/>
          <w:sz w:val="19"/>
          <w:szCs w:val="19"/>
          <w:b w:val="1"/>
          <w:bCs w:val="1"/>
          <w:color w:val="auto"/>
        </w:rPr>
        <w:t>RTE Target Combination</w:t>
      </w:r>
      <w:r>
        <w:rPr>
          <w:rFonts w:ascii="Arial" w:cs="Arial" w:eastAsia="Arial" w:hAnsi="Arial"/>
          <w:sz w:val="19"/>
          <w:szCs w:val="19"/>
          <w:color w:val="auto"/>
        </w:rPr>
        <w:t>”) in its notice to Molecular Partners. If Allergan decides to fund a Research Term Extension, (i) Allergan will pay Molecular Partners a non-refundable, non-creditable extension fee of [***] for each RTE Target Combination no later than the expiration of the Research Term, (ii) prior to the expiration of the Research Term, the Parties will reasonably agree on a research plan for the activities to be conducted by Molecular Partners during the Research Term Extension, (iii) in accordance with Section 9.3, Allergan will reimburse Molecular Partners’ Third Party expenses (at such Third Parties’ invoiced cost), Molecular Partners’ internal FTE expenses (at the FTE Rate), and any other expenses incurred by Molecular Partners (at the actual out-of-pocket cost to Molecular Partners), in each case, incurred in connection with the Research Program during the Research Term Extension, and (iv) Molecular Partners will use Commercially Reasonable Efforts to conduct the activities in such research plan during the Research Term Extension, provided that in no event will Molecular Partners be required to provide more than [***] FTEs during the Research Term Extension. Notwithstanding the foregoing, the Research Term Extension will expire upon the earlier of (a) Allergan’s exercise of its remaining one or two Options, as applicable, during the Research Term Extension or (b) [***] following the expiration of the Research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83" w:name="page484"/>
    <w:bookmarkEnd w:id="483"/>
    <w:p>
      <w:pPr>
        <w:jc w:val="both"/>
        <w:ind w:firstLine="648"/>
        <w:spacing w:after="0" w:line="269" w:lineRule="auto"/>
        <w:rPr>
          <w:sz w:val="20"/>
          <w:szCs w:val="20"/>
          <w:color w:val="auto"/>
        </w:rPr>
      </w:pPr>
      <w:r>
        <w:rPr>
          <w:rFonts w:ascii="Arial" w:cs="Arial" w:eastAsia="Arial" w:hAnsi="Arial"/>
          <w:sz w:val="22"/>
          <w:szCs w:val="22"/>
          <w:b w:val="1"/>
          <w:bCs w:val="1"/>
          <w:color w:val="auto"/>
        </w:rPr>
        <w:t>2.10 Expenses</w:t>
      </w:r>
      <w:r>
        <w:rPr>
          <w:rFonts w:ascii="Arial" w:cs="Arial" w:eastAsia="Arial" w:hAnsi="Arial"/>
          <w:sz w:val="22"/>
          <w:szCs w:val="22"/>
          <w:color w:val="auto"/>
        </w:rPr>
        <w:t>. Except as otherwise expressly provided in this Article 2 or Article 9, each Party will bear all expenses it</w:t>
      </w:r>
      <w:r>
        <w:rPr>
          <w:rFonts w:ascii="Arial" w:cs="Arial" w:eastAsia="Arial" w:hAnsi="Arial"/>
          <w:sz w:val="22"/>
          <w:szCs w:val="22"/>
          <w:b w:val="1"/>
          <w:bCs w:val="1"/>
          <w:color w:val="auto"/>
        </w:rPr>
        <w:t xml:space="preserve"> </w:t>
      </w:r>
      <w:r>
        <w:rPr>
          <w:rFonts w:ascii="Arial" w:cs="Arial" w:eastAsia="Arial" w:hAnsi="Arial"/>
          <w:sz w:val="22"/>
          <w:szCs w:val="22"/>
          <w:color w:val="auto"/>
        </w:rPr>
        <w:t>incurs to conduct its activities during the Research Term and Research Term Extension.</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2.11 Data Exchange</w:t>
      </w:r>
      <w:r>
        <w:rPr>
          <w:rFonts w:ascii="Arial" w:cs="Arial" w:eastAsia="Arial" w:hAnsi="Arial"/>
          <w:sz w:val="21"/>
          <w:szCs w:val="21"/>
          <w:color w:val="auto"/>
        </w:rPr>
        <w:t>. Reasonably promptly following the Effective Date, Molecular Partners will provide Allergan,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through the JSC, with a reasonably detailed summary of the Molecular Partners Research IP existing as of the Effective Date. During the Research Term and any Research Term Extension, Molecular Partners shall provide updates to such summary to Allergan, through the JSC, at least quarterly. Upon the reasonable request of Allergan made through the JSC, Molecular Partners will provide Allergan with electronic copies of the portions of the Molecular Partners Research IP requested by Allergan, provided, however, that Molecular Partners shall not be required to provide any such Molecular Partners Research IP arising from and directly relating to research, development, and manufacturing activities following an initial </w:t>
      </w:r>
      <w:r>
        <w:rPr>
          <w:rFonts w:ascii="Arial" w:cs="Arial" w:eastAsia="Arial" w:hAnsi="Arial"/>
          <w:sz w:val="21"/>
          <w:szCs w:val="21"/>
          <w:i w:val="1"/>
          <w:iCs w:val="1"/>
          <w:color w:val="auto"/>
        </w:rPr>
        <w:t>in vivo</w:t>
      </w:r>
      <w:r>
        <w:rPr>
          <w:rFonts w:ascii="Arial" w:cs="Arial" w:eastAsia="Arial" w:hAnsi="Arial"/>
          <w:sz w:val="21"/>
          <w:szCs w:val="21"/>
          <w:color w:val="auto"/>
        </w:rPr>
        <w:t xml:space="preserve"> pharmacology study in an Indication not related to the Field.</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2.12 Collaboration Results</w:t>
      </w:r>
      <w:r>
        <w:rPr>
          <w:rFonts w:ascii="Arial" w:cs="Arial" w:eastAsia="Arial" w:hAnsi="Arial"/>
          <w:sz w:val="21"/>
          <w:szCs w:val="21"/>
          <w:color w:val="auto"/>
        </w:rPr>
        <w:t>. Subject to the terms and conditions of this Agreement, (a) Molecular Partners will</w:t>
      </w:r>
      <w:r>
        <w:rPr>
          <w:rFonts w:ascii="Arial" w:cs="Arial" w:eastAsia="Arial" w:hAnsi="Arial"/>
          <w:sz w:val="21"/>
          <w:szCs w:val="21"/>
          <w:b w:val="1"/>
          <w:bCs w:val="1"/>
          <w:color w:val="auto"/>
        </w:rPr>
        <w:t xml:space="preserve"> </w:t>
      </w:r>
      <w:r>
        <w:rPr>
          <w:rFonts w:ascii="Arial" w:cs="Arial" w:eastAsia="Arial" w:hAnsi="Arial"/>
          <w:sz w:val="21"/>
          <w:szCs w:val="21"/>
          <w:color w:val="auto"/>
        </w:rPr>
        <w:t>exclusively own all MP Collaboration Results, (b) Allergan will exclusively own all AGN Collaboration Results, and (c) each Party will jointly own all Joint Collaboration Results. Except as otherwise provided in this Agreement, each Party shall have the right to use and exploit the Joint Collaboration Results for any purpose without the duty of accounting or seeking consent from the other Party. Each Party shall notify the other Party promptly after developing any Collaboration Results of which the other Party is the exclusive owner. Each Party shall assign and hereby assigns to the other Party its entire right, title and interest in and to the Collaboration Results and all intellectual property rights therein as needed to implement the ownership of the Collaboration Results in accordance with the provisions of Section 2.12.</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2.13 Records and Reports</w:t>
      </w:r>
      <w:r>
        <w:rPr>
          <w:rFonts w:ascii="Arial" w:cs="Arial" w:eastAsia="Arial" w:hAnsi="Arial"/>
          <w:sz w:val="19"/>
          <w:szCs w:val="19"/>
          <w:color w:val="auto"/>
        </w:rPr>
        <w:t>. Each Party shall maintain complete and accurate records (in the form of technical</w:t>
      </w:r>
      <w:r>
        <w:rPr>
          <w:rFonts w:ascii="Arial" w:cs="Arial" w:eastAsia="Arial" w:hAnsi="Arial"/>
          <w:sz w:val="19"/>
          <w:szCs w:val="19"/>
          <w:b w:val="1"/>
          <w:bCs w:val="1"/>
          <w:color w:val="auto"/>
        </w:rPr>
        <w:t xml:space="preserve"> </w:t>
      </w:r>
      <w:r>
        <w:rPr>
          <w:rFonts w:ascii="Arial" w:cs="Arial" w:eastAsia="Arial" w:hAnsi="Arial"/>
          <w:sz w:val="19"/>
          <w:szCs w:val="19"/>
          <w:color w:val="auto"/>
        </w:rPr>
        <w:t>notebooks and/or electronic files where appropriate) of all work conducted by it under the Research Program and all Information resulting from such work. Such records, including any electronic files where such Information may also be contained, shall fully and properly reflect all work done and results achieved in the performance of the Research Program in sufficient detail and in good scientific manner appropriate for patent and regulatory purposes and shall be stored in a manner that allows the maintaining Party to access such records in a timely manner. Each Party shall have the right to review and copy such records maintained by the other Party at reasonable times and to obtain access, in a reasonably timely manner, to originals to the extent needed for patent or regulatory purposes or for other legal proceedings. Each Party shall provide the JSC with regular reports detailing its respective research activities under the Research Program and the results of such activities.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2.14 Material Transfer</w:t>
      </w:r>
      <w:r>
        <w:rPr>
          <w:rFonts w:ascii="Arial" w:cs="Arial" w:eastAsia="Arial" w:hAnsi="Arial"/>
          <w:sz w:val="22"/>
          <w:szCs w:val="22"/>
          <w:color w:val="auto"/>
        </w:rPr>
        <w:t>. To facilitate the conduct of the Research Program, either Party may provide to the other Party</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biological materials or chemical compounds, including AGN DARPin Domains and Product Candidates, owned by or licensed to the supplying Party for use by the other Party in furtherance of the Research Program (such materials or compounds provided hereunder are referred to, collectively, as “</w:t>
      </w:r>
      <w:r>
        <w:rPr>
          <w:rFonts w:ascii="Arial" w:cs="Arial" w:eastAsia="Arial" w:hAnsi="Arial"/>
          <w:sz w:val="22"/>
          <w:szCs w:val="22"/>
          <w:b w:val="1"/>
          <w:bCs w:val="1"/>
          <w:color w:val="auto"/>
        </w:rPr>
        <w:t>Materials</w:t>
      </w:r>
      <w:r>
        <w:rPr>
          <w:rFonts w:ascii="Arial" w:cs="Arial" w:eastAsia="Arial" w:hAnsi="Arial"/>
          <w:sz w:val="22"/>
          <w:szCs w:val="22"/>
          <w:color w:val="auto"/>
        </w:rPr>
        <w:t>”).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84" w:name="page485"/>
    <w:bookmarkEnd w:id="484"/>
    <w:p>
      <w:pPr>
        <w:jc w:val="both"/>
        <w:spacing w:after="0" w:line="247" w:lineRule="auto"/>
        <w:rPr>
          <w:sz w:val="20"/>
          <w:szCs w:val="20"/>
          <w:color w:val="auto"/>
        </w:rPr>
      </w:pPr>
      <w:r>
        <w:rPr>
          <w:rFonts w:ascii="Arial" w:cs="Arial" w:eastAsia="Arial" w:hAnsi="Arial"/>
          <w:sz w:val="22"/>
          <w:szCs w:val="22"/>
          <w:color w:val="auto"/>
        </w:rPr>
        <w:t>otherwise expressly provided under this Agreement, all such Materials delivered to the other Party shall remain the sole property of the supplying Party, shall be used only in furtherance of the Research Program and solely under the control of the other Party, shall not be used or delivered to or for the benefit of any Third Party without the prior written consent of the supplying Party, and shall not be used in research or testing involving human subjects. The Materials supplied under this Section 2.14 are supplied “as is” and must be used with prudence and appropriate caution in any experimental work, since not all of their characteristics may be known.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2.15 Subcontracting</w:t>
      </w:r>
      <w:r>
        <w:rPr>
          <w:rFonts w:ascii="Arial" w:cs="Arial" w:eastAsia="Arial" w:hAnsi="Arial"/>
          <w:sz w:val="21"/>
          <w:szCs w:val="21"/>
          <w:color w:val="auto"/>
        </w:rPr>
        <w:t>. Each Party may perform any of its Research Program obligations under this Agreement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one or more subcontractors or consultants, provided that (a) Molecular Partners may not subcontract any of its obligations related to screening or selection of DARPin Domains, (b) the subcontracting Party remains responsible for the work allocated to, and payment to, such subcontractors and consultants as it selects to the same extent it would if it had done such work itself; (c) the subcontractor undertakes in writing obligations of confidentiality and non-use regarding Confidential Information, that are substantially the same as those undertaken by the Parties pursuant to Article 13 hereof; and (d) the subcontractor agrees in writing to assign all intellectual property developed in the course of performing any such work under the Research Program to the Party retaining such subcontractor. A Party may also subcontract work on terms other than those set forth in this Section 2.15, with the prior approval of the JSC.</w:t>
      </w:r>
    </w:p>
    <w:p>
      <w:pPr>
        <w:spacing w:after="0" w:line="1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2.16 Disclaimer</w:t>
      </w:r>
      <w:r>
        <w:rPr>
          <w:rFonts w:ascii="Arial" w:cs="Arial" w:eastAsia="Arial" w:hAnsi="Arial"/>
          <w:sz w:val="19"/>
          <w:szCs w:val="19"/>
          <w:color w:val="auto"/>
        </w:rPr>
        <w:t>. Allergan understands and acknowledges that the DARPin Domains and Product Candidates are the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of ongoing research. Without limiting the generality of the warranty disclaimer set forth in Section 11.5, Molecular Partners disclaims any warranties with regards to: (a) the success of any activities conducted under the Research Program or (b) the safety or usefulness for any purpose of any Product Candidates provided or discovered under this Agreement.</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2.17 Exclusivity Target Isoform Identification</w:t>
      </w:r>
      <w:r>
        <w:rPr>
          <w:rFonts w:ascii="Arial" w:cs="Arial" w:eastAsia="Arial" w:hAnsi="Arial"/>
          <w:sz w:val="22"/>
          <w:szCs w:val="22"/>
          <w:color w:val="auto"/>
        </w:rPr>
        <w:t>. Promptly after the Effective Date, the Parties shall negotiate, in good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faith, the list of Exclusivity Target Isoforms for each Exclusivity Target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of the Effective Date. Following determination of such Exclusivity Target Isoforms, the Parties shall update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reflect the addition of such Exclusivity Target Isoforms.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EXCLUSIVITY AND RELATED RESTRICTIONS</w:t>
      </w:r>
    </w:p>
    <w:p>
      <w:pPr>
        <w:spacing w:after="0" w:line="19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3.1 During Research Term</w:t>
      </w:r>
      <w:r>
        <w:rPr>
          <w:rFonts w:ascii="Arial" w:cs="Arial" w:eastAsia="Arial" w:hAnsi="Arial"/>
          <w:sz w:val="19"/>
          <w:szCs w:val="19"/>
          <w:color w:val="auto"/>
        </w:rPr>
        <w:t>. During the Research Term, other than pursuant to this Agreement, the MP0112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the MP0260 Agreement, and subject to Sections 3.4 and 3.5, Molecular Partners (itself or through an Affiliate or Third Party) will not make, use, sell, offer for sale, import, or otherwise develop, commercialize, or exploit: (a) any [***] in or outside the Field or (b) in the Field, any [***] (whether a conjugation, mixture, or other combination of [***]) that Binds any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85" w:name="page486"/>
    <w:bookmarkEnd w:id="485"/>
    <w:p>
      <w:pPr>
        <w:jc w:val="both"/>
        <w:ind w:firstLine="648"/>
        <w:spacing w:after="0" w:line="287" w:lineRule="auto"/>
        <w:rPr>
          <w:sz w:val="20"/>
          <w:szCs w:val="20"/>
          <w:color w:val="auto"/>
        </w:rPr>
      </w:pPr>
      <w:r>
        <w:rPr>
          <w:rFonts w:ascii="Arial" w:cs="Arial" w:eastAsia="Arial" w:hAnsi="Arial"/>
          <w:sz w:val="19"/>
          <w:szCs w:val="19"/>
          <w:b w:val="1"/>
          <w:bCs w:val="1"/>
          <w:color w:val="auto"/>
        </w:rPr>
        <w:t>3.2 During Research Term Extension</w:t>
      </w:r>
      <w:r>
        <w:rPr>
          <w:rFonts w:ascii="Arial" w:cs="Arial" w:eastAsia="Arial" w:hAnsi="Arial"/>
          <w:sz w:val="19"/>
          <w:szCs w:val="19"/>
          <w:color w:val="auto"/>
        </w:rPr>
        <w:t>. During the Research Term Extension, other than pursuant to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MP0112 Agreement or the MP0260 Agreement, and subject to Sections 3.4 and 3.5, Molecular Partners (itself or through an Affiliate or Third Party) will not make, use, sell, offer for sale, import, or otherwise develop, commercialize, or exploit: (a) any [***], in or outside the Field, (b) any [***] that Binds a [***] in any [***], in or outside the Field, or (c) in the Field, any [***] (whether a conjugation, mixture, or other combination of [***]) that Binds: (1) in the case of an [***] consisting of [***], at least</w:t>
      </w:r>
    </w:p>
    <w:p>
      <w:pPr>
        <w:ind w:left="660" w:right="1080" w:hanging="652"/>
        <w:spacing w:after="0" w:line="436" w:lineRule="auto"/>
        <w:tabs>
          <w:tab w:leader="none" w:pos="534" w:val="left"/>
        </w:tabs>
        <w:numPr>
          <w:ilvl w:val="0"/>
          <w:numId w:val="435"/>
        </w:numPr>
        <w:rPr>
          <w:rFonts w:ascii="Arial" w:cs="Arial" w:eastAsia="Arial" w:hAnsi="Arial"/>
          <w:sz w:val="22"/>
          <w:szCs w:val="22"/>
          <w:color w:val="auto"/>
        </w:rPr>
      </w:pPr>
      <w:r>
        <w:rPr>
          <w:rFonts w:ascii="Arial" w:cs="Arial" w:eastAsia="Arial" w:hAnsi="Arial"/>
          <w:sz w:val="22"/>
          <w:szCs w:val="22"/>
          <w:color w:val="auto"/>
        </w:rPr>
        <w:t xml:space="preserve">in such [***] or (2) in the case of an [***] consisting of [***], any [***] (other than any [***]) with any [***]. </w:t>
      </w:r>
      <w:r>
        <w:rPr>
          <w:rFonts w:ascii="Arial" w:cs="Arial" w:eastAsia="Arial" w:hAnsi="Arial"/>
          <w:sz w:val="22"/>
          <w:szCs w:val="22"/>
          <w:b w:val="1"/>
          <w:bCs w:val="1"/>
          <w:color w:val="auto"/>
        </w:rPr>
        <w:t>3.3 During the Term</w:t>
      </w:r>
      <w:r>
        <w:rPr>
          <w:rFonts w:ascii="Arial" w:cs="Arial" w:eastAsia="Arial" w:hAnsi="Arial"/>
          <w:sz w:val="22"/>
          <w:szCs w:val="22"/>
          <w:color w:val="auto"/>
        </w:rPr>
        <w:t>.</w:t>
      </w:r>
    </w:p>
    <w:p>
      <w:pPr>
        <w:spacing w:after="0" w:line="7" w:lineRule="exact"/>
        <w:rPr>
          <w:rFonts w:ascii="Arial" w:cs="Arial" w:eastAsia="Arial" w:hAnsi="Arial"/>
          <w:sz w:val="22"/>
          <w:szCs w:val="22"/>
          <w:color w:val="auto"/>
        </w:rPr>
      </w:pPr>
    </w:p>
    <w:p>
      <w:pPr>
        <w:jc w:val="both"/>
        <w:ind w:firstLine="1304"/>
        <w:spacing w:after="0" w:line="247" w:lineRule="auto"/>
        <w:tabs>
          <w:tab w:leader="none" w:pos="1764" w:val="left"/>
        </w:tabs>
        <w:numPr>
          <w:ilvl w:val="1"/>
          <w:numId w:val="435"/>
        </w:numPr>
        <w:rPr>
          <w:rFonts w:ascii="Arial" w:cs="Arial" w:eastAsia="Arial" w:hAnsi="Arial"/>
          <w:sz w:val="22"/>
          <w:szCs w:val="22"/>
          <w:b w:val="1"/>
          <w:bCs w:val="1"/>
          <w:color w:val="auto"/>
        </w:rPr>
      </w:pPr>
      <w:r>
        <w:rPr>
          <w:rFonts w:ascii="Arial" w:cs="Arial" w:eastAsia="Arial" w:hAnsi="Arial"/>
          <w:sz w:val="22"/>
          <w:szCs w:val="22"/>
          <w:color w:val="auto"/>
        </w:rPr>
        <w:t>During the Term, other than pursuant to this Agreement, the MP0112 Agreement or the MP0260 Agreement, and subject to Sections 3.4 and 3.5, Molecular Partners (itself or through an Affiliate or Third Party) will not make, use, sell, offer for sale, import, or otherwise develop, commercialize, or exploit: (i) any [***], or any [***], in or outside the Field, or (ii) in the Field, any [***] (whether a conjugation, mixture, or other combination of [***]) that Binds (1) in the case of a [***] consisting of [***], at least [***] or (2) in the case of a [***] consisting of [***], any [***] (other than any other [***]) with any [***].</w:t>
      </w:r>
    </w:p>
    <w:p>
      <w:pPr>
        <w:spacing w:after="0" w:line="192" w:lineRule="exact"/>
        <w:rPr>
          <w:rFonts w:ascii="Arial" w:cs="Arial" w:eastAsia="Arial" w:hAnsi="Arial"/>
          <w:sz w:val="22"/>
          <w:szCs w:val="22"/>
          <w:b w:val="1"/>
          <w:bCs w:val="1"/>
          <w:color w:val="auto"/>
        </w:rPr>
      </w:pPr>
    </w:p>
    <w:p>
      <w:pPr>
        <w:jc w:val="both"/>
        <w:ind w:firstLine="1304"/>
        <w:spacing w:after="0" w:line="259" w:lineRule="auto"/>
        <w:tabs>
          <w:tab w:leader="none" w:pos="1924" w:val="left"/>
        </w:tabs>
        <w:numPr>
          <w:ilvl w:val="1"/>
          <w:numId w:val="435"/>
        </w:numPr>
        <w:rPr>
          <w:rFonts w:ascii="Arial" w:cs="Arial" w:eastAsia="Arial" w:hAnsi="Arial"/>
          <w:sz w:val="21"/>
          <w:szCs w:val="21"/>
          <w:b w:val="1"/>
          <w:bCs w:val="1"/>
          <w:color w:val="auto"/>
        </w:rPr>
      </w:pPr>
      <w:r>
        <w:rPr>
          <w:rFonts w:ascii="Arial" w:cs="Arial" w:eastAsia="Arial" w:hAnsi="Arial"/>
          <w:sz w:val="21"/>
          <w:szCs w:val="21"/>
          <w:color w:val="auto"/>
        </w:rPr>
        <w:t>During the Term, for so long as Allergan is developing or commercializing a [***] that Binds [***], Molecular Partners (itself or through an Affiliate or Third Party) will not make, use, sell, offer for sale, import, or otherwise develop, commercialize, or exploit in the Field any [***] (whether a conjugation, mixture, or other combination of [***]) that Binds a [***]; provided, that this Section 3.3(b) will not restrict Molecular Partners from making, using, selling, offering for sale, importing, or otherwise developing, commercializing, or exploiting any product that, at a given time, is (i) a Terminated Product (as such term is defined in this Agreement, the MP0112 Agreement, the MP0260 Agreement or any subsequent agreement between the Parties or their Affiliates) or (ii) a product that would otherwise be a Terminated Product, except that the [***] in such product has been Modified from the [***] in such Terminated Product.</w:t>
      </w:r>
    </w:p>
    <w:p>
      <w:pPr>
        <w:spacing w:after="0" w:line="17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Clarifications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302" w:lineRule="auto"/>
        <w:tabs>
          <w:tab w:leader="none" w:pos="1791" w:val="left"/>
        </w:tabs>
        <w:numPr>
          <w:ilvl w:val="0"/>
          <w:numId w:val="436"/>
        </w:numPr>
        <w:rPr>
          <w:rFonts w:ascii="Arial" w:cs="Arial" w:eastAsia="Arial" w:hAnsi="Arial"/>
          <w:sz w:val="19"/>
          <w:szCs w:val="19"/>
          <w:b w:val="1"/>
          <w:bCs w:val="1"/>
          <w:color w:val="auto"/>
        </w:rPr>
      </w:pPr>
      <w:r>
        <w:rPr>
          <w:rFonts w:ascii="Arial" w:cs="Arial" w:eastAsia="Arial" w:hAnsi="Arial"/>
          <w:sz w:val="19"/>
          <w:szCs w:val="19"/>
          <w:color w:val="auto"/>
        </w:rPr>
        <w:t>Sections 3.1(b), 3.2(c), 3.3(a)(ii) and 3.3(b) will not limit or restrict (i) Molecular Partners (itself or through an Affiliate or Third Party) in any way from conducting any research of DARPin Compounds in the Field or (ii) Molecular Partners (itself or through an Affiliate or Third Party) in any way from conducting, or granting any Third Party the right to conduct, any research, development, manufacture, or commercialization of DARPin Compounds outside the Field.</w:t>
      </w:r>
    </w:p>
    <w:p>
      <w:pPr>
        <w:spacing w:after="0" w:line="142" w:lineRule="exact"/>
        <w:rPr>
          <w:rFonts w:ascii="Arial" w:cs="Arial" w:eastAsia="Arial" w:hAnsi="Arial"/>
          <w:sz w:val="19"/>
          <w:szCs w:val="19"/>
          <w:b w:val="1"/>
          <w:bCs w:val="1"/>
          <w:color w:val="auto"/>
        </w:rPr>
      </w:pPr>
    </w:p>
    <w:p>
      <w:pPr>
        <w:jc w:val="both"/>
        <w:ind w:firstLine="1304"/>
        <w:spacing w:after="0" w:line="265" w:lineRule="auto"/>
        <w:tabs>
          <w:tab w:leader="none" w:pos="1830" w:val="left"/>
        </w:tabs>
        <w:numPr>
          <w:ilvl w:val="0"/>
          <w:numId w:val="436"/>
        </w:numPr>
        <w:rPr>
          <w:rFonts w:ascii="Arial" w:cs="Arial" w:eastAsia="Arial" w:hAnsi="Arial"/>
          <w:sz w:val="21"/>
          <w:szCs w:val="21"/>
          <w:b w:val="1"/>
          <w:bCs w:val="1"/>
          <w:color w:val="auto"/>
        </w:rPr>
      </w:pPr>
      <w:r>
        <w:rPr>
          <w:rFonts w:ascii="Arial" w:cs="Arial" w:eastAsia="Arial" w:hAnsi="Arial"/>
          <w:sz w:val="21"/>
          <w:szCs w:val="21"/>
          <w:color w:val="auto"/>
        </w:rPr>
        <w:t xml:space="preserve">By way of example, if an [***] consists of [***], Sections 3.2(c) and 3.3(a)(ii) </w:t>
      </w:r>
      <w:r>
        <w:rPr>
          <w:rFonts w:ascii="Arial" w:cs="Arial" w:eastAsia="Arial" w:hAnsi="Arial"/>
          <w:sz w:val="21"/>
          <w:szCs w:val="21"/>
          <w:u w:val="single" w:color="auto"/>
          <w:color w:val="auto"/>
        </w:rPr>
        <w:t>will not</w:t>
      </w:r>
      <w:r>
        <w:rPr>
          <w:rFonts w:ascii="Arial" w:cs="Arial" w:eastAsia="Arial" w:hAnsi="Arial"/>
          <w:sz w:val="21"/>
          <w:szCs w:val="21"/>
          <w:color w:val="auto"/>
        </w:rPr>
        <w:t xml:space="preserve"> restrict Molecular Partners (itself or through an Affiliate or Third Party) from conducting any activities, whether in or outside the Field, with respect to a [***], but </w:t>
      </w:r>
      <w:r>
        <w:rPr>
          <w:rFonts w:ascii="Arial" w:cs="Arial" w:eastAsia="Arial" w:hAnsi="Arial"/>
          <w:sz w:val="21"/>
          <w:szCs w:val="21"/>
          <w:u w:val="single" w:color="auto"/>
          <w:color w:val="auto"/>
        </w:rPr>
        <w:t>will</w:t>
      </w:r>
      <w:r>
        <w:rPr>
          <w:rFonts w:ascii="Arial" w:cs="Arial" w:eastAsia="Arial" w:hAnsi="Arial"/>
          <w:sz w:val="21"/>
          <w:szCs w:val="21"/>
          <w:color w:val="auto"/>
        </w:rPr>
        <w:t xml:space="preserve"> restrict Molecular Partners from preclinically or clinically developing or commercializing for use in the Field a [***]. However, if an [***], Sections 3.2(c) and 3.3(a)(ii) </w:t>
      </w:r>
      <w:r>
        <w:rPr>
          <w:rFonts w:ascii="Arial" w:cs="Arial" w:eastAsia="Arial" w:hAnsi="Arial"/>
          <w:sz w:val="21"/>
          <w:szCs w:val="21"/>
          <w:u w:val="single" w:color="auto"/>
          <w:color w:val="auto"/>
        </w:rPr>
        <w:t>will not</w:t>
      </w:r>
      <w:r>
        <w:rPr>
          <w:rFonts w:ascii="Arial" w:cs="Arial" w:eastAsia="Arial" w:hAnsi="Arial"/>
          <w:sz w:val="21"/>
          <w:szCs w:val="21"/>
          <w:color w:val="auto"/>
        </w:rPr>
        <w:t xml:space="preserve"> restrict Molecular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86" w:name="page487"/>
    <w:bookmarkEnd w:id="486"/>
    <w:p>
      <w:pPr>
        <w:spacing w:after="0" w:line="263" w:lineRule="auto"/>
        <w:rPr>
          <w:sz w:val="20"/>
          <w:szCs w:val="20"/>
          <w:color w:val="auto"/>
        </w:rPr>
      </w:pPr>
      <w:r>
        <w:rPr>
          <w:rFonts w:ascii="Arial" w:cs="Arial" w:eastAsia="Arial" w:hAnsi="Arial"/>
          <w:sz w:val="22"/>
          <w:szCs w:val="22"/>
          <w:color w:val="auto"/>
        </w:rPr>
        <w:t>Partners (itself or through an Affiliate or Third Party) from conducting any activities, whether in or outside the Field, with respect to a [***].</w:t>
      </w:r>
    </w:p>
    <w:p>
      <w:pPr>
        <w:spacing w:after="0" w:line="175" w:lineRule="exact"/>
        <w:rPr>
          <w:sz w:val="20"/>
          <w:szCs w:val="20"/>
          <w:color w:val="auto"/>
        </w:rPr>
      </w:pPr>
    </w:p>
    <w:p>
      <w:pPr>
        <w:jc w:val="both"/>
        <w:ind w:firstLine="1304"/>
        <w:spacing w:after="0" w:line="294" w:lineRule="auto"/>
        <w:tabs>
          <w:tab w:leader="none" w:pos="1779" w:val="left"/>
        </w:tabs>
        <w:numPr>
          <w:ilvl w:val="0"/>
          <w:numId w:val="437"/>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this Agreement or in the MP0112 Agreement or the MP0260 Agreement to the contrary, but subject to compliance with the provisions of this Agreement and such agreements relating to Terminated Products, Molecular Partners shall have the right to make, use, sell, offer for sale, import, and otherwise develop, commercialize, and exploit (i) any Terminated Product (as such term is defined in this Agreement, the MP0112 Agreement, the MP0260 Agreement or any subsequent agreement between the Parties or their Affiliates) or (ii) a product that would otherwise be a Terminated Product, except that the [***] in such product has been Modified from the [***] in such Terminated Product.</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3.5 Change of Control</w:t>
      </w:r>
      <w:r>
        <w:rPr>
          <w:rFonts w:ascii="Arial" w:cs="Arial" w:eastAsia="Arial" w:hAnsi="Arial"/>
          <w:sz w:val="19"/>
          <w:szCs w:val="19"/>
          <w:color w:val="auto"/>
        </w:rPr>
        <w:t>. Notwithstanding anything to the contrary in this Agreement, in the event of any Change of</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of Molecular Partners (or successor entity thereto, applying the definition of Change of Control to such successor in place of Molecular Partners), this Article 3 shall not apply to or otherwise restrict (i) the activities of the Acquiror or its Affiliates (except for Molecular Partners to the extent Molecular Partners survives such acquisition as a separate entity) with respect to any product, product candidate, device, Drug Delivery System or service (including any designed ankyrin repeat protein or designed ankyrin repeat domain) including the making, using, selling, offering for sale, importing, or otherwise developing, commercializing, or exploiting thereof, or (ii) the intellectual property rights Controlled by such Acquiror or its Affiliates (other than Molecular Partners) prior to the date of such Change of Control or thereafter if such product, product candidate, device, Drug Delivery System or service was not developed in a material respect through the use of any Information or intellectual property right Controlled by Molecular Partners as of the date of such Change of Control.</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3.6 Allergan Target-Related Confidential Information</w:t>
      </w:r>
      <w:r>
        <w:rPr>
          <w:rFonts w:ascii="Arial" w:cs="Arial" w:eastAsia="Arial" w:hAnsi="Arial"/>
          <w:sz w:val="22"/>
          <w:szCs w:val="22"/>
          <w:color w:val="auto"/>
        </w:rPr>
        <w:t>. If Allergan discloses to Molecular Partners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Research Term or any Research Term Extension any Confidential Information of Allergan that relates to the utility of a Target (or particular epitope thereof) that is or was a Collaboration Target, then for so long as such information does not satisfy any of the exclusions in Section 13.1, Molecular Partners shall not use any such Information to clinically develop or commercialize DARPin Compounds Binding such Target or epitope thereof. Prior to providing any such Information, Allergan shall notify Molecular Partners of the proposed disclosure, and the Parties shall discuss such Information, and Molecular Partners shall have the right to limit or refuse such disclosure by Allergan, in which case Allergan shall only disclose the Information that Molecular Partners requests receiving.</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3.7 Collaboration Results</w:t>
      </w:r>
      <w:r>
        <w:rPr>
          <w:rFonts w:ascii="Arial" w:cs="Arial" w:eastAsia="Arial" w:hAnsi="Arial"/>
          <w:sz w:val="22"/>
          <w:szCs w:val="22"/>
          <w:color w:val="auto"/>
        </w:rPr>
        <w:t>. During the Research Term, for each Collaboration Target, Molecular Partners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publicly disclose any Collaboration Results related directly to AGN DARPin Domains or Product Candidates for such Collaboration Target, provided that the foregoing shall not apply to any MP DARPin Domains, any AGN DARPin Domains that are replaced, or any Collaboration Results related to AGN DARPin Domains or Product Candidates for Collaboration Targets that are replaced (and are no longer Collaboration Targets).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87" w:name="page488"/>
    <w:bookmarkEnd w:id="487"/>
    <w:p>
      <w:pPr>
        <w:jc w:val="both"/>
        <w:spacing w:after="0" w:line="263" w:lineRule="auto"/>
        <w:rPr>
          <w:sz w:val="20"/>
          <w:szCs w:val="20"/>
          <w:color w:val="auto"/>
        </w:rPr>
      </w:pPr>
      <w:r>
        <w:rPr>
          <w:rFonts w:ascii="Arial" w:cs="Arial" w:eastAsia="Arial" w:hAnsi="Arial"/>
          <w:sz w:val="22"/>
          <w:szCs w:val="22"/>
          <w:color w:val="auto"/>
        </w:rPr>
        <w:t>any Research Term Extension, Molecular Partners shall not publicly disclose any Collaboration Results related directly to RTE Compounds or RTE Target Combinations.</w:t>
      </w:r>
    </w:p>
    <w:p>
      <w:pPr>
        <w:spacing w:after="0" w:line="1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3.8 Development Outside the Field</w:t>
      </w:r>
      <w:r>
        <w:rPr>
          <w:rFonts w:ascii="Arial" w:cs="Arial" w:eastAsia="Arial" w:hAnsi="Arial"/>
          <w:sz w:val="19"/>
          <w:szCs w:val="19"/>
          <w:color w:val="auto"/>
        </w:rPr>
        <w:t>. With respect to (a) any Exclusive DARPin and any [***] Compound that Binds</w:t>
      </w:r>
      <w:r>
        <w:rPr>
          <w:rFonts w:ascii="Arial" w:cs="Arial" w:eastAsia="Arial" w:hAnsi="Arial"/>
          <w:sz w:val="19"/>
          <w:szCs w:val="19"/>
          <w:b w:val="1"/>
          <w:bCs w:val="1"/>
          <w:color w:val="auto"/>
        </w:rPr>
        <w:t xml:space="preserve"> </w:t>
      </w:r>
      <w:r>
        <w:rPr>
          <w:rFonts w:ascii="Arial" w:cs="Arial" w:eastAsia="Arial" w:hAnsi="Arial"/>
          <w:sz w:val="19"/>
          <w:szCs w:val="19"/>
          <w:color w:val="auto"/>
        </w:rPr>
        <w:t>[***], in each case that is or may be in the future subject to the restrictions set forth in Section 3.3(a)(ii) or 3.4(b), respectively, and that is commercially exploited by Molecular Partners or its Affiliates for use outside the Field, whether such exploitation is directly by Molecular Partners or indirectly through Affiliates, partners, joint ventures, licensees or other Third Parties, Molecular Partners will use Commercially Reasonable Efforts to prevent the formulation of such Exclusive DARPin or such [***] Compound that Binds [***] from being able to be [***]. Notwithstanding the foregoing, Molecular Partners shall request and use Commercially Reasonable Efforts to include into any agreement entered into after the Effective Date between Molecular Partners (or any of its Affiliates) and such Third Party provisions that obligate such Third Party to agree to comply with the obligations set forth in this Section 3.8 with respect to such Exclusive DARPin or such [***] Compound that Binds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OPTIONS AND LICENSES; REJECTED PRODUCT CANDIDATES AND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TERMINATED PRODUCTS</w:t>
      </w:r>
    </w:p>
    <w:p>
      <w:pPr>
        <w:spacing w:after="0" w:line="1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8"/>
          <w:szCs w:val="18"/>
          <w:b w:val="1"/>
          <w:bCs w:val="1"/>
          <w:color w:val="auto"/>
        </w:rPr>
        <w:t>Research Licenses</w:t>
      </w:r>
      <w:r>
        <w:rPr>
          <w:rFonts w:ascii="Arial" w:cs="Arial" w:eastAsia="Arial" w:hAnsi="Arial"/>
          <w:sz w:val="18"/>
          <w:szCs w:val="18"/>
          <w:color w:val="auto"/>
        </w:rPr>
        <w:t>.</w:t>
      </w:r>
    </w:p>
    <w:p>
      <w:pPr>
        <w:spacing w:after="0" w:line="226" w:lineRule="exact"/>
        <w:rPr>
          <w:sz w:val="20"/>
          <w:szCs w:val="20"/>
          <w:color w:val="auto"/>
        </w:rPr>
      </w:pPr>
    </w:p>
    <w:p>
      <w:pPr>
        <w:jc w:val="both"/>
        <w:ind w:firstLine="1304"/>
        <w:spacing w:after="0" w:line="302" w:lineRule="auto"/>
        <w:tabs>
          <w:tab w:leader="none" w:pos="1791" w:val="left"/>
        </w:tabs>
        <w:numPr>
          <w:ilvl w:val="0"/>
          <w:numId w:val="438"/>
        </w:numPr>
        <w:rPr>
          <w:rFonts w:ascii="Arial" w:cs="Arial" w:eastAsia="Arial" w:hAnsi="Arial"/>
          <w:sz w:val="19"/>
          <w:szCs w:val="19"/>
          <w:b w:val="1"/>
          <w:bCs w:val="1"/>
          <w:color w:val="auto"/>
        </w:rPr>
      </w:pPr>
      <w:r>
        <w:rPr>
          <w:rFonts w:ascii="Arial" w:cs="Arial" w:eastAsia="Arial" w:hAnsi="Arial"/>
          <w:sz w:val="19"/>
          <w:szCs w:val="19"/>
          <w:color w:val="auto"/>
        </w:rPr>
        <w:t>Subject to the terms and conditions of this Agreement, Molecular Partners hereby grants to Allergan during the Research Term and Research Term Extension a nonexclusive license in the Field under the Molecular Partners Research IP solely to the extent necessary or reasonably useful for Allergan to conduct its activities described under Article 2 in connection with the performance of the Research Program in accordance with the terms of this Agreement.</w:t>
      </w:r>
    </w:p>
    <w:p>
      <w:pPr>
        <w:spacing w:after="0" w:line="142" w:lineRule="exact"/>
        <w:rPr>
          <w:rFonts w:ascii="Arial" w:cs="Arial" w:eastAsia="Arial" w:hAnsi="Arial"/>
          <w:sz w:val="19"/>
          <w:szCs w:val="19"/>
          <w:b w:val="1"/>
          <w:bCs w:val="1"/>
          <w:color w:val="auto"/>
        </w:rPr>
      </w:pPr>
    </w:p>
    <w:p>
      <w:pPr>
        <w:jc w:val="both"/>
        <w:ind w:firstLine="1304"/>
        <w:spacing w:after="0" w:line="250" w:lineRule="auto"/>
        <w:tabs>
          <w:tab w:leader="none" w:pos="1803" w:val="left"/>
        </w:tabs>
        <w:numPr>
          <w:ilvl w:val="0"/>
          <w:numId w:val="438"/>
        </w:numPr>
        <w:rPr>
          <w:rFonts w:ascii="Arial" w:cs="Arial" w:eastAsia="Arial" w:hAnsi="Arial"/>
          <w:sz w:val="22"/>
          <w:szCs w:val="22"/>
          <w:b w:val="1"/>
          <w:bCs w:val="1"/>
          <w:color w:val="auto"/>
        </w:rPr>
      </w:pPr>
      <w:r>
        <w:rPr>
          <w:rFonts w:ascii="Arial" w:cs="Arial" w:eastAsia="Arial" w:hAnsi="Arial"/>
          <w:sz w:val="22"/>
          <w:szCs w:val="22"/>
          <w:color w:val="auto"/>
        </w:rPr>
        <w:t>Subject to the terms and conditions of this Agreement, Allergan hereby grants to Molecular Partners during the Research Term and Research Term Extension a nonexclusive license in the Field under all Patents and Information Controlled by Allergan solely to the extent necessary or reasonably useful for Molecular Partners to conduct its activities under the Research Program in accordance with the terms of this Agreement.</w:t>
      </w:r>
    </w:p>
    <w:p>
      <w:pPr>
        <w:spacing w:after="0" w:line="1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4.2 Options</w:t>
      </w:r>
      <w:r>
        <w:rPr>
          <w:rFonts w:ascii="Arial" w:cs="Arial" w:eastAsia="Arial" w:hAnsi="Arial"/>
          <w:sz w:val="22"/>
          <w:szCs w:val="22"/>
          <w:color w:val="auto"/>
        </w:rPr>
        <w:t>. Molecular Partners hereby grants to Allergan three (3) exclusive options, each for a different Collaboration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Target Combination, to obtain the exclusive license set forth in Section 4.3 (each, an “</w:t>
      </w:r>
      <w:r>
        <w:rPr>
          <w:rFonts w:ascii="Arial" w:cs="Arial" w:eastAsia="Arial" w:hAnsi="Arial"/>
          <w:sz w:val="22"/>
          <w:szCs w:val="22"/>
          <w:b w:val="1"/>
          <w:bCs w:val="1"/>
          <w:color w:val="auto"/>
        </w:rPr>
        <w:t>Option</w:t>
      </w:r>
      <w:r>
        <w:rPr>
          <w:rFonts w:ascii="Arial" w:cs="Arial" w:eastAsia="Arial" w:hAnsi="Arial"/>
          <w:sz w:val="22"/>
          <w:szCs w:val="22"/>
          <w:color w:val="auto"/>
        </w:rPr>
        <w:t>”). Such Options will expire, if not then exercised, at the end of the Research Term; provided that if a Research Term Extension is conducted, one or two (as applicable under Section 2.9) Options will remain in effect for the RTE Target Combinations only during the Research Term Extension. Allergan may exercise each such Option by (i) written notice to Molecular Partners prior to expiration thereof, setting forth the applicable Product Candidates and AGN DARPin Domains, and (ii) payment of the Option exercise fee under Section 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88" w:name="page489"/>
    <w:bookmarkEnd w:id="488"/>
    <w:p>
      <w:pPr>
        <w:jc w:val="both"/>
        <w:ind w:firstLine="648"/>
        <w:spacing w:after="0" w:line="261" w:lineRule="auto"/>
        <w:rPr>
          <w:sz w:val="20"/>
          <w:szCs w:val="20"/>
          <w:color w:val="auto"/>
        </w:rPr>
      </w:pPr>
      <w:r>
        <w:rPr>
          <w:rFonts w:ascii="Arial" w:cs="Arial" w:eastAsia="Arial" w:hAnsi="Arial"/>
          <w:sz w:val="21"/>
          <w:szCs w:val="21"/>
          <w:b w:val="1"/>
          <w:bCs w:val="1"/>
          <w:color w:val="auto"/>
        </w:rPr>
        <w:t>4.3 License to Allergan</w:t>
      </w:r>
      <w:r>
        <w:rPr>
          <w:rFonts w:ascii="Arial" w:cs="Arial" w:eastAsia="Arial" w:hAnsi="Arial"/>
          <w:sz w:val="21"/>
          <w:szCs w:val="21"/>
          <w:color w:val="auto"/>
        </w:rPr>
        <w:t>. Subject to the terms and conditions of this Agreement, upon Allergan’s exercise of an Option</w:t>
      </w:r>
      <w:r>
        <w:rPr>
          <w:rFonts w:ascii="Arial" w:cs="Arial" w:eastAsia="Arial" w:hAnsi="Arial"/>
          <w:sz w:val="21"/>
          <w:szCs w:val="21"/>
          <w:b w:val="1"/>
          <w:bCs w:val="1"/>
          <w:color w:val="auto"/>
        </w:rPr>
        <w:t xml:space="preserve"> </w:t>
      </w:r>
      <w:r>
        <w:rPr>
          <w:rFonts w:ascii="Arial" w:cs="Arial" w:eastAsia="Arial" w:hAnsi="Arial"/>
          <w:sz w:val="21"/>
          <w:szCs w:val="21"/>
          <w:color w:val="auto"/>
        </w:rPr>
        <w:t>for a Collaboration Target Combination in accordance with Section 4.2 and Molecular Partners’ receipt of the applicable Option exercise fee, Molecular Partners shall grant to Allergan an exclusive (even as to Molecular Partners except as provided in Section 4.4), royalty-bearing license, with the right to sublicense solely as provided in Section 4.5, under the Molecular Partners Licensed Technology with respect to the Licensed Products for the applicable Licensed Target Combination, to make, use, sell, offer for sale and import such Licensed Products in the Field in the Territory. The foregoing license includes the right to have any of the foregoing performed pursuant to Section 4.5(b).</w:t>
      </w:r>
    </w:p>
    <w:p>
      <w:pPr>
        <w:spacing w:after="0" w:line="17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4.4 Molecular Partners Retained Rights</w:t>
      </w:r>
      <w:r>
        <w:rPr>
          <w:rFonts w:ascii="Arial" w:cs="Arial" w:eastAsia="Arial" w:hAnsi="Arial"/>
          <w:sz w:val="21"/>
          <w:szCs w:val="21"/>
          <w:color w:val="auto"/>
        </w:rPr>
        <w:t>. Except as expressly granted under Section 4.3 and as limited by Article 3,</w:t>
      </w:r>
      <w:r>
        <w:rPr>
          <w:rFonts w:ascii="Arial" w:cs="Arial" w:eastAsia="Arial" w:hAnsi="Arial"/>
          <w:sz w:val="21"/>
          <w:szCs w:val="21"/>
          <w:b w:val="1"/>
          <w:bCs w:val="1"/>
          <w:color w:val="auto"/>
        </w:rPr>
        <w:t xml:space="preserve"> </w:t>
      </w:r>
      <w:r>
        <w:rPr>
          <w:rFonts w:ascii="Arial" w:cs="Arial" w:eastAsia="Arial" w:hAnsi="Arial"/>
          <w:sz w:val="21"/>
          <w:szCs w:val="21"/>
          <w:color w:val="auto"/>
        </w:rPr>
        <w:t>Molecular Partners retains the right, under the Molecular Partners Licensed Technology, (a) in the Territory, to fulfill its obligations under this Agreement, (b) to exploit the Molecular Partners Licensed Technology outside the scope of the licenses granted to Allergan in Section 4.3, and (c) to use the Molecular Partners Know-How in connection with Molecular Partners’ conduct of general research and discovery of DARPin Compounds other than Licensed Compounds, provided that the activities permitted under this subsection (c) shall not be limited by Article 3.</w:t>
      </w:r>
    </w:p>
    <w:p>
      <w:pPr>
        <w:spacing w:after="0" w:line="17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Sublicense Rights and Subcontracting</w:t>
      </w:r>
      <w:r>
        <w:rPr>
          <w:rFonts w:ascii="Arial" w:cs="Arial" w:eastAsia="Arial" w:hAnsi="Arial"/>
          <w:sz w:val="19"/>
          <w:szCs w:val="19"/>
          <w:color w:val="auto"/>
        </w:rPr>
        <w:t>.</w:t>
      </w:r>
    </w:p>
    <w:p>
      <w:pPr>
        <w:spacing w:after="0" w:line="226" w:lineRule="exact"/>
        <w:rPr>
          <w:sz w:val="20"/>
          <w:szCs w:val="20"/>
          <w:color w:val="auto"/>
        </w:rPr>
      </w:pPr>
    </w:p>
    <w:p>
      <w:pPr>
        <w:jc w:val="both"/>
        <w:ind w:right="20" w:firstLine="1304"/>
        <w:spacing w:after="0" w:line="250" w:lineRule="auto"/>
        <w:tabs>
          <w:tab w:leader="none" w:pos="1899" w:val="left"/>
        </w:tabs>
        <w:numPr>
          <w:ilvl w:val="0"/>
          <w:numId w:val="439"/>
        </w:numPr>
        <w:rPr>
          <w:rFonts w:ascii="Arial" w:cs="Arial" w:eastAsia="Arial" w:hAnsi="Arial"/>
          <w:sz w:val="22"/>
          <w:szCs w:val="22"/>
          <w:b w:val="1"/>
          <w:bCs w:val="1"/>
          <w:color w:val="auto"/>
        </w:rPr>
      </w:pPr>
      <w:r>
        <w:rPr>
          <w:rFonts w:ascii="Arial" w:cs="Arial" w:eastAsia="Arial" w:hAnsi="Arial"/>
          <w:sz w:val="22"/>
          <w:szCs w:val="22"/>
          <w:color w:val="auto"/>
        </w:rPr>
        <w:t>Allergan shall have the right to grant a sublicense of the license granted in Sections 4.1 and 4.3 to its Affiliates or Third Parties (whether directly through Allergan or in the form of a sub-sublicense from a sublicensee of Allergan or its Affiliates in accordance with the terms of subsection (v) below) (each, a “</w:t>
      </w:r>
      <w:r>
        <w:rPr>
          <w:rFonts w:ascii="Arial" w:cs="Arial" w:eastAsia="Arial" w:hAnsi="Arial"/>
          <w:sz w:val="22"/>
          <w:szCs w:val="22"/>
          <w:b w:val="1"/>
          <w:bCs w:val="1"/>
          <w:color w:val="auto"/>
        </w:rPr>
        <w:t>Sublicensee</w:t>
      </w:r>
      <w:r>
        <w:rPr>
          <w:rFonts w:ascii="Arial" w:cs="Arial" w:eastAsia="Arial" w:hAnsi="Arial"/>
          <w:sz w:val="22"/>
          <w:szCs w:val="22"/>
          <w:color w:val="auto"/>
        </w:rPr>
        <w:t>”); provided that any sublicenses to Third Parties shall be subject to Sections 4.5(a)(i) through (v):</w:t>
      </w:r>
    </w:p>
    <w:p>
      <w:pPr>
        <w:spacing w:after="0" w:line="187" w:lineRule="exact"/>
        <w:rPr>
          <w:rFonts w:ascii="Arial" w:cs="Arial" w:eastAsia="Arial" w:hAnsi="Arial"/>
          <w:sz w:val="22"/>
          <w:szCs w:val="22"/>
          <w:b w:val="1"/>
          <w:bCs w:val="1"/>
          <w:color w:val="auto"/>
        </w:rPr>
      </w:pPr>
    </w:p>
    <w:p>
      <w:pPr>
        <w:ind w:firstLine="1952"/>
        <w:spacing w:after="0" w:line="263" w:lineRule="auto"/>
        <w:tabs>
          <w:tab w:leader="none" w:pos="2485" w:val="left"/>
        </w:tabs>
        <w:numPr>
          <w:ilvl w:val="1"/>
          <w:numId w:val="439"/>
        </w:numPr>
        <w:rPr>
          <w:rFonts w:ascii="Arial" w:cs="Arial" w:eastAsia="Arial" w:hAnsi="Arial"/>
          <w:sz w:val="22"/>
          <w:szCs w:val="22"/>
          <w:b w:val="1"/>
          <w:bCs w:val="1"/>
          <w:color w:val="auto"/>
        </w:rPr>
      </w:pPr>
      <w:r>
        <w:rPr>
          <w:rFonts w:ascii="Arial" w:cs="Arial" w:eastAsia="Arial" w:hAnsi="Arial"/>
          <w:sz w:val="22"/>
          <w:szCs w:val="22"/>
          <w:color w:val="auto"/>
        </w:rPr>
        <w:t>Allergan shall remain primarily responsible for all of its Sublicensees’ activities and any and all failures by its Sublicensees to comply with the applicable terms of this Agreement;</w:t>
      </w:r>
    </w:p>
    <w:p>
      <w:pPr>
        <w:spacing w:after="0" w:line="174" w:lineRule="exact"/>
        <w:rPr>
          <w:rFonts w:ascii="Arial" w:cs="Arial" w:eastAsia="Arial" w:hAnsi="Arial"/>
          <w:sz w:val="22"/>
          <w:szCs w:val="22"/>
          <w:b w:val="1"/>
          <w:bCs w:val="1"/>
          <w:color w:val="auto"/>
        </w:rPr>
      </w:pPr>
    </w:p>
    <w:p>
      <w:pPr>
        <w:jc w:val="both"/>
        <w:ind w:firstLine="1952"/>
        <w:spacing w:after="0" w:line="253" w:lineRule="auto"/>
        <w:tabs>
          <w:tab w:leader="none" w:pos="2424" w:val="left"/>
        </w:tabs>
        <w:numPr>
          <w:ilvl w:val="1"/>
          <w:numId w:val="439"/>
        </w:numPr>
        <w:rPr>
          <w:rFonts w:ascii="Arial" w:cs="Arial" w:eastAsia="Arial" w:hAnsi="Arial"/>
          <w:sz w:val="22"/>
          <w:szCs w:val="22"/>
          <w:b w:val="1"/>
          <w:bCs w:val="1"/>
          <w:color w:val="auto"/>
        </w:rPr>
      </w:pPr>
      <w:r>
        <w:rPr>
          <w:rFonts w:ascii="Arial" w:cs="Arial" w:eastAsia="Arial" w:hAnsi="Arial"/>
          <w:sz w:val="22"/>
          <w:szCs w:val="22"/>
          <w:color w:val="auto"/>
        </w:rPr>
        <w:t>such sublicense shall refer to this Agreement, shall be consistent with the terms and conditions of this Agreement, and shall not limit the ability of Allergan (individually or through the activities of its Sublicensee) to perform its material obligations under this Agreement;</w:t>
      </w:r>
    </w:p>
    <w:p>
      <w:pPr>
        <w:spacing w:after="0" w:line="185" w:lineRule="exact"/>
        <w:rPr>
          <w:rFonts w:ascii="Arial" w:cs="Arial" w:eastAsia="Arial" w:hAnsi="Arial"/>
          <w:sz w:val="22"/>
          <w:szCs w:val="22"/>
          <w:b w:val="1"/>
          <w:bCs w:val="1"/>
          <w:color w:val="auto"/>
        </w:rPr>
      </w:pPr>
    </w:p>
    <w:p>
      <w:pPr>
        <w:jc w:val="both"/>
        <w:ind w:firstLine="1952"/>
        <w:spacing w:after="0" w:line="253" w:lineRule="auto"/>
        <w:tabs>
          <w:tab w:leader="none" w:pos="2578" w:val="left"/>
        </w:tabs>
        <w:numPr>
          <w:ilvl w:val="1"/>
          <w:numId w:val="439"/>
        </w:numPr>
        <w:rPr>
          <w:rFonts w:ascii="Arial" w:cs="Arial" w:eastAsia="Arial" w:hAnsi="Arial"/>
          <w:sz w:val="22"/>
          <w:szCs w:val="22"/>
          <w:b w:val="1"/>
          <w:bCs w:val="1"/>
          <w:color w:val="auto"/>
        </w:rPr>
      </w:pPr>
      <w:r>
        <w:rPr>
          <w:rFonts w:ascii="Arial" w:cs="Arial" w:eastAsia="Arial" w:hAnsi="Arial"/>
          <w:sz w:val="22"/>
          <w:szCs w:val="22"/>
          <w:color w:val="auto"/>
        </w:rPr>
        <w:t>within a reasonable time after execution of such sublicense, Allergan shall provide to Molecular Partners a copy of such sublicense, which may be redacted to omit any terms not relevant to determining Allergan’s and such Sublicensee’s obligations under this Agreement; and</w:t>
      </w:r>
    </w:p>
    <w:p>
      <w:pPr>
        <w:spacing w:after="0" w:line="185" w:lineRule="exact"/>
        <w:rPr>
          <w:rFonts w:ascii="Arial" w:cs="Arial" w:eastAsia="Arial" w:hAnsi="Arial"/>
          <w:sz w:val="22"/>
          <w:szCs w:val="22"/>
          <w:b w:val="1"/>
          <w:bCs w:val="1"/>
          <w:color w:val="auto"/>
        </w:rPr>
      </w:pPr>
    </w:p>
    <w:p>
      <w:pPr>
        <w:jc w:val="both"/>
        <w:ind w:firstLine="1952"/>
        <w:spacing w:after="0" w:line="265" w:lineRule="auto"/>
        <w:tabs>
          <w:tab w:leader="none" w:pos="2539" w:val="left"/>
        </w:tabs>
        <w:numPr>
          <w:ilvl w:val="1"/>
          <w:numId w:val="439"/>
        </w:numPr>
        <w:rPr>
          <w:rFonts w:ascii="Arial" w:cs="Arial" w:eastAsia="Arial" w:hAnsi="Arial"/>
          <w:sz w:val="21"/>
          <w:szCs w:val="21"/>
          <w:b w:val="1"/>
          <w:bCs w:val="1"/>
          <w:color w:val="auto"/>
        </w:rPr>
      </w:pPr>
      <w:r>
        <w:rPr>
          <w:rFonts w:ascii="Arial" w:cs="Arial" w:eastAsia="Arial" w:hAnsi="Arial"/>
          <w:sz w:val="21"/>
          <w:szCs w:val="21"/>
          <w:color w:val="auto"/>
        </w:rPr>
        <w:t>except as otherwise provided in the sublicense, if this Agreement terminates for any reason, upon Allergan’s written notice to Molecular Partners, any Sublicensee of the license set forth in Section 4.3 shall, from the effective date of such termination, automatically become a direct licensee of Molecular Partners with respect to the rights licensed to Allergan on the terms and conditions hereunder and sublicensed to the Sublicensee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89" w:name="page490"/>
    <w:bookmarkEnd w:id="489"/>
    <w:p>
      <w:pPr>
        <w:jc w:val="both"/>
        <w:spacing w:after="0" w:line="250" w:lineRule="auto"/>
        <w:rPr>
          <w:sz w:val="20"/>
          <w:szCs w:val="20"/>
          <w:color w:val="auto"/>
        </w:rPr>
      </w:pPr>
      <w:r>
        <w:rPr>
          <w:rFonts w:ascii="Arial" w:cs="Arial" w:eastAsia="Arial" w:hAnsi="Arial"/>
          <w:sz w:val="22"/>
          <w:szCs w:val="22"/>
          <w:color w:val="auto"/>
        </w:rPr>
        <w:t>Allergan; provided, however, that such Sublicensee cures all breaches by Allergan of this Agreement and is not in breach of its sublicense and continues to perform thereunder, and the terms of such sublicense are consistent with the rights of Molecular Partners to receive a transfer of, and license to, the items described in Section 4.10(b)(1) upon termination of such sublicense as if such items were generated by Allergan or its Affiliates; and</w:t>
      </w:r>
    </w:p>
    <w:p>
      <w:pPr>
        <w:spacing w:after="0" w:line="188" w:lineRule="exact"/>
        <w:rPr>
          <w:sz w:val="20"/>
          <w:szCs w:val="20"/>
          <w:color w:val="auto"/>
        </w:rPr>
      </w:pPr>
    </w:p>
    <w:p>
      <w:pPr>
        <w:jc w:val="both"/>
        <w:ind w:firstLine="1952"/>
        <w:spacing w:after="0" w:line="246" w:lineRule="auto"/>
        <w:tabs>
          <w:tab w:leader="none" w:pos="2587" w:val="left"/>
        </w:tabs>
        <w:numPr>
          <w:ilvl w:val="1"/>
          <w:numId w:val="440"/>
        </w:numPr>
        <w:rPr>
          <w:rFonts w:ascii="Arial" w:cs="Arial" w:eastAsia="Arial" w:hAnsi="Arial"/>
          <w:sz w:val="22"/>
          <w:szCs w:val="22"/>
          <w:b w:val="1"/>
          <w:bCs w:val="1"/>
          <w:color w:val="auto"/>
        </w:rPr>
      </w:pPr>
      <w:r>
        <w:rPr>
          <w:rFonts w:ascii="Arial" w:cs="Arial" w:eastAsia="Arial" w:hAnsi="Arial"/>
          <w:sz w:val="22"/>
          <w:szCs w:val="22"/>
          <w:color w:val="auto"/>
        </w:rPr>
        <w:t>such Sublicensees of the license contained in Section 4.3 shall have the right to grant further sublicenses to Third Parties (upon the consent of Molecular Partners not to be unreasonably withheld) of same or lesser scope as its sublicense from Allergan under the license contained in Section 4.3, provided that such further Sublicenses shall be in accordance with and subject to all of the terms and conditions of this Section 4.5 (i.e., such Sublicensee shall be subject to this Section 4.5 in the same manner and to the same extent as Allergan). For clarity, any person or entity to whom a Sublicensee grants a sublicense as permitted by the terms of this Agreement shall be deemed to be a Sublicensee for purposes of this Agreement.</w:t>
      </w:r>
    </w:p>
    <w:p>
      <w:pPr>
        <w:spacing w:after="0" w:line="196" w:lineRule="exact"/>
        <w:rPr>
          <w:rFonts w:ascii="Arial" w:cs="Arial" w:eastAsia="Arial" w:hAnsi="Arial"/>
          <w:sz w:val="22"/>
          <w:szCs w:val="22"/>
          <w:b w:val="1"/>
          <w:bCs w:val="1"/>
          <w:color w:val="auto"/>
        </w:rPr>
      </w:pPr>
    </w:p>
    <w:p>
      <w:pPr>
        <w:jc w:val="both"/>
        <w:ind w:firstLine="1304"/>
        <w:spacing w:after="0" w:line="248" w:lineRule="auto"/>
        <w:tabs>
          <w:tab w:leader="none" w:pos="1789" w:val="left"/>
        </w:tabs>
        <w:numPr>
          <w:ilvl w:val="0"/>
          <w:numId w:val="441"/>
        </w:numPr>
        <w:rPr>
          <w:rFonts w:ascii="Arial" w:cs="Arial" w:eastAsia="Arial" w:hAnsi="Arial"/>
          <w:sz w:val="22"/>
          <w:szCs w:val="22"/>
          <w:b w:val="1"/>
          <w:bCs w:val="1"/>
          <w:color w:val="auto"/>
        </w:rPr>
      </w:pPr>
      <w:r>
        <w:rPr>
          <w:rFonts w:ascii="Arial" w:cs="Arial" w:eastAsia="Arial" w:hAnsi="Arial"/>
          <w:sz w:val="22"/>
          <w:szCs w:val="22"/>
          <w:color w:val="auto"/>
        </w:rPr>
        <w:t>Allergan shall have the right to retain a Third Party contractor, including pursuant to Section 5.5, to perform any activity in connection with Allergan’s exercise of any of its rights granted under Section 4.1 or Section 4.3, where such activity is to be performed at the direction and control and for the sole benefit of Allergan or its Affiliates. Such retention of the Third Party contractor is not a sublicense within the meaning of this Section 4.5 but is considered an activity of Allergan under the license granted in Section 4.1 or Section 4.3, as applicable.</w:t>
      </w:r>
    </w:p>
    <w:p>
      <w:pPr>
        <w:spacing w:after="0" w:line="18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19"/>
          <w:szCs w:val="19"/>
          <w:b w:val="1"/>
          <w:bCs w:val="1"/>
          <w:color w:val="auto"/>
        </w:rPr>
        <w:t>Licenses to Molecular Partners</w:t>
      </w:r>
    </w:p>
    <w:p>
      <w:pPr>
        <w:spacing w:after="0" w:line="226" w:lineRule="exact"/>
        <w:rPr>
          <w:sz w:val="20"/>
          <w:szCs w:val="20"/>
          <w:color w:val="auto"/>
        </w:rPr>
      </w:pPr>
    </w:p>
    <w:p>
      <w:pPr>
        <w:jc w:val="both"/>
        <w:ind w:firstLine="1304"/>
        <w:spacing w:after="0" w:line="286" w:lineRule="auto"/>
        <w:tabs>
          <w:tab w:leader="none" w:pos="1899" w:val="left"/>
        </w:tabs>
        <w:numPr>
          <w:ilvl w:val="0"/>
          <w:numId w:val="442"/>
        </w:numPr>
        <w:rPr>
          <w:rFonts w:ascii="Arial" w:cs="Arial" w:eastAsia="Arial" w:hAnsi="Arial"/>
          <w:sz w:val="19"/>
          <w:szCs w:val="19"/>
          <w:b w:val="1"/>
          <w:bCs w:val="1"/>
          <w:color w:val="auto"/>
        </w:rPr>
      </w:pPr>
      <w:r>
        <w:rPr>
          <w:rFonts w:ascii="Arial" w:cs="Arial" w:eastAsia="Arial" w:hAnsi="Arial"/>
          <w:sz w:val="19"/>
          <w:szCs w:val="19"/>
          <w:color w:val="auto"/>
        </w:rPr>
        <w:t xml:space="preserve">Subject to the terms and conditions of this Agreement, Allergan hereby grants to Molecular Partners a worldwide, [***] license, [***] to research, develop, make, have made, use, sell, offer for sale, import and otherwise commercialize [***]. Such license will be royalty bearing for any DARPin Compound, the making, using, selling, offering for sale, importing, or other developing, commercializing, or exploiting of which (i) would, absent such license, infringe a Valid Claim of a DARPin Supported Allergan Claim or (ii) used in a material respect any DARPin Supported Allergan Claim Information, and will otherwise be royalty free. By way of clarification, where a Patent recites both DARPin Supported Allergan Claims and claims that are not DARPin Supported Allergan Claims, such license will extend only to the DARPin Supported Allergan Claims recited in such Patent and shall not include a license to those claims that are not DARPin Supported Allergan Claims. The determination of royalties shall be determined using the definition of Net Sales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sales of DARPin Compounds and products containing DARPin Compounds, in each case, covered by subclause (i) and/or (ii) by Molecular Partners, its Affiliates and sublicensees, the payment terms of such royalty shall be as set forth in Sections 9.6(b), (d) and (e), 9.8, 9.9, 9.10, and 9.11 as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Molecular Partners its Affiliates and sublicensees, and the royalty rate shall be negotiated in good faith by the Parties prior to the first commercial sale by Molecular Partners or any of its Affiliates or sublicensees of any product that would be subject to royalties under this Section 4.6(a); provided that such royalty rate shall not exceed [***] of such Net Sales and shall be subject to reduction in a Claim Country, in accordance with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90" w:name="page491"/>
    <w:bookmarkEnd w:id="490"/>
    <w:p>
      <w:pPr>
        <w:jc w:val="both"/>
        <w:spacing w:after="0" w:line="248" w:lineRule="auto"/>
        <w:rPr>
          <w:sz w:val="20"/>
          <w:szCs w:val="20"/>
          <w:color w:val="auto"/>
        </w:rPr>
      </w:pPr>
      <w:r>
        <w:rPr>
          <w:rFonts w:ascii="Arial" w:cs="Arial" w:eastAsia="Arial" w:hAnsi="Arial"/>
          <w:sz w:val="22"/>
          <w:szCs w:val="22"/>
          <w:color w:val="auto"/>
        </w:rPr>
        <w:t xml:space="preserve">of Section 9.6(c) as applied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DARPin Supported Allergan Claims, in the event that there is no Valid Claim of a DARPin Supported Allergan Claim in such Claim Country that would be infringed by such product at the time of such first commercial sale or any time thereafter. By way of clarification, the license granted under this Section 4.6(a) does not grant Molecular Partners any right to perform those activities prohibited under Article 3 during the term for which Article 3 remains in effect.</w:t>
      </w:r>
    </w:p>
    <w:p>
      <w:pPr>
        <w:spacing w:after="0" w:line="192" w:lineRule="exact"/>
        <w:rPr>
          <w:sz w:val="20"/>
          <w:szCs w:val="20"/>
          <w:color w:val="auto"/>
        </w:rPr>
      </w:pPr>
    </w:p>
    <w:p>
      <w:pPr>
        <w:jc w:val="both"/>
        <w:ind w:firstLine="1304"/>
        <w:spacing w:after="0" w:line="259" w:lineRule="auto"/>
        <w:tabs>
          <w:tab w:leader="none" w:pos="1965" w:val="left"/>
        </w:tabs>
        <w:numPr>
          <w:ilvl w:val="0"/>
          <w:numId w:val="443"/>
        </w:numPr>
        <w:rPr>
          <w:rFonts w:ascii="Arial" w:cs="Arial" w:eastAsia="Arial" w:hAnsi="Arial"/>
          <w:sz w:val="21"/>
          <w:szCs w:val="21"/>
          <w:b w:val="1"/>
          <w:bCs w:val="1"/>
          <w:color w:val="auto"/>
        </w:rPr>
      </w:pPr>
      <w:r>
        <w:rPr>
          <w:rFonts w:ascii="Arial" w:cs="Arial" w:eastAsia="Arial" w:hAnsi="Arial"/>
          <w:sz w:val="21"/>
          <w:szCs w:val="21"/>
          <w:color w:val="auto"/>
        </w:rPr>
        <w:t>Allergan shall request and use Commercially Reasonable Efforts when entering into any research or development contract relating to DARPin Compounds with any Third Party after the Effective Date to include in such contract provisions that obligate such Third Party to license or assign to Allergan any Information and Patents that, if Controlled by Allergan, would be DARPin Supported Allergan Claim Information or DARPin Supported Allergan Claims such that such Information or Patents would be included in the license in Section 4.6(a) for the full scope thereof. Notwithstanding the foregoing, Allergan shall not enter into any Third Party agreement under which MP Core Inventions might be made, or with a Third Party manufacturer as provided in Section 8.2, without obligating such Third Party to assign its rights in such inventions to Allergan so that Allergan may comply with its obligations under Section 10.2(a).</w:t>
      </w:r>
    </w:p>
    <w:p>
      <w:pPr>
        <w:spacing w:after="0" w:line="183" w:lineRule="exact"/>
        <w:rPr>
          <w:rFonts w:ascii="Arial" w:cs="Arial" w:eastAsia="Arial" w:hAnsi="Arial"/>
          <w:sz w:val="21"/>
          <w:szCs w:val="21"/>
          <w:b w:val="1"/>
          <w:bCs w:val="1"/>
          <w:color w:val="auto"/>
        </w:rPr>
      </w:pPr>
    </w:p>
    <w:p>
      <w:pPr>
        <w:jc w:val="both"/>
        <w:ind w:firstLine="1304"/>
        <w:spacing w:after="0" w:line="247" w:lineRule="auto"/>
        <w:tabs>
          <w:tab w:leader="none" w:pos="1752" w:val="left"/>
        </w:tabs>
        <w:numPr>
          <w:ilvl w:val="0"/>
          <w:numId w:val="443"/>
        </w:numPr>
        <w:rPr>
          <w:rFonts w:ascii="Arial" w:cs="Arial" w:eastAsia="Arial" w:hAnsi="Arial"/>
          <w:sz w:val="22"/>
          <w:szCs w:val="22"/>
          <w:b w:val="1"/>
          <w:bCs w:val="1"/>
          <w:color w:val="auto"/>
        </w:rPr>
      </w:pPr>
      <w:r>
        <w:rPr>
          <w:rFonts w:ascii="Arial" w:cs="Arial" w:eastAsia="Arial" w:hAnsi="Arial"/>
          <w:sz w:val="22"/>
          <w:szCs w:val="22"/>
          <w:color w:val="auto"/>
        </w:rPr>
        <w:t>Upon the reasonable request of Molecular Partners made not more often than [***]: (i) Allergan will provide Molecular Partners with a reasonably detailed summary of the DARPin Supported Allergan Claim Information not directly related to the use of the Licensed Compounds in the Field (including Licensed Compounds under this Agreement, the MP0112 Agreement or the MP0260 Agreement) not previously disclosed or summarized to Molecular Partners, and (ii) Allergan will reasonably promptly provide Molecular Partners with electronic copies of the portions of any DARPin Supported Allergan Claim Information described in any such summary.</w:t>
      </w:r>
    </w:p>
    <w:p>
      <w:pPr>
        <w:spacing w:after="0" w:line="192" w:lineRule="exact"/>
        <w:rPr>
          <w:rFonts w:ascii="Arial" w:cs="Arial" w:eastAsia="Arial" w:hAnsi="Arial"/>
          <w:sz w:val="22"/>
          <w:szCs w:val="22"/>
          <w:b w:val="1"/>
          <w:bCs w:val="1"/>
          <w:color w:val="auto"/>
        </w:rPr>
      </w:pPr>
    </w:p>
    <w:p>
      <w:pPr>
        <w:jc w:val="both"/>
        <w:ind w:firstLine="1304"/>
        <w:spacing w:after="0" w:line="258" w:lineRule="auto"/>
        <w:tabs>
          <w:tab w:leader="none" w:pos="1830" w:val="left"/>
        </w:tabs>
        <w:numPr>
          <w:ilvl w:val="0"/>
          <w:numId w:val="443"/>
        </w:numPr>
        <w:rPr>
          <w:rFonts w:ascii="Arial" w:cs="Arial" w:eastAsia="Arial" w:hAnsi="Arial"/>
          <w:sz w:val="21"/>
          <w:szCs w:val="21"/>
          <w:b w:val="1"/>
          <w:bCs w:val="1"/>
          <w:color w:val="auto"/>
        </w:rPr>
      </w:pPr>
      <w:r>
        <w:rPr>
          <w:rFonts w:ascii="Arial" w:cs="Arial" w:eastAsia="Arial" w:hAnsi="Arial"/>
          <w:sz w:val="21"/>
          <w:szCs w:val="21"/>
          <w:color w:val="auto"/>
        </w:rPr>
        <w:t>Notwithstanding the foregoing, Allergan may terminate the license granted pursuant to Section 4.6(a) with respect to all DARPin Supported Allergan Claims immediately upon written notice to Molecular Partners if Molecular Partners or its Affiliates or Sublicensees (directly or indirectly, individually or in association with any other person or entity) challenges, anywhere in the world, the validity, enforceability or scope of any DARPin Supported Allergan Claim. Notwithstanding the foregoing, in the event that Allergan (directly or indirectly) first initiates or participates in a legal proceeding against Molecular Partners, its Affiliates or Sublicensees in which a DARPin Supported Allergan Claim is asserted against Molecular Partners, its Affiliates or Sublicensees, then Molecular Partners, its Affiliates or Sublicensees, as applicable, shall have the right to participate in such actions including by challenging the validity, enforceability or scope of any DARPin Supported Allergan Claim, and no such challenge by Molecular Partners, its Affiliates or Sublicensees shall give Allergan the right to terminate such license under this Section 4.6(d).</w:t>
      </w:r>
    </w:p>
    <w:p>
      <w:pPr>
        <w:spacing w:after="0" w:line="179" w:lineRule="exact"/>
        <w:rPr>
          <w:sz w:val="20"/>
          <w:szCs w:val="20"/>
          <w:color w:val="auto"/>
        </w:rPr>
      </w:pPr>
    </w:p>
    <w:p>
      <w:pPr>
        <w:ind w:firstLine="648"/>
        <w:spacing w:after="0" w:line="349" w:lineRule="auto"/>
        <w:rPr>
          <w:sz w:val="20"/>
          <w:szCs w:val="20"/>
          <w:color w:val="auto"/>
        </w:rPr>
      </w:pPr>
      <w:r>
        <w:rPr>
          <w:rFonts w:ascii="Arial" w:cs="Arial" w:eastAsia="Arial" w:hAnsi="Arial"/>
          <w:sz w:val="19"/>
          <w:szCs w:val="19"/>
          <w:b w:val="1"/>
          <w:bCs w:val="1"/>
          <w:color w:val="auto"/>
        </w:rPr>
        <w:t>4.7 No Implied Licenses</w:t>
      </w:r>
      <w:r>
        <w:rPr>
          <w:rFonts w:ascii="Arial" w:cs="Arial" w:eastAsia="Arial" w:hAnsi="Arial"/>
          <w:sz w:val="19"/>
          <w:szCs w:val="19"/>
          <w:color w:val="auto"/>
        </w:rPr>
        <w:t>. Except as explicitly set forth in this Agreement, neither Party shall be deemed by estoppel or</w:t>
      </w:r>
      <w:r>
        <w:rPr>
          <w:rFonts w:ascii="Arial" w:cs="Arial" w:eastAsia="Arial" w:hAnsi="Arial"/>
          <w:sz w:val="19"/>
          <w:szCs w:val="19"/>
          <w:b w:val="1"/>
          <w:bCs w:val="1"/>
          <w:color w:val="auto"/>
        </w:rPr>
        <w:t xml:space="preserve"> </w:t>
      </w:r>
      <w:r>
        <w:rPr>
          <w:rFonts w:ascii="Arial" w:cs="Arial" w:eastAsia="Arial" w:hAnsi="Arial"/>
          <w:sz w:val="19"/>
          <w:szCs w:val="19"/>
          <w:color w:val="auto"/>
        </w:rPr>
        <w:t>implication to have granted the other Party any license or other right to any intellectual property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91" w:name="page492"/>
    <w:bookmarkEnd w:id="491"/>
    <w:p>
      <w:pPr>
        <w:ind w:left="660"/>
        <w:spacing w:after="0"/>
        <w:tabs>
          <w:tab w:leader="none" w:pos="112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8"/>
          <w:szCs w:val="18"/>
          <w:b w:val="1"/>
          <w:bCs w:val="1"/>
          <w:color w:val="auto"/>
        </w:rPr>
        <w:t>Covenants</w:t>
      </w:r>
      <w:r>
        <w:rPr>
          <w:rFonts w:ascii="Arial" w:cs="Arial" w:eastAsia="Arial" w:hAnsi="Arial"/>
          <w:sz w:val="18"/>
          <w:szCs w:val="18"/>
          <w:color w:val="auto"/>
        </w:rPr>
        <w:t>.</w:t>
      </w:r>
    </w:p>
    <w:p>
      <w:pPr>
        <w:spacing w:after="0" w:line="220" w:lineRule="exact"/>
        <w:rPr>
          <w:sz w:val="20"/>
          <w:szCs w:val="20"/>
          <w:color w:val="auto"/>
        </w:rPr>
      </w:pPr>
    </w:p>
    <w:p>
      <w:pPr>
        <w:ind w:left="1780" w:hanging="476"/>
        <w:spacing w:after="0"/>
        <w:tabs>
          <w:tab w:leader="none" w:pos="1780" w:val="left"/>
        </w:tabs>
        <w:numPr>
          <w:ilvl w:val="0"/>
          <w:numId w:val="444"/>
        </w:numPr>
        <w:rPr>
          <w:rFonts w:ascii="Arial" w:cs="Arial" w:eastAsia="Arial" w:hAnsi="Arial"/>
          <w:sz w:val="22"/>
          <w:szCs w:val="22"/>
          <w:b w:val="1"/>
          <w:bCs w:val="1"/>
          <w:color w:val="auto"/>
        </w:rPr>
      </w:pPr>
      <w:r>
        <w:rPr>
          <w:rFonts w:ascii="Arial" w:cs="Arial" w:eastAsia="Arial" w:hAnsi="Arial"/>
          <w:sz w:val="22"/>
          <w:szCs w:val="22"/>
          <w:b w:val="1"/>
          <w:bCs w:val="1"/>
          <w:color w:val="auto"/>
        </w:rPr>
        <w:t>Misappropriation by Allergan Affiliates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90" w:lineRule="auto"/>
        <w:tabs>
          <w:tab w:leader="none" w:pos="2404" w:val="left"/>
        </w:tabs>
        <w:numPr>
          <w:ilvl w:val="1"/>
          <w:numId w:val="444"/>
        </w:numPr>
        <w:rPr>
          <w:rFonts w:ascii="Arial" w:cs="Arial" w:eastAsia="Arial" w:hAnsi="Arial"/>
          <w:sz w:val="19"/>
          <w:szCs w:val="19"/>
          <w:b w:val="1"/>
          <w:bCs w:val="1"/>
          <w:color w:val="auto"/>
        </w:rPr>
      </w:pPr>
      <w:r>
        <w:rPr>
          <w:rFonts w:ascii="Arial" w:cs="Arial" w:eastAsia="Arial" w:hAnsi="Arial"/>
          <w:sz w:val="19"/>
          <w:szCs w:val="19"/>
          <w:color w:val="auto"/>
        </w:rPr>
        <w:t>Allergan hereby covenants that, during the Research Term and any Research Term Extension, it will not, and will not grant a license to any of its Affiliates or Sublicensees permitting such Affiliates or Sublicensees to, conduct any activities that infringe a Valid Claim, or misappropriate any Molecular Partners Know-How, within the Molecular Partners Research IP, outside the scope of the license expressly granted by Section 4.1(a). In the event that Allergan or any such Affiliate or Sublicensee materially breaches this Section 4.8(a)(i), then Allergan, such Affiliate or such Sublicensee, as applicable, shall promptly notify Molecular Partners and assign to Molecular Partners all of its rights in any inventions to the extent made in the conduct of such activities outside the scope of the license expressly granted by Section 4.1(a), and, at the request of Molecular Partners, provide to Molecular Partners all Information related thereto.</w:t>
      </w:r>
    </w:p>
    <w:p>
      <w:pPr>
        <w:spacing w:after="0" w:line="155" w:lineRule="exact"/>
        <w:rPr>
          <w:rFonts w:ascii="Arial" w:cs="Arial" w:eastAsia="Arial" w:hAnsi="Arial"/>
          <w:sz w:val="19"/>
          <w:szCs w:val="19"/>
          <w:b w:val="1"/>
          <w:bCs w:val="1"/>
          <w:color w:val="auto"/>
        </w:rPr>
      </w:pPr>
    </w:p>
    <w:p>
      <w:pPr>
        <w:jc w:val="both"/>
        <w:ind w:firstLine="1952"/>
        <w:spacing w:after="0" w:line="290" w:lineRule="auto"/>
        <w:tabs>
          <w:tab w:leader="none" w:pos="2424" w:val="left"/>
        </w:tabs>
        <w:numPr>
          <w:ilvl w:val="1"/>
          <w:numId w:val="444"/>
        </w:numPr>
        <w:rPr>
          <w:rFonts w:ascii="Arial" w:cs="Arial" w:eastAsia="Arial" w:hAnsi="Arial"/>
          <w:sz w:val="19"/>
          <w:szCs w:val="19"/>
          <w:b w:val="1"/>
          <w:bCs w:val="1"/>
          <w:color w:val="auto"/>
        </w:rPr>
      </w:pPr>
      <w:r>
        <w:rPr>
          <w:rFonts w:ascii="Arial" w:cs="Arial" w:eastAsia="Arial" w:hAnsi="Arial"/>
          <w:sz w:val="19"/>
          <w:szCs w:val="19"/>
          <w:color w:val="auto"/>
        </w:rPr>
        <w:t>Allergan hereby covenants that, between the time of the first Option exercise and the end of the Term, it will not, and will not grant a license to any of its Affiliates or Sublicensees permitting such Affiliates or Sublicensees to, conduct any activities that infringe a Valid Claim, or misappropriate any Molecular Partners Know-How, within the Molecular Partners Licensed Technology, outside the scope of the license expressly granted by Section 4.3. In the event that Allergan or any such Affiliate or Sublicensee materially breaches this Section 4.8(a)(ii), then Allergan, such Affiliate or such Sublicensee, as applicable, shall promptly notify Molecular Partners and assign to Molecular Partners all of its rights in any inventions to the extent made in the conduct of such activities outside the scope of the license expressly granted by Section 4.3, and, at the request of Molecular Partners, provide to Molecular Partners all Information related thereto.</w:t>
      </w:r>
    </w:p>
    <w:p>
      <w:pPr>
        <w:spacing w:after="0" w:line="149" w:lineRule="exact"/>
        <w:rPr>
          <w:rFonts w:ascii="Arial" w:cs="Arial" w:eastAsia="Arial" w:hAnsi="Arial"/>
          <w:sz w:val="19"/>
          <w:szCs w:val="19"/>
          <w:b w:val="1"/>
          <w:bCs w:val="1"/>
          <w:color w:val="auto"/>
        </w:rPr>
      </w:pPr>
    </w:p>
    <w:p>
      <w:pPr>
        <w:ind w:left="1780" w:hanging="476"/>
        <w:spacing w:after="0"/>
        <w:tabs>
          <w:tab w:leader="none" w:pos="1780" w:val="left"/>
        </w:tabs>
        <w:numPr>
          <w:ilvl w:val="0"/>
          <w:numId w:val="444"/>
        </w:numPr>
        <w:rPr>
          <w:rFonts w:ascii="Arial" w:cs="Arial" w:eastAsia="Arial" w:hAnsi="Arial"/>
          <w:sz w:val="22"/>
          <w:szCs w:val="22"/>
          <w:b w:val="1"/>
          <w:bCs w:val="1"/>
          <w:color w:val="auto"/>
        </w:rPr>
      </w:pPr>
      <w:r>
        <w:rPr>
          <w:rFonts w:ascii="Arial" w:cs="Arial" w:eastAsia="Arial" w:hAnsi="Arial"/>
          <w:sz w:val="22"/>
          <w:szCs w:val="22"/>
          <w:b w:val="1"/>
          <w:bCs w:val="1"/>
          <w:color w:val="auto"/>
        </w:rPr>
        <w:t>Misappropriation by Molecular Partners Affiliates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90" w:lineRule="auto"/>
        <w:tabs>
          <w:tab w:leader="none" w:pos="2566" w:val="left"/>
        </w:tabs>
        <w:numPr>
          <w:ilvl w:val="1"/>
          <w:numId w:val="444"/>
        </w:numPr>
        <w:rPr>
          <w:rFonts w:ascii="Arial" w:cs="Arial" w:eastAsia="Arial" w:hAnsi="Arial"/>
          <w:sz w:val="19"/>
          <w:szCs w:val="19"/>
          <w:b w:val="1"/>
          <w:bCs w:val="1"/>
          <w:color w:val="auto"/>
        </w:rPr>
      </w:pPr>
      <w:r>
        <w:rPr>
          <w:rFonts w:ascii="Arial" w:cs="Arial" w:eastAsia="Arial" w:hAnsi="Arial"/>
          <w:sz w:val="19"/>
          <w:szCs w:val="19"/>
          <w:color w:val="auto"/>
        </w:rPr>
        <w:t>Molecular Partners hereby covenants that, during the Research Term and any Research Term Extension, it will not, and will not grant a license to any of its Affiliates or sublicensees permitting such Affiliates or sublicensees to, conduct any activities that infringe a Valid Claim of any Patent, or misappropriate any Information, Controlled by Allergan and licensed under Section 4.1(b) outside the scope of the license expressly granted by Section 4.1(b). In the event that Molecular Partners or any such Affiliate or sublicensee materially breaches this Section 4.8(b)(i), then Molecular Partners, such Affiliate or such sublicensee, as applicable, shall promptly notify Allergan and assign to Allergan all of its rights in any inventions to the extent made in the conduct of such activities outside the scope of the license expressly granted by Section 4.1(b), and, at the request of Allergan, provide to Allergan all Information related thereto.</w:t>
      </w:r>
    </w:p>
    <w:p>
      <w:pPr>
        <w:spacing w:after="0" w:line="155" w:lineRule="exact"/>
        <w:rPr>
          <w:rFonts w:ascii="Arial" w:cs="Arial" w:eastAsia="Arial" w:hAnsi="Arial"/>
          <w:sz w:val="19"/>
          <w:szCs w:val="19"/>
          <w:b w:val="1"/>
          <w:bCs w:val="1"/>
          <w:color w:val="auto"/>
        </w:rPr>
      </w:pPr>
    </w:p>
    <w:p>
      <w:pPr>
        <w:jc w:val="both"/>
        <w:ind w:firstLine="1952"/>
        <w:spacing w:after="0" w:line="250" w:lineRule="auto"/>
        <w:tabs>
          <w:tab w:leader="none" w:pos="2464" w:val="left"/>
        </w:tabs>
        <w:numPr>
          <w:ilvl w:val="1"/>
          <w:numId w:val="444"/>
        </w:numPr>
        <w:rPr>
          <w:rFonts w:ascii="Arial" w:cs="Arial" w:eastAsia="Arial" w:hAnsi="Arial"/>
          <w:sz w:val="22"/>
          <w:szCs w:val="22"/>
          <w:b w:val="1"/>
          <w:bCs w:val="1"/>
          <w:color w:val="auto"/>
        </w:rPr>
      </w:pPr>
      <w:r>
        <w:rPr>
          <w:rFonts w:ascii="Arial" w:cs="Arial" w:eastAsia="Arial" w:hAnsi="Arial"/>
          <w:sz w:val="22"/>
          <w:szCs w:val="22"/>
          <w:color w:val="auto"/>
        </w:rPr>
        <w:t>Molecular Partners hereby covenants that, between the time of the first Option exercise and the end of the Term, it will not, and will not grant a license to any of its Affiliates or sublicensees permitting such Affiliates or sublicensees to, conduct any activities that infringe a Valid Claim of DARPin Supported Allergan Claim, or misappropriate any DARPin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92" w:name="page493"/>
    <w:bookmarkEnd w:id="492"/>
    <w:p>
      <w:pPr>
        <w:jc w:val="both"/>
        <w:spacing w:after="0" w:line="297" w:lineRule="auto"/>
        <w:rPr>
          <w:sz w:val="20"/>
          <w:szCs w:val="20"/>
          <w:color w:val="auto"/>
        </w:rPr>
      </w:pPr>
      <w:r>
        <w:rPr>
          <w:rFonts w:ascii="Arial" w:cs="Arial" w:eastAsia="Arial" w:hAnsi="Arial"/>
          <w:sz w:val="19"/>
          <w:szCs w:val="19"/>
          <w:color w:val="auto"/>
        </w:rPr>
        <w:t>Supported Allergan Claim Information to the extent licensed under Section 4.6(a) outside the scope of the license expressly granted by Section 4.6(a). In the event that Molecular Partners or any such Affiliate or sublicensee materially breaches this Section 4.8(b)(ii), then Molecular Partners, such Affiliate or such sublicensee, as applicable, shall promptly notify Allergan and assign to Allergan all of its rights in any inventions to the extent made in the conduct of such activities outside the scope of the license expressly granted by Section 4.6(a), and, at the request of Allergan, provide to Allergan all Information related thereto.</w:t>
      </w:r>
    </w:p>
    <w:p>
      <w:pPr>
        <w:spacing w:after="0" w:line="14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9"/>
          <w:szCs w:val="19"/>
          <w:b w:val="1"/>
          <w:bCs w:val="1"/>
          <w:color w:val="auto"/>
        </w:rPr>
        <w:t>Expiration of Rights; AGN Collaboration Results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97" w:lineRule="auto"/>
        <w:tabs>
          <w:tab w:leader="none" w:pos="1818" w:val="left"/>
        </w:tabs>
        <w:numPr>
          <w:ilvl w:val="0"/>
          <w:numId w:val="445"/>
        </w:numPr>
        <w:rPr>
          <w:rFonts w:ascii="Arial" w:cs="Arial" w:eastAsia="Arial" w:hAnsi="Arial"/>
          <w:sz w:val="19"/>
          <w:szCs w:val="19"/>
          <w:b w:val="1"/>
          <w:bCs w:val="1"/>
          <w:color w:val="auto"/>
        </w:rPr>
      </w:pPr>
      <w:r>
        <w:rPr>
          <w:rFonts w:ascii="Arial" w:cs="Arial" w:eastAsia="Arial" w:hAnsi="Arial"/>
          <w:sz w:val="19"/>
          <w:szCs w:val="19"/>
          <w:color w:val="auto"/>
        </w:rPr>
        <w:t>For clarity, for each Collaboration Target, upon the earlier of (i) expiration of the Research Term (or, for a RTE Compound or RTE Target Combination, expiration of the Research Term Extension) or (ii) replacement of such Collaboration Target, Allergan will have no further rights to any Collaboration Results, Product Candidates or AGN DARPin Domains for such Collaboration Target, except for (A) rights to Licensed Products for a Licensed Target Combination containing such Collaboration Target (if any) as set forth in this Agreement and (B) rights to receive royalties under Article 4.</w:t>
      </w:r>
    </w:p>
    <w:p>
      <w:pPr>
        <w:spacing w:after="0" w:line="146" w:lineRule="exact"/>
        <w:rPr>
          <w:rFonts w:ascii="Arial" w:cs="Arial" w:eastAsia="Arial" w:hAnsi="Arial"/>
          <w:sz w:val="19"/>
          <w:szCs w:val="19"/>
          <w:b w:val="1"/>
          <w:bCs w:val="1"/>
          <w:color w:val="auto"/>
        </w:rPr>
      </w:pPr>
    </w:p>
    <w:p>
      <w:pPr>
        <w:jc w:val="both"/>
        <w:ind w:firstLine="1304"/>
        <w:spacing w:after="0" w:line="259" w:lineRule="auto"/>
        <w:tabs>
          <w:tab w:leader="none" w:pos="1938" w:val="left"/>
        </w:tabs>
        <w:numPr>
          <w:ilvl w:val="0"/>
          <w:numId w:val="445"/>
        </w:numPr>
        <w:rPr>
          <w:rFonts w:ascii="Arial" w:cs="Arial" w:eastAsia="Arial" w:hAnsi="Arial"/>
          <w:sz w:val="21"/>
          <w:szCs w:val="21"/>
          <w:b w:val="1"/>
          <w:bCs w:val="1"/>
          <w:color w:val="auto"/>
        </w:rPr>
      </w:pPr>
      <w:r>
        <w:rPr>
          <w:rFonts w:ascii="Arial" w:cs="Arial" w:eastAsia="Arial" w:hAnsi="Arial"/>
          <w:sz w:val="21"/>
          <w:szCs w:val="21"/>
          <w:color w:val="auto"/>
        </w:rPr>
        <w:t>Reasonably promptly following the expiration of the Research Term, Allergan will provide Molecular Partners with a reasonably detailed summary of the AGN Collaboration Results derived from Product Candidates (other than RTE Compounds), other than any such AGN Collaboration Results that are directly related to any Licensed Product or that relate to Drug Delivery Systems Controlled by Allergan. Reasonably promptly following the expiration of the Research Term Extension, if any, Allergan will provide Molecular Partners with a reasonably detailed summary of the AGN Collaboration Results derived from RTE Compounds other than any such AGN Collaboration Results that are directly related to any Licensed Product or that relate to Drug Delivery Systems Controlled by Allergan. Upon the reasonable request of Molecular Partners, Allergan will reasonably promptly provide Molecular Partners with electronic copies of the portions of any AGN Collaboration Results described in any such summary.</w:t>
      </w:r>
    </w:p>
    <w:p>
      <w:pPr>
        <w:spacing w:after="0" w:line="179" w:lineRule="exact"/>
        <w:rPr>
          <w:rFonts w:ascii="Arial" w:cs="Arial" w:eastAsia="Arial" w:hAnsi="Arial"/>
          <w:sz w:val="21"/>
          <w:szCs w:val="21"/>
          <w:b w:val="1"/>
          <w:bCs w:val="1"/>
          <w:color w:val="auto"/>
        </w:rPr>
      </w:pPr>
    </w:p>
    <w:p>
      <w:pPr>
        <w:jc w:val="both"/>
        <w:ind w:firstLine="1304"/>
        <w:spacing w:after="0" w:line="250" w:lineRule="auto"/>
        <w:tabs>
          <w:tab w:leader="none" w:pos="1779" w:val="left"/>
        </w:tabs>
        <w:numPr>
          <w:ilvl w:val="0"/>
          <w:numId w:val="445"/>
        </w:numPr>
        <w:rPr>
          <w:rFonts w:ascii="Arial" w:cs="Arial" w:eastAsia="Arial" w:hAnsi="Arial"/>
          <w:sz w:val="22"/>
          <w:szCs w:val="22"/>
          <w:b w:val="1"/>
          <w:bCs w:val="1"/>
          <w:color w:val="auto"/>
        </w:rPr>
      </w:pPr>
      <w:r>
        <w:rPr>
          <w:rFonts w:ascii="Arial" w:cs="Arial" w:eastAsia="Arial" w:hAnsi="Arial"/>
          <w:sz w:val="22"/>
          <w:szCs w:val="22"/>
          <w:color w:val="auto"/>
        </w:rPr>
        <w:t>Following and effective upon the expiration of the Research Term or, to the extent applicable, any Research Term Extension, Allergan hereby grants to Molecular Partners [***] worldwide, [***] license, [***], under all of Allergan’s right, title and interest in and to [***] to research, develop, make, have made, use, sell, offer for sale, import and otherwise commercialize [***].</w:t>
      </w:r>
    </w:p>
    <w:p>
      <w:pPr>
        <w:spacing w:after="0" w:line="18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color w:val="auto"/>
        </w:rPr>
        <w:t>Rejection and Termination</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74" w:lineRule="auto"/>
        <w:tabs>
          <w:tab w:leader="none" w:pos="1836" w:val="left"/>
        </w:tabs>
        <w:numPr>
          <w:ilvl w:val="0"/>
          <w:numId w:val="446"/>
        </w:numPr>
        <w:rPr>
          <w:rFonts w:ascii="Arial" w:cs="Arial" w:eastAsia="Arial" w:hAnsi="Arial"/>
          <w:sz w:val="21"/>
          <w:szCs w:val="21"/>
          <w:b w:val="1"/>
          <w:bCs w:val="1"/>
          <w:color w:val="auto"/>
        </w:rPr>
      </w:pPr>
      <w:r>
        <w:rPr>
          <w:rFonts w:ascii="Arial" w:cs="Arial" w:eastAsia="Arial" w:hAnsi="Arial"/>
          <w:sz w:val="21"/>
          <w:szCs w:val="21"/>
          <w:b w:val="1"/>
          <w:bCs w:val="1"/>
          <w:color w:val="auto"/>
        </w:rPr>
        <w:t>Rejected Product Candidates</w:t>
      </w:r>
      <w:r>
        <w:rPr>
          <w:rFonts w:ascii="Arial" w:cs="Arial" w:eastAsia="Arial" w:hAnsi="Arial"/>
          <w:sz w:val="21"/>
          <w:szCs w:val="21"/>
          <w:color w:val="auto"/>
        </w:rPr>
        <w:t>. Molecular Partners shall have the exclusive right, at its sole discretion, to</w:t>
      </w:r>
      <w:r>
        <w:rPr>
          <w:rFonts w:ascii="Arial" w:cs="Arial" w:eastAsia="Arial" w:hAnsi="Arial"/>
          <w:sz w:val="21"/>
          <w:szCs w:val="21"/>
          <w:b w:val="1"/>
          <w:bCs w:val="1"/>
          <w:color w:val="auto"/>
        </w:rPr>
        <w:t xml:space="preserve"> </w:t>
      </w:r>
      <w:r>
        <w:rPr>
          <w:rFonts w:ascii="Arial" w:cs="Arial" w:eastAsia="Arial" w:hAnsi="Arial"/>
          <w:sz w:val="21"/>
          <w:szCs w:val="21"/>
          <w:color w:val="auto"/>
        </w:rPr>
        <w:t>research, develop and commercialize all Rejected Product Candidates and Terminated Products in and outside the Field, subject to Article 3 and any applicable royalty payments to Allergan set forth in Section 4.10(c).</w:t>
      </w:r>
    </w:p>
    <w:p>
      <w:pPr>
        <w:spacing w:after="0" w:line="158" w:lineRule="exact"/>
        <w:rPr>
          <w:rFonts w:ascii="Arial" w:cs="Arial" w:eastAsia="Arial" w:hAnsi="Arial"/>
          <w:sz w:val="21"/>
          <w:szCs w:val="21"/>
          <w:b w:val="1"/>
          <w:bCs w:val="1"/>
          <w:color w:val="auto"/>
        </w:rPr>
      </w:pPr>
    </w:p>
    <w:p>
      <w:pPr>
        <w:ind w:firstLine="1304"/>
        <w:spacing w:after="0" w:line="269" w:lineRule="auto"/>
        <w:tabs>
          <w:tab w:leader="none" w:pos="1880" w:val="left"/>
        </w:tabs>
        <w:numPr>
          <w:ilvl w:val="0"/>
          <w:numId w:val="446"/>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 After exercising an Option with respect to a particular Collaboration Target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Allergan may, at its sole discretion and upon at least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93" w:name="page494"/>
    <w:bookmarkEnd w:id="493"/>
    <w:p>
      <w:pPr>
        <w:jc w:val="both"/>
        <w:spacing w:after="0" w:line="257" w:lineRule="auto"/>
        <w:rPr>
          <w:sz w:val="20"/>
          <w:szCs w:val="20"/>
          <w:color w:val="auto"/>
        </w:rPr>
      </w:pPr>
      <w:r>
        <w:rPr>
          <w:rFonts w:ascii="Arial" w:cs="Arial" w:eastAsia="Arial" w:hAnsi="Arial"/>
          <w:sz w:val="21"/>
          <w:szCs w:val="21"/>
          <w:color w:val="auto"/>
        </w:rPr>
        <w:t>written notice to Molecular Partners, terminate its Development and Commercialization of all Licensed Products for such Licensed Target Combination, in which case each such Licensed Product will be deemed to be a Terminated Product. Allergan shall continue to perform all obligations under this Agreement with respect to the Development, Manufacture and Commercialization of Licensed Products until the effective date of termination and shall not modify in any material respects such activities from past practices during such period. For clarity, so long as Allergan is developing at least one Licensed Compound for a Licensed Target Combination, this Section 4.10(b) does not apply to such Licensed Target Combination. Upon effectiveness of such termination, (i) the license in Section 4.3 for all such Licensed Products and for the Molecular Partners Licensed Technology for such Licensed Products will immediately terminate and (ii) Allergan shall promptly pay Molecular Partners any and all payments that have accrued prior to the effective date of such termination. Molecular Partners may, within [***] of the effectiveness of such termination, deliver a written notice to Allergan stating that it has a bona fide intent to develop and commercialize one or more of the Terminated Products and that it is prepared to facilitate the transfers described in items 2, 3, 5, and 6 below. If such notice is not delivered in such time period, Allergan shall have no obligation to complete items 1 through 6 below, but if such notice is delivered:</w:t>
      </w:r>
    </w:p>
    <w:p>
      <w:pPr>
        <w:spacing w:after="0" w:line="189" w:lineRule="exact"/>
        <w:rPr>
          <w:sz w:val="20"/>
          <w:szCs w:val="20"/>
          <w:color w:val="auto"/>
        </w:rPr>
      </w:pPr>
    </w:p>
    <w:p>
      <w:pPr>
        <w:jc w:val="both"/>
        <w:ind w:firstLine="2600"/>
        <w:spacing w:after="0" w:line="284" w:lineRule="auto"/>
        <w:tabs>
          <w:tab w:leader="none" w:pos="3100" w:val="left"/>
        </w:tabs>
        <w:numPr>
          <w:ilvl w:val="0"/>
          <w:numId w:val="447"/>
        </w:numPr>
        <w:rPr>
          <w:rFonts w:ascii="Arial" w:cs="Arial" w:eastAsia="Arial" w:hAnsi="Arial"/>
          <w:sz w:val="19"/>
          <w:szCs w:val="19"/>
          <w:b w:val="1"/>
          <w:bCs w:val="1"/>
          <w:color w:val="auto"/>
        </w:rPr>
      </w:pPr>
      <w:r>
        <w:rPr>
          <w:rFonts w:ascii="Arial" w:cs="Arial" w:eastAsia="Arial" w:hAnsi="Arial"/>
          <w:sz w:val="19"/>
          <w:szCs w:val="19"/>
          <w:color w:val="auto"/>
        </w:rPr>
        <w:t>Allergan hereby grants to Molecular Partners, effective upon such termination, an exclusive, royalty-bearing, fully transferrable license (with the right to grant sublicenses through multiple tiers) under (A) all Patents Controlled by Allergan (as of the effective date of termination) and Licensed Product Marks (excluding, for clarity, any Trademarks that include, in whole or part, any corporate name or logo of Allergan) in each case solely to the extent that absent such license, the continued clinical Development, Manufacture or Commercialization of the applicable Terminated Products, including the Drug Delivery Systems used by Allergan as of the effective date of termination in connection with such Terminated Products, would infringe a Valid Claim of a Patent Controlled by Allergan or Licensed Product Mark; provided that, if any such Drug Delivery Systems are subject to payments due to any Third Party, Allergan shall notify Molecular Partners of such Third Party payment obligations and such Drug Delivery Systems will only be included in the foregoing license if Molecular Partners agrees in writing to be responsible for all payments due to such Third Party for the use of such Drug Delivery Systems and, in connection with such agreement, the Parties negotiate, in good faith, how such Third Party payments for such Drug Delivery Systems will be calculated in light of all facts and circumstances applicable to such Third Party payments (e.g. taking into account royalty tiers, royalty caps, and other similar payment provisions), (B) all Information (including Inventions) Controlled by Allergan (as of the effective date of termination), solely to the extent reasonably necessary for the continued clinical Development, Manufacture or Commercialization of the applicable Terminated Products, including Information related to Drug Delivery Systems used by Allergan as of the effective date of termination in connection with such Terminated Products, and (C) any Joint Patents, in each case (A) through (C) solely to make, use, sell, offer for sale, and import such Terminated Products in the Territory in and outside the Field; provided that Molecular Partners shall be responsible for any payments to Third Parties for any Patent or Information owned by such Third Party and licensed to Molecular Partners from Allergan under this subsection (1) to the extent such payments result from Molecular Partners’ development, manufacture or commercialization of such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94" w:name="page495"/>
    <w:bookmarkEnd w:id="494"/>
    <w:p>
      <w:pPr>
        <w:jc w:val="both"/>
        <w:spacing w:after="0" w:line="253" w:lineRule="auto"/>
        <w:rPr>
          <w:sz w:val="20"/>
          <w:szCs w:val="20"/>
          <w:color w:val="auto"/>
        </w:rPr>
      </w:pPr>
      <w:r>
        <w:rPr>
          <w:rFonts w:ascii="Arial" w:cs="Arial" w:eastAsia="Arial" w:hAnsi="Arial"/>
          <w:sz w:val="22"/>
          <w:szCs w:val="22"/>
          <w:color w:val="auto"/>
        </w:rPr>
        <w:t>Products, and the Parties shall negotiate, in good faith, how such payments to such Third Parties will be calculated in light of all facts and circumstances (e.g. taking into account royalty tiers, royalty caps, and other similar payment provisions) applicable to such Third Party payments;</w:t>
      </w:r>
    </w:p>
    <w:p>
      <w:pPr>
        <w:spacing w:after="0" w:line="185" w:lineRule="exact"/>
        <w:rPr>
          <w:sz w:val="20"/>
          <w:szCs w:val="20"/>
          <w:color w:val="auto"/>
        </w:rPr>
      </w:pPr>
    </w:p>
    <w:p>
      <w:pPr>
        <w:jc w:val="both"/>
        <w:ind w:firstLine="2600"/>
        <w:spacing w:after="0" w:line="297" w:lineRule="auto"/>
        <w:tabs>
          <w:tab w:leader="none" w:pos="3127" w:val="left"/>
        </w:tabs>
        <w:numPr>
          <w:ilvl w:val="1"/>
          <w:numId w:val="448"/>
        </w:numPr>
        <w:rPr>
          <w:rFonts w:ascii="Arial" w:cs="Arial" w:eastAsia="Arial" w:hAnsi="Arial"/>
          <w:sz w:val="19"/>
          <w:szCs w:val="19"/>
          <w:b w:val="1"/>
          <w:bCs w:val="1"/>
          <w:color w:val="auto"/>
        </w:rPr>
      </w:pPr>
      <w:r>
        <w:rPr>
          <w:rFonts w:ascii="Arial" w:cs="Arial" w:eastAsia="Arial" w:hAnsi="Arial"/>
          <w:sz w:val="19"/>
          <w:szCs w:val="19"/>
          <w:color w:val="auto"/>
        </w:rPr>
        <w:t>to the extent permitted by applicable Laws, Allergan shall transfer and assign to Molecular Partners all Regulatory Materials (including all Information and clinical data referenced therein or generated under this Agreement) and Regulatory Approvals for Terminated Products Controlled by Allergan and shall treat the foregoing as “Confidential Information” of Molecular Partners (and not of Allergan) under Article 13; provided that Allergan will be allowed to retain a copy of any such Regulatory Materials that a Regulatory Authority requires Allergan to retain under applicable Laws;</w:t>
      </w:r>
    </w:p>
    <w:p>
      <w:pPr>
        <w:spacing w:after="0" w:line="146" w:lineRule="exact"/>
        <w:rPr>
          <w:rFonts w:ascii="Arial" w:cs="Arial" w:eastAsia="Arial" w:hAnsi="Arial"/>
          <w:sz w:val="19"/>
          <w:szCs w:val="19"/>
          <w:b w:val="1"/>
          <w:bCs w:val="1"/>
          <w:color w:val="auto"/>
        </w:rPr>
      </w:pPr>
    </w:p>
    <w:p>
      <w:pPr>
        <w:jc w:val="both"/>
        <w:ind w:firstLine="2600"/>
        <w:spacing w:after="0" w:line="283" w:lineRule="auto"/>
        <w:tabs>
          <w:tab w:leader="none" w:pos="3141" w:val="left"/>
        </w:tabs>
        <w:numPr>
          <w:ilvl w:val="1"/>
          <w:numId w:val="448"/>
        </w:numPr>
        <w:rPr>
          <w:rFonts w:ascii="Arial" w:cs="Arial" w:eastAsia="Arial" w:hAnsi="Arial"/>
          <w:sz w:val="19"/>
          <w:szCs w:val="19"/>
          <w:b w:val="1"/>
          <w:bCs w:val="1"/>
          <w:color w:val="auto"/>
        </w:rPr>
      </w:pPr>
      <w:r>
        <w:rPr>
          <w:rFonts w:ascii="Arial" w:cs="Arial" w:eastAsia="Arial" w:hAnsi="Arial"/>
          <w:sz w:val="19"/>
          <w:szCs w:val="19"/>
          <w:color w:val="auto"/>
        </w:rPr>
        <w:t>Allergan shall use reasonable efforts to transfer the then-current Manufacturing process for the Terminated Products, including using reasonable efforts to transfer any applicable Third Party agreements covering such Manufacture, to Molecular Partners or its designee (which will be designated as soon as reasonably practical but in no event later than [***] following the effective date of termination). Molecular Partners shall have the right to use such Manufacturing process solely for the purpose of Manufacturing such Terminated Product. Such assistance shall be provided at Allergan’s then current employee rates, as calculated by Allergan monthly in accordance with Allergan’s standard practice and normal systems and methodologies, including those for allocating applicable internal costs. At Molecular Partners’ request, Allergan shall sell to Molecular Partners all inventory of the Terminated Products owned by Allergan at the effective time of such termination; provided that such sale will be made pursuant to a mutually acceptable agreement between the Parties and at a price equal to</w:t>
      </w:r>
    </w:p>
    <w:p>
      <w:pPr>
        <w:spacing w:after="0" w:line="7" w:lineRule="exact"/>
        <w:rPr>
          <w:rFonts w:ascii="Arial" w:cs="Arial" w:eastAsia="Arial" w:hAnsi="Arial"/>
          <w:sz w:val="19"/>
          <w:szCs w:val="19"/>
          <w:b w:val="1"/>
          <w:bCs w:val="1"/>
          <w:color w:val="auto"/>
        </w:rPr>
      </w:pPr>
    </w:p>
    <w:p>
      <w:pPr>
        <w:ind w:right="20" w:firstLine="8"/>
        <w:spacing w:after="0" w:line="246" w:lineRule="auto"/>
        <w:tabs>
          <w:tab w:leader="none" w:pos="523" w:val="left"/>
        </w:tabs>
        <w:numPr>
          <w:ilvl w:val="0"/>
          <w:numId w:val="448"/>
        </w:numPr>
        <w:rPr>
          <w:rFonts w:ascii="Arial" w:cs="Arial" w:eastAsia="Arial" w:hAnsi="Arial"/>
          <w:sz w:val="22"/>
          <w:szCs w:val="22"/>
          <w:color w:val="auto"/>
        </w:rPr>
      </w:pPr>
      <w:r>
        <w:rPr>
          <w:rFonts w:ascii="Arial" w:cs="Arial" w:eastAsia="Arial" w:hAnsi="Arial"/>
          <w:sz w:val="22"/>
          <w:szCs w:val="22"/>
          <w:color w:val="auto"/>
        </w:rPr>
        <w:t>of Allergan’s fully-burdened cost to manufacture such inventory and that contains other customary terms and conditions for the sale of inventory by Allergan;</w:t>
      </w:r>
    </w:p>
    <w:p>
      <w:pPr>
        <w:spacing w:after="0" w:line="192" w:lineRule="exact"/>
        <w:rPr>
          <w:rFonts w:ascii="Arial" w:cs="Arial" w:eastAsia="Arial" w:hAnsi="Arial"/>
          <w:sz w:val="22"/>
          <w:szCs w:val="22"/>
          <w:color w:val="auto"/>
        </w:rPr>
      </w:pPr>
    </w:p>
    <w:p>
      <w:pPr>
        <w:jc w:val="both"/>
        <w:ind w:firstLine="2600"/>
        <w:spacing w:after="0" w:line="290" w:lineRule="auto"/>
        <w:tabs>
          <w:tab w:leader="none" w:pos="3316" w:val="left"/>
        </w:tabs>
        <w:numPr>
          <w:ilvl w:val="1"/>
          <w:numId w:val="449"/>
        </w:numPr>
        <w:rPr>
          <w:rFonts w:ascii="Arial" w:cs="Arial" w:eastAsia="Arial" w:hAnsi="Arial"/>
          <w:sz w:val="19"/>
          <w:szCs w:val="19"/>
          <w:b w:val="1"/>
          <w:bCs w:val="1"/>
          <w:color w:val="auto"/>
        </w:rPr>
      </w:pPr>
      <w:r>
        <w:rPr>
          <w:rFonts w:ascii="Arial" w:cs="Arial" w:eastAsia="Arial" w:hAnsi="Arial"/>
          <w:sz w:val="19"/>
          <w:szCs w:val="19"/>
          <w:color w:val="auto"/>
        </w:rPr>
        <w:t>Allergan shall provide such assistance, [***], as calculated by Allergan monthly in accordance with Allergan’s standard practice and normal systems and methodologies, including those for allocating applicable internal costs, as may be reasonably necessary or useful for Molecular Partners to continue Developing or Commercializing Terminated Products, to the extent Allergan is then performing or having performed such activities, including assigning or amending as appropriate, upon request of Molecular Partners, any agreements or arrangements with Third Party vendors to Develop or Commercialize Terminated Products. To the extent that any such contract between Allergan and a Third Party is not assignable to Molecular Partners, Allergan shall reasonably cooperate with Molecular Partners to arrange to continue to provide such services for a reasonable time after termination, at Molecular Partners’ cost;</w:t>
      </w:r>
    </w:p>
    <w:p>
      <w:pPr>
        <w:spacing w:after="0" w:line="155" w:lineRule="exact"/>
        <w:rPr>
          <w:rFonts w:ascii="Arial" w:cs="Arial" w:eastAsia="Arial" w:hAnsi="Arial"/>
          <w:sz w:val="19"/>
          <w:szCs w:val="19"/>
          <w:b w:val="1"/>
          <w:bCs w:val="1"/>
          <w:color w:val="auto"/>
        </w:rPr>
      </w:pPr>
    </w:p>
    <w:p>
      <w:pPr>
        <w:jc w:val="both"/>
        <w:ind w:firstLine="2600"/>
        <w:spacing w:after="0" w:line="248" w:lineRule="auto"/>
        <w:tabs>
          <w:tab w:leader="none" w:pos="3100" w:val="left"/>
        </w:tabs>
        <w:numPr>
          <w:ilvl w:val="1"/>
          <w:numId w:val="449"/>
        </w:numPr>
        <w:rPr>
          <w:rFonts w:ascii="Arial" w:cs="Arial" w:eastAsia="Arial" w:hAnsi="Arial"/>
          <w:sz w:val="22"/>
          <w:szCs w:val="22"/>
          <w:b w:val="1"/>
          <w:bCs w:val="1"/>
          <w:color w:val="auto"/>
        </w:rPr>
      </w:pPr>
      <w:r>
        <w:rPr>
          <w:rFonts w:ascii="Arial" w:cs="Arial" w:eastAsia="Arial" w:hAnsi="Arial"/>
          <w:sz w:val="22"/>
          <w:szCs w:val="22"/>
          <w:color w:val="auto"/>
        </w:rPr>
        <w:t>Allergan shall, at the request of Molecular Partners, either transfer to Molecular Partners the management and continued performance of all Clinical Trials for Terminated Products ongoing or terminate one or more of such Clinical Trials. Notwithstanding, Allergan may perform any Clinical Trial requested to be terminated by Molecular Partners (for clarity, including following the effective date of termination of this Agreement) that may not be terminated under applicable Law or ethical clinical practices;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95" w:name="page496"/>
    <w:bookmarkEnd w:id="495"/>
    <w:p>
      <w:pPr>
        <w:jc w:val="both"/>
        <w:ind w:firstLine="2600"/>
        <w:spacing w:after="0" w:line="248" w:lineRule="auto"/>
        <w:tabs>
          <w:tab w:leader="none" w:pos="3168" w:val="left"/>
        </w:tabs>
        <w:numPr>
          <w:ilvl w:val="2"/>
          <w:numId w:val="450"/>
        </w:numPr>
        <w:rPr>
          <w:rFonts w:ascii="Arial" w:cs="Arial" w:eastAsia="Arial" w:hAnsi="Arial"/>
          <w:sz w:val="22"/>
          <w:szCs w:val="22"/>
          <w:b w:val="1"/>
          <w:bCs w:val="1"/>
          <w:color w:val="auto"/>
        </w:rPr>
      </w:pPr>
      <w:r>
        <w:rPr>
          <w:rFonts w:ascii="Arial" w:cs="Arial" w:eastAsia="Arial" w:hAnsi="Arial"/>
          <w:sz w:val="22"/>
          <w:szCs w:val="22"/>
          <w:color w:val="auto"/>
        </w:rPr>
        <w:t>Allergan shall transfer to Molecular Partners, reasonably promptly following the effective date of such termination, (1) all AGN Collaboration Results directly related to the Terminated Products, and all other material Information and samples of material in Allergan’s possession and Control relating directly to such Terminated Products, and (2) all data and other Information and materials that were previously transferred by Molecular Partners to Allergan directly relating to such Terminated Products.</w:t>
      </w:r>
    </w:p>
    <w:p>
      <w:pPr>
        <w:spacing w:after="0" w:line="185" w:lineRule="exact"/>
        <w:rPr>
          <w:rFonts w:ascii="Arial" w:cs="Arial" w:eastAsia="Arial" w:hAnsi="Arial"/>
          <w:sz w:val="22"/>
          <w:szCs w:val="22"/>
          <w:b w:val="1"/>
          <w:bCs w:val="1"/>
          <w:color w:val="auto"/>
        </w:rPr>
      </w:pPr>
    </w:p>
    <w:p>
      <w:pPr>
        <w:jc w:val="both"/>
        <w:ind w:firstLine="1304"/>
        <w:spacing w:after="0" w:line="249" w:lineRule="auto"/>
        <w:tabs>
          <w:tab w:leader="none" w:pos="1827" w:val="left"/>
        </w:tabs>
        <w:numPr>
          <w:ilvl w:val="0"/>
          <w:numId w:val="451"/>
        </w:numPr>
        <w:rPr>
          <w:rFonts w:ascii="Arial" w:cs="Arial" w:eastAsia="Arial" w:hAnsi="Arial"/>
          <w:sz w:val="22"/>
          <w:szCs w:val="22"/>
          <w:b w:val="1"/>
          <w:bCs w:val="1"/>
          <w:color w:val="auto"/>
        </w:rPr>
      </w:pPr>
      <w:r>
        <w:rPr>
          <w:rFonts w:ascii="Arial" w:cs="Arial" w:eastAsia="Arial" w:hAnsi="Arial"/>
          <w:sz w:val="22"/>
          <w:szCs w:val="22"/>
          <w:b w:val="1"/>
          <w:bCs w:val="1"/>
          <w:color w:val="auto"/>
        </w:rPr>
        <w:t>Royalty Payments</w:t>
      </w:r>
      <w:r>
        <w:rPr>
          <w:rFonts w:ascii="Arial" w:cs="Arial" w:eastAsia="Arial" w:hAnsi="Arial"/>
          <w:sz w:val="22"/>
          <w:szCs w:val="22"/>
          <w:color w:val="auto"/>
        </w:rPr>
        <w:t>. In the event that Molecular Partners commercializes a Rejected Product Candidate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Terminated Product, Molecular Partners shall pay to Allergan non-refundable, non-creditable royalty payments equal to the following percentage of worldwide Net Sales (as such definition is applied,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Molecular Partners and such Rejected Product Candidate or Terminated Product) of such Rejected Product Candidate or Terminated Product by Molecular Partners and its Affiliates and licensees:</w:t>
      </w:r>
    </w:p>
    <w:p>
      <w:pPr>
        <w:spacing w:after="0" w:line="192" w:lineRule="exact"/>
        <w:rPr>
          <w:rFonts w:ascii="Arial" w:cs="Arial" w:eastAsia="Arial" w:hAnsi="Arial"/>
          <w:sz w:val="22"/>
          <w:szCs w:val="22"/>
          <w:b w:val="1"/>
          <w:bCs w:val="1"/>
          <w:color w:val="auto"/>
        </w:rPr>
      </w:pPr>
    </w:p>
    <w:p>
      <w:pPr>
        <w:ind w:left="2420" w:hanging="468"/>
        <w:spacing w:after="0"/>
        <w:tabs>
          <w:tab w:leader="none" w:pos="2420" w:val="left"/>
        </w:tabs>
        <w:numPr>
          <w:ilvl w:val="1"/>
          <w:numId w:val="451"/>
        </w:numPr>
        <w:rPr>
          <w:rFonts w:ascii="Arial" w:cs="Arial" w:eastAsia="Arial" w:hAnsi="Arial"/>
          <w:sz w:val="19"/>
          <w:szCs w:val="19"/>
          <w:b w:val="1"/>
          <w:bCs w:val="1"/>
          <w:color w:val="auto"/>
        </w:rPr>
      </w:pPr>
      <w:r>
        <w:rPr>
          <w:rFonts w:ascii="Arial" w:cs="Arial" w:eastAsia="Arial" w:hAnsi="Arial"/>
          <w:sz w:val="19"/>
          <w:szCs w:val="19"/>
          <w:color w:val="auto"/>
        </w:rPr>
        <w:t>For Rejected Product Candidates and for Terminated Products terminated by Allergan prior to [***],</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 and</w:t>
      </w:r>
    </w:p>
    <w:p>
      <w:pPr>
        <w:spacing w:after="0" w:line="201" w:lineRule="exact"/>
        <w:rPr>
          <w:rFonts w:ascii="Arial" w:cs="Arial" w:eastAsia="Arial" w:hAnsi="Arial"/>
          <w:sz w:val="19"/>
          <w:szCs w:val="19"/>
          <w:b w:val="1"/>
          <w:bCs w:val="1"/>
          <w:color w:val="auto"/>
        </w:rPr>
      </w:pPr>
    </w:p>
    <w:p>
      <w:pPr>
        <w:ind w:left="2440" w:hanging="488"/>
        <w:spacing w:after="0"/>
        <w:tabs>
          <w:tab w:leader="none" w:pos="2440" w:val="left"/>
        </w:tabs>
        <w:numPr>
          <w:ilvl w:val="1"/>
          <w:numId w:val="451"/>
        </w:numPr>
        <w:rPr>
          <w:rFonts w:ascii="Arial" w:cs="Arial" w:eastAsia="Arial" w:hAnsi="Arial"/>
          <w:sz w:val="22"/>
          <w:szCs w:val="22"/>
          <w:b w:val="1"/>
          <w:bCs w:val="1"/>
          <w:color w:val="auto"/>
        </w:rPr>
      </w:pPr>
      <w:r>
        <w:rPr>
          <w:rFonts w:ascii="Arial" w:cs="Arial" w:eastAsia="Arial" w:hAnsi="Arial"/>
          <w:sz w:val="22"/>
          <w:szCs w:val="22"/>
          <w:color w:val="auto"/>
        </w:rPr>
        <w:t>For Terminated Products terminated by Allergan after [***], [***].</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For clarity, such royalties will not be payable with respect to any products other than Rejected Product Candidates and Terminated Products. The payment terms of Sections 9.6-9.13 and applicable definitions (as applied to the Patents and Information licensed by Allergan for Rejected Products under Section 4.9(c) and as applied to the Patents and Information licensed by Allergan for Terminated Products licensed under Section 4.10(b))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to royalty payments based on Net Sales (as such definition is applied,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to Molecular Partners and such Rejected Product Candidate or Terminated Product) by Molecular Partners and its Affiliates and licensees.</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4.11 Use of AGN Collaboration Results</w:t>
      </w:r>
      <w:r>
        <w:rPr>
          <w:rFonts w:ascii="Arial" w:cs="Arial" w:eastAsia="Arial" w:hAnsi="Arial"/>
          <w:sz w:val="19"/>
          <w:szCs w:val="19"/>
          <w:color w:val="auto"/>
        </w:rPr>
        <w:t>. If following the Research Term and any Research Term Extension, Molecular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Partners develops or commercializes a DARPin Compound (other than a Rejected Product Candidate or Terminated Product) comprising a DARPin Domain that (a) was, at any time during the Research Term or any Research Term Extension, an AGN DARPin Domain and (b) Binds any Collaboration Target that was designated by Allergan at any time during the Research Term or any Research Term Extension, and, in the course of such development or commercialization, uses or intends to use any AGN Collaboration Results relating to such DARPin Compound, Molecular Partners shall notify Allergan, and the Parties shall, prior to the first commercial sale of a product containing such DARPin Compound, negotiate in good faith a royalty rate applicable to such use, not to exceed [***] of Net Sales (as such definition is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Molecular Partners and any product(s) containing such DARPin Compound) of any product(s) containing such DARPin Compound by Molecular Partners and its Affiliates and licensees. The payment terms of Sections 9.6-9.13 and applicable definitions (as applied to the Patents and Information licensed by Allergan under Section 4.9(c))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royalty payments based on Net Sales by Molecular Partners and its Affiliates and licensees of such DARPin Compound or products containing such DARPin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96" w:name="page497"/>
    <w:bookmarkEnd w:id="496"/>
    <w:p>
      <w:pPr>
        <w:jc w:val="both"/>
        <w:ind w:firstLine="648"/>
        <w:spacing w:after="0" w:line="256" w:lineRule="auto"/>
        <w:rPr>
          <w:sz w:val="20"/>
          <w:szCs w:val="20"/>
          <w:color w:val="auto"/>
        </w:rPr>
      </w:pPr>
      <w:r>
        <w:rPr>
          <w:rFonts w:ascii="Arial" w:cs="Arial" w:eastAsia="Arial" w:hAnsi="Arial"/>
          <w:sz w:val="22"/>
          <w:szCs w:val="22"/>
          <w:b w:val="1"/>
          <w:bCs w:val="1"/>
          <w:color w:val="auto"/>
        </w:rPr>
        <w:t>4.12 Applicable Royalties</w:t>
      </w:r>
      <w:r>
        <w:rPr>
          <w:rFonts w:ascii="Arial" w:cs="Arial" w:eastAsia="Arial" w:hAnsi="Arial"/>
          <w:sz w:val="22"/>
          <w:szCs w:val="22"/>
          <w:color w:val="auto"/>
        </w:rPr>
        <w:t>. To the extent that any sale of a product by Molecular Partners is subject to two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royalties under this Agreement, the MP0260 Agreement, and/or the MP0112 Agreement, only the royalty which would result in the highest payment to Allergan will apply.</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4.13 Allergan Obligations</w:t>
      </w:r>
      <w:r>
        <w:rPr>
          <w:rFonts w:ascii="Arial" w:cs="Arial" w:eastAsia="Arial" w:hAnsi="Arial"/>
          <w:sz w:val="21"/>
          <w:szCs w:val="21"/>
          <w:color w:val="auto"/>
        </w:rPr>
        <w:t>. Allergan shall request and use Commercially Reasonable Efforts when entering into any</w:t>
      </w:r>
      <w:r>
        <w:rPr>
          <w:rFonts w:ascii="Arial" w:cs="Arial" w:eastAsia="Arial" w:hAnsi="Arial"/>
          <w:sz w:val="21"/>
          <w:szCs w:val="21"/>
          <w:b w:val="1"/>
          <w:bCs w:val="1"/>
          <w:color w:val="auto"/>
        </w:rPr>
        <w:t xml:space="preserve"> </w:t>
      </w:r>
      <w:r>
        <w:rPr>
          <w:rFonts w:ascii="Arial" w:cs="Arial" w:eastAsia="Arial" w:hAnsi="Arial"/>
          <w:sz w:val="21"/>
          <w:szCs w:val="21"/>
          <w:color w:val="auto"/>
        </w:rPr>
        <w:t>research or development contract relating to DARPin Compounds with any Third Party after the Effective Date to include in such contract provisions that obligate such Third Party to license or assign to Allergan any Collaboration Results that, if Controlled by Allergan, would be Allergan Collaboration Results such that such Collaboration Results would be included in the license in Section 4.4(c) for the full scope thereof. By way of clarification, such Collaboration Results would be subject to and included in such license only to the extent expressly permitted by such contract. Notwithstanding the foregoing, Allergan shall not enter into any Third Party agreement under which MP Core Inventions might be made, or with a Third Party manufacturer as provided in Section 8.2, without obligating such Third Party to assign its rights in such inventions to Allergan so that Allergan may comply with its obligations under Section 10.2(a).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AND COMMERCIALIZATION</w:t>
      </w:r>
    </w:p>
    <w:p>
      <w:pPr>
        <w:spacing w:after="0" w:line="19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5.1 Joint Steering Committee</w:t>
      </w:r>
      <w:r>
        <w:rPr>
          <w:rFonts w:ascii="Arial" w:cs="Arial" w:eastAsia="Arial" w:hAnsi="Arial"/>
          <w:sz w:val="19"/>
          <w:szCs w:val="19"/>
          <w:color w:val="auto"/>
        </w:rPr>
        <w:t>. The joint steering committee (the “</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established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Joint Steering Committee Agreement between the Parties, dated as of the Effective Date (the “</w:t>
      </w:r>
      <w:r>
        <w:rPr>
          <w:rFonts w:ascii="Arial" w:cs="Arial" w:eastAsia="Arial" w:hAnsi="Arial"/>
          <w:sz w:val="19"/>
          <w:szCs w:val="19"/>
          <w:b w:val="1"/>
          <w:bCs w:val="1"/>
          <w:color w:val="auto"/>
        </w:rPr>
        <w:t>JSC Agreement</w:t>
      </w:r>
      <w:r>
        <w:rPr>
          <w:rFonts w:ascii="Arial" w:cs="Arial" w:eastAsia="Arial" w:hAnsi="Arial"/>
          <w:sz w:val="19"/>
          <w:szCs w:val="19"/>
          <w:color w:val="auto"/>
        </w:rPr>
        <w:t>”), will have oversight responsibility for the overall review of the discovery, Development, and Manufacturing to support such discovery and Development, of Licensed Products pursuant to and subject to the terms and conditions of the JSC Agreement.</w:t>
      </w:r>
    </w:p>
    <w:p>
      <w:pPr>
        <w:spacing w:after="0" w:line="13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Development Program</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7" w:lineRule="auto"/>
        <w:tabs>
          <w:tab w:leader="none" w:pos="1863" w:val="left"/>
        </w:tabs>
        <w:numPr>
          <w:ilvl w:val="0"/>
          <w:numId w:val="452"/>
        </w:numPr>
        <w:rPr>
          <w:rFonts w:ascii="Arial" w:cs="Arial" w:eastAsia="Arial" w:hAnsi="Arial"/>
          <w:sz w:val="19"/>
          <w:szCs w:val="19"/>
          <w:b w:val="1"/>
          <w:bCs w:val="1"/>
          <w:color w:val="auto"/>
        </w:rPr>
      </w:pPr>
      <w:r>
        <w:rPr>
          <w:rFonts w:ascii="Arial" w:cs="Arial" w:eastAsia="Arial" w:hAnsi="Arial"/>
          <w:sz w:val="19"/>
          <w:szCs w:val="19"/>
          <w:b w:val="1"/>
          <w:bCs w:val="1"/>
          <w:color w:val="auto"/>
        </w:rPr>
        <w:t>General; Development Plan</w:t>
      </w:r>
      <w:r>
        <w:rPr>
          <w:rFonts w:ascii="Arial" w:cs="Arial" w:eastAsia="Arial" w:hAnsi="Arial"/>
          <w:sz w:val="19"/>
          <w:szCs w:val="19"/>
          <w:color w:val="auto"/>
        </w:rPr>
        <w:t>. Subject to and in accordance with this Article 5, following exercise of an</w:t>
      </w:r>
      <w:r>
        <w:rPr>
          <w:rFonts w:ascii="Arial" w:cs="Arial" w:eastAsia="Arial" w:hAnsi="Arial"/>
          <w:sz w:val="19"/>
          <w:szCs w:val="19"/>
          <w:b w:val="1"/>
          <w:bCs w:val="1"/>
          <w:color w:val="auto"/>
        </w:rPr>
        <w:t xml:space="preserve"> </w:t>
      </w:r>
      <w:r>
        <w:rPr>
          <w:rFonts w:ascii="Arial" w:cs="Arial" w:eastAsia="Arial" w:hAnsi="Arial"/>
          <w:sz w:val="19"/>
          <w:szCs w:val="19"/>
          <w:color w:val="auto"/>
        </w:rPr>
        <w:t>Option for a Collaboration Target Combination, and through the end of the JSC Term for a Licensed Product for such Collaboration Target Combination, Allergan and Molecular Partners will collaborate and cooperate to Develop such Licensed Product. All such Development activities, and Manufacturing activities relating to such Development, will be conducted pursuant to a reasonably detailed and written development plan prepared by Allergan within a reasonable time following the exercise of such Option (a “</w:t>
      </w:r>
      <w:r>
        <w:rPr>
          <w:rFonts w:ascii="Arial" w:cs="Arial" w:eastAsia="Arial" w:hAnsi="Arial"/>
          <w:sz w:val="19"/>
          <w:szCs w:val="19"/>
          <w:b w:val="1"/>
          <w:bCs w:val="1"/>
          <w:color w:val="auto"/>
        </w:rPr>
        <w:t>Development Plan</w:t>
      </w:r>
      <w:r>
        <w:rPr>
          <w:rFonts w:ascii="Arial" w:cs="Arial" w:eastAsia="Arial" w:hAnsi="Arial"/>
          <w:sz w:val="19"/>
          <w:szCs w:val="19"/>
          <w:color w:val="auto"/>
        </w:rPr>
        <w:t>”); provided that (i) Allergan shall have the right to conduct activities that are not described or contemplated in such Development Plan in furtherance of the goals of this Agreement, and Allergan shall describe any such material activities in subsequent updates to such Development Plan or in the reports provided under Section 5.2(d) and (ii) Allergan may not include any activities in such Development Plan to be conducted by Molecular Partners without Molecular Partners’ prior written consent. In the event of any inconsistency between such Development Plan and this Agreement, the terms of this Agreement shall prevail. Except for those activities allocated to Molecular Partners in such Development Plan, Allergan shall be solely responsible for Development of all such Licensed Products in the Field. In conducting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497" w:name="page498"/>
    <w:bookmarkEnd w:id="497"/>
    <w:p>
      <w:pPr>
        <w:jc w:val="both"/>
        <w:spacing w:after="0" w:line="294" w:lineRule="auto"/>
        <w:rPr>
          <w:sz w:val="20"/>
          <w:szCs w:val="20"/>
          <w:color w:val="auto"/>
        </w:rPr>
      </w:pPr>
      <w:r>
        <w:rPr>
          <w:rFonts w:ascii="Arial" w:cs="Arial" w:eastAsia="Arial" w:hAnsi="Arial"/>
          <w:sz w:val="19"/>
          <w:szCs w:val="19"/>
          <w:color w:val="auto"/>
        </w:rPr>
        <w:t>such Development activities, Allergan shall document all Clinical Trials in formal written study records according to applicable Laws, including applicable national and international guidelines such as ICH, GCP, GLP and GMP. Molecular Partners shall perform any activities allocated to it under such Development Plan in accordance with applicable Laws. Following the JSC Term for such Licensed Product, Allergan shall have no further obligation to (1) conduct the Development activities for such Licensed Product in accordance with such Development Plan or (2) update, revise, or otherwise modify such Development Plan, but shall otherwise be required to conduct its Development activities in accordance with this Agreement.</w:t>
      </w:r>
    </w:p>
    <w:p>
      <w:pPr>
        <w:spacing w:after="0" w:line="143" w:lineRule="exact"/>
        <w:rPr>
          <w:sz w:val="20"/>
          <w:szCs w:val="20"/>
          <w:color w:val="auto"/>
        </w:rPr>
      </w:pPr>
    </w:p>
    <w:p>
      <w:pPr>
        <w:jc w:val="both"/>
        <w:ind w:firstLine="1304"/>
        <w:spacing w:after="0" w:line="291" w:lineRule="auto"/>
        <w:tabs>
          <w:tab w:leader="none" w:pos="1845" w:val="left"/>
        </w:tabs>
        <w:numPr>
          <w:ilvl w:val="0"/>
          <w:numId w:val="453"/>
        </w:numPr>
        <w:rPr>
          <w:rFonts w:ascii="Arial" w:cs="Arial" w:eastAsia="Arial" w:hAnsi="Arial"/>
          <w:sz w:val="19"/>
          <w:szCs w:val="19"/>
          <w:b w:val="1"/>
          <w:bCs w:val="1"/>
          <w:color w:val="auto"/>
        </w:rPr>
      </w:pPr>
      <w:r>
        <w:rPr>
          <w:rFonts w:ascii="Arial" w:cs="Arial" w:eastAsia="Arial" w:hAnsi="Arial"/>
          <w:sz w:val="19"/>
          <w:szCs w:val="19"/>
          <w:b w:val="1"/>
          <w:bCs w:val="1"/>
          <w:color w:val="auto"/>
        </w:rPr>
        <w:t>Amendments</w:t>
      </w:r>
      <w:r>
        <w:rPr>
          <w:rFonts w:ascii="Arial" w:cs="Arial" w:eastAsia="Arial" w:hAnsi="Arial"/>
          <w:sz w:val="19"/>
          <w:szCs w:val="19"/>
          <w:color w:val="auto"/>
        </w:rPr>
        <w:t>. During the JSC Term for such Licensed Product, Allergan may amend such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Plan as it deems reasonably necessary, including to reflect any changes, re-prioritization of studies within, reallocation of resources with respect to, or additions to the activities described in such Development Plan; provided, that Allergan shall consider in good faith any comments made by Molecular Partners to any such amendment. Notwithstanding the foregoing sentence, any amendment to the Development Plan that includes any additional activities to be conducted by Molecular Partners shall require Molecular Partners’ prior written consent, except any such amendment required or arising due to an action of a Regulatory Authority or a failure by Molecular Partners to timely carry out its responsibilities under such Development Plan. Molecular Partners shall not unreasonably withhold, condition, or delay any consent requested by Allergan pursuant to this Section 5.2(b) to any amendment to such Development Plan.</w:t>
      </w:r>
    </w:p>
    <w:p>
      <w:pPr>
        <w:spacing w:after="0" w:line="200" w:lineRule="exact"/>
        <w:rPr>
          <w:rFonts w:ascii="Arial" w:cs="Arial" w:eastAsia="Arial" w:hAnsi="Arial"/>
          <w:sz w:val="19"/>
          <w:szCs w:val="19"/>
          <w:b w:val="1"/>
          <w:bCs w:val="1"/>
          <w:color w:val="auto"/>
        </w:rPr>
      </w:pPr>
    </w:p>
    <w:p>
      <w:pPr>
        <w:spacing w:after="0" w:line="205" w:lineRule="exact"/>
        <w:rPr>
          <w:rFonts w:ascii="Arial" w:cs="Arial" w:eastAsia="Arial" w:hAnsi="Arial"/>
          <w:sz w:val="19"/>
          <w:szCs w:val="19"/>
          <w:b w:val="1"/>
          <w:bCs w:val="1"/>
          <w:color w:val="auto"/>
        </w:rPr>
      </w:pPr>
    </w:p>
    <w:p>
      <w:pPr>
        <w:jc w:val="both"/>
        <w:ind w:firstLine="1304"/>
        <w:spacing w:after="0" w:line="287" w:lineRule="auto"/>
        <w:tabs>
          <w:tab w:leader="none" w:pos="1838" w:val="left"/>
        </w:tabs>
        <w:numPr>
          <w:ilvl w:val="0"/>
          <w:numId w:val="453"/>
        </w:numPr>
        <w:rPr>
          <w:rFonts w:ascii="Arial" w:cs="Arial" w:eastAsia="Arial" w:hAnsi="Arial"/>
          <w:sz w:val="19"/>
          <w:szCs w:val="19"/>
          <w:b w:val="1"/>
          <w:bCs w:val="1"/>
          <w:color w:val="auto"/>
        </w:rPr>
      </w:pPr>
      <w:r>
        <w:rPr>
          <w:rFonts w:ascii="Arial" w:cs="Arial" w:eastAsia="Arial" w:hAnsi="Arial"/>
          <w:sz w:val="19"/>
          <w:szCs w:val="19"/>
          <w:b w:val="1"/>
          <w:bCs w:val="1"/>
          <w:color w:val="auto"/>
        </w:rPr>
        <w:t>Development Costs</w:t>
      </w:r>
      <w:r>
        <w:rPr>
          <w:rFonts w:ascii="Arial" w:cs="Arial" w:eastAsia="Arial" w:hAnsi="Arial"/>
          <w:sz w:val="19"/>
          <w:szCs w:val="19"/>
          <w:color w:val="auto"/>
        </w:rPr>
        <w:t>. Allergan shall be solely responsible for all costs and expenses incurred by Allergan</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reimburse Molecular Partners for all costs and expenses reasonably incurred by Molecular Partners in the conduct of any activities set forth in such Development Plan or otherwise agreed by the Parties in writing) for the conduct of all Development of such Licensed Product in the Field. At least [***] prior to the start of any Calendar Quarter in which Molecular Partners anticipates conducting any activities under such Development Plan, Molecular Partners will provide to Allergan a good faith, non-binding estimate of the expenses (on a Licensed Product by Licensed Product basis, and broken down into third party expenses, internal FTE expenses, and other expenses) it anticipates incurring in connection with such activities during such Calendar Quarter. Following each Calendar Quarter in which Molecular Partners conducts any such activities under such Development Plan, Molecular Partners will invoice Allergan, on a Licensed Product by Licensed Product basis, for all Third Party expenses (at such Third Parties’ invoiced cost), Molecular Partners’ internal FTE expenses (at the FTE Rate), and any other expenses incurred by Molecular Partners (at the actual out-of-pocket cost to Molecular Partners) with respect to such activities during such Calendar Quarter. Allergan shall pay each such invoice within [***] after receipt thereof.</w:t>
      </w:r>
    </w:p>
    <w:p>
      <w:pPr>
        <w:spacing w:after="0" w:line="158" w:lineRule="exact"/>
        <w:rPr>
          <w:rFonts w:ascii="Arial" w:cs="Arial" w:eastAsia="Arial" w:hAnsi="Arial"/>
          <w:sz w:val="19"/>
          <w:szCs w:val="19"/>
          <w:b w:val="1"/>
          <w:bCs w:val="1"/>
          <w:color w:val="auto"/>
        </w:rPr>
      </w:pPr>
    </w:p>
    <w:p>
      <w:pPr>
        <w:jc w:val="both"/>
        <w:ind w:firstLine="1304"/>
        <w:spacing w:after="0" w:line="264" w:lineRule="auto"/>
        <w:tabs>
          <w:tab w:leader="none" w:pos="1884" w:val="left"/>
        </w:tabs>
        <w:numPr>
          <w:ilvl w:val="0"/>
          <w:numId w:val="453"/>
        </w:numPr>
        <w:rPr>
          <w:rFonts w:ascii="Arial" w:cs="Arial" w:eastAsia="Arial" w:hAnsi="Arial"/>
          <w:sz w:val="21"/>
          <w:szCs w:val="21"/>
          <w:b w:val="1"/>
          <w:bCs w:val="1"/>
          <w:color w:val="auto"/>
        </w:rPr>
      </w:pPr>
      <w:r>
        <w:rPr>
          <w:rFonts w:ascii="Arial" w:cs="Arial" w:eastAsia="Arial" w:hAnsi="Arial"/>
          <w:sz w:val="21"/>
          <w:szCs w:val="21"/>
          <w:b w:val="1"/>
          <w:bCs w:val="1"/>
          <w:color w:val="auto"/>
        </w:rPr>
        <w:t>Communication</w:t>
      </w:r>
      <w:r>
        <w:rPr>
          <w:rFonts w:ascii="Arial" w:cs="Arial" w:eastAsia="Arial" w:hAnsi="Arial"/>
          <w:sz w:val="21"/>
          <w:szCs w:val="21"/>
          <w:color w:val="auto"/>
        </w:rPr>
        <w:t>. Through the JSC during the JSC Term for such Licensed Product, Allergan will keep</w:t>
      </w:r>
      <w:r>
        <w:rPr>
          <w:rFonts w:ascii="Arial" w:cs="Arial" w:eastAsia="Arial" w:hAnsi="Arial"/>
          <w:sz w:val="21"/>
          <w:szCs w:val="21"/>
          <w:b w:val="1"/>
          <w:bCs w:val="1"/>
          <w:color w:val="auto"/>
        </w:rPr>
        <w:t xml:space="preserve"> </w:t>
      </w:r>
      <w:r>
        <w:rPr>
          <w:rFonts w:ascii="Arial" w:cs="Arial" w:eastAsia="Arial" w:hAnsi="Arial"/>
          <w:sz w:val="21"/>
          <w:szCs w:val="21"/>
          <w:color w:val="auto"/>
        </w:rPr>
        <w:t>Molecular Partners reasonably informed about its efforts to Develop such Licensed Product. During the Term for such Licensed Product, Allergan shall provide Molecular Partners summaries [***], of (i) material developments with respect to such Licensed Product, including the anticipated date of Completion of any in-process Clinical Trial and the Completion and results of any Phase 3 Clinical Trials, (ii) its progress towards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98" w:name="page499"/>
    <w:bookmarkEnd w:id="498"/>
    <w:p>
      <w:pPr>
        <w:jc w:val="both"/>
        <w:spacing w:after="0" w:line="302" w:lineRule="auto"/>
        <w:rPr>
          <w:sz w:val="20"/>
          <w:szCs w:val="20"/>
          <w:color w:val="auto"/>
        </w:rPr>
      </w:pPr>
      <w:r>
        <w:rPr>
          <w:rFonts w:ascii="Arial" w:cs="Arial" w:eastAsia="Arial" w:hAnsi="Arial"/>
          <w:sz w:val="19"/>
          <w:szCs w:val="19"/>
          <w:color w:val="auto"/>
        </w:rPr>
        <w:t>key milestones that are expected to be achieved within the [***], and (iii) any Regulatory Approvals for such Licensed Product in the Territory received. In addition, Allergan will inform Molecular Partners regarding any material delay in the Development of such Licensed Product within a reasonable time after determining that such delay will occur. All reports and other Information provided by Allergan under this Section 5.2(d) will be Allergan’s Confidential Information subject to the terms of Article 13.</w:t>
      </w:r>
    </w:p>
    <w:p>
      <w:pPr>
        <w:spacing w:after="0" w:line="1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5.3 Diligence</w:t>
      </w:r>
      <w:r>
        <w:rPr>
          <w:rFonts w:ascii="Arial" w:cs="Arial" w:eastAsia="Arial" w:hAnsi="Arial"/>
          <w:sz w:val="22"/>
          <w:szCs w:val="22"/>
          <w:color w:val="auto"/>
        </w:rPr>
        <w:t>. Subject to and in accordance with this Article 5 and following each exercise of an Option for a</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Target Combination, Allergan will use Commercially Reasonable Efforts to Develop and seek Regulatory Approval for Licensed Products for such Collaboration Target Combination in the Field.</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5.4 Data Exchange</w:t>
      </w:r>
      <w:r>
        <w:rPr>
          <w:rFonts w:ascii="Arial" w:cs="Arial" w:eastAsia="Arial" w:hAnsi="Arial"/>
          <w:sz w:val="19"/>
          <w:szCs w:val="19"/>
          <w:color w:val="auto"/>
        </w:rPr>
        <w:t>. Reasonably promptly following the exercise of an Option for a Collaboration Target Combination,</w:t>
      </w:r>
      <w:r>
        <w:rPr>
          <w:rFonts w:ascii="Arial" w:cs="Arial" w:eastAsia="Arial" w:hAnsi="Arial"/>
          <w:sz w:val="19"/>
          <w:szCs w:val="19"/>
          <w:b w:val="1"/>
          <w:bCs w:val="1"/>
          <w:color w:val="auto"/>
        </w:rPr>
        <w:t xml:space="preserve"> </w:t>
      </w:r>
      <w:r>
        <w:rPr>
          <w:rFonts w:ascii="Arial" w:cs="Arial" w:eastAsia="Arial" w:hAnsi="Arial"/>
          <w:sz w:val="19"/>
          <w:szCs w:val="19"/>
          <w:color w:val="auto"/>
        </w:rPr>
        <w:t>Molecular Partners will provide Allergan with a reasonably detailed summary of the Molecular Partners Know-How reasonably related to Licensed Products for such Collaboration Target Combination that exists as of the Effective Date that has not already been provided or made available to Allergan. After the initial delivery of such summary, Molecular Partners will provide Allergan updates to such summary (on a Licensed Product by Licensed Product basis) (a) during the JSC Term for such Licensed Product, at Allergan’s reasonable request (but not more than [***]), and (b) after the JSC Term for such Licensed Product, until the date upon which the first Regulatory Approval Application for such Licensed Product is filed, at Allergan’s reasonable request (but not more than [***]). Following receipt of any such summary for a Licensed Product and upon the reasonable request of Allergan made through the JSC (or, after the JSC Term, made to Molecular Partners), Molecular Partners will provide Allergan with copies or access to the portions of the Molecular Partners Know-How for such Licensed Product described in such summary and requested by Allergan. The obligations of the Parties under this Section 5.4 with respect to a Licensed Product shall terminate on the date upon which the first Regulatory Approval Application for such Licensed Product is filed.</w:t>
      </w:r>
    </w:p>
    <w:p>
      <w:pPr>
        <w:spacing w:after="0" w:line="15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5.5 Records</w:t>
      </w:r>
      <w:r>
        <w:rPr>
          <w:rFonts w:ascii="Arial" w:cs="Arial" w:eastAsia="Arial" w:hAnsi="Arial"/>
          <w:sz w:val="22"/>
          <w:szCs w:val="22"/>
          <w:color w:val="auto"/>
        </w:rPr>
        <w:t>. Each Party shall maintain complete, current and accurate records of Development activities that reflect</w:t>
      </w:r>
      <w:r>
        <w:rPr>
          <w:rFonts w:ascii="Arial" w:cs="Arial" w:eastAsia="Arial" w:hAnsi="Arial"/>
          <w:sz w:val="22"/>
          <w:szCs w:val="22"/>
          <w:b w:val="1"/>
          <w:bCs w:val="1"/>
          <w:color w:val="auto"/>
        </w:rPr>
        <w:t xml:space="preserve"> </w:t>
      </w:r>
      <w:r>
        <w:rPr>
          <w:rFonts w:ascii="Arial" w:cs="Arial" w:eastAsia="Arial" w:hAnsi="Arial"/>
          <w:sz w:val="22"/>
          <w:szCs w:val="22"/>
          <w:color w:val="auto"/>
        </w:rPr>
        <w:t>work done and results achieved in the performance of the research and Development activities necessary for regulatory compliance and patent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5.6 Subcontractors</w:t>
      </w:r>
      <w:r>
        <w:rPr>
          <w:rFonts w:ascii="Arial" w:cs="Arial" w:eastAsia="Arial" w:hAnsi="Arial"/>
          <w:sz w:val="21"/>
          <w:szCs w:val="21"/>
          <w:color w:val="auto"/>
        </w:rPr>
        <w:t>. Each Party may perform any of its obligations or activities under any Development Plan through</w:t>
      </w:r>
      <w:r>
        <w:rPr>
          <w:rFonts w:ascii="Arial" w:cs="Arial" w:eastAsia="Arial" w:hAnsi="Arial"/>
          <w:sz w:val="21"/>
          <w:szCs w:val="21"/>
          <w:b w:val="1"/>
          <w:bCs w:val="1"/>
          <w:color w:val="auto"/>
        </w:rPr>
        <w:t xml:space="preserve"> </w:t>
      </w:r>
      <w:r>
        <w:rPr>
          <w:rFonts w:ascii="Arial" w:cs="Arial" w:eastAsia="Arial" w:hAnsi="Arial"/>
          <w:sz w:val="21"/>
          <w:szCs w:val="21"/>
          <w:color w:val="auto"/>
        </w:rPr>
        <w:t>one or more subcontractors or consultants, provided that (a) such Party remains responsible for the work allocated to, and payment to, such subcontractors and consultants as it selects to the same extent it would if it had done such work itself; (b) the subcontractor undertakes in writing obligations of confidentiality and non-use regarding Confidential Information that are no less protective than those set forth in Article 13; and (c) such subcontract shall not limit the rights of the other Party in any license granted hereunder or Molecular Partners’ right to receive a transfer of, and license to, the items described in Section 4.10(b) as if such items were generated by Allergan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499" w:name="page500"/>
    <w:bookmarkEnd w:id="499"/>
    <w:p>
      <w:pPr>
        <w:ind w:left="660"/>
        <w:spacing w:after="0"/>
        <w:tabs>
          <w:tab w:leader="none" w:pos="112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color w:val="auto"/>
        </w:rPr>
        <w:t>Backup Compounds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4" w:lineRule="auto"/>
        <w:tabs>
          <w:tab w:leader="none" w:pos="1899" w:val="left"/>
        </w:tabs>
        <w:numPr>
          <w:ilvl w:val="1"/>
          <w:numId w:val="454"/>
        </w:numPr>
        <w:rPr>
          <w:rFonts w:ascii="Arial" w:cs="Arial" w:eastAsia="Arial" w:hAnsi="Arial"/>
          <w:sz w:val="19"/>
          <w:szCs w:val="19"/>
          <w:b w:val="1"/>
          <w:bCs w:val="1"/>
          <w:color w:val="auto"/>
        </w:rPr>
      </w:pPr>
      <w:r>
        <w:rPr>
          <w:rFonts w:ascii="Arial" w:cs="Arial" w:eastAsia="Arial" w:hAnsi="Arial"/>
          <w:sz w:val="19"/>
          <w:szCs w:val="19"/>
          <w:color w:val="auto"/>
        </w:rPr>
        <w:t>At any time and from time to time during the [***] period after the exercise of an Option, if the JSC determines in good faith that there is a bona fide scientific reason to do so, the JSC may direct Molecular Partners (i) to identify replacement DARPin Domains for any AGN DARPin Domain for the applicable Licensed Target Combination, or (ii) to optimize any AGN DARPin Domain or Product Candidate for such Licensed Target Combination, by modifying the nucleic or amino acid sequence (through the replacement, insertion or deletion of one or more nucleotides or amino acids, respectively, of such sequence) of an AGN DARPin Domain. Any resulting DARPin Compound generated by Molecular Partners that Binds each Collaboration Target of the Licensed Target Combination shall be deemed a “</w:t>
      </w:r>
      <w:r>
        <w:rPr>
          <w:rFonts w:ascii="Arial" w:cs="Arial" w:eastAsia="Arial" w:hAnsi="Arial"/>
          <w:sz w:val="19"/>
          <w:szCs w:val="19"/>
          <w:b w:val="1"/>
          <w:bCs w:val="1"/>
          <w:color w:val="auto"/>
        </w:rPr>
        <w:t>Backup Compound</w:t>
      </w:r>
      <w:r>
        <w:rPr>
          <w:rFonts w:ascii="Arial" w:cs="Arial" w:eastAsia="Arial" w:hAnsi="Arial"/>
          <w:sz w:val="19"/>
          <w:szCs w:val="19"/>
          <w:color w:val="auto"/>
        </w:rPr>
        <w:t>”, and Allergan may select</w:t>
      </w:r>
    </w:p>
    <w:p>
      <w:pPr>
        <w:spacing w:after="0" w:line="3" w:lineRule="exact"/>
        <w:rPr>
          <w:rFonts w:ascii="Arial" w:cs="Arial" w:eastAsia="Arial" w:hAnsi="Arial"/>
          <w:sz w:val="19"/>
          <w:szCs w:val="19"/>
          <w:b w:val="1"/>
          <w:bCs w:val="1"/>
          <w:color w:val="auto"/>
        </w:rPr>
      </w:pPr>
    </w:p>
    <w:p>
      <w:pPr>
        <w:jc w:val="both"/>
        <w:ind w:firstLine="8"/>
        <w:spacing w:after="0" w:line="244" w:lineRule="auto"/>
        <w:tabs>
          <w:tab w:leader="none" w:pos="557" w:val="left"/>
        </w:tabs>
        <w:numPr>
          <w:ilvl w:val="0"/>
          <w:numId w:val="454"/>
        </w:numPr>
        <w:rPr>
          <w:rFonts w:ascii="Arial" w:cs="Arial" w:eastAsia="Arial" w:hAnsi="Arial"/>
          <w:sz w:val="22"/>
          <w:szCs w:val="22"/>
          <w:color w:val="auto"/>
        </w:rPr>
      </w:pPr>
      <w:r>
        <w:rPr>
          <w:rFonts w:ascii="Arial" w:cs="Arial" w:eastAsia="Arial" w:hAnsi="Arial"/>
          <w:sz w:val="22"/>
          <w:szCs w:val="22"/>
          <w:color w:val="auto"/>
        </w:rPr>
        <w:t>such Backup Compounds as Licensed Compounds (“</w:t>
      </w:r>
      <w:r>
        <w:rPr>
          <w:rFonts w:ascii="Arial" w:cs="Arial" w:eastAsia="Arial" w:hAnsi="Arial"/>
          <w:sz w:val="22"/>
          <w:szCs w:val="22"/>
          <w:b w:val="1"/>
          <w:bCs w:val="1"/>
          <w:color w:val="auto"/>
        </w:rPr>
        <w:t>Designated Backup Compounds</w:t>
      </w:r>
      <w:r>
        <w:rPr>
          <w:rFonts w:ascii="Arial" w:cs="Arial" w:eastAsia="Arial" w:hAnsi="Arial"/>
          <w:sz w:val="22"/>
          <w:szCs w:val="22"/>
          <w:color w:val="auto"/>
        </w:rPr>
        <w:t>”). Following identification and production of a Backup Compound, Molecular Partners shall promptly deliver such Backup Compound and a reasonably detailed summary of Information related thereto to Allergan. The DARPin Domains in such Designated Backup Compounds will be considered AGN DARPin Domains.</w:t>
      </w:r>
    </w:p>
    <w:p>
      <w:pPr>
        <w:spacing w:after="0" w:line="195" w:lineRule="exact"/>
        <w:rPr>
          <w:rFonts w:ascii="Arial" w:cs="Arial" w:eastAsia="Arial" w:hAnsi="Arial"/>
          <w:sz w:val="22"/>
          <w:szCs w:val="22"/>
          <w:color w:val="auto"/>
        </w:rPr>
      </w:pPr>
    </w:p>
    <w:p>
      <w:pPr>
        <w:jc w:val="both"/>
        <w:ind w:firstLine="1304"/>
        <w:spacing w:after="0" w:line="253" w:lineRule="auto"/>
        <w:tabs>
          <w:tab w:leader="none" w:pos="1843" w:val="left"/>
        </w:tabs>
        <w:numPr>
          <w:ilvl w:val="1"/>
          <w:numId w:val="455"/>
        </w:numPr>
        <w:rPr>
          <w:rFonts w:ascii="Arial" w:cs="Arial" w:eastAsia="Arial" w:hAnsi="Arial"/>
          <w:sz w:val="22"/>
          <w:szCs w:val="22"/>
          <w:b w:val="1"/>
          <w:bCs w:val="1"/>
          <w:color w:val="auto"/>
        </w:rPr>
      </w:pPr>
      <w:r>
        <w:rPr>
          <w:rFonts w:ascii="Arial" w:cs="Arial" w:eastAsia="Arial" w:hAnsi="Arial"/>
          <w:sz w:val="22"/>
          <w:szCs w:val="22"/>
          <w:color w:val="auto"/>
        </w:rPr>
        <w:t>Backup Compounds will not include any MP DARPin Domains, or any DARPin Domains that Molecular Partners is researching or developing in an internal program or in collaboration with or for a Third Party at the time of the JSC’s request.</w:t>
      </w:r>
    </w:p>
    <w:p>
      <w:pPr>
        <w:spacing w:after="0" w:line="185" w:lineRule="exact"/>
        <w:rPr>
          <w:rFonts w:ascii="Arial" w:cs="Arial" w:eastAsia="Arial" w:hAnsi="Arial"/>
          <w:sz w:val="22"/>
          <w:szCs w:val="22"/>
          <w:b w:val="1"/>
          <w:bCs w:val="1"/>
          <w:color w:val="auto"/>
        </w:rPr>
      </w:pPr>
    </w:p>
    <w:p>
      <w:pPr>
        <w:jc w:val="both"/>
        <w:ind w:firstLine="1304"/>
        <w:spacing w:after="0" w:line="260" w:lineRule="auto"/>
        <w:tabs>
          <w:tab w:leader="none" w:pos="1752" w:val="left"/>
        </w:tabs>
        <w:numPr>
          <w:ilvl w:val="1"/>
          <w:numId w:val="455"/>
        </w:numPr>
        <w:rPr>
          <w:rFonts w:ascii="Arial" w:cs="Arial" w:eastAsia="Arial" w:hAnsi="Arial"/>
          <w:sz w:val="21"/>
          <w:szCs w:val="21"/>
          <w:b w:val="1"/>
          <w:bCs w:val="1"/>
          <w:color w:val="auto"/>
        </w:rPr>
      </w:pPr>
      <w:r>
        <w:rPr>
          <w:rFonts w:ascii="Arial" w:cs="Arial" w:eastAsia="Arial" w:hAnsi="Arial"/>
          <w:sz w:val="21"/>
          <w:szCs w:val="21"/>
          <w:color w:val="auto"/>
        </w:rPr>
        <w:t>Notwithstanding Section 5.7(a), if the JSC directs Molecular Partners to modify an AGN DARPin Domain or Product Candidate under Section 5.7(a)(ii), Molecular Partners shall have the right either (i) to conduct such modification or (ii) to decline to conduct such activities and to grant Allergan the right to do so in strict accordance with a written plan agreed by the Parties. In case (ii), Allergan shall promptly conduct such activities, solely as set forth in the plan, and shall provide Molecular Partners with all Information resulting from such activities promptly after completion thereof. All such Information shall be deemed MP Core Inventions, and any DARPin Compound generated by Allergan that Binds each Collaboration Target of the Licensed Target Combination will be deemed a Backup Compound.</w:t>
      </w:r>
    </w:p>
    <w:p>
      <w:pPr>
        <w:spacing w:after="0" w:line="180" w:lineRule="exact"/>
        <w:rPr>
          <w:rFonts w:ascii="Arial" w:cs="Arial" w:eastAsia="Arial" w:hAnsi="Arial"/>
          <w:sz w:val="21"/>
          <w:szCs w:val="21"/>
          <w:b w:val="1"/>
          <w:bCs w:val="1"/>
          <w:color w:val="auto"/>
        </w:rPr>
      </w:pPr>
    </w:p>
    <w:p>
      <w:pPr>
        <w:jc w:val="both"/>
        <w:ind w:firstLine="1304"/>
        <w:spacing w:after="0" w:line="253" w:lineRule="auto"/>
        <w:tabs>
          <w:tab w:leader="none" w:pos="1776" w:val="left"/>
        </w:tabs>
        <w:numPr>
          <w:ilvl w:val="1"/>
          <w:numId w:val="455"/>
        </w:numPr>
        <w:rPr>
          <w:rFonts w:ascii="Arial" w:cs="Arial" w:eastAsia="Arial" w:hAnsi="Arial"/>
          <w:sz w:val="22"/>
          <w:szCs w:val="22"/>
          <w:b w:val="1"/>
          <w:bCs w:val="1"/>
          <w:color w:val="auto"/>
        </w:rPr>
      </w:pPr>
      <w:r>
        <w:rPr>
          <w:rFonts w:ascii="Arial" w:cs="Arial" w:eastAsia="Arial" w:hAnsi="Arial"/>
          <w:sz w:val="22"/>
          <w:szCs w:val="22"/>
          <w:color w:val="auto"/>
        </w:rPr>
        <w:t>Molecular Partners shall not be obligated to devote more than [***] FTE per year to conduct activities under this Section 5.7 for each Licensed Target Combination. Allergan shall reimburse Molecular Partners’ expenses to conduct such activities, at the FTE Rate, pursuant to Section 9.3.</w:t>
      </w:r>
    </w:p>
    <w:p>
      <w:pPr>
        <w:spacing w:after="0" w:line="185" w:lineRule="exact"/>
        <w:rPr>
          <w:rFonts w:ascii="Arial" w:cs="Arial" w:eastAsia="Arial" w:hAnsi="Arial"/>
          <w:sz w:val="22"/>
          <w:szCs w:val="22"/>
          <w:b w:val="1"/>
          <w:bCs w:val="1"/>
          <w:color w:val="auto"/>
        </w:rPr>
      </w:pPr>
    </w:p>
    <w:p>
      <w:pPr>
        <w:jc w:val="both"/>
        <w:ind w:firstLine="1304"/>
        <w:spacing w:after="0" w:line="292" w:lineRule="auto"/>
        <w:tabs>
          <w:tab w:leader="none" w:pos="1752" w:val="left"/>
        </w:tabs>
        <w:numPr>
          <w:ilvl w:val="1"/>
          <w:numId w:val="455"/>
        </w:numPr>
        <w:rPr>
          <w:rFonts w:ascii="Arial" w:cs="Arial" w:eastAsia="Arial" w:hAnsi="Arial"/>
          <w:sz w:val="19"/>
          <w:szCs w:val="19"/>
          <w:b w:val="1"/>
          <w:bCs w:val="1"/>
          <w:color w:val="auto"/>
        </w:rPr>
      </w:pPr>
      <w:r>
        <w:rPr>
          <w:rFonts w:ascii="Arial" w:cs="Arial" w:eastAsia="Arial" w:hAnsi="Arial"/>
          <w:sz w:val="19"/>
          <w:szCs w:val="19"/>
          <w:color w:val="auto"/>
        </w:rPr>
        <w:t>In addition to the sequence modification rights described in Section 5.7(a), (i) the JSC may direct Allergan to perform Modifications to any AGN DARPin Domain or Product Candidate and, if so directed, Allergan shall perform such Modifications subject to the oversight of the JSC and (ii) Allergan may, in its sole discretion, not subject to oversight by the JSC, and at any time during the Term, Modify any AGN DARPin Domain or Product Candidate; provided that Allergan shall update Molecular Partners, during the JSC Term, at its next regularly scheduled meeting following the completion of such Modification, and after the JSC Term, via the [***] development reports under Section 5.2(d), regarding such Modification (unless Allergan has a compelling business justification to delay such update, in which case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500" w:name="page501"/>
    <w:bookmarkEnd w:id="500"/>
    <w:p>
      <w:pPr>
        <w:jc w:val="both"/>
        <w:spacing w:after="0" w:line="250" w:lineRule="auto"/>
        <w:rPr>
          <w:sz w:val="20"/>
          <w:szCs w:val="20"/>
          <w:color w:val="auto"/>
        </w:rPr>
      </w:pPr>
      <w:r>
        <w:rPr>
          <w:rFonts w:ascii="Arial" w:cs="Arial" w:eastAsia="Arial" w:hAnsi="Arial"/>
          <w:sz w:val="22"/>
          <w:szCs w:val="22"/>
          <w:color w:val="auto"/>
        </w:rPr>
        <w:t>will provide such update at a time reasonably selected by Allergan but subject to Section 10.2(b)). Any resulting DARPin Compound from any Modification described in the preceding sentence that Binds each Collaboration Target of the Licensed Target Combination shall be a Licensed Compound and the DARPin Domains therein will be considered AGN DARPin Domains.</w:t>
      </w:r>
    </w:p>
    <w:p>
      <w:pPr>
        <w:spacing w:after="0" w:line="188" w:lineRule="exact"/>
        <w:rPr>
          <w:sz w:val="20"/>
          <w:szCs w:val="20"/>
          <w:color w:val="auto"/>
        </w:rPr>
      </w:pPr>
    </w:p>
    <w:p>
      <w:pPr>
        <w:jc w:val="both"/>
        <w:ind w:firstLine="1304"/>
        <w:spacing w:after="0" w:line="247" w:lineRule="auto"/>
        <w:tabs>
          <w:tab w:leader="none" w:pos="1768" w:val="left"/>
        </w:tabs>
        <w:numPr>
          <w:ilvl w:val="0"/>
          <w:numId w:val="456"/>
        </w:numPr>
        <w:rPr>
          <w:rFonts w:ascii="Arial" w:cs="Arial" w:eastAsia="Arial" w:hAnsi="Arial"/>
          <w:sz w:val="22"/>
          <w:szCs w:val="22"/>
          <w:b w:val="1"/>
          <w:bCs w:val="1"/>
          <w:color w:val="auto"/>
        </w:rPr>
      </w:pPr>
      <w:r>
        <w:rPr>
          <w:rFonts w:ascii="Arial" w:cs="Arial" w:eastAsia="Arial" w:hAnsi="Arial"/>
          <w:sz w:val="22"/>
          <w:szCs w:val="22"/>
          <w:color w:val="auto"/>
        </w:rPr>
        <w:t>Subject to Section 5.7(c), the ownership of any and all Inventions relating to or arising from the efforts and activities of the Parties pursuant to this Section 5.7 shall be determined in accordance with Section 10.2. For the avoidance of doubt, any Invention relating to or arising from a modification, pursuant to Section 5.7(c), of an AGN DARPin Domain or Product Candidate within the [***] shall be deemed to be an MP Core Invention, and any Invention relating to or arising from a modification, pursuant to Section 5.7(e), of an AGN DARPin Domain or Product Candidate outside the [***] shall not be deemed to be an MP Core Invention.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5.8 Molecular Partners Responsibilities</w:t>
      </w:r>
      <w:r>
        <w:rPr>
          <w:rFonts w:ascii="Arial" w:cs="Arial" w:eastAsia="Arial" w:hAnsi="Arial"/>
          <w:sz w:val="21"/>
          <w:szCs w:val="21"/>
          <w:color w:val="auto"/>
        </w:rPr>
        <w:t>. During the Term, Molecular Partners shall use Commercially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Efforts to conduct the activities assigned to it in this Article 5; provided that, notwithstanding anything to the contrary in this Agreement, in no event shall Molecular Partners be required to conduct any activity that would obligate it to (i) breach any of its contractual obligations existing prior to the Effective Date, or (ii) in Molecular Partners’ reasonable judgment, infringe any Third Party intellectual property rights or subject its personnel to an unreasonable safety risk.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6.1 Regulatory Responsibilities</w:t>
      </w:r>
      <w:r>
        <w:rPr>
          <w:rFonts w:ascii="Arial" w:cs="Arial" w:eastAsia="Arial" w:hAnsi="Arial"/>
          <w:sz w:val="22"/>
          <w:szCs w:val="22"/>
          <w:color w:val="auto"/>
        </w:rPr>
        <w:t>. In accordance with this Article 6 and following exercise of an Option for a</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Target Combination, Allergan shall be solely responsible, at its expense, for preparing, filing and maintaining all Regulatory Materials for Licensed Products for such Collaboration Target Combination in the Field in the Territory and for all interactions with Regulatory Authorities related to Licensed Products in the Field in the Territory, and Allergan shall own all Regulatory Materials (including all INDs, BLAs, Regulatory Approval Applications and Regulatory Approvals) for all such Licensed Products in the Field in the Territory.</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6.2 Regulatory Matters</w:t>
      </w:r>
      <w:r>
        <w:rPr>
          <w:rFonts w:ascii="Arial" w:cs="Arial" w:eastAsia="Arial" w:hAnsi="Arial"/>
          <w:sz w:val="22"/>
          <w:szCs w:val="22"/>
          <w:color w:val="auto"/>
        </w:rPr>
        <w:t>. Following exercise of an Option for a Collaboration Target Combination, Allergan shall keep</w:t>
      </w:r>
      <w:r>
        <w:rPr>
          <w:rFonts w:ascii="Arial" w:cs="Arial" w:eastAsia="Arial" w:hAnsi="Arial"/>
          <w:sz w:val="22"/>
          <w:szCs w:val="22"/>
          <w:b w:val="1"/>
          <w:bCs w:val="1"/>
          <w:color w:val="auto"/>
        </w:rPr>
        <w:t xml:space="preserve"> </w:t>
      </w:r>
      <w:r>
        <w:rPr>
          <w:rFonts w:ascii="Arial" w:cs="Arial" w:eastAsia="Arial" w:hAnsi="Arial"/>
          <w:sz w:val="22"/>
          <w:szCs w:val="22"/>
          <w:color w:val="auto"/>
        </w:rPr>
        <w:t>Molecular Partners reasonably informed of all material regulatory developments relating to Licensed Products for such Collaboration Target Combination in the Territory through regular reports at the JSC meetings or after the JSC Term through the biannual development reports under Section 5.2(d).</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6.3 Notification of Threatened Action</w:t>
      </w:r>
      <w:r>
        <w:rPr>
          <w:rFonts w:ascii="Arial" w:cs="Arial" w:eastAsia="Arial" w:hAnsi="Arial"/>
          <w:sz w:val="21"/>
          <w:szCs w:val="21"/>
          <w:color w:val="auto"/>
        </w:rPr>
        <w:t>. Following exercise of an Option for a Collaboration Target Combination, each</w:t>
      </w:r>
      <w:r>
        <w:rPr>
          <w:rFonts w:ascii="Arial" w:cs="Arial" w:eastAsia="Arial" w:hAnsi="Arial"/>
          <w:sz w:val="21"/>
          <w:szCs w:val="21"/>
          <w:b w:val="1"/>
          <w:bCs w:val="1"/>
          <w:color w:val="auto"/>
        </w:rPr>
        <w:t xml:space="preserve"> </w:t>
      </w:r>
      <w:r>
        <w:rPr>
          <w:rFonts w:ascii="Arial" w:cs="Arial" w:eastAsia="Arial" w:hAnsi="Arial"/>
          <w:sz w:val="21"/>
          <w:szCs w:val="21"/>
          <w:color w:val="auto"/>
        </w:rPr>
        <w:t>Party shall promptly notify the other Party of any information it receives regarding any threatened or pending action, inspection or communication by or from any Third Party, including a Regulatory Authority, which may materially affect the Development, Manufacturing, Commercialization or regulatory status of a Licensed Product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01" w:name="page502"/>
    <w:bookmarkEnd w:id="501"/>
    <w:p>
      <w:pPr>
        <w:spacing w:after="0" w:line="263" w:lineRule="auto"/>
        <w:rPr>
          <w:sz w:val="20"/>
          <w:szCs w:val="20"/>
          <w:color w:val="auto"/>
        </w:rPr>
      </w:pPr>
      <w:r>
        <w:rPr>
          <w:rFonts w:ascii="Arial" w:cs="Arial" w:eastAsia="Arial" w:hAnsi="Arial"/>
          <w:sz w:val="22"/>
          <w:szCs w:val="22"/>
          <w:color w:val="auto"/>
        </w:rPr>
        <w:t>such Collaboration Target Combination. Upon receipt of such information, the Parties shall consult with each other in an effort to coordinate, to the extent reasonably necessary, on appropriate action.</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Adverse Event Reporting</w:t>
      </w:r>
      <w:r>
        <w:rPr>
          <w:rFonts w:ascii="Arial" w:cs="Arial" w:eastAsia="Arial" w:hAnsi="Arial"/>
          <w:sz w:val="19"/>
          <w:szCs w:val="19"/>
          <w:color w:val="auto"/>
        </w:rPr>
        <w:t>. Following exercise of an Option for a Collaboration Target Combination:</w:t>
      </w:r>
    </w:p>
    <w:p>
      <w:pPr>
        <w:spacing w:after="0" w:line="226" w:lineRule="exact"/>
        <w:rPr>
          <w:sz w:val="20"/>
          <w:szCs w:val="20"/>
          <w:color w:val="auto"/>
        </w:rPr>
      </w:pPr>
    </w:p>
    <w:p>
      <w:pPr>
        <w:jc w:val="both"/>
        <w:ind w:firstLine="1304"/>
        <w:spacing w:after="0" w:line="246" w:lineRule="auto"/>
        <w:tabs>
          <w:tab w:leader="none" w:pos="1777" w:val="left"/>
        </w:tabs>
        <w:numPr>
          <w:ilvl w:val="0"/>
          <w:numId w:val="457"/>
        </w:numPr>
        <w:rPr>
          <w:rFonts w:ascii="Arial" w:cs="Arial" w:eastAsia="Arial" w:hAnsi="Arial"/>
          <w:sz w:val="22"/>
          <w:szCs w:val="22"/>
          <w:b w:val="1"/>
          <w:bCs w:val="1"/>
          <w:color w:val="auto"/>
        </w:rPr>
      </w:pPr>
      <w:r>
        <w:rPr>
          <w:rFonts w:ascii="Arial" w:cs="Arial" w:eastAsia="Arial" w:hAnsi="Arial"/>
          <w:sz w:val="22"/>
          <w:szCs w:val="22"/>
          <w:color w:val="auto"/>
        </w:rPr>
        <w:t>Allergan shall be responsible for creating and maintaining a global safety database for Licensed Products for such Collaboration Target Combination in the Field in the Territory, at Allergan’s expense. Allergan shall be responsible for reporting quality complaints, adverse events and safety data related to such Licensed Products in the Field to applicable Regulatory Authorities in the Territory, as well as responding to safety issues and to all requests of Regulatory Authorities relating to such Licensed Products in the Field in the Territory. Allergan will provide Molecular Partners with reasonable access to safety data relating to such Licensed Products from such safety database to the extent required under applicable Law and the periodic safety reports that have been submitted to Regulatory Authorities, including, if submitted, any Development Safety Update Report (DSUR).</w:t>
      </w:r>
    </w:p>
    <w:p>
      <w:pPr>
        <w:spacing w:after="0" w:line="193" w:lineRule="exact"/>
        <w:rPr>
          <w:rFonts w:ascii="Arial" w:cs="Arial" w:eastAsia="Arial" w:hAnsi="Arial"/>
          <w:sz w:val="22"/>
          <w:szCs w:val="22"/>
          <w:b w:val="1"/>
          <w:bCs w:val="1"/>
          <w:color w:val="auto"/>
        </w:rPr>
      </w:pPr>
    </w:p>
    <w:p>
      <w:pPr>
        <w:jc w:val="both"/>
        <w:ind w:firstLine="1304"/>
        <w:spacing w:after="0" w:line="302" w:lineRule="auto"/>
        <w:tabs>
          <w:tab w:leader="none" w:pos="1803" w:val="left"/>
        </w:tabs>
        <w:numPr>
          <w:ilvl w:val="0"/>
          <w:numId w:val="457"/>
        </w:numPr>
        <w:rPr>
          <w:rFonts w:ascii="Arial" w:cs="Arial" w:eastAsia="Arial" w:hAnsi="Arial"/>
          <w:sz w:val="19"/>
          <w:szCs w:val="19"/>
          <w:b w:val="1"/>
          <w:bCs w:val="1"/>
          <w:color w:val="auto"/>
        </w:rPr>
      </w:pPr>
      <w:r>
        <w:rPr>
          <w:rFonts w:ascii="Arial" w:cs="Arial" w:eastAsia="Arial" w:hAnsi="Arial"/>
          <w:sz w:val="19"/>
          <w:szCs w:val="19"/>
          <w:color w:val="auto"/>
        </w:rPr>
        <w:t>Prior to the commencement of clinical development of such Licensed Products, the Parties shall agree upon and implement a procedure for the mutual exchange of adverse event reports and safety information associated with such Licensed Products. Details of the operating procedure respecting such adverse event reports and safety information exchange shall be the subject of a mutually-agreed written pharmacovigilance agreement between the Parties.</w:t>
      </w:r>
    </w:p>
    <w:p>
      <w:pPr>
        <w:spacing w:after="0" w:line="13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6.5 Remedial Actions</w:t>
      </w:r>
      <w:r>
        <w:rPr>
          <w:rFonts w:ascii="Arial" w:cs="Arial" w:eastAsia="Arial" w:hAnsi="Arial"/>
          <w:sz w:val="22"/>
          <w:szCs w:val="22"/>
          <w:color w:val="auto"/>
        </w:rPr>
        <w:t>. Following exercise of an Option for a Collaboration Target Combination, Allergan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sole right to decide whether any recall, corrective action or other regulatory action with respect to Licensed Products for such Collaboration Target Combination taken by virtue of applicable Laws (a “</w:t>
      </w:r>
      <w:r>
        <w:rPr>
          <w:rFonts w:ascii="Arial" w:cs="Arial" w:eastAsia="Arial" w:hAnsi="Arial"/>
          <w:sz w:val="22"/>
          <w:szCs w:val="22"/>
          <w:b w:val="1"/>
          <w:bCs w:val="1"/>
          <w:color w:val="auto"/>
        </w:rPr>
        <w:t>Remedial Action</w:t>
      </w:r>
      <w:r>
        <w:rPr>
          <w:rFonts w:ascii="Arial" w:cs="Arial" w:eastAsia="Arial" w:hAnsi="Arial"/>
          <w:sz w:val="22"/>
          <w:szCs w:val="22"/>
          <w:color w:val="auto"/>
        </w:rPr>
        <w:t>”) with respect to such Licensed Products in the Field and in the Territory should be commenced, with advance notice to Molecular Partners to the extent practicable.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7.1 General</w:t>
      </w:r>
      <w:r>
        <w:rPr>
          <w:rFonts w:ascii="Arial" w:cs="Arial" w:eastAsia="Arial" w:hAnsi="Arial"/>
          <w:sz w:val="21"/>
          <w:szCs w:val="21"/>
          <w:color w:val="auto"/>
        </w:rPr>
        <w:t>. Following exercise of an Option for a Collaboration Target Combination, Allergan will be solely</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responsible, at its expense, for all aspects of the Commercialization of Licensed Products for such Collaboration Target Combination in the Field in the Territory, which responsibilities include: (a) conducting Clinical Trials in support of its Commercialization efforts; (b) developing and executing a comprehensive commercial launch and pre-launch strategy and plan and subsequent Commercialization activities for such Licensed Product (including pricing, advertising, education, planning, marketing, sales force training and allocation); (c) negotiating with applicable Governmental Authorities regarding the price and reimbursement status of such Licensed Product; (d) marketing and promotion; (e) booking sales and distribution and performance of related services; (f) handling all aspects of order processing, invoicing and collection, inventory and receivables; (g) providing customer support,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02" w:name="page503"/>
    <w:bookmarkEnd w:id="502"/>
    <w:p>
      <w:pPr>
        <w:jc w:val="both"/>
        <w:ind w:right="20"/>
        <w:spacing w:after="0" w:line="263" w:lineRule="auto"/>
        <w:rPr>
          <w:sz w:val="20"/>
          <w:szCs w:val="20"/>
          <w:color w:val="auto"/>
        </w:rPr>
      </w:pPr>
      <w:r>
        <w:rPr>
          <w:rFonts w:ascii="Arial" w:cs="Arial" w:eastAsia="Arial" w:hAnsi="Arial"/>
          <w:sz w:val="22"/>
          <w:szCs w:val="22"/>
          <w:color w:val="auto"/>
        </w:rPr>
        <w:t>handling medical queries, and performing other related functions; and (h) conforming its practices and procedures to applicable Laws relating to the marketing, detailing and promotion of such Licensed Products in the Territory.</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7.2 Commercial Diligence</w:t>
      </w:r>
      <w:r>
        <w:rPr>
          <w:rFonts w:ascii="Arial" w:cs="Arial" w:eastAsia="Arial" w:hAnsi="Arial"/>
          <w:sz w:val="22"/>
          <w:szCs w:val="22"/>
          <w:color w:val="auto"/>
        </w:rPr>
        <w:t>. Following each exercise of an Option for a Collaboration Target Combination, Allergan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use Commercially Reasonable Efforts to Commercialize Licensed Products for such Collaboration Target Combination in the Field.</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7.3 Commercialization Reports</w:t>
      </w:r>
      <w:r>
        <w:rPr>
          <w:rFonts w:ascii="Arial" w:cs="Arial" w:eastAsia="Arial" w:hAnsi="Arial"/>
          <w:sz w:val="21"/>
          <w:szCs w:val="21"/>
          <w:color w:val="auto"/>
        </w:rPr>
        <w:t>. After submission of a Regulatory Approval Application for a Licensed Product, upon</w:t>
      </w:r>
      <w:r>
        <w:rPr>
          <w:rFonts w:ascii="Arial" w:cs="Arial" w:eastAsia="Arial" w:hAnsi="Arial"/>
          <w:sz w:val="21"/>
          <w:szCs w:val="21"/>
          <w:b w:val="1"/>
          <w:bCs w:val="1"/>
          <w:color w:val="auto"/>
        </w:rPr>
        <w:t xml:space="preserve"> </w:t>
      </w:r>
      <w:r>
        <w:rPr>
          <w:rFonts w:ascii="Arial" w:cs="Arial" w:eastAsia="Arial" w:hAnsi="Arial"/>
          <w:sz w:val="21"/>
          <w:szCs w:val="21"/>
          <w:color w:val="auto"/>
        </w:rPr>
        <w:t>the reasonable request of Molecular Partners on no more than an annual basis, Allergan shall provide Molecular Partners with a written summary of Allergan’s projection of the launch dates for each Licensed Product in the Field and the Territory and a non-binding estimate of Licensed Product sales for the subsequent Calendar Year. The obligations under this Section 7.3 shall terminate in the event of a Molecular Partners Terminating Event.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8.1 Responsibilities</w:t>
      </w:r>
      <w:r>
        <w:rPr>
          <w:rFonts w:ascii="Arial" w:cs="Arial" w:eastAsia="Arial" w:hAnsi="Arial"/>
          <w:sz w:val="22"/>
          <w:szCs w:val="22"/>
          <w:color w:val="auto"/>
        </w:rPr>
        <w:t>. Except as otherwise expressly provided in this Article 8, as between the Parties and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of an Option for a Collaboration Target Combination, Allergan will be solely responsible for the Manufacture of Licensed Products for such Collaboration Target Combination, at its expense, for Development and Commercialization purposes in the Field in the Territory.</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8.2 Third Party Manufacture</w:t>
      </w:r>
      <w:r>
        <w:rPr>
          <w:rFonts w:ascii="Arial" w:cs="Arial" w:eastAsia="Arial" w:hAnsi="Arial"/>
          <w:sz w:val="22"/>
          <w:szCs w:val="22"/>
          <w:color w:val="auto"/>
        </w:rPr>
        <w:t>. Allergan may perform the Manufacture of Licensed Compounds or Licensed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through one or more Third Party manufacturers, provided that (a) Allergan remains responsible for such Third Party manufacturer; (b) the Third Party manufacturer undertakes in writing obligations of confidentiality and non-use regarding Confidential Information that are no less protective than those set forth in Article 13, and (c) the Third Party manufacturer agrees in writing to assign or license to Allergan all intellectual property developed in the course of performing any such Manufacture to the extent relating to the Licensed Compound or Licensed Product.</w:t>
      </w:r>
    </w:p>
    <w:p>
      <w:pPr>
        <w:spacing w:after="0" w:line="18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8.3 Manufacturing Cooperation</w:t>
      </w:r>
      <w:r>
        <w:rPr>
          <w:rFonts w:ascii="Arial" w:cs="Arial" w:eastAsia="Arial" w:hAnsi="Arial"/>
          <w:sz w:val="19"/>
          <w:szCs w:val="19"/>
          <w:color w:val="auto"/>
        </w:rPr>
        <w:t>. Following exercise of an Option for a Collaboration Target Combination, Allergan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keep Molecular Partners reasonably informed of its Manufacturing activities for Licensed Compounds and Licensed Products for such Collaboration Target Combination through regular reports at the JSC meetings or after the JSC Term through annual reports (which may be included with Development reports under Section 5.2(d)). Allergan may reasonably request assistance with its Manufacturing activities for such Licensed Products, in which event Molecular Partners will use reasonable efforts to provide such assistance, with such activities to be reimbursed by Allergan at the FTE Rate.</w:t>
      </w:r>
    </w:p>
    <w:p>
      <w:pPr>
        <w:spacing w:after="0" w:line="14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8.4 Use of Manufacturing Information</w:t>
      </w:r>
      <w:r>
        <w:rPr>
          <w:rFonts w:ascii="Arial" w:cs="Arial" w:eastAsia="Arial" w:hAnsi="Arial"/>
          <w:sz w:val="22"/>
          <w:szCs w:val="22"/>
          <w:color w:val="auto"/>
        </w:rPr>
        <w:t>. Allergan and its Affiliates and Third Party manufacturer shall use any</w:t>
      </w:r>
      <w:r>
        <w:rPr>
          <w:rFonts w:ascii="Arial" w:cs="Arial" w:eastAsia="Arial" w:hAnsi="Arial"/>
          <w:sz w:val="22"/>
          <w:szCs w:val="22"/>
          <w:b w:val="1"/>
          <w:bCs w:val="1"/>
          <w:color w:val="auto"/>
        </w:rPr>
        <w:t xml:space="preserve"> </w:t>
      </w:r>
      <w:r>
        <w:rPr>
          <w:rFonts w:ascii="Arial" w:cs="Arial" w:eastAsia="Arial" w:hAnsi="Arial"/>
          <w:sz w:val="22"/>
          <w:szCs w:val="22"/>
          <w:color w:val="auto"/>
        </w:rPr>
        <w:t>Molecular Partners Know-How related to the manufacture of Licensed Compounds or Licensed Products in accordance with the licenses granted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03" w:name="page504"/>
    <w:bookmarkEnd w:id="503"/>
    <w:p>
      <w:pPr>
        <w:jc w:val="both"/>
        <w:spacing w:after="0" w:line="253" w:lineRule="auto"/>
        <w:rPr>
          <w:sz w:val="20"/>
          <w:szCs w:val="20"/>
          <w:color w:val="auto"/>
        </w:rPr>
      </w:pPr>
      <w:r>
        <w:rPr>
          <w:rFonts w:ascii="Arial" w:cs="Arial" w:eastAsia="Arial" w:hAnsi="Arial"/>
          <w:sz w:val="22"/>
          <w:szCs w:val="22"/>
          <w:color w:val="auto"/>
        </w:rPr>
        <w:t>4.3 and only for the purpose of Manufacturing Licensed Compounds or Licensed Products. Prior to any transfer of any Molecular Partners Know-How to a Third Party manufacturer, Allergan shall require that such Third Party be bound to confidentiality restrictions at least as protective as those of Article 13.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19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9.1 Upfront Payment</w:t>
      </w:r>
      <w:r>
        <w:rPr>
          <w:rFonts w:ascii="Arial" w:cs="Arial" w:eastAsia="Arial" w:hAnsi="Arial"/>
          <w:sz w:val="22"/>
          <w:szCs w:val="22"/>
          <w:color w:val="auto"/>
        </w:rPr>
        <w:t>. Within [***] after the Effective Date, Allergan shall pay to Molecular Partners a one-time, non-refundable and non-creditable upfront payment of forty million Dollars ($40,000,000).</w:t>
      </w:r>
    </w:p>
    <w:p>
      <w:pPr>
        <w:spacing w:after="0" w:line="16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9.2 Option Exercise Fee</w:t>
      </w:r>
      <w:r>
        <w:rPr>
          <w:rFonts w:ascii="Arial" w:cs="Arial" w:eastAsia="Arial" w:hAnsi="Arial"/>
          <w:sz w:val="19"/>
          <w:szCs w:val="19"/>
          <w:color w:val="auto"/>
        </w:rPr>
        <w:t>. Upon each exercise of an Option (for each of up to three Options), Allergan shall pay</w:t>
      </w:r>
      <w:r>
        <w:rPr>
          <w:rFonts w:ascii="Arial" w:cs="Arial" w:eastAsia="Arial" w:hAnsi="Arial"/>
          <w:sz w:val="19"/>
          <w:szCs w:val="19"/>
          <w:b w:val="1"/>
          <w:bCs w:val="1"/>
          <w:color w:val="auto"/>
        </w:rPr>
        <w:t xml:space="preserve"> </w:t>
      </w:r>
      <w:r>
        <w:rPr>
          <w:rFonts w:ascii="Arial" w:cs="Arial" w:eastAsia="Arial" w:hAnsi="Arial"/>
          <w:sz w:val="19"/>
          <w:szCs w:val="19"/>
          <w:color w:val="auto"/>
        </w:rPr>
        <w:t>Molecular Partners a one-time, non-refundable and non-creditable option exercise payment of ten million Dollars ($10,000,000).</w:t>
      </w:r>
    </w:p>
    <w:p>
      <w:pPr>
        <w:spacing w:after="0" w:line="9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Research Funding</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9" w:lineRule="auto"/>
        <w:tabs>
          <w:tab w:leader="none" w:pos="1782" w:val="left"/>
        </w:tabs>
        <w:numPr>
          <w:ilvl w:val="0"/>
          <w:numId w:val="458"/>
        </w:numPr>
        <w:rPr>
          <w:rFonts w:ascii="Arial" w:cs="Arial" w:eastAsia="Arial" w:hAnsi="Arial"/>
          <w:sz w:val="22"/>
          <w:szCs w:val="22"/>
          <w:b w:val="1"/>
          <w:bCs w:val="1"/>
          <w:color w:val="auto"/>
        </w:rPr>
      </w:pPr>
      <w:r>
        <w:rPr>
          <w:rFonts w:ascii="Arial" w:cs="Arial" w:eastAsia="Arial" w:hAnsi="Arial"/>
          <w:sz w:val="22"/>
          <w:szCs w:val="22"/>
          <w:b w:val="1"/>
          <w:bCs w:val="1"/>
          <w:color w:val="auto"/>
        </w:rPr>
        <w:t>Research Term Extension</w:t>
      </w:r>
      <w:r>
        <w:rPr>
          <w:rFonts w:ascii="Arial" w:cs="Arial" w:eastAsia="Arial" w:hAnsi="Arial"/>
          <w:sz w:val="22"/>
          <w:szCs w:val="22"/>
          <w:color w:val="auto"/>
        </w:rPr>
        <w:t>. Allergan shall reimburse Molecular Partners for all FTE costs (at the FTE Rate)</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Molecular Partners to conduct its activities under this Agreement during the Research Term Extension, up to a maximum of [***] in total. Within [***] after the end of each calendar quarter during the Research Term Extension, Molecular Partners shall provide an invoice to Allergan specifying the actual FTE costs (at the FTE Rate) incurred by Molecular Partners in accordance with the foregoing.</w:t>
      </w:r>
    </w:p>
    <w:p>
      <w:pPr>
        <w:spacing w:after="0" w:line="186" w:lineRule="exact"/>
        <w:rPr>
          <w:rFonts w:ascii="Arial" w:cs="Arial" w:eastAsia="Arial" w:hAnsi="Arial"/>
          <w:sz w:val="22"/>
          <w:szCs w:val="22"/>
          <w:b w:val="1"/>
          <w:bCs w:val="1"/>
          <w:color w:val="auto"/>
        </w:rPr>
      </w:pPr>
    </w:p>
    <w:p>
      <w:pPr>
        <w:jc w:val="both"/>
        <w:ind w:firstLine="1304"/>
        <w:spacing w:after="0" w:line="249" w:lineRule="auto"/>
        <w:tabs>
          <w:tab w:leader="none" w:pos="1895" w:val="left"/>
        </w:tabs>
        <w:numPr>
          <w:ilvl w:val="0"/>
          <w:numId w:val="458"/>
        </w:numPr>
        <w:rPr>
          <w:rFonts w:ascii="Arial" w:cs="Arial" w:eastAsia="Arial" w:hAnsi="Arial"/>
          <w:sz w:val="22"/>
          <w:szCs w:val="22"/>
          <w:b w:val="1"/>
          <w:bCs w:val="1"/>
          <w:color w:val="auto"/>
        </w:rPr>
      </w:pPr>
      <w:r>
        <w:rPr>
          <w:rFonts w:ascii="Arial" w:cs="Arial" w:eastAsia="Arial" w:hAnsi="Arial"/>
          <w:sz w:val="22"/>
          <w:szCs w:val="22"/>
          <w:b w:val="1"/>
          <w:bCs w:val="1"/>
          <w:color w:val="auto"/>
        </w:rPr>
        <w:t>Backup Compounds</w:t>
      </w:r>
      <w:r>
        <w:rPr>
          <w:rFonts w:ascii="Arial" w:cs="Arial" w:eastAsia="Arial" w:hAnsi="Arial"/>
          <w:sz w:val="22"/>
          <w:szCs w:val="22"/>
          <w:color w:val="auto"/>
        </w:rPr>
        <w:t>. Allergan shall reimburse Molecular Partners for all FTE costs (at the FTE Rate)</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Molecular Partners to conduct its activities under Section 5.7, up to a maximum of [***] per year per each Licensed Target Combination. Within [***] after the end of each calendar quarter during which Molecular Partners conducts any such activities, Molecular Partners shall provide an invoice to Allergan specifying the actual FTE costs (at the FTE Rate) incurred by Molecular Partners in accordance with the foregoing.</w:t>
      </w:r>
    </w:p>
    <w:p>
      <w:pPr>
        <w:spacing w:after="0" w:line="186" w:lineRule="exact"/>
        <w:rPr>
          <w:rFonts w:ascii="Arial" w:cs="Arial" w:eastAsia="Arial" w:hAnsi="Arial"/>
          <w:sz w:val="22"/>
          <w:szCs w:val="22"/>
          <w:b w:val="1"/>
          <w:bCs w:val="1"/>
          <w:color w:val="auto"/>
        </w:rPr>
      </w:pPr>
    </w:p>
    <w:p>
      <w:pPr>
        <w:jc w:val="both"/>
        <w:ind w:firstLine="1304"/>
        <w:spacing w:after="0" w:line="256" w:lineRule="auto"/>
        <w:tabs>
          <w:tab w:leader="none" w:pos="1784" w:val="left"/>
        </w:tabs>
        <w:numPr>
          <w:ilvl w:val="0"/>
          <w:numId w:val="458"/>
        </w:numPr>
        <w:rPr>
          <w:rFonts w:ascii="Arial" w:cs="Arial" w:eastAsia="Arial" w:hAnsi="Arial"/>
          <w:sz w:val="22"/>
          <w:szCs w:val="22"/>
          <w:b w:val="1"/>
          <w:bCs w:val="1"/>
          <w:color w:val="auto"/>
        </w:rPr>
      </w:pPr>
      <w:r>
        <w:rPr>
          <w:rFonts w:ascii="Arial" w:cs="Arial" w:eastAsia="Arial" w:hAnsi="Arial"/>
          <w:sz w:val="22"/>
          <w:szCs w:val="22"/>
          <w:b w:val="1"/>
          <w:bCs w:val="1"/>
          <w:color w:val="auto"/>
        </w:rPr>
        <w:t>Payment Terms</w:t>
      </w:r>
      <w:r>
        <w:rPr>
          <w:rFonts w:ascii="Arial" w:cs="Arial" w:eastAsia="Arial" w:hAnsi="Arial"/>
          <w:sz w:val="22"/>
          <w:szCs w:val="22"/>
          <w:color w:val="auto"/>
        </w:rPr>
        <w:t>. Allergan shall pay to Molecular Partners amounts due under this Section 9.3 within [***]</w:t>
      </w:r>
      <w:r>
        <w:rPr>
          <w:rFonts w:ascii="Arial" w:cs="Arial" w:eastAsia="Arial" w:hAnsi="Arial"/>
          <w:sz w:val="22"/>
          <w:szCs w:val="22"/>
          <w:b w:val="1"/>
          <w:bCs w:val="1"/>
          <w:color w:val="auto"/>
        </w:rPr>
        <w:t xml:space="preserve"> </w:t>
      </w:r>
      <w:r>
        <w:rPr>
          <w:rFonts w:ascii="Arial" w:cs="Arial" w:eastAsia="Arial" w:hAnsi="Arial"/>
          <w:sz w:val="22"/>
          <w:szCs w:val="22"/>
          <w:color w:val="auto"/>
        </w:rPr>
        <w:t>after receipt of an invoice from Molecular Partners. Allergan shall pay such amount by wire transfer of immediately available funds into an account designated by Molecular Partners.</w:t>
      </w:r>
    </w:p>
    <w:p>
      <w:pPr>
        <w:spacing w:after="0" w:line="176" w:lineRule="exact"/>
        <w:rPr>
          <w:rFonts w:ascii="Arial" w:cs="Arial" w:eastAsia="Arial" w:hAnsi="Arial"/>
          <w:sz w:val="22"/>
          <w:szCs w:val="22"/>
          <w:b w:val="1"/>
          <w:bCs w:val="1"/>
          <w:color w:val="auto"/>
        </w:rPr>
      </w:pPr>
    </w:p>
    <w:p>
      <w:pPr>
        <w:jc w:val="both"/>
        <w:ind w:firstLine="1304"/>
        <w:spacing w:after="0" w:line="293" w:lineRule="auto"/>
        <w:tabs>
          <w:tab w:leader="none" w:pos="1938" w:val="left"/>
        </w:tabs>
        <w:numPr>
          <w:ilvl w:val="0"/>
          <w:numId w:val="458"/>
        </w:numPr>
        <w:rPr>
          <w:rFonts w:ascii="Arial" w:cs="Arial" w:eastAsia="Arial" w:hAnsi="Arial"/>
          <w:sz w:val="19"/>
          <w:szCs w:val="19"/>
          <w:b w:val="1"/>
          <w:bCs w:val="1"/>
          <w:color w:val="auto"/>
        </w:rPr>
      </w:pPr>
      <w:r>
        <w:rPr>
          <w:rFonts w:ascii="Arial" w:cs="Arial" w:eastAsia="Arial" w:hAnsi="Arial"/>
          <w:sz w:val="19"/>
          <w:szCs w:val="19"/>
          <w:b w:val="1"/>
          <w:bCs w:val="1"/>
          <w:color w:val="auto"/>
        </w:rPr>
        <w:t>Records; Audit</w:t>
      </w:r>
      <w:r>
        <w:rPr>
          <w:rFonts w:ascii="Arial" w:cs="Arial" w:eastAsia="Arial" w:hAnsi="Arial"/>
          <w:sz w:val="19"/>
          <w:szCs w:val="19"/>
          <w:color w:val="auto"/>
        </w:rPr>
        <w:t>. Molecular Partners and its Affiliates will maintain complete and accurate records in</w:t>
      </w:r>
      <w:r>
        <w:rPr>
          <w:rFonts w:ascii="Arial" w:cs="Arial" w:eastAsia="Arial" w:hAnsi="Arial"/>
          <w:sz w:val="19"/>
          <w:szCs w:val="19"/>
          <w:b w:val="1"/>
          <w:bCs w:val="1"/>
          <w:color w:val="auto"/>
        </w:rPr>
        <w:t xml:space="preserve"> </w:t>
      </w:r>
      <w:r>
        <w:rPr>
          <w:rFonts w:ascii="Arial" w:cs="Arial" w:eastAsia="Arial" w:hAnsi="Arial"/>
          <w:sz w:val="19"/>
          <w:szCs w:val="19"/>
          <w:color w:val="auto"/>
        </w:rPr>
        <w:t>sufficient detail to confirm the accuracy of each invoice submitted by Molecular Partners to Allergan pursuant to this Section 9.3 for a period of [***] years after the Calendar Year to which such invoice pertains. Upon reasonable prior notice (and not more than [***]) and without disruption to Molecular Partner’s business, such records of Molecular Partners and its Affiliates shall be made available during regular business hours for examination by an independent certified public accountant selected by Allergan and reasonably acceptable to Molecular Partners, for the sole purpose of and only to the extent necessary for verifying the accuracy of such invoices. Such independent accountant shall disclose to Allergan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04" w:name="page505"/>
    <w:bookmarkEnd w:id="504"/>
    <w:p>
      <w:pPr>
        <w:jc w:val="both"/>
        <w:spacing w:after="0" w:line="287" w:lineRule="auto"/>
        <w:rPr>
          <w:sz w:val="20"/>
          <w:szCs w:val="20"/>
          <w:color w:val="auto"/>
        </w:rPr>
      </w:pPr>
      <w:r>
        <w:rPr>
          <w:rFonts w:ascii="Arial" w:cs="Arial" w:eastAsia="Arial" w:hAnsi="Arial"/>
          <w:sz w:val="19"/>
          <w:szCs w:val="19"/>
          <w:color w:val="auto"/>
        </w:rPr>
        <w:t>only the discrepancies between the amounts that such independent accountant believes should have been set forth on such invoices and the amounts actually set forth on such invoices, and shall disclose no other information revealed in such audit. Any and all records examined by such independent accountant shall be deemed Molecular Partner’s Confidential Information which may not be disclosed by such independent accountant to any Third Party, and Molecular Partners may require such independent accountant to enter into an appropriate written agreement obligating it to be bound by obligations of confidentiality and restrictions on use of such Confidential Information that are no less protective than those set forth in Article 13. If, as a result of any inspection of the books and records of Allergan, it is shown that the aggregate amount set forth on any such invoice was greater than the amount that should have been set forth on such invoice, Molecular Partners shall promptly pay such difference to Allergan. Allergan shall pay for such audits, except that in the event that any audit determines that the aggregate amount that should have been set forth on all invoices for the preceding year was at least [***] less than the aggregate amount actually set forth on such invoices, in which case, Molecular Partners shall pay the costs of such audit.</w:t>
      </w:r>
    </w:p>
    <w:p>
      <w:pPr>
        <w:spacing w:after="0" w:line="15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9.4 Development Milestone Payments</w:t>
      </w:r>
      <w:r>
        <w:rPr>
          <w:rFonts w:ascii="Arial" w:cs="Arial" w:eastAsia="Arial" w:hAnsi="Arial"/>
          <w:sz w:val="19"/>
          <w:szCs w:val="19"/>
          <w:color w:val="auto"/>
        </w:rPr>
        <w:t>. For each Licensed Target Combination for which an Option is exercised,</w:t>
      </w:r>
      <w:r>
        <w:rPr>
          <w:rFonts w:ascii="Arial" w:cs="Arial" w:eastAsia="Arial" w:hAnsi="Arial"/>
          <w:sz w:val="19"/>
          <w:szCs w:val="19"/>
          <w:b w:val="1"/>
          <w:bCs w:val="1"/>
          <w:color w:val="auto"/>
        </w:rPr>
        <w:t xml:space="preserve"> </w:t>
      </w:r>
      <w:r>
        <w:rPr>
          <w:rFonts w:ascii="Arial" w:cs="Arial" w:eastAsia="Arial" w:hAnsi="Arial"/>
          <w:sz w:val="19"/>
          <w:szCs w:val="19"/>
          <w:color w:val="auto"/>
        </w:rPr>
        <w:t>Allergan shall make each of the following non-refundable, non-creditable development milestone payments to Molecular Partners upon the achievement by Allergan or its Affiliates or Sublicensees of the applicable development milestone events by a Licensed Product for such Licensed Target Combination for the [***] and [***]. Allergan shall pay to Molecular Partners each such amount within [***] after the achievement of the applicable development milestone event. For clarity, each of the following development milestone payments shall be made [***] for such Licensed Target Combination, [***].</w:t>
      </w:r>
    </w:p>
    <w:p>
      <w:pPr>
        <w:sectPr>
          <w:pgSz w:w="11900" w:h="16838" w:orient="portrait"/>
          <w:cols w:equalWidth="0" w:num="1">
            <w:col w:w="11240"/>
          </w:cols>
          <w:pgMar w:left="320" w:top="1427" w:right="339" w:bottom="1440" w:gutter="0" w:footer="0" w:header="0"/>
        </w:sectPr>
      </w:pPr>
    </w:p>
    <w:p>
      <w:pPr>
        <w:spacing w:after="0" w:line="211" w:lineRule="exact"/>
        <w:rPr>
          <w:sz w:val="20"/>
          <w:szCs w:val="20"/>
          <w:color w:val="auto"/>
        </w:rPr>
      </w:pPr>
    </w:p>
    <w:p>
      <w:pPr>
        <w:jc w:val="center"/>
        <w:ind w:left="660"/>
        <w:spacing w:after="0"/>
        <w:rPr>
          <w:sz w:val="20"/>
          <w:szCs w:val="20"/>
          <w:color w:val="auto"/>
        </w:rPr>
      </w:pPr>
      <w:r>
        <w:rPr>
          <w:rFonts w:ascii="Arial" w:cs="Arial" w:eastAsia="Arial" w:hAnsi="Arial"/>
          <w:sz w:val="19"/>
          <w:szCs w:val="19"/>
          <w:b w:val="1"/>
          <w:bCs w:val="1"/>
          <w:color w:val="auto"/>
        </w:rPr>
        <w:t>Development Milestone Event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Development Milestone Payment [***]</w:t>
      </w:r>
    </w:p>
    <w:p>
      <w:pPr>
        <w:spacing w:after="0" w:line="119" w:lineRule="exact"/>
        <w:rPr>
          <w:sz w:val="20"/>
          <w:szCs w:val="20"/>
          <w:color w:val="auto"/>
        </w:rPr>
      </w:pPr>
    </w:p>
    <w:p>
      <w:pPr>
        <w:sectPr>
          <w:pgSz w:w="11900" w:h="16838" w:orient="portrait"/>
          <w:cols w:equalWidth="0" w:num="2">
            <w:col w:w="6900" w:space="720"/>
            <w:col w:w="362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1"/>
          <w:szCs w:val="21"/>
          <w:b w:val="1"/>
          <w:bCs w:val="1"/>
          <w:color w:val="auto"/>
        </w:rPr>
        <w:t>For The [***]:</w:t>
      </w:r>
    </w:p>
    <w:p>
      <w:pPr>
        <w:sectPr>
          <w:pgSz w:w="11900" w:h="16838" w:orient="portrait"/>
          <w:cols w:equalWidth="0" w:num="1">
            <w:col w:w="11240"/>
          </w:cols>
          <w:pgMar w:left="320" w:top="1427" w:right="339" w:bottom="1440" w:gutter="0" w:footer="0" w:header="0"/>
          <w:type w:val="continuous"/>
        </w:sectPr>
      </w:pPr>
    </w:p>
    <w:p>
      <w:pPr>
        <w:spacing w:after="0" w:line="102"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79"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Total Development Milestone Payments for [***]</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 the [***]:</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22"/>
          <w:szCs w:val="22"/>
          <w:b w:val="1"/>
          <w:bCs w:val="1"/>
          <w:color w:val="auto"/>
        </w:rPr>
        <w:t>[***]</w:t>
      </w:r>
    </w:p>
    <w:p>
      <w:pPr>
        <w:spacing w:after="0" w:line="428"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85"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t>
      </w:r>
    </w:p>
    <w:p>
      <w:pPr>
        <w:spacing w:after="0" w:line="79"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Total Development Milestone Payments for [***]</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6860" w:space="720"/>
            <w:col w:w="3660"/>
          </w:cols>
          <w:pgMar w:left="320" w:top="1427" w:right="339" w:bottom="1440" w:gutter="0" w:footer="0" w:header="0"/>
          <w:type w:val="continuous"/>
        </w:sectPr>
      </w:pPr>
    </w:p>
    <w:p>
      <w:pPr>
        <w:spacing w:after="0" w:line="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9.5 Sales Milestones</w:t>
      </w:r>
      <w:r>
        <w:rPr>
          <w:rFonts w:ascii="Arial" w:cs="Arial" w:eastAsia="Arial" w:hAnsi="Arial"/>
          <w:sz w:val="22"/>
          <w:szCs w:val="22"/>
          <w:color w:val="auto"/>
        </w:rPr>
        <w:t>. For each Licensed Target Combination for which an Option is exercised, Allergan shall make</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following one-time, non-refundable (except as set forth in Section 9.11), non-creditable sales milestone payments to Molecular Partners when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type w:val="continuous"/>
        </w:sectPr>
      </w:pPr>
    </w:p>
    <w:bookmarkStart w:id="505" w:name="page506"/>
    <w:bookmarkEnd w:id="505"/>
    <w:p>
      <w:pPr>
        <w:jc w:val="both"/>
        <w:spacing w:after="0" w:line="263" w:lineRule="auto"/>
        <w:rPr>
          <w:sz w:val="20"/>
          <w:szCs w:val="20"/>
          <w:color w:val="auto"/>
        </w:rPr>
      </w:pPr>
      <w:r>
        <w:rPr>
          <w:rFonts w:ascii="Arial" w:cs="Arial" w:eastAsia="Arial" w:hAnsi="Arial"/>
          <w:sz w:val="21"/>
          <w:szCs w:val="21"/>
          <w:color w:val="auto"/>
        </w:rPr>
        <w:t>aggregate Royalty-Bearing Sales of Licensed Products for such Licensed Target Combination in the Territory in a period of any four (4) consecutive Calendar Quarters first reach the amount specified below. Allergan shall pay to Molecular Partners such amount within [***] after the Calendar Quarter in which such sales milestone event is achieved. For clarity, the sales milestone payments in this Section 9.5 shall be additive, such that if all five sales milestones below are met in the same period of four (4) consecutive Calendar Quarters, Allergan shall pay to Molecular Partners a payment of [***].</w:t>
      </w:r>
    </w:p>
    <w:p>
      <w:pPr>
        <w:spacing w:after="0" w:line="237" w:lineRule="exact"/>
        <w:rPr>
          <w:sz w:val="20"/>
          <w:szCs w:val="20"/>
          <w:color w:val="auto"/>
        </w:rPr>
      </w:pPr>
    </w:p>
    <w:p>
      <w:pPr>
        <w:ind w:left="2660"/>
        <w:spacing w:after="0"/>
        <w:tabs>
          <w:tab w:leader="none" w:pos="8380" w:val="left"/>
        </w:tabs>
        <w:rPr>
          <w:sz w:val="20"/>
          <w:szCs w:val="20"/>
          <w:color w:val="auto"/>
        </w:rPr>
      </w:pPr>
      <w:r>
        <w:rPr>
          <w:rFonts w:ascii="Arial" w:cs="Arial" w:eastAsia="Arial" w:hAnsi="Arial"/>
          <w:sz w:val="22"/>
          <w:szCs w:val="22"/>
          <w:b w:val="1"/>
          <w:bCs w:val="1"/>
          <w:color w:val="auto"/>
        </w:rPr>
        <w:t>Sales Milestone Event</w:t>
      </w:r>
      <w:r>
        <w:rPr>
          <w:sz w:val="20"/>
          <w:szCs w:val="20"/>
          <w:color w:val="auto"/>
        </w:rPr>
        <w:tab/>
      </w:r>
      <w:r>
        <w:rPr>
          <w:rFonts w:ascii="Arial" w:cs="Arial" w:eastAsia="Arial" w:hAnsi="Arial"/>
          <w:sz w:val="19"/>
          <w:szCs w:val="19"/>
          <w:b w:val="1"/>
          <w:bCs w:val="1"/>
          <w:color w:val="auto"/>
        </w:rPr>
        <w:t>Milestone Payment</w:t>
      </w:r>
    </w:p>
    <w:p>
      <w:pPr>
        <w:spacing w:after="0" w:line="91" w:lineRule="exact"/>
        <w:rPr>
          <w:sz w:val="20"/>
          <w:szCs w:val="20"/>
          <w:color w:val="auto"/>
        </w:rPr>
      </w:pPr>
    </w:p>
    <w:p>
      <w:pPr>
        <w:ind w:left="20" w:right="3420"/>
        <w:spacing w:after="0" w:line="279" w:lineRule="auto"/>
        <w:rPr>
          <w:sz w:val="20"/>
          <w:szCs w:val="20"/>
          <w:color w:val="auto"/>
        </w:rPr>
      </w:pPr>
      <w:r>
        <w:rPr>
          <w:rFonts w:ascii="Arial" w:cs="Arial" w:eastAsia="Arial" w:hAnsi="Arial"/>
          <w:sz w:val="22"/>
          <w:szCs w:val="22"/>
          <w:color w:val="auto"/>
        </w:rPr>
        <w:t>The aggregate Royalty-Bearing Sales of all Licensed Products for a Licensed Target [***] Combination in the Territory in a period of four (4) consecutive Calendar Quarters equal or exceed [***]</w:t>
      </w:r>
    </w:p>
    <w:p>
      <w:pPr>
        <w:spacing w:after="0" w:line="22" w:lineRule="exact"/>
        <w:rPr>
          <w:sz w:val="20"/>
          <w:szCs w:val="20"/>
          <w:color w:val="auto"/>
        </w:rPr>
      </w:pPr>
    </w:p>
    <w:p>
      <w:pPr>
        <w:ind w:left="20" w:right="3420"/>
        <w:spacing w:after="0" w:line="279" w:lineRule="auto"/>
        <w:rPr>
          <w:sz w:val="20"/>
          <w:szCs w:val="20"/>
          <w:color w:val="auto"/>
        </w:rPr>
      </w:pPr>
      <w:r>
        <w:rPr>
          <w:rFonts w:ascii="Arial" w:cs="Arial" w:eastAsia="Arial" w:hAnsi="Arial"/>
          <w:sz w:val="22"/>
          <w:szCs w:val="22"/>
          <w:color w:val="auto"/>
        </w:rPr>
        <w:t>The aggregate Royalty-Bearing Sales of all Licensed Products for a Licensed Target [***] Combination in the Territory in a period of four (4) consecutive Calendar Quarters equal or exceed [***]</w:t>
      </w:r>
    </w:p>
    <w:p>
      <w:pPr>
        <w:spacing w:after="0" w:line="22" w:lineRule="exact"/>
        <w:rPr>
          <w:sz w:val="20"/>
          <w:szCs w:val="20"/>
          <w:color w:val="auto"/>
        </w:rPr>
      </w:pPr>
    </w:p>
    <w:p>
      <w:pPr>
        <w:ind w:left="20" w:right="3420"/>
        <w:spacing w:after="0" w:line="279" w:lineRule="auto"/>
        <w:rPr>
          <w:sz w:val="20"/>
          <w:szCs w:val="20"/>
          <w:color w:val="auto"/>
        </w:rPr>
      </w:pPr>
      <w:r>
        <w:rPr>
          <w:rFonts w:ascii="Arial" w:cs="Arial" w:eastAsia="Arial" w:hAnsi="Arial"/>
          <w:sz w:val="22"/>
          <w:szCs w:val="22"/>
          <w:color w:val="auto"/>
        </w:rPr>
        <w:t>The aggregate Royalty-Bearing Sales of all Licensed Products for a Licensed Target [***] Combination in the Territory in a period of four (4) consecutive Calendar Quarters equal or exceed [***]</w:t>
      </w:r>
    </w:p>
    <w:p>
      <w:pPr>
        <w:spacing w:after="0" w:line="22" w:lineRule="exact"/>
        <w:rPr>
          <w:sz w:val="20"/>
          <w:szCs w:val="20"/>
          <w:color w:val="auto"/>
        </w:rPr>
      </w:pPr>
    </w:p>
    <w:p>
      <w:pPr>
        <w:ind w:left="20" w:right="3420"/>
        <w:spacing w:after="0" w:line="279" w:lineRule="auto"/>
        <w:rPr>
          <w:sz w:val="20"/>
          <w:szCs w:val="20"/>
          <w:color w:val="auto"/>
        </w:rPr>
      </w:pPr>
      <w:r>
        <w:rPr>
          <w:rFonts w:ascii="Arial" w:cs="Arial" w:eastAsia="Arial" w:hAnsi="Arial"/>
          <w:sz w:val="22"/>
          <w:szCs w:val="22"/>
          <w:color w:val="auto"/>
        </w:rPr>
        <w:t>The aggregate Royalty-Bearing Sales of all Licensed Products for a Licensed Target [***] Combination in the Territory in a period of four (4) consecutive Calendar Quarters equal or exceed [***]</w:t>
      </w:r>
    </w:p>
    <w:p>
      <w:pPr>
        <w:spacing w:after="0" w:line="22" w:lineRule="exact"/>
        <w:rPr>
          <w:sz w:val="20"/>
          <w:szCs w:val="20"/>
          <w:color w:val="auto"/>
        </w:rPr>
      </w:pPr>
    </w:p>
    <w:p>
      <w:pPr>
        <w:ind w:left="20" w:right="3420"/>
        <w:spacing w:after="0" w:line="279" w:lineRule="auto"/>
        <w:rPr>
          <w:sz w:val="20"/>
          <w:szCs w:val="20"/>
          <w:color w:val="auto"/>
        </w:rPr>
      </w:pPr>
      <w:r>
        <w:rPr>
          <w:rFonts w:ascii="Arial" w:cs="Arial" w:eastAsia="Arial" w:hAnsi="Arial"/>
          <w:sz w:val="22"/>
          <w:szCs w:val="22"/>
          <w:color w:val="auto"/>
        </w:rPr>
        <w:t>The aggregate Royalty-Bearing Sales of all Licensed Products for a Licensed Target [***] Combination in the Territory in a period of four (4) consecutive Calendar Quarters equal or exceed [***]</w:t>
      </w:r>
    </w:p>
    <w:p>
      <w:pPr>
        <w:spacing w:after="0" w:line="16" w:lineRule="exact"/>
        <w:rPr>
          <w:sz w:val="20"/>
          <w:szCs w:val="20"/>
          <w:color w:val="auto"/>
        </w:rPr>
      </w:pPr>
    </w:p>
    <w:p>
      <w:pPr>
        <w:ind w:left="20"/>
        <w:spacing w:after="0"/>
        <w:tabs>
          <w:tab w:leader="none" w:pos="7340" w:val="left"/>
        </w:tabs>
        <w:rPr>
          <w:sz w:val="20"/>
          <w:szCs w:val="20"/>
          <w:color w:val="auto"/>
        </w:rPr>
      </w:pPr>
      <w:r>
        <w:rPr>
          <w:rFonts w:ascii="Arial" w:cs="Arial" w:eastAsia="Arial" w:hAnsi="Arial"/>
          <w:sz w:val="22"/>
          <w:szCs w:val="22"/>
          <w:b w:val="1"/>
          <w:bCs w:val="1"/>
          <w:color w:val="auto"/>
        </w:rPr>
        <w:t>Total Sales Milestone Payments per Licensed Target Combination</w:t>
      </w:r>
      <w:r>
        <w:rPr>
          <w:sz w:val="20"/>
          <w:szCs w:val="20"/>
          <w:color w:val="auto"/>
        </w:rPr>
        <w:tab/>
      </w:r>
      <w:r>
        <w:rPr>
          <w:rFonts w:ascii="Arial" w:cs="Arial" w:eastAsia="Arial" w:hAnsi="Arial"/>
          <w:sz w:val="22"/>
          <w:szCs w:val="22"/>
          <w:b w:val="1"/>
          <w:bCs w:val="1"/>
          <w:color w:val="auto"/>
        </w:rPr>
        <w:t>[***]</w:t>
      </w:r>
    </w:p>
    <w:p>
      <w:pPr>
        <w:spacing w:after="0" w:line="24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9.6</w:t>
      </w:r>
      <w:r>
        <w:rPr>
          <w:sz w:val="20"/>
          <w:szCs w:val="20"/>
          <w:color w:val="auto"/>
        </w:rPr>
        <w:tab/>
      </w:r>
      <w:r>
        <w:rPr>
          <w:rFonts w:ascii="Arial" w:cs="Arial" w:eastAsia="Arial" w:hAnsi="Arial"/>
          <w:sz w:val="19"/>
          <w:szCs w:val="19"/>
          <w:b w:val="1"/>
          <w:bCs w:val="1"/>
          <w:color w:val="auto"/>
        </w:rPr>
        <w:t>Royalties</w:t>
      </w:r>
    </w:p>
    <w:p>
      <w:pPr>
        <w:spacing w:after="0" w:line="220" w:lineRule="exact"/>
        <w:rPr>
          <w:sz w:val="20"/>
          <w:szCs w:val="20"/>
          <w:color w:val="auto"/>
        </w:rPr>
      </w:pPr>
    </w:p>
    <w:p>
      <w:pPr>
        <w:jc w:val="both"/>
        <w:ind w:firstLine="1304"/>
        <w:spacing w:after="0" w:line="264" w:lineRule="auto"/>
        <w:tabs>
          <w:tab w:leader="none" w:pos="1883" w:val="left"/>
        </w:tabs>
        <w:numPr>
          <w:ilvl w:val="0"/>
          <w:numId w:val="459"/>
        </w:numPr>
        <w:rPr>
          <w:rFonts w:ascii="Arial" w:cs="Arial" w:eastAsia="Arial" w:hAnsi="Arial"/>
          <w:sz w:val="21"/>
          <w:szCs w:val="21"/>
          <w:b w:val="1"/>
          <w:bCs w:val="1"/>
          <w:color w:val="auto"/>
        </w:rPr>
      </w:pPr>
      <w:r>
        <w:rPr>
          <w:rFonts w:ascii="Arial" w:cs="Arial" w:eastAsia="Arial" w:hAnsi="Arial"/>
          <w:sz w:val="21"/>
          <w:szCs w:val="21"/>
          <w:b w:val="1"/>
          <w:bCs w:val="1"/>
          <w:color w:val="auto"/>
        </w:rPr>
        <w:t>Royalty Rates</w:t>
      </w:r>
      <w:r>
        <w:rPr>
          <w:rFonts w:ascii="Arial" w:cs="Arial" w:eastAsia="Arial" w:hAnsi="Arial"/>
          <w:sz w:val="21"/>
          <w:szCs w:val="21"/>
          <w:color w:val="auto"/>
        </w:rPr>
        <w:t>. For each Licensed Target Combination for which an Option is exercised and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9.6(c), 9.6(d), and 9.7, Allergan shall pay to Molecular Partners non-creditable, non-refundable (except as set forth in Section 9.11) royalties on aggregate annual Royalty-Bearing Sales of all Licensed Products for such Licensed Target Combination in the Territory, as calculated by multiplying the applicable royalty rate by the corresponding amount of incremental Royalty-Bearing Sales of all such Licensed Products in the Territory in each Calendar Year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06" w:name="page507"/>
    <w:bookmarkEnd w:id="506"/>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8760" w:type="dxa"/>
            <w:vAlign w:val="bottom"/>
          </w:tcPr>
          <w:p>
            <w:pPr>
              <w:ind w:left="1280"/>
              <w:spacing w:after="0"/>
              <w:rPr>
                <w:sz w:val="20"/>
                <w:szCs w:val="20"/>
                <w:color w:val="auto"/>
              </w:rPr>
            </w:pPr>
            <w:r>
              <w:rPr>
                <w:rFonts w:ascii="Arial" w:cs="Arial" w:eastAsia="Arial" w:hAnsi="Arial"/>
                <w:sz w:val="22"/>
                <w:szCs w:val="22"/>
                <w:b w:val="1"/>
                <w:bCs w:val="1"/>
                <w:color w:val="auto"/>
              </w:rPr>
              <w:t>Annual Royalty-Bearing Sales of Licensed Products in the Territory</w:t>
            </w:r>
          </w:p>
        </w:tc>
        <w:tc>
          <w:tcPr>
            <w:tcW w:w="1860" w:type="dxa"/>
            <w:vAlign w:val="bottom"/>
          </w:tcPr>
          <w:p>
            <w:pPr>
              <w:jc w:val="center"/>
              <w:ind w:left="532"/>
              <w:spacing w:after="0"/>
              <w:rPr>
                <w:sz w:val="20"/>
                <w:szCs w:val="20"/>
                <w:color w:val="auto"/>
              </w:rPr>
            </w:pPr>
            <w:r>
              <w:rPr>
                <w:rFonts w:ascii="Arial" w:cs="Arial" w:eastAsia="Arial" w:hAnsi="Arial"/>
                <w:sz w:val="22"/>
                <w:szCs w:val="22"/>
                <w:b w:val="1"/>
                <w:bCs w:val="1"/>
                <w:color w:val="auto"/>
                <w:w w:val="91"/>
              </w:rPr>
              <w:t>Royalty Rate</w:t>
            </w:r>
          </w:p>
        </w:tc>
      </w:tr>
      <w:tr>
        <w:trPr>
          <w:trHeight w:val="337"/>
        </w:trPr>
        <w:tc>
          <w:tcPr>
            <w:tcW w:w="8760" w:type="dxa"/>
            <w:vAlign w:val="bottom"/>
          </w:tcPr>
          <w:p>
            <w:pPr>
              <w:spacing w:after="0"/>
              <w:rPr>
                <w:sz w:val="20"/>
                <w:szCs w:val="20"/>
                <w:color w:val="auto"/>
              </w:rPr>
            </w:pPr>
            <w:r>
              <w:rPr>
                <w:rFonts w:ascii="Arial" w:cs="Arial" w:eastAsia="Arial" w:hAnsi="Arial"/>
                <w:sz w:val="22"/>
                <w:szCs w:val="22"/>
                <w:color w:val="auto"/>
                <w:w w:val="96"/>
              </w:rPr>
              <w:t>For that portion of annual aggregate Royalty-Bearing Sales of all such Licensed Products in a</w:t>
            </w:r>
          </w:p>
        </w:tc>
        <w:tc>
          <w:tcPr>
            <w:tcW w:w="1860" w:type="dxa"/>
            <w:vAlign w:val="bottom"/>
          </w:tcPr>
          <w:p>
            <w:pPr>
              <w:jc w:val="center"/>
              <w:ind w:left="532"/>
              <w:spacing w:after="0"/>
              <w:rPr>
                <w:sz w:val="20"/>
                <w:szCs w:val="20"/>
                <w:color w:val="auto"/>
              </w:rPr>
            </w:pPr>
            <w:r>
              <w:rPr>
                <w:rFonts w:ascii="Arial" w:cs="Arial" w:eastAsia="Arial" w:hAnsi="Arial"/>
                <w:sz w:val="22"/>
                <w:szCs w:val="22"/>
                <w:color w:val="auto"/>
              </w:rPr>
              <w:t>[***]</w:t>
            </w:r>
          </w:p>
        </w:tc>
      </w:tr>
      <w:tr>
        <w:trPr>
          <w:trHeight w:val="284"/>
        </w:trPr>
        <w:tc>
          <w:tcPr>
            <w:tcW w:w="8760" w:type="dxa"/>
            <w:vAlign w:val="bottom"/>
          </w:tcPr>
          <w:p>
            <w:pPr>
              <w:spacing w:after="0"/>
              <w:rPr>
                <w:sz w:val="20"/>
                <w:szCs w:val="20"/>
                <w:color w:val="auto"/>
              </w:rPr>
            </w:pPr>
            <w:r>
              <w:rPr>
                <w:rFonts w:ascii="Arial" w:cs="Arial" w:eastAsia="Arial" w:hAnsi="Arial"/>
                <w:sz w:val="22"/>
                <w:szCs w:val="22"/>
                <w:color w:val="auto"/>
              </w:rPr>
              <w:t>Calendar Year that are less than or equal to [***]</w:t>
            </w:r>
          </w:p>
        </w:tc>
        <w:tc>
          <w:tcPr>
            <w:tcW w:w="1860" w:type="dxa"/>
            <w:vAlign w:val="bottom"/>
          </w:tcPr>
          <w:p>
            <w:pPr>
              <w:spacing w:after="0"/>
              <w:rPr>
                <w:sz w:val="24"/>
                <w:szCs w:val="24"/>
                <w:color w:val="auto"/>
              </w:rPr>
            </w:pPr>
          </w:p>
        </w:tc>
      </w:tr>
      <w:tr>
        <w:trPr>
          <w:trHeight w:val="338"/>
        </w:trPr>
        <w:tc>
          <w:tcPr>
            <w:tcW w:w="8760" w:type="dxa"/>
            <w:vAlign w:val="bottom"/>
          </w:tcPr>
          <w:p>
            <w:pPr>
              <w:spacing w:after="0"/>
              <w:rPr>
                <w:sz w:val="20"/>
                <w:szCs w:val="20"/>
                <w:color w:val="auto"/>
              </w:rPr>
            </w:pPr>
            <w:r>
              <w:rPr>
                <w:rFonts w:ascii="Arial" w:cs="Arial" w:eastAsia="Arial" w:hAnsi="Arial"/>
                <w:sz w:val="22"/>
                <w:szCs w:val="22"/>
                <w:color w:val="auto"/>
                <w:w w:val="96"/>
              </w:rPr>
              <w:t>For that portion of annual aggregate Royalty-Bearing Sales of all such Licensed Products in a</w:t>
            </w:r>
          </w:p>
        </w:tc>
        <w:tc>
          <w:tcPr>
            <w:tcW w:w="1860" w:type="dxa"/>
            <w:vAlign w:val="bottom"/>
          </w:tcPr>
          <w:p>
            <w:pPr>
              <w:jc w:val="center"/>
              <w:ind w:left="532"/>
              <w:spacing w:after="0"/>
              <w:rPr>
                <w:sz w:val="20"/>
                <w:szCs w:val="20"/>
                <w:color w:val="auto"/>
              </w:rPr>
            </w:pPr>
            <w:r>
              <w:rPr>
                <w:rFonts w:ascii="Arial" w:cs="Arial" w:eastAsia="Arial" w:hAnsi="Arial"/>
                <w:sz w:val="22"/>
                <w:szCs w:val="22"/>
                <w:color w:val="auto"/>
              </w:rPr>
              <w:t>[***]</w:t>
            </w:r>
          </w:p>
        </w:tc>
      </w:tr>
      <w:tr>
        <w:trPr>
          <w:trHeight w:val="283"/>
        </w:trPr>
        <w:tc>
          <w:tcPr>
            <w:tcW w:w="8760" w:type="dxa"/>
            <w:vAlign w:val="bottom"/>
          </w:tcPr>
          <w:p>
            <w:pPr>
              <w:spacing w:after="0"/>
              <w:rPr>
                <w:sz w:val="20"/>
                <w:szCs w:val="20"/>
                <w:color w:val="auto"/>
              </w:rPr>
            </w:pPr>
            <w:r>
              <w:rPr>
                <w:rFonts w:ascii="Arial" w:cs="Arial" w:eastAsia="Arial" w:hAnsi="Arial"/>
                <w:sz w:val="22"/>
                <w:szCs w:val="22"/>
                <w:color w:val="auto"/>
              </w:rPr>
              <w:t>Calendar Year that are greater than [***] but less than or equal to [***]</w:t>
            </w:r>
          </w:p>
        </w:tc>
        <w:tc>
          <w:tcPr>
            <w:tcW w:w="1860" w:type="dxa"/>
            <w:vAlign w:val="bottom"/>
          </w:tcPr>
          <w:p>
            <w:pPr>
              <w:spacing w:after="0"/>
              <w:rPr>
                <w:sz w:val="24"/>
                <w:szCs w:val="24"/>
                <w:color w:val="auto"/>
              </w:rPr>
            </w:pPr>
          </w:p>
        </w:tc>
      </w:tr>
      <w:tr>
        <w:trPr>
          <w:trHeight w:val="338"/>
        </w:trPr>
        <w:tc>
          <w:tcPr>
            <w:tcW w:w="8760" w:type="dxa"/>
            <w:vAlign w:val="bottom"/>
          </w:tcPr>
          <w:p>
            <w:pPr>
              <w:spacing w:after="0"/>
              <w:rPr>
                <w:sz w:val="20"/>
                <w:szCs w:val="20"/>
                <w:color w:val="auto"/>
              </w:rPr>
            </w:pPr>
            <w:r>
              <w:rPr>
                <w:rFonts w:ascii="Arial" w:cs="Arial" w:eastAsia="Arial" w:hAnsi="Arial"/>
                <w:sz w:val="22"/>
                <w:szCs w:val="22"/>
                <w:color w:val="auto"/>
                <w:w w:val="96"/>
              </w:rPr>
              <w:t>For that portion of annual aggregate Royalty-Bearing Sales of all such Licensed Products in a</w:t>
            </w:r>
          </w:p>
        </w:tc>
        <w:tc>
          <w:tcPr>
            <w:tcW w:w="1860" w:type="dxa"/>
            <w:vAlign w:val="bottom"/>
          </w:tcPr>
          <w:p>
            <w:pPr>
              <w:jc w:val="center"/>
              <w:ind w:left="532"/>
              <w:spacing w:after="0"/>
              <w:rPr>
                <w:sz w:val="20"/>
                <w:szCs w:val="20"/>
                <w:color w:val="auto"/>
              </w:rPr>
            </w:pPr>
            <w:r>
              <w:rPr>
                <w:rFonts w:ascii="Arial" w:cs="Arial" w:eastAsia="Arial" w:hAnsi="Arial"/>
                <w:sz w:val="22"/>
                <w:szCs w:val="22"/>
                <w:color w:val="auto"/>
              </w:rPr>
              <w:t>[***]</w:t>
            </w:r>
          </w:p>
        </w:tc>
      </w:tr>
      <w:tr>
        <w:trPr>
          <w:trHeight w:val="283"/>
        </w:trPr>
        <w:tc>
          <w:tcPr>
            <w:tcW w:w="8760" w:type="dxa"/>
            <w:vAlign w:val="bottom"/>
          </w:tcPr>
          <w:p>
            <w:pPr>
              <w:spacing w:after="0"/>
              <w:rPr>
                <w:sz w:val="20"/>
                <w:szCs w:val="20"/>
                <w:color w:val="auto"/>
              </w:rPr>
            </w:pPr>
            <w:r>
              <w:rPr>
                <w:rFonts w:ascii="Arial" w:cs="Arial" w:eastAsia="Arial" w:hAnsi="Arial"/>
                <w:sz w:val="22"/>
                <w:szCs w:val="22"/>
                <w:color w:val="auto"/>
              </w:rPr>
              <w:t>Calendar Year that are greater than [***] but less than or equal to [***]</w:t>
            </w:r>
          </w:p>
        </w:tc>
        <w:tc>
          <w:tcPr>
            <w:tcW w:w="1860" w:type="dxa"/>
            <w:vAlign w:val="bottom"/>
          </w:tcPr>
          <w:p>
            <w:pPr>
              <w:spacing w:after="0"/>
              <w:rPr>
                <w:sz w:val="24"/>
                <w:szCs w:val="24"/>
                <w:color w:val="auto"/>
              </w:rPr>
            </w:pPr>
          </w:p>
        </w:tc>
      </w:tr>
      <w:tr>
        <w:trPr>
          <w:trHeight w:val="338"/>
        </w:trPr>
        <w:tc>
          <w:tcPr>
            <w:tcW w:w="8760" w:type="dxa"/>
            <w:vAlign w:val="bottom"/>
          </w:tcPr>
          <w:p>
            <w:pPr>
              <w:spacing w:after="0"/>
              <w:rPr>
                <w:sz w:val="20"/>
                <w:szCs w:val="20"/>
                <w:color w:val="auto"/>
              </w:rPr>
            </w:pPr>
            <w:r>
              <w:rPr>
                <w:rFonts w:ascii="Arial" w:cs="Arial" w:eastAsia="Arial" w:hAnsi="Arial"/>
                <w:sz w:val="22"/>
                <w:szCs w:val="22"/>
                <w:color w:val="auto"/>
                <w:w w:val="96"/>
              </w:rPr>
              <w:t>For that portion of annual aggregate Royalty-Bearing Sales of all such Licensed Products in a</w:t>
            </w:r>
          </w:p>
        </w:tc>
        <w:tc>
          <w:tcPr>
            <w:tcW w:w="1860" w:type="dxa"/>
            <w:vAlign w:val="bottom"/>
          </w:tcPr>
          <w:p>
            <w:pPr>
              <w:jc w:val="center"/>
              <w:ind w:left="532"/>
              <w:spacing w:after="0"/>
              <w:rPr>
                <w:sz w:val="20"/>
                <w:szCs w:val="20"/>
                <w:color w:val="auto"/>
              </w:rPr>
            </w:pPr>
            <w:r>
              <w:rPr>
                <w:rFonts w:ascii="Arial" w:cs="Arial" w:eastAsia="Arial" w:hAnsi="Arial"/>
                <w:sz w:val="22"/>
                <w:szCs w:val="22"/>
                <w:color w:val="auto"/>
              </w:rPr>
              <w:t>[***]</w:t>
            </w:r>
          </w:p>
        </w:tc>
      </w:tr>
      <w:tr>
        <w:trPr>
          <w:trHeight w:val="283"/>
        </w:trPr>
        <w:tc>
          <w:tcPr>
            <w:tcW w:w="8760" w:type="dxa"/>
            <w:vAlign w:val="bottom"/>
          </w:tcPr>
          <w:p>
            <w:pPr>
              <w:spacing w:after="0"/>
              <w:rPr>
                <w:sz w:val="20"/>
                <w:szCs w:val="20"/>
                <w:color w:val="auto"/>
              </w:rPr>
            </w:pPr>
            <w:r>
              <w:rPr>
                <w:rFonts w:ascii="Arial" w:cs="Arial" w:eastAsia="Arial" w:hAnsi="Arial"/>
                <w:sz w:val="22"/>
                <w:szCs w:val="22"/>
                <w:color w:val="auto"/>
              </w:rPr>
              <w:t>Calendar Year that are greater than [***] but less than or equal to [***]</w:t>
            </w:r>
          </w:p>
        </w:tc>
        <w:tc>
          <w:tcPr>
            <w:tcW w:w="1860" w:type="dxa"/>
            <w:vAlign w:val="bottom"/>
          </w:tcPr>
          <w:p>
            <w:pPr>
              <w:spacing w:after="0"/>
              <w:rPr>
                <w:sz w:val="24"/>
                <w:szCs w:val="24"/>
                <w:color w:val="auto"/>
              </w:rPr>
            </w:pPr>
          </w:p>
        </w:tc>
      </w:tr>
      <w:tr>
        <w:trPr>
          <w:trHeight w:val="338"/>
        </w:trPr>
        <w:tc>
          <w:tcPr>
            <w:tcW w:w="8760" w:type="dxa"/>
            <w:vAlign w:val="bottom"/>
          </w:tcPr>
          <w:p>
            <w:pPr>
              <w:spacing w:after="0"/>
              <w:rPr>
                <w:sz w:val="20"/>
                <w:szCs w:val="20"/>
                <w:color w:val="auto"/>
              </w:rPr>
            </w:pPr>
            <w:r>
              <w:rPr>
                <w:rFonts w:ascii="Arial" w:cs="Arial" w:eastAsia="Arial" w:hAnsi="Arial"/>
                <w:sz w:val="22"/>
                <w:szCs w:val="22"/>
                <w:color w:val="auto"/>
                <w:w w:val="96"/>
              </w:rPr>
              <w:t>For that portion of annual aggregate Royalty-Bearing Sales of all such Licensed Products in a</w:t>
            </w:r>
          </w:p>
        </w:tc>
        <w:tc>
          <w:tcPr>
            <w:tcW w:w="1860" w:type="dxa"/>
            <w:vAlign w:val="bottom"/>
          </w:tcPr>
          <w:p>
            <w:pPr>
              <w:jc w:val="center"/>
              <w:ind w:left="532"/>
              <w:spacing w:after="0"/>
              <w:rPr>
                <w:sz w:val="20"/>
                <w:szCs w:val="20"/>
                <w:color w:val="auto"/>
              </w:rPr>
            </w:pPr>
            <w:r>
              <w:rPr>
                <w:rFonts w:ascii="Arial" w:cs="Arial" w:eastAsia="Arial" w:hAnsi="Arial"/>
                <w:sz w:val="22"/>
                <w:szCs w:val="22"/>
                <w:color w:val="auto"/>
              </w:rPr>
              <w:t>[***]</w:t>
            </w:r>
          </w:p>
        </w:tc>
      </w:tr>
      <w:tr>
        <w:trPr>
          <w:trHeight w:val="283"/>
        </w:trPr>
        <w:tc>
          <w:tcPr>
            <w:tcW w:w="8760" w:type="dxa"/>
            <w:vAlign w:val="bottom"/>
          </w:tcPr>
          <w:p>
            <w:pPr>
              <w:spacing w:after="0"/>
              <w:rPr>
                <w:sz w:val="20"/>
                <w:szCs w:val="20"/>
                <w:color w:val="auto"/>
              </w:rPr>
            </w:pPr>
            <w:r>
              <w:rPr>
                <w:rFonts w:ascii="Arial" w:cs="Arial" w:eastAsia="Arial" w:hAnsi="Arial"/>
                <w:sz w:val="22"/>
                <w:szCs w:val="22"/>
                <w:color w:val="auto"/>
              </w:rPr>
              <w:t>Calendar Year that are greater than [***])</w:t>
            </w:r>
          </w:p>
        </w:tc>
        <w:tc>
          <w:tcPr>
            <w:tcW w:w="1860" w:type="dxa"/>
            <w:vAlign w:val="bottom"/>
          </w:tcPr>
          <w:p>
            <w:pPr>
              <w:spacing w:after="0"/>
              <w:rPr>
                <w:sz w:val="24"/>
                <w:szCs w:val="24"/>
                <w:color w:val="auto"/>
              </w:rPr>
            </w:pPr>
          </w:p>
        </w:tc>
      </w:tr>
    </w:tbl>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For example, if aggregate annual Royalty-Bearing Sales of all Licensed Products in the Territory in a Calendar Year is [***], then royalties payable by Allergan would equal [***].</w:t>
      </w:r>
    </w:p>
    <w:p>
      <w:pPr>
        <w:spacing w:after="0" w:line="169" w:lineRule="exact"/>
        <w:rPr>
          <w:sz w:val="20"/>
          <w:szCs w:val="20"/>
          <w:color w:val="auto"/>
        </w:rPr>
      </w:pPr>
    </w:p>
    <w:p>
      <w:pPr>
        <w:jc w:val="both"/>
        <w:ind w:firstLine="1304"/>
        <w:spacing w:after="0" w:line="262" w:lineRule="auto"/>
        <w:tabs>
          <w:tab w:leader="none" w:pos="1938" w:val="left"/>
        </w:tabs>
        <w:numPr>
          <w:ilvl w:val="0"/>
          <w:numId w:val="460"/>
        </w:numPr>
        <w:rPr>
          <w:rFonts w:ascii="Arial" w:cs="Arial" w:eastAsia="Arial" w:hAnsi="Arial"/>
          <w:sz w:val="21"/>
          <w:szCs w:val="21"/>
          <w:b w:val="1"/>
          <w:bCs w:val="1"/>
          <w:color w:val="auto"/>
        </w:rPr>
      </w:pPr>
      <w:r>
        <w:rPr>
          <w:rFonts w:ascii="Arial" w:cs="Arial" w:eastAsia="Arial" w:hAnsi="Arial"/>
          <w:sz w:val="21"/>
          <w:szCs w:val="21"/>
          <w:b w:val="1"/>
          <w:bCs w:val="1"/>
          <w:color w:val="auto"/>
        </w:rPr>
        <w:t>Royalty Term</w:t>
      </w:r>
      <w:r>
        <w:rPr>
          <w:rFonts w:ascii="Arial" w:cs="Arial" w:eastAsia="Arial" w:hAnsi="Arial"/>
          <w:sz w:val="21"/>
          <w:szCs w:val="21"/>
          <w:color w:val="auto"/>
        </w:rPr>
        <w:t>. Royalties shall be paid under this Section 9.6, on a country-by-country and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Product-by-Licensed Product basis, commencing on First Commercial Sale of such Licensed Product in such country until the latest of: (i) the expiration of the last-to-expire Valid Claim of the Molecular Partners Patents or Joint Patents in such country that would be infringed, absent a license, by the sale of such Licensed Product at the time of sale; (ii) the expiration of Regulatory Exclusivity in such country covering such Licensed Product; and (iii) the tenth (10th) anniversary of the First Commercial Sale of such Licensed Product in such country (the “</w:t>
      </w:r>
      <w:r>
        <w:rPr>
          <w:rFonts w:ascii="Arial" w:cs="Arial" w:eastAsia="Arial" w:hAnsi="Arial"/>
          <w:sz w:val="21"/>
          <w:szCs w:val="21"/>
          <w:b w:val="1"/>
          <w:bCs w:val="1"/>
          <w:color w:val="auto"/>
        </w:rPr>
        <w:t>Royalty Term</w:t>
      </w:r>
      <w:r>
        <w:rPr>
          <w:rFonts w:ascii="Arial" w:cs="Arial" w:eastAsia="Arial" w:hAnsi="Arial"/>
          <w:sz w:val="21"/>
          <w:szCs w:val="21"/>
          <w:color w:val="auto"/>
        </w:rPr>
        <w:t>”).</w:t>
      </w:r>
    </w:p>
    <w:p>
      <w:pPr>
        <w:spacing w:after="0" w:line="173" w:lineRule="exact"/>
        <w:rPr>
          <w:rFonts w:ascii="Arial" w:cs="Arial" w:eastAsia="Arial" w:hAnsi="Arial"/>
          <w:sz w:val="21"/>
          <w:szCs w:val="21"/>
          <w:b w:val="1"/>
          <w:bCs w:val="1"/>
          <w:color w:val="auto"/>
        </w:rPr>
      </w:pPr>
    </w:p>
    <w:p>
      <w:pPr>
        <w:jc w:val="both"/>
        <w:ind w:firstLine="1304"/>
        <w:spacing w:after="0" w:line="246" w:lineRule="auto"/>
        <w:tabs>
          <w:tab w:leader="none" w:pos="1881" w:val="left"/>
        </w:tabs>
        <w:numPr>
          <w:ilvl w:val="0"/>
          <w:numId w:val="460"/>
        </w:numPr>
        <w:rPr>
          <w:rFonts w:ascii="Arial" w:cs="Arial" w:eastAsia="Arial" w:hAnsi="Arial"/>
          <w:sz w:val="22"/>
          <w:szCs w:val="22"/>
          <w:b w:val="1"/>
          <w:bCs w:val="1"/>
          <w:color w:val="auto"/>
        </w:rPr>
      </w:pPr>
      <w:r>
        <w:rPr>
          <w:rFonts w:ascii="Arial" w:cs="Arial" w:eastAsia="Arial" w:hAnsi="Arial"/>
          <w:sz w:val="22"/>
          <w:szCs w:val="22"/>
          <w:b w:val="1"/>
          <w:bCs w:val="1"/>
          <w:color w:val="auto"/>
        </w:rPr>
        <w:t>Know-How Royalty</w:t>
      </w:r>
      <w:r>
        <w:rPr>
          <w:rFonts w:ascii="Arial" w:cs="Arial" w:eastAsia="Arial" w:hAnsi="Arial"/>
          <w:sz w:val="22"/>
          <w:szCs w:val="22"/>
          <w:color w:val="auto"/>
        </w:rPr>
        <w:t>. If, at the time of the First Commercial Sale of a Licensed Product in any Claim</w:t>
      </w:r>
      <w:r>
        <w:rPr>
          <w:rFonts w:ascii="Arial" w:cs="Arial" w:eastAsia="Arial" w:hAnsi="Arial"/>
          <w:sz w:val="22"/>
          <w:szCs w:val="22"/>
          <w:b w:val="1"/>
          <w:bCs w:val="1"/>
          <w:color w:val="auto"/>
        </w:rPr>
        <w:t xml:space="preserve"> </w:t>
      </w:r>
      <w:r>
        <w:rPr>
          <w:rFonts w:ascii="Arial" w:cs="Arial" w:eastAsia="Arial" w:hAnsi="Arial"/>
          <w:sz w:val="22"/>
          <w:szCs w:val="22"/>
          <w:color w:val="auto"/>
        </w:rPr>
        <w:t>Country or at any time thereafter, there is no Valid Claim of a Molecular Partners Patent or a Joint Patent that would, at such time, be infringed in the applicable Claim Country in which Licensed Products are sold, absent a license, by the sale of such Licensed Product, Allergan shall owe royalties under Section 9.6(a) on the Royalty-Bearing Sales of such Licensed Product for such Claim Country at rates that are [***] of the rates otherwise payable under Section 9.6(a), only for such applicable Claim Country, for so long as there is no Valid Claim of a Molecular Partners Patent or Joint Patent that would be infringed, absent a license, by the sale of such Licensed Product in the applicable Claim Country. For clarity, the reduction in this Section 9.6(c) will not apply to any country other than a Claim Country, regardless of whether any Molecular Partners Patent or Joint Patent is issued in such country.</w:t>
      </w:r>
    </w:p>
    <w:p>
      <w:pPr>
        <w:spacing w:after="0" w:line="190" w:lineRule="exact"/>
        <w:rPr>
          <w:rFonts w:ascii="Arial" w:cs="Arial" w:eastAsia="Arial" w:hAnsi="Arial"/>
          <w:sz w:val="22"/>
          <w:szCs w:val="22"/>
          <w:b w:val="1"/>
          <w:bCs w:val="1"/>
          <w:color w:val="auto"/>
        </w:rPr>
      </w:pPr>
    </w:p>
    <w:p>
      <w:pPr>
        <w:jc w:val="both"/>
        <w:ind w:firstLine="1304"/>
        <w:spacing w:after="0" w:line="315" w:lineRule="auto"/>
        <w:tabs>
          <w:tab w:leader="none" w:pos="1787" w:val="left"/>
        </w:tabs>
        <w:numPr>
          <w:ilvl w:val="0"/>
          <w:numId w:val="460"/>
        </w:numPr>
        <w:rPr>
          <w:rFonts w:ascii="Arial" w:cs="Arial" w:eastAsia="Arial" w:hAnsi="Arial"/>
          <w:sz w:val="19"/>
          <w:szCs w:val="19"/>
          <w:b w:val="1"/>
          <w:bCs w:val="1"/>
          <w:color w:val="auto"/>
        </w:rPr>
      </w:pPr>
      <w:r>
        <w:rPr>
          <w:rFonts w:ascii="Arial" w:cs="Arial" w:eastAsia="Arial" w:hAnsi="Arial"/>
          <w:sz w:val="19"/>
          <w:szCs w:val="19"/>
          <w:b w:val="1"/>
          <w:bCs w:val="1"/>
          <w:color w:val="auto"/>
        </w:rPr>
        <w:t>Generic Competition</w:t>
      </w:r>
      <w:r>
        <w:rPr>
          <w:rFonts w:ascii="Arial" w:cs="Arial" w:eastAsia="Arial" w:hAnsi="Arial"/>
          <w:sz w:val="19"/>
          <w:szCs w:val="19"/>
          <w:color w:val="auto"/>
        </w:rPr>
        <w:t>. In the event a Licensed Product is subject to Generic Competition in a country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during the Royalty Term for such Licensed Product, then, beginning in the calendar month following the [***] calendar month period during which Generic Competition has been determined to exist at the applicable level noted below,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40" w:right="339" w:bottom="1440" w:gutter="0" w:footer="0" w:header="0"/>
        </w:sectPr>
      </w:pPr>
    </w:p>
    <w:bookmarkStart w:id="507" w:name="page508"/>
    <w:bookmarkEnd w:id="507"/>
    <w:p>
      <w:pPr>
        <w:spacing w:after="0" w:line="263" w:lineRule="auto"/>
        <w:rPr>
          <w:sz w:val="20"/>
          <w:szCs w:val="20"/>
          <w:color w:val="auto"/>
        </w:rPr>
      </w:pPr>
      <w:r>
        <w:rPr>
          <w:rFonts w:ascii="Arial" w:cs="Arial" w:eastAsia="Arial" w:hAnsi="Arial"/>
          <w:sz w:val="22"/>
          <w:szCs w:val="22"/>
          <w:color w:val="auto"/>
        </w:rPr>
        <w:t>royalty rates set forth in Section 9.6(a) (without giving effect to any reduction under Section 9.7) shall be reduced in such country:</w:t>
      </w:r>
    </w:p>
    <w:p>
      <w:pPr>
        <w:spacing w:after="0" w:line="175" w:lineRule="exact"/>
        <w:rPr>
          <w:sz w:val="20"/>
          <w:szCs w:val="20"/>
          <w:color w:val="auto"/>
        </w:rPr>
      </w:pPr>
    </w:p>
    <w:p>
      <w:pPr>
        <w:ind w:left="2380" w:hanging="428"/>
        <w:spacing w:after="0"/>
        <w:tabs>
          <w:tab w:leader="none" w:pos="2380" w:val="left"/>
        </w:tabs>
        <w:numPr>
          <w:ilvl w:val="1"/>
          <w:numId w:val="461"/>
        </w:numPr>
        <w:rPr>
          <w:rFonts w:ascii="Arial" w:cs="Arial" w:eastAsia="Arial" w:hAnsi="Arial"/>
          <w:sz w:val="19"/>
          <w:szCs w:val="19"/>
          <w:b w:val="1"/>
          <w:bCs w:val="1"/>
          <w:color w:val="auto"/>
        </w:rPr>
      </w:pPr>
      <w:r>
        <w:rPr>
          <w:rFonts w:ascii="Arial" w:cs="Arial" w:eastAsia="Arial" w:hAnsi="Arial"/>
          <w:sz w:val="19"/>
          <w:szCs w:val="19"/>
          <w:color w:val="auto"/>
        </w:rPr>
        <w:t>by [***] if the units of such Generic Product(s) sold during the applicable [***] month period exceed</w:t>
      </w:r>
    </w:p>
    <w:p>
      <w:pPr>
        <w:spacing w:after="0" w:line="55" w:lineRule="exact"/>
        <w:rPr>
          <w:rFonts w:ascii="Arial" w:cs="Arial" w:eastAsia="Arial" w:hAnsi="Arial"/>
          <w:sz w:val="19"/>
          <w:szCs w:val="19"/>
          <w:b w:val="1"/>
          <w:bCs w:val="1"/>
          <w:color w:val="auto"/>
        </w:rPr>
      </w:pPr>
    </w:p>
    <w:p>
      <w:pPr>
        <w:ind w:firstLine="8"/>
        <w:spacing w:after="0" w:line="246" w:lineRule="auto"/>
        <w:tabs>
          <w:tab w:leader="none" w:pos="557" w:val="left"/>
        </w:tabs>
        <w:numPr>
          <w:ilvl w:val="0"/>
          <w:numId w:val="461"/>
        </w:numPr>
        <w:rPr>
          <w:rFonts w:ascii="Arial" w:cs="Arial" w:eastAsia="Arial" w:hAnsi="Arial"/>
          <w:sz w:val="22"/>
          <w:szCs w:val="22"/>
          <w:color w:val="auto"/>
        </w:rPr>
      </w:pPr>
      <w:r>
        <w:rPr>
          <w:rFonts w:ascii="Arial" w:cs="Arial" w:eastAsia="Arial" w:hAnsi="Arial"/>
          <w:sz w:val="22"/>
          <w:szCs w:val="22"/>
          <w:color w:val="auto"/>
        </w:rPr>
        <w:t>and are not more than [***] of the aggregate units of all such Generic Product(s) and Licensed Product sold in such country;</w:t>
      </w:r>
    </w:p>
    <w:p>
      <w:pPr>
        <w:spacing w:after="0" w:line="205" w:lineRule="exact"/>
        <w:rPr>
          <w:rFonts w:ascii="Arial" w:cs="Arial" w:eastAsia="Arial" w:hAnsi="Arial"/>
          <w:sz w:val="22"/>
          <w:szCs w:val="22"/>
          <w:color w:val="auto"/>
        </w:rPr>
      </w:pPr>
    </w:p>
    <w:p>
      <w:pPr>
        <w:ind w:left="2440" w:hanging="488"/>
        <w:spacing w:after="0"/>
        <w:tabs>
          <w:tab w:leader="none" w:pos="2440" w:val="left"/>
        </w:tabs>
        <w:numPr>
          <w:ilvl w:val="1"/>
          <w:numId w:val="462"/>
        </w:numPr>
        <w:rPr>
          <w:rFonts w:ascii="Arial" w:cs="Arial" w:eastAsia="Arial" w:hAnsi="Arial"/>
          <w:sz w:val="19"/>
          <w:szCs w:val="19"/>
          <w:b w:val="1"/>
          <w:bCs w:val="1"/>
          <w:color w:val="auto"/>
        </w:rPr>
      </w:pPr>
      <w:r>
        <w:rPr>
          <w:rFonts w:ascii="Arial" w:cs="Arial" w:eastAsia="Arial" w:hAnsi="Arial"/>
          <w:sz w:val="19"/>
          <w:szCs w:val="19"/>
          <w:color w:val="auto"/>
        </w:rPr>
        <w:t>by [***] if the units of such Generic Product(s) sold during the applicable [***] month period exceed</w:t>
      </w:r>
    </w:p>
    <w:p>
      <w:pPr>
        <w:spacing w:after="0" w:line="65" w:lineRule="exact"/>
        <w:rPr>
          <w:rFonts w:ascii="Arial" w:cs="Arial" w:eastAsia="Arial" w:hAnsi="Arial"/>
          <w:sz w:val="19"/>
          <w:szCs w:val="19"/>
          <w:b w:val="1"/>
          <w:bCs w:val="1"/>
          <w:color w:val="auto"/>
        </w:rPr>
      </w:pPr>
    </w:p>
    <w:p>
      <w:pPr>
        <w:ind w:firstLine="8"/>
        <w:spacing w:after="0" w:line="289" w:lineRule="auto"/>
        <w:tabs>
          <w:tab w:leader="none" w:pos="557" w:val="left"/>
        </w:tabs>
        <w:numPr>
          <w:ilvl w:val="0"/>
          <w:numId w:val="462"/>
        </w:numPr>
        <w:rPr>
          <w:rFonts w:ascii="Arial" w:cs="Arial" w:eastAsia="Arial" w:hAnsi="Arial"/>
          <w:sz w:val="22"/>
          <w:szCs w:val="22"/>
          <w:color w:val="auto"/>
        </w:rPr>
      </w:pPr>
      <w:r>
        <w:rPr>
          <w:rFonts w:ascii="Arial" w:cs="Arial" w:eastAsia="Arial" w:hAnsi="Arial"/>
          <w:sz w:val="22"/>
          <w:szCs w:val="22"/>
          <w:color w:val="auto"/>
        </w:rPr>
        <w:t>and are not more than [***] of the aggregate units of all such Generic Product(s) and Licensed Product sold in such country;</w:t>
      </w:r>
    </w:p>
    <w:p>
      <w:pPr>
        <w:spacing w:after="0" w:line="119" w:lineRule="exact"/>
        <w:rPr>
          <w:rFonts w:ascii="Arial" w:cs="Arial" w:eastAsia="Arial" w:hAnsi="Arial"/>
          <w:sz w:val="22"/>
          <w:szCs w:val="22"/>
          <w:color w:val="auto"/>
        </w:rPr>
      </w:pPr>
    </w:p>
    <w:p>
      <w:pPr>
        <w:jc w:val="both"/>
        <w:ind w:firstLine="1952"/>
        <w:spacing w:after="0" w:line="253" w:lineRule="auto"/>
        <w:tabs>
          <w:tab w:leader="none" w:pos="2605" w:val="left"/>
        </w:tabs>
        <w:numPr>
          <w:ilvl w:val="1"/>
          <w:numId w:val="463"/>
        </w:numPr>
        <w:rPr>
          <w:rFonts w:ascii="Arial" w:cs="Arial" w:eastAsia="Arial" w:hAnsi="Arial"/>
          <w:sz w:val="22"/>
          <w:szCs w:val="22"/>
          <w:b w:val="1"/>
          <w:bCs w:val="1"/>
          <w:color w:val="auto"/>
        </w:rPr>
      </w:pPr>
      <w:r>
        <w:rPr>
          <w:rFonts w:ascii="Arial" w:cs="Arial" w:eastAsia="Arial" w:hAnsi="Arial"/>
          <w:sz w:val="22"/>
          <w:szCs w:val="22"/>
          <w:color w:val="auto"/>
        </w:rPr>
        <w:t>by [***] if the units of such Generic Product(s) sold during the applicable [***] month period exceed [***] and are not more than [***] of the aggregate units of all such Generic Product(s) and Licensed Product sold in such country; and</w:t>
      </w:r>
    </w:p>
    <w:p>
      <w:pPr>
        <w:spacing w:after="0" w:line="185" w:lineRule="exact"/>
        <w:rPr>
          <w:rFonts w:ascii="Arial" w:cs="Arial" w:eastAsia="Arial" w:hAnsi="Arial"/>
          <w:sz w:val="22"/>
          <w:szCs w:val="22"/>
          <w:b w:val="1"/>
          <w:bCs w:val="1"/>
          <w:color w:val="auto"/>
        </w:rPr>
      </w:pPr>
    </w:p>
    <w:p>
      <w:pPr>
        <w:ind w:firstLine="1952"/>
        <w:spacing w:after="0" w:line="263" w:lineRule="auto"/>
        <w:tabs>
          <w:tab w:leader="none" w:pos="2607" w:val="left"/>
        </w:tabs>
        <w:numPr>
          <w:ilvl w:val="1"/>
          <w:numId w:val="463"/>
        </w:numPr>
        <w:rPr>
          <w:rFonts w:ascii="Arial" w:cs="Arial" w:eastAsia="Arial" w:hAnsi="Arial"/>
          <w:sz w:val="22"/>
          <w:szCs w:val="22"/>
          <w:b w:val="1"/>
          <w:bCs w:val="1"/>
          <w:color w:val="auto"/>
        </w:rPr>
      </w:pPr>
      <w:r>
        <w:rPr>
          <w:rFonts w:ascii="Arial" w:cs="Arial" w:eastAsia="Arial" w:hAnsi="Arial"/>
          <w:sz w:val="22"/>
          <w:szCs w:val="22"/>
          <w:color w:val="auto"/>
        </w:rPr>
        <w:t>by [***] if the units of such Generic Product(s) sold during the applicable [***] month period exceed [***] of the aggregate units of all such Generic Product(s) and Licensed Product sold in such country.</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Such reduction shall be first applied with respect to such country starting with sales in the calendar month following the first</w:t>
      </w:r>
    </w:p>
    <w:p>
      <w:pPr>
        <w:spacing w:after="0" w:line="56" w:lineRule="exact"/>
        <w:rPr>
          <w:sz w:val="20"/>
          <w:szCs w:val="20"/>
          <w:color w:val="auto"/>
        </w:rPr>
      </w:pPr>
    </w:p>
    <w:p>
      <w:pPr>
        <w:jc w:val="both"/>
        <w:ind w:firstLine="8"/>
        <w:spacing w:after="0" w:line="244" w:lineRule="auto"/>
        <w:tabs>
          <w:tab w:leader="none" w:pos="523" w:val="left"/>
        </w:tabs>
        <w:numPr>
          <w:ilvl w:val="0"/>
          <w:numId w:val="464"/>
        </w:numPr>
        <w:rPr>
          <w:rFonts w:ascii="Arial" w:cs="Arial" w:eastAsia="Arial" w:hAnsi="Arial"/>
          <w:sz w:val="22"/>
          <w:szCs w:val="22"/>
          <w:color w:val="auto"/>
        </w:rPr>
      </w:pPr>
      <w:r>
        <w:rPr>
          <w:rFonts w:ascii="Arial" w:cs="Arial" w:eastAsia="Arial" w:hAnsi="Arial"/>
          <w:sz w:val="22"/>
          <w:szCs w:val="22"/>
          <w:color w:val="auto"/>
        </w:rPr>
        <w:t>calendar month period where the sales of the Generic Product(s) in such country exceed the applicable level noted above of the unit sales volume of the applicable Licensed Product, and shall expire on the day after the last day of the calendar month in which such Generic Competition ceases to exist or, if earlier, the expiration of the Royalty Term. For the avoidance of doubt, both of the royalty reductions described in Section 9.6(c) and 9.6(d) may apply to Royalty-Bearing Sales of a Licensed Product in a Claim Country.</w:t>
      </w:r>
    </w:p>
    <w:p>
      <w:pPr>
        <w:spacing w:after="0" w:line="188" w:lineRule="exact"/>
        <w:rPr>
          <w:rFonts w:ascii="Arial" w:cs="Arial" w:eastAsia="Arial" w:hAnsi="Arial"/>
          <w:sz w:val="22"/>
          <w:szCs w:val="22"/>
          <w:color w:val="auto"/>
        </w:rPr>
      </w:pPr>
    </w:p>
    <w:p>
      <w:pPr>
        <w:jc w:val="both"/>
        <w:ind w:firstLine="1304"/>
        <w:spacing w:after="0" w:line="291" w:lineRule="auto"/>
        <w:tabs>
          <w:tab w:leader="none" w:pos="1837" w:val="left"/>
        </w:tabs>
        <w:numPr>
          <w:ilvl w:val="1"/>
          <w:numId w:val="464"/>
        </w:numPr>
        <w:rPr>
          <w:rFonts w:ascii="Arial" w:cs="Arial" w:eastAsia="Arial" w:hAnsi="Arial"/>
          <w:sz w:val="19"/>
          <w:szCs w:val="19"/>
          <w:b w:val="1"/>
          <w:bCs w:val="1"/>
          <w:color w:val="auto"/>
        </w:rPr>
      </w:pPr>
      <w:r>
        <w:rPr>
          <w:rFonts w:ascii="Arial" w:cs="Arial" w:eastAsia="Arial" w:hAnsi="Arial"/>
          <w:sz w:val="19"/>
          <w:szCs w:val="19"/>
          <w:b w:val="1"/>
          <w:bCs w:val="1"/>
          <w:color w:val="auto"/>
        </w:rPr>
        <w:t>Royalty Reports and Payments</w:t>
      </w:r>
      <w:r>
        <w:rPr>
          <w:rFonts w:ascii="Arial" w:cs="Arial" w:eastAsia="Arial" w:hAnsi="Arial"/>
          <w:sz w:val="19"/>
          <w:szCs w:val="19"/>
          <w:color w:val="auto"/>
        </w:rPr>
        <w:t>. Within [***] following the end of each Calendar Quarter, commencing</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Calendar Quarter in which the First Commercial Sale of any Licensed Product is made anywhere in the Territory, Allergan shall provide Molecular Partners with a report containing the following information for the applicable Calendar Quarter, on a country-by-country and Licensed Product-by-Licensed Product basis: (i) the amount of gross sales of Licensed Product in the Territory, (ii) an itemized calculation of Royalty-Bearing Sales in the Territory showing deductions provided for in the definition of “Net Sales,” (iii) a calculation of the royalty payment due on such sales, and (iv) the exchange rate for such country. Concurrent with the delivery of the applicable quarterly report, Allergan shall pay in Dollars all amounts due to Molecular Partners pursuant to Section 9.6 with respect to Royalty-Bearing Sales in such Calendar Quarter.</w:t>
      </w:r>
    </w:p>
    <w:p>
      <w:pPr>
        <w:spacing w:after="0" w:line="14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9.7</w:t>
      </w:r>
      <w:r>
        <w:rPr>
          <w:sz w:val="20"/>
          <w:szCs w:val="20"/>
          <w:color w:val="auto"/>
        </w:rPr>
        <w:tab/>
      </w:r>
      <w:r>
        <w:rPr>
          <w:rFonts w:ascii="Arial" w:cs="Arial" w:eastAsia="Arial" w:hAnsi="Arial"/>
          <w:sz w:val="19"/>
          <w:szCs w:val="19"/>
          <w:b w:val="1"/>
          <w:bCs w:val="1"/>
          <w:color w:val="auto"/>
        </w:rPr>
        <w:t>Third Party Payments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0" w:lineRule="auto"/>
        <w:tabs>
          <w:tab w:leader="none" w:pos="1764" w:val="left"/>
        </w:tabs>
        <w:numPr>
          <w:ilvl w:val="0"/>
          <w:numId w:val="465"/>
        </w:numPr>
        <w:rPr>
          <w:rFonts w:ascii="Arial" w:cs="Arial" w:eastAsia="Arial" w:hAnsi="Arial"/>
          <w:sz w:val="22"/>
          <w:szCs w:val="22"/>
          <w:b w:val="1"/>
          <w:bCs w:val="1"/>
          <w:color w:val="auto"/>
        </w:rPr>
      </w:pPr>
      <w:r>
        <w:rPr>
          <w:rFonts w:ascii="Arial" w:cs="Arial" w:eastAsia="Arial" w:hAnsi="Arial"/>
          <w:sz w:val="22"/>
          <w:szCs w:val="22"/>
          <w:color w:val="auto"/>
        </w:rPr>
        <w:t>If either Party determines that it needs to obtain one or more Necessary Licenses for activities licensed under this Agreement, such Party will notify the other Party. Molecular Partners will have the first right (but not the obligation) to elect to negotiate the Necessary License. Molecular Partners will notify Allergan within [***] after such notice if it elects not to negotiate such Necessary License. If Molecular Partners elects not to obtain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08" w:name="page509"/>
    <w:bookmarkEnd w:id="508"/>
    <w:p>
      <w:pPr>
        <w:jc w:val="both"/>
        <w:spacing w:after="0" w:line="248" w:lineRule="auto"/>
        <w:rPr>
          <w:sz w:val="20"/>
          <w:szCs w:val="20"/>
          <w:color w:val="auto"/>
        </w:rPr>
      </w:pPr>
      <w:r>
        <w:rPr>
          <w:rFonts w:ascii="Arial" w:cs="Arial" w:eastAsia="Arial" w:hAnsi="Arial"/>
          <w:sz w:val="22"/>
          <w:szCs w:val="22"/>
          <w:color w:val="auto"/>
        </w:rPr>
        <w:t>Necessary License, or is unsuccessful in doing so, then Allergan will have the right (but not the obligation) to negotiate and obtain such Necessary License at its sole discretion and expense. The negotiating Party will obtain such Necessary License, with the right to sublicense, in order to permit Allergan to exercise its rights and to perform its obligations under this Agreement. Subject to the foregoing, the terms and conditions involved in obtaining such Necessary License shall be determined at such negotiating Party’s sole discretion.</w:t>
      </w:r>
    </w:p>
    <w:p>
      <w:pPr>
        <w:spacing w:after="0" w:line="192" w:lineRule="exact"/>
        <w:rPr>
          <w:sz w:val="20"/>
          <w:szCs w:val="20"/>
          <w:color w:val="auto"/>
        </w:rPr>
      </w:pPr>
    </w:p>
    <w:p>
      <w:pPr>
        <w:jc w:val="both"/>
        <w:ind w:firstLine="1304"/>
        <w:spacing w:after="0" w:line="291" w:lineRule="auto"/>
        <w:tabs>
          <w:tab w:leader="none" w:pos="1776" w:val="left"/>
        </w:tabs>
        <w:numPr>
          <w:ilvl w:val="1"/>
          <w:numId w:val="466"/>
        </w:numPr>
        <w:rPr>
          <w:rFonts w:ascii="Arial" w:cs="Arial" w:eastAsia="Arial" w:hAnsi="Arial"/>
          <w:sz w:val="19"/>
          <w:szCs w:val="19"/>
          <w:b w:val="1"/>
          <w:bCs w:val="1"/>
          <w:color w:val="auto"/>
        </w:rPr>
      </w:pPr>
      <w:r>
        <w:rPr>
          <w:rFonts w:ascii="Arial" w:cs="Arial" w:eastAsia="Arial" w:hAnsi="Arial"/>
          <w:sz w:val="19"/>
          <w:szCs w:val="19"/>
          <w:color w:val="auto"/>
        </w:rPr>
        <w:t xml:space="preserve">Molecular Partners will be solely responsible for all amounts owed to Third Parties pursuant to (i) the license agreements listed on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and (ii) any other license for the scope of the subject matter and compounds described in clauses</w:t>
      </w:r>
    </w:p>
    <w:p>
      <w:pPr>
        <w:spacing w:after="0" w:line="1" w:lineRule="exact"/>
        <w:rPr>
          <w:rFonts w:ascii="Arial" w:cs="Arial" w:eastAsia="Arial" w:hAnsi="Arial"/>
          <w:sz w:val="19"/>
          <w:szCs w:val="19"/>
          <w:b w:val="1"/>
          <w:bCs w:val="1"/>
          <w:color w:val="auto"/>
        </w:rPr>
      </w:pPr>
    </w:p>
    <w:p>
      <w:pPr>
        <w:jc w:val="both"/>
        <w:ind w:firstLine="8"/>
        <w:spacing w:after="0" w:line="285" w:lineRule="auto"/>
        <w:tabs>
          <w:tab w:leader="none" w:pos="357" w:val="left"/>
        </w:tabs>
        <w:numPr>
          <w:ilvl w:val="0"/>
          <w:numId w:val="467"/>
        </w:numPr>
        <w:rPr>
          <w:rFonts w:ascii="Arial" w:cs="Arial" w:eastAsia="Arial" w:hAnsi="Arial"/>
          <w:sz w:val="19"/>
          <w:szCs w:val="19"/>
          <w:color w:val="auto"/>
        </w:rPr>
      </w:pPr>
      <w:r>
        <w:rPr>
          <w:rFonts w:ascii="Arial" w:cs="Arial" w:eastAsia="Arial" w:hAnsi="Arial"/>
          <w:sz w:val="19"/>
          <w:szCs w:val="19"/>
          <w:color w:val="auto"/>
        </w:rPr>
        <w:t>and (B) below and obtained by either Party after the Effective Date with respect to Patents or Information that claim or cover [***] (each such license, a “</w:t>
      </w:r>
      <w:r>
        <w:rPr>
          <w:rFonts w:ascii="Arial" w:cs="Arial" w:eastAsia="Arial" w:hAnsi="Arial"/>
          <w:sz w:val="19"/>
          <w:szCs w:val="19"/>
          <w:b w:val="1"/>
          <w:bCs w:val="1"/>
          <w:color w:val="auto"/>
        </w:rPr>
        <w:t>Necessary License</w:t>
      </w:r>
      <w:r>
        <w:rPr>
          <w:rFonts w:ascii="Arial" w:cs="Arial" w:eastAsia="Arial" w:hAnsi="Arial"/>
          <w:sz w:val="19"/>
          <w:szCs w:val="19"/>
          <w:color w:val="auto"/>
        </w:rPr>
        <w:t xml:space="preserve">”); provided that in the event that Molecular Partners is responsible for amounts owed to Third Parties under clause (ii) above, such amounts shall be reasonably determined by Allergan in good faith based upon the scope of clauses (A) and/or (B) above. In the event Allergan enters into a Necessary License, Allergan shall provide to Molecular Partners a copy thereof and have the right to offset, against all amounts payable to Molecular Partners under this Agreement for such applicable Licensed Product, [***] payable by Allergan to a Third Party under any such Necessary License solely to the extent attributable to the sale of the applicable Licensed Product (other than payments potentially due pursuant to any of the agreements listed on </w:t>
      </w:r>
      <w:r>
        <w:rPr>
          <w:rFonts w:ascii="Arial" w:cs="Arial" w:eastAsia="Arial" w:hAnsi="Arial"/>
          <w:sz w:val="19"/>
          <w:szCs w:val="19"/>
          <w:u w:val="single" w:color="auto"/>
          <w:color w:val="auto"/>
        </w:rPr>
        <w:t>Exhibit G</w:t>
      </w:r>
      <w:r>
        <w:rPr>
          <w:rFonts w:ascii="Arial" w:cs="Arial" w:eastAsia="Arial" w:hAnsi="Arial"/>
          <w:sz w:val="19"/>
          <w:szCs w:val="19"/>
          <w:color w:val="auto"/>
        </w:rPr>
        <w:t>, which shall be borne solely by Molecular Partners); provided that the amounts payable to Molecular Partners under this Agreement may not be reduced by more than [***] of those otherwise due to Molecular Partners pursuant to this Agreement in any Calendar Quarter as a result of such offset. Any unused offset earned in a Calendar Quarter may be carried forward from such Calendar Quarter to the subsequent Calendar Quarters and may be used in such subsequent Calendar Quarters, subject to the [***] limitation set forth in the immediately preceding sentence and subject to the limitation that no additional unused carry forward payments shall be payable by Molecular Partners at the expiration of the Royalty Term for such Licensed Product.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right="20" w:firstLine="1304"/>
        <w:spacing w:after="0" w:line="302" w:lineRule="auto"/>
        <w:tabs>
          <w:tab w:leader="none" w:pos="1819" w:val="left"/>
        </w:tabs>
        <w:numPr>
          <w:ilvl w:val="1"/>
          <w:numId w:val="467"/>
        </w:numPr>
        <w:rPr>
          <w:rFonts w:ascii="Arial" w:cs="Arial" w:eastAsia="Arial" w:hAnsi="Arial"/>
          <w:sz w:val="19"/>
          <w:szCs w:val="19"/>
          <w:b w:val="1"/>
          <w:bCs w:val="1"/>
          <w:color w:val="auto"/>
        </w:rPr>
      </w:pPr>
      <w:r>
        <w:rPr>
          <w:rFonts w:ascii="Arial" w:cs="Arial" w:eastAsia="Arial" w:hAnsi="Arial"/>
          <w:sz w:val="19"/>
          <w:szCs w:val="19"/>
          <w:color w:val="auto"/>
        </w:rPr>
        <w:t>Except as provided in subsection (b) above, Section 10.6, Section 1.99, or Section 1.101, Allergan will be solely responsible for all amounts owed to Third Parties on account of Allergan’s manufacture, use, sale, offer for sale, or import of Licensed Products and Licensed Compounds, including any rights to exploit any formulation technology or Drug Delivery System for a Licensed Product, and including any amounts owed to Third Parties on account of any Excluded IP.</w:t>
      </w:r>
    </w:p>
    <w:p>
      <w:pPr>
        <w:spacing w:after="0" w:line="142" w:lineRule="exact"/>
        <w:rPr>
          <w:rFonts w:ascii="Arial" w:cs="Arial" w:eastAsia="Arial" w:hAnsi="Arial"/>
          <w:sz w:val="19"/>
          <w:szCs w:val="19"/>
          <w:b w:val="1"/>
          <w:bCs w:val="1"/>
          <w:color w:val="auto"/>
        </w:rPr>
      </w:pPr>
    </w:p>
    <w:p>
      <w:pPr>
        <w:jc w:val="both"/>
        <w:ind w:firstLine="1304"/>
        <w:spacing w:after="0" w:line="253" w:lineRule="auto"/>
        <w:tabs>
          <w:tab w:leader="none" w:pos="1830" w:val="left"/>
        </w:tabs>
        <w:numPr>
          <w:ilvl w:val="1"/>
          <w:numId w:val="467"/>
        </w:numPr>
        <w:rPr>
          <w:rFonts w:ascii="Arial" w:cs="Arial" w:eastAsia="Arial" w:hAnsi="Arial"/>
          <w:sz w:val="22"/>
          <w:szCs w:val="22"/>
          <w:b w:val="1"/>
          <w:bCs w:val="1"/>
          <w:color w:val="auto"/>
        </w:rPr>
      </w:pPr>
      <w:r>
        <w:rPr>
          <w:rFonts w:ascii="Arial" w:cs="Arial" w:eastAsia="Arial" w:hAnsi="Arial"/>
          <w:sz w:val="22"/>
          <w:szCs w:val="22"/>
          <w:color w:val="auto"/>
        </w:rPr>
        <w:t>Except as provided in subsection (b) above, Section 1.99 or Section 1.01, the Molecular Partners Licensed Technology licensed to Allergan in Section 4.3 will include Patents or Information licensed to Molecular Partners by a Third Party after the Effective Date only if the following conditions are met:</w:t>
      </w:r>
    </w:p>
    <w:p>
      <w:pPr>
        <w:spacing w:after="0" w:line="185" w:lineRule="exact"/>
        <w:rPr>
          <w:rFonts w:ascii="Arial" w:cs="Arial" w:eastAsia="Arial" w:hAnsi="Arial"/>
          <w:sz w:val="22"/>
          <w:szCs w:val="22"/>
          <w:b w:val="1"/>
          <w:bCs w:val="1"/>
          <w:color w:val="auto"/>
        </w:rPr>
      </w:pPr>
    </w:p>
    <w:p>
      <w:pPr>
        <w:jc w:val="both"/>
        <w:ind w:firstLine="1952"/>
        <w:spacing w:after="0" w:line="253" w:lineRule="auto"/>
        <w:tabs>
          <w:tab w:leader="none" w:pos="2458" w:val="left"/>
        </w:tabs>
        <w:numPr>
          <w:ilvl w:val="2"/>
          <w:numId w:val="467"/>
        </w:numPr>
        <w:rPr>
          <w:rFonts w:ascii="Arial" w:cs="Arial" w:eastAsia="Arial" w:hAnsi="Arial"/>
          <w:sz w:val="22"/>
          <w:szCs w:val="22"/>
          <w:b w:val="1"/>
          <w:bCs w:val="1"/>
          <w:color w:val="auto"/>
        </w:rPr>
      </w:pPr>
      <w:r>
        <w:rPr>
          <w:rFonts w:ascii="Arial" w:cs="Arial" w:eastAsia="Arial" w:hAnsi="Arial"/>
          <w:sz w:val="22"/>
          <w:szCs w:val="22"/>
          <w:color w:val="auto"/>
        </w:rPr>
        <w:t>Molecular Partners discloses to Allergan for review, reasonably in advance of Molecular Partners’ anticipated entry into the applicable agreement between Molecular Partners and such Third Party, the substantive terms of such license agreement (which Molecular Partners hereby covenants to do);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09" w:name="page510"/>
    <w:bookmarkEnd w:id="509"/>
    <w:p>
      <w:pPr>
        <w:jc w:val="both"/>
        <w:ind w:firstLine="1952"/>
        <w:spacing w:after="0" w:line="253" w:lineRule="auto"/>
        <w:tabs>
          <w:tab w:leader="none" w:pos="2424" w:val="left"/>
        </w:tabs>
        <w:numPr>
          <w:ilvl w:val="0"/>
          <w:numId w:val="468"/>
        </w:numPr>
        <w:rPr>
          <w:rFonts w:ascii="Arial" w:cs="Arial" w:eastAsia="Arial" w:hAnsi="Arial"/>
          <w:sz w:val="22"/>
          <w:szCs w:val="22"/>
          <w:b w:val="1"/>
          <w:bCs w:val="1"/>
          <w:color w:val="auto"/>
        </w:rPr>
      </w:pPr>
      <w:r>
        <w:rPr>
          <w:rFonts w:ascii="Arial" w:cs="Arial" w:eastAsia="Arial" w:hAnsi="Arial"/>
          <w:sz w:val="22"/>
          <w:szCs w:val="22"/>
          <w:color w:val="auto"/>
        </w:rPr>
        <w:t>Allergan provides Molecular Partners with written notice, prior to Molecular Partners’ entry into such license agreement, in which (A) [***] (B) Allergan acknowledges in writing that its sublicense under such license agreement is subject to the terms and conditions of such license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Any applicable Patents and Information for which the above conditions are not met shall be excluded from the scope of Molecular Partners Licensed Technology and not licensed to Allergan under this Agreement.</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9.8 Blocked Currency</w:t>
      </w:r>
      <w:r>
        <w:rPr>
          <w:rFonts w:ascii="Arial" w:cs="Arial" w:eastAsia="Arial" w:hAnsi="Arial"/>
          <w:sz w:val="22"/>
          <w:szCs w:val="22"/>
          <w:color w:val="auto"/>
        </w:rPr>
        <w:t>. In each country in the Territory where the local currency is blocked and cannot be removed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the country, at the election of Allergan, royalties accrued on Net Sales in such country shall be paid to Molecular Partners in local currency by deposit in a local bank in such country designated by Molecular Partners.</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9.9 Currency of Payments</w:t>
      </w:r>
      <w:r>
        <w:rPr>
          <w:rFonts w:ascii="Arial" w:cs="Arial" w:eastAsia="Arial" w:hAnsi="Arial"/>
          <w:sz w:val="21"/>
          <w:szCs w:val="21"/>
          <w:color w:val="auto"/>
        </w:rPr>
        <w:t>. Unless otherwise set forth in this Agreement or agreed to by the Parties, all payments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made in Dollars by wire transfer of immediately available funds into an account designated by Molecular Partners. Net Sales outside of the U.S. shall be first determined in the currency in which they are earned and shall then be converted into an amount in Dollars using Allergan’s customary and usual conversion procedures used in preparing its financial statements pursuant to GAAP for the applicable reporting period.</w:t>
      </w:r>
    </w:p>
    <w:p>
      <w:pPr>
        <w:spacing w:after="0" w:line="17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9.10 Late Payments</w:t>
      </w:r>
      <w:r>
        <w:rPr>
          <w:rFonts w:ascii="Arial" w:cs="Arial" w:eastAsia="Arial" w:hAnsi="Arial"/>
          <w:sz w:val="22"/>
          <w:szCs w:val="22"/>
          <w:color w:val="auto"/>
        </w:rPr>
        <w:t>. If Molecular Partners does not receive payment of any sum due to it on or before the due date,</w:t>
      </w:r>
      <w:r>
        <w:rPr>
          <w:rFonts w:ascii="Arial" w:cs="Arial" w:eastAsia="Arial" w:hAnsi="Arial"/>
          <w:sz w:val="22"/>
          <w:szCs w:val="22"/>
          <w:b w:val="1"/>
          <w:bCs w:val="1"/>
          <w:color w:val="auto"/>
        </w:rPr>
        <w:t xml:space="preserve"> </w:t>
      </w:r>
      <w:r>
        <w:rPr>
          <w:rFonts w:ascii="Arial" w:cs="Arial" w:eastAsia="Arial" w:hAnsi="Arial"/>
          <w:sz w:val="22"/>
          <w:szCs w:val="22"/>
          <w:color w:val="auto"/>
        </w:rPr>
        <w:t>then any portions thereof due hereunder which are not paid on the date such payments are due under this Agreement will bear interest at the lower of (i) [***] over the overnight LIBOR rate (or, if LIBOR is no longer in existence, a successor or equivalent thereto) in effect on the due date, or (ii) the maximum rate permitted by Law, calculated on the number of days such payment is delinquent, compounded monthly.</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9.11 Records; Audits</w:t>
      </w:r>
      <w:r>
        <w:rPr>
          <w:rFonts w:ascii="Arial" w:cs="Arial" w:eastAsia="Arial" w:hAnsi="Arial"/>
          <w:sz w:val="19"/>
          <w:szCs w:val="19"/>
          <w:color w:val="auto"/>
        </w:rPr>
        <w:t>. Allergan and its Affiliates will, and Allergan will cause each of its Sublicensees, if any, to,</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complete and accurate records in sufficient detail to confirm the accuracy of the calculation of royalty payments and the achievement of milestone events, for a period of [***] years after the Calendar Year in which such sales or events occurred. Upon reasonable prior notice and without disruption to Allergan’s business, such records of Allergan and its Affiliates shall be made available during regular business hours for a period of [***] years from the end of the Calendar Year to which they pertain for examination, and not more often than [***], by an independent certified public accountant selected by Molecular Partners and reasonably acceptable to Allergan, for the sole purpose of and only to the extent necessary for verifying the accuracy of the financial reports furnished by Allergan pursuant to this Article 9. Such independent accountant shall disclose to Molecular Partners only the amounts that such independent accountant believes to be due and payable hereunder to Molecular Partners, details concerning any discrepancy from the amount paid and the amount due, and shall disclose no other information revealed in such audit. Any periods previously audited may be re-audited [***] additional time if Molecular Partners discovers a discrepancy or other issue in a subsequent audit. Any and all records examined by such independent accountant shall be deemed Allergan’s Confidential Information which may not be disclosed by such independent accountant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10" w:name="page511"/>
    <w:bookmarkEnd w:id="510"/>
    <w:p>
      <w:pPr>
        <w:jc w:val="both"/>
        <w:spacing w:after="0" w:line="287" w:lineRule="auto"/>
        <w:rPr>
          <w:sz w:val="20"/>
          <w:szCs w:val="20"/>
          <w:color w:val="auto"/>
        </w:rPr>
      </w:pPr>
      <w:r>
        <w:rPr>
          <w:rFonts w:ascii="Arial" w:cs="Arial" w:eastAsia="Arial" w:hAnsi="Arial"/>
          <w:sz w:val="19"/>
          <w:szCs w:val="19"/>
          <w:color w:val="auto"/>
        </w:rPr>
        <w:t>Third Party, and Allergan may require such independent accountant to enter into an appropriate written agreement obligating it to be bound by obligations of confidentiality and restrictions on use of such Confidential Information that are no less protective than those set forth in Article 13. If, as a result of any inspection of the books and records of Allergan, it is shown that payments under this Agreement were less than the amount which should have been paid, then Allergan shall make all payments required to be made plus interest (as set forth in Section 9.10) from the original due date to eliminate any discrepancy revealed by such inspection within [***]. If, as a result of any inspection of the books and records of Allergan, it is shown that payments under this Agreement were more than the amount which should have been paid, then Molecular Partners shall, at Allergan’s election, either make all payments required to be made to eliminate any discrepancy revealed by such inspection within [***] or credit such amounts to Allergan against future payments. Molecular Partners shall pay for such audits, except that in the event that the audited amounts were underpaid by Allergan by more than [***] of the undisputed amounts that should have been paid during the period in question as per the audit, Allergan shall pay the costs of the audit.</w:t>
      </w:r>
    </w:p>
    <w:p>
      <w:pPr>
        <w:spacing w:after="0" w:line="1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9.12 Consolidated Accounting</w:t>
      </w:r>
      <w:r>
        <w:rPr>
          <w:rFonts w:ascii="Arial" w:cs="Arial" w:eastAsia="Arial" w:hAnsi="Arial"/>
          <w:sz w:val="19"/>
          <w:szCs w:val="19"/>
          <w:color w:val="auto"/>
        </w:rPr>
        <w:t>. If during the Term, Allergan is required, as a company that reports its financial results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U.S. Securities and Exchange Commission (“</w:t>
      </w:r>
      <w:r>
        <w:rPr>
          <w:rFonts w:ascii="Arial" w:cs="Arial" w:eastAsia="Arial" w:hAnsi="Arial"/>
          <w:sz w:val="19"/>
          <w:szCs w:val="19"/>
          <w:b w:val="1"/>
          <w:bCs w:val="1"/>
          <w:color w:val="auto"/>
        </w:rPr>
        <w:t>SEC</w:t>
      </w:r>
      <w:r>
        <w:rPr>
          <w:rFonts w:ascii="Arial" w:cs="Arial" w:eastAsia="Arial" w:hAnsi="Arial"/>
          <w:sz w:val="19"/>
          <w:szCs w:val="19"/>
          <w:color w:val="auto"/>
        </w:rPr>
        <w:t>”) in accordance with GAAP, to include certain financial results of Molecular Partners in Allergan’s consolidated financial statements, Molecular Partners shall provide to Allergan on a timely basis Molecular Partners’ financial statements reasonably requested by Allergan, which may include quarterly (unaudited) and yearly (audited) income statements, balance sheets, and statements of cash flows (the “</w:t>
      </w:r>
      <w:r>
        <w:rPr>
          <w:rFonts w:ascii="Arial" w:cs="Arial" w:eastAsia="Arial" w:hAnsi="Arial"/>
          <w:sz w:val="19"/>
          <w:szCs w:val="19"/>
          <w:b w:val="1"/>
          <w:bCs w:val="1"/>
          <w:color w:val="auto"/>
        </w:rPr>
        <w:t>Financial Statements</w:t>
      </w:r>
      <w:r>
        <w:rPr>
          <w:rFonts w:ascii="Arial" w:cs="Arial" w:eastAsia="Arial" w:hAnsi="Arial"/>
          <w:sz w:val="19"/>
          <w:szCs w:val="19"/>
          <w:color w:val="auto"/>
        </w:rPr>
        <w:t>”) and related supplemental information, in each case solely to the extent required for appropriate GAAP footnote disclosures by Allergan. All Financial Statements and related supplemental information shall be prepared in accordance with GAAP; provided that Allergan shall be responsible for all costs and expenses incurred by Molecular Partners in connection with converting its Financial Statements from IFRS to GAAP. In such event, any information provided by Molecular Partners to Allergan under this Section 9.12 will be treated as Molecular Partners’ Confidential Information, subject to Allergan’s right to disclose any such information that is required by GAAP to be disclosed as part of Allergan’s Financial Statements filed with the SEC.</w:t>
      </w:r>
    </w:p>
    <w:p>
      <w:pPr>
        <w:spacing w:after="0" w:line="15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20" w:lineRule="exact"/>
        <w:rPr>
          <w:sz w:val="20"/>
          <w:szCs w:val="20"/>
          <w:color w:val="auto"/>
        </w:rPr>
      </w:pPr>
    </w:p>
    <w:p>
      <w:pPr>
        <w:ind w:firstLine="1304"/>
        <w:spacing w:after="0" w:line="269" w:lineRule="auto"/>
        <w:tabs>
          <w:tab w:leader="none" w:pos="1769" w:val="left"/>
        </w:tabs>
        <w:numPr>
          <w:ilvl w:val="0"/>
          <w:numId w:val="469"/>
        </w:numPr>
        <w:rPr>
          <w:rFonts w:ascii="Arial" w:cs="Arial" w:eastAsia="Arial" w:hAnsi="Arial"/>
          <w:sz w:val="22"/>
          <w:szCs w:val="22"/>
          <w:b w:val="1"/>
          <w:bCs w:val="1"/>
          <w:color w:val="auto"/>
        </w:rPr>
      </w:pPr>
      <w:r>
        <w:rPr>
          <w:rFonts w:ascii="Arial" w:cs="Arial" w:eastAsia="Arial" w:hAnsi="Arial"/>
          <w:sz w:val="22"/>
          <w:szCs w:val="22"/>
          <w:b w:val="1"/>
          <w:bCs w:val="1"/>
          <w:color w:val="auto"/>
        </w:rPr>
        <w:t>Taxes on Income</w:t>
      </w:r>
      <w:r>
        <w:rPr>
          <w:rFonts w:ascii="Arial" w:cs="Arial" w:eastAsia="Arial" w:hAnsi="Arial"/>
          <w:sz w:val="22"/>
          <w:szCs w:val="22"/>
          <w:color w:val="auto"/>
        </w:rPr>
        <w:t>. Each Party shall be solely responsible for the payment of all taxes imposed on its share of</w:t>
      </w:r>
      <w:r>
        <w:rPr>
          <w:rFonts w:ascii="Arial" w:cs="Arial" w:eastAsia="Arial" w:hAnsi="Arial"/>
          <w:sz w:val="22"/>
          <w:szCs w:val="22"/>
          <w:b w:val="1"/>
          <w:bCs w:val="1"/>
          <w:color w:val="auto"/>
        </w:rPr>
        <w:t xml:space="preserve"> </w:t>
      </w:r>
      <w:r>
        <w:rPr>
          <w:rFonts w:ascii="Arial" w:cs="Arial" w:eastAsia="Arial" w:hAnsi="Arial"/>
          <w:sz w:val="22"/>
          <w:szCs w:val="22"/>
          <w:color w:val="auto"/>
        </w:rPr>
        <w:t>income arising directly or indirectly from the efforts of the Parties under this Agreement.</w:t>
      </w:r>
    </w:p>
    <w:p>
      <w:pPr>
        <w:spacing w:after="0" w:line="161" w:lineRule="exact"/>
        <w:rPr>
          <w:rFonts w:ascii="Arial" w:cs="Arial" w:eastAsia="Arial" w:hAnsi="Arial"/>
          <w:sz w:val="22"/>
          <w:szCs w:val="22"/>
          <w:b w:val="1"/>
          <w:bCs w:val="1"/>
          <w:color w:val="auto"/>
        </w:rPr>
      </w:pPr>
    </w:p>
    <w:p>
      <w:pPr>
        <w:jc w:val="both"/>
        <w:ind w:firstLine="1304"/>
        <w:spacing w:after="0" w:line="248" w:lineRule="auto"/>
        <w:tabs>
          <w:tab w:leader="none" w:pos="1911" w:val="left"/>
        </w:tabs>
        <w:numPr>
          <w:ilvl w:val="0"/>
          <w:numId w:val="469"/>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The Parties agree to cooperate with one another and use reasonable efforts to reduce or</w:t>
      </w:r>
      <w:r>
        <w:rPr>
          <w:rFonts w:ascii="Arial" w:cs="Arial" w:eastAsia="Arial" w:hAnsi="Arial"/>
          <w:sz w:val="22"/>
          <w:szCs w:val="22"/>
          <w:b w:val="1"/>
          <w:bCs w:val="1"/>
          <w:color w:val="auto"/>
        </w:rPr>
        <w:t xml:space="preserve"> </w:t>
      </w:r>
      <w:r>
        <w:rPr>
          <w:rFonts w:ascii="Arial" w:cs="Arial" w:eastAsia="Arial" w:hAnsi="Arial"/>
          <w:sz w:val="22"/>
          <w:szCs w:val="22"/>
          <w:color w:val="auto"/>
        </w:rPr>
        <w:t>eliminate tax withholding or similar obligations in respect of royalties, milestone payments, and other payments made by Allergan to Molecular Partners under this Agreement. To the extent Allergan is required under the Internal Revenue Code of 1986, as amended (the “</w:t>
      </w:r>
      <w:r>
        <w:rPr>
          <w:rFonts w:ascii="Arial" w:cs="Arial" w:eastAsia="Arial" w:hAnsi="Arial"/>
          <w:sz w:val="22"/>
          <w:szCs w:val="22"/>
          <w:b w:val="1"/>
          <w:bCs w:val="1"/>
          <w:color w:val="auto"/>
        </w:rPr>
        <w:t>Code</w:t>
      </w:r>
      <w:r>
        <w:rPr>
          <w:rFonts w:ascii="Arial" w:cs="Arial" w:eastAsia="Arial" w:hAnsi="Arial"/>
          <w:sz w:val="22"/>
          <w:szCs w:val="22"/>
          <w:color w:val="auto"/>
        </w:rPr>
        <w:t>”), or any other tax Laws to deduct and withhold taxes on any payment to Molecular Partners, Allergan shall pay the amounts of such taxes to the proper Governmental Authority in a timely manner and promptly transmit to Molecular Partners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11" w:name="page512"/>
    <w:bookmarkEnd w:id="511"/>
    <w:p>
      <w:pPr>
        <w:jc w:val="both"/>
        <w:spacing w:after="0" w:line="287" w:lineRule="auto"/>
        <w:rPr>
          <w:sz w:val="20"/>
          <w:szCs w:val="20"/>
          <w:color w:val="auto"/>
        </w:rPr>
      </w:pPr>
      <w:r>
        <w:rPr>
          <w:rFonts w:ascii="Arial" w:cs="Arial" w:eastAsia="Arial" w:hAnsi="Arial"/>
          <w:sz w:val="19"/>
          <w:szCs w:val="19"/>
          <w:color w:val="auto"/>
        </w:rPr>
        <w:t>official tax certificate or other evidence of such withholding sufficient to enable Molecular Partners to claim such payment of taxes. Except as otherwise provided in Section 9.13(c), if any taxes are so deducted or withheld, such deducted or withheld amounts shall be treated for all purposes of this Agreement as having been paid to Molecular Partners. Upon Allergan’s reasonable request, Molecular Partners shall provide Allergan any tax forms (including Internal Revenue Service Form W-8BEN or W-8ECI or other applicable Internal Revenue Service Form) that may be reasonably necessary in order for Allergan to determine whether to withhold tax on any such payments or to withhold tax on such payments at a reduced rate under the Code or any other tax Laws, including any applicable bilateral income tax treaty. Allergan shall give reasonable support so that any withholding tax or value added tax may be minimized or avoided to the extent permitted under the applicable Laws and treaties.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Allergan shall require its sublicensees in the Territory to cooperate with Molecular Partners in a manner consistent with this Section 9.13(b).</w:t>
      </w:r>
    </w:p>
    <w:p>
      <w:pPr>
        <w:spacing w:after="0" w:line="153" w:lineRule="exact"/>
        <w:rPr>
          <w:sz w:val="20"/>
          <w:szCs w:val="20"/>
          <w:color w:val="auto"/>
        </w:rPr>
      </w:pPr>
    </w:p>
    <w:p>
      <w:pPr>
        <w:jc w:val="both"/>
        <w:ind w:firstLine="1304"/>
        <w:spacing w:after="0" w:line="289" w:lineRule="auto"/>
        <w:tabs>
          <w:tab w:leader="none" w:pos="1809" w:val="left"/>
        </w:tabs>
        <w:numPr>
          <w:ilvl w:val="0"/>
          <w:numId w:val="470"/>
        </w:numPr>
        <w:rPr>
          <w:rFonts w:ascii="Arial" w:cs="Arial" w:eastAsia="Arial" w:hAnsi="Arial"/>
          <w:sz w:val="19"/>
          <w:szCs w:val="19"/>
          <w:b w:val="1"/>
          <w:bCs w:val="1"/>
          <w:color w:val="auto"/>
        </w:rPr>
      </w:pPr>
      <w:r>
        <w:rPr>
          <w:rFonts w:ascii="Arial" w:cs="Arial" w:eastAsia="Arial" w:hAnsi="Arial"/>
          <w:sz w:val="19"/>
          <w:szCs w:val="19"/>
          <w:b w:val="1"/>
          <w:bCs w:val="1"/>
          <w:color w:val="auto"/>
        </w:rPr>
        <w:t>Taxes Resulting From Allergan Action</w:t>
      </w:r>
      <w:r>
        <w:rPr>
          <w:rFonts w:ascii="Arial" w:cs="Arial" w:eastAsia="Arial" w:hAnsi="Arial"/>
          <w:sz w:val="19"/>
          <w:szCs w:val="19"/>
          <w:color w:val="auto"/>
        </w:rPr>
        <w:t>. If Allergan is required to make a payment to Molecular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subject to increased deduction or withholding of tax as a result of any willful action by Allergan, such as an assignment or sublicense by Allergan, or any failure on the part of Allergan to comply with applicable Laws or filing or record retention requirements (an “</w:t>
      </w:r>
      <w:r>
        <w:rPr>
          <w:rFonts w:ascii="Arial" w:cs="Arial" w:eastAsia="Arial" w:hAnsi="Arial"/>
          <w:sz w:val="19"/>
          <w:szCs w:val="19"/>
          <w:b w:val="1"/>
          <w:bCs w:val="1"/>
          <w:color w:val="auto"/>
        </w:rPr>
        <w:t>Allergan Withholding Tax Action</w:t>
      </w:r>
      <w:r>
        <w:rPr>
          <w:rFonts w:ascii="Arial" w:cs="Arial" w:eastAsia="Arial" w:hAnsi="Arial"/>
          <w:sz w:val="19"/>
          <w:szCs w:val="19"/>
          <w:color w:val="auto"/>
        </w:rPr>
        <w:t>”), then the sum payable by Allergan (in respect of which such increased deduction or withholding is required to be made) shall be increased to the extent necessary to ensure that Molecular Partners receives a sum equal to the sum which it would have received had no such Allergan Withholding Tax Action occurred. Notwithstanding the foregoing, any assignment or sublicense by Allergan that is agreed or consented to by Molecular Partners in advance in writing shall not constitute an Allergan Withholding Tax Action. To the extent that Molecular Partners actually realizes a tax benefit in any jurisdiction as a result of any such withholding taxes paid by Allergan pursuant to this Section 9.13(c), Molecular Partners shall cooperate with Allergan to convey the additional tax benefit, if possible, to Allergan.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MATTERS</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10.1 Inventions</w:t>
      </w:r>
      <w:r>
        <w:rPr>
          <w:rFonts w:ascii="Arial" w:cs="Arial" w:eastAsia="Arial" w:hAnsi="Arial"/>
          <w:sz w:val="22"/>
          <w:szCs w:val="22"/>
          <w:color w:val="auto"/>
        </w:rPr>
        <w:t>. Any inventions, whether or not patentable, and whether (a) invented solely by a Party’s own</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agents, consultants, or independent contractors (including any partner, joint venturer, licensee, sublicensee or similar arrangement) or (b) invented by a Party’s own employees, agents, consultants, or independent contractors jointly with employees, agents, consultants, or independent contractors of the other Party, in each case in the course of conducting a Party’s activities under this Agreement (including the Development, Manufacture or Commercialization of Licensed Products), together with all intellectual property rights therein, shall be referred to herein as an “</w:t>
      </w:r>
      <w:r>
        <w:rPr>
          <w:rFonts w:ascii="Arial" w:cs="Arial" w:eastAsia="Arial" w:hAnsi="Arial"/>
          <w:sz w:val="22"/>
          <w:szCs w:val="22"/>
          <w:b w:val="1"/>
          <w:bCs w:val="1"/>
          <w:color w:val="auto"/>
        </w:rPr>
        <w:t>Invention</w:t>
      </w:r>
      <w:r>
        <w:rPr>
          <w:rFonts w:ascii="Arial" w:cs="Arial" w:eastAsia="Arial" w:hAnsi="Arial"/>
          <w:sz w:val="22"/>
          <w:szCs w:val="22"/>
          <w:color w:val="auto"/>
        </w:rPr>
        <w:t>”. Inventorship shall be determined in accordance with U.S. patent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12" w:name="page513"/>
    <w:bookmarkEnd w:id="512"/>
    <w:p>
      <w:pPr>
        <w:ind w:left="660"/>
        <w:spacing w:after="0"/>
        <w:tabs>
          <w:tab w:leader="none" w:pos="12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85" w:lineRule="auto"/>
        <w:tabs>
          <w:tab w:leader="none" w:pos="1831" w:val="left"/>
        </w:tabs>
        <w:numPr>
          <w:ilvl w:val="0"/>
          <w:numId w:val="471"/>
        </w:numPr>
        <w:rPr>
          <w:rFonts w:ascii="Arial" w:cs="Arial" w:eastAsia="Arial" w:hAnsi="Arial"/>
          <w:sz w:val="19"/>
          <w:szCs w:val="19"/>
          <w:b w:val="1"/>
          <w:bCs w:val="1"/>
          <w:color w:val="auto"/>
        </w:rPr>
      </w:pPr>
      <w:r>
        <w:rPr>
          <w:rFonts w:ascii="Arial" w:cs="Arial" w:eastAsia="Arial" w:hAnsi="Arial"/>
          <w:sz w:val="19"/>
          <w:szCs w:val="19"/>
          <w:color w:val="auto"/>
        </w:rPr>
        <w:t>Except as otherwise expressly provided in this Agreement, (i) if an Invention is solely invented by one or more employees, agents, consultants, subcontractors or independent contractors of a Party, such Invention, and any and all intellectual property rights therein, shall be solely owned by such Party; provided that, (A) Molecular Partners will exclusively own all Inventions, and all Patent and other intellectual property rights therein, whether invented solely by Molecular Partners or Allergan or jointly by the Parties, directed to [***] (“</w:t>
      </w:r>
      <w:r>
        <w:rPr>
          <w:rFonts w:ascii="Arial" w:cs="Arial" w:eastAsia="Arial" w:hAnsi="Arial"/>
          <w:sz w:val="19"/>
          <w:szCs w:val="19"/>
          <w:b w:val="1"/>
          <w:bCs w:val="1"/>
          <w:color w:val="auto"/>
        </w:rPr>
        <w:t>MP Core Inventions</w:t>
      </w:r>
      <w:r>
        <w:rPr>
          <w:rFonts w:ascii="Arial" w:cs="Arial" w:eastAsia="Arial" w:hAnsi="Arial"/>
          <w:sz w:val="19"/>
          <w:szCs w:val="19"/>
          <w:color w:val="auto"/>
        </w:rPr>
        <w:t>”); and (B) Allergan will exclusively own all Inventions, and all Patent and other intellectual property rights therein, whether invented solely by Allergan or Molecular Partners or jointly by the Parties, directed to [***] Controlled by Allergan or its Affiliates (“</w:t>
      </w:r>
      <w:r>
        <w:rPr>
          <w:rFonts w:ascii="Arial" w:cs="Arial" w:eastAsia="Arial" w:hAnsi="Arial"/>
          <w:sz w:val="19"/>
          <w:szCs w:val="19"/>
          <w:b w:val="1"/>
          <w:bCs w:val="1"/>
          <w:color w:val="auto"/>
        </w:rPr>
        <w:t>Allergan Core Inventions</w:t>
      </w:r>
      <w:r>
        <w:rPr>
          <w:rFonts w:ascii="Arial" w:cs="Arial" w:eastAsia="Arial" w:hAnsi="Arial"/>
          <w:sz w:val="19"/>
          <w:szCs w:val="19"/>
          <w:color w:val="auto"/>
        </w:rPr>
        <w:t>”), and (ii) if an Invention (other than a MP Core Invention or an Allergan Core Invention) is jointly invented by one or more employees, agents, consultants, subcontractors or independent contractors of each Party, such Invention (a “</w:t>
      </w:r>
      <w:r>
        <w:rPr>
          <w:rFonts w:ascii="Arial" w:cs="Arial" w:eastAsia="Arial" w:hAnsi="Arial"/>
          <w:sz w:val="19"/>
          <w:szCs w:val="19"/>
          <w:b w:val="1"/>
          <w:bCs w:val="1"/>
          <w:color w:val="auto"/>
        </w:rPr>
        <w:t>Joint Invention</w:t>
      </w:r>
      <w:r>
        <w:rPr>
          <w:rFonts w:ascii="Arial" w:cs="Arial" w:eastAsia="Arial" w:hAnsi="Arial"/>
          <w:sz w:val="19"/>
          <w:szCs w:val="19"/>
          <w:color w:val="auto"/>
        </w:rPr>
        <w:t>”), and each Patent covering such Joint Invention (each, a “</w:t>
      </w:r>
      <w:r>
        <w:rPr>
          <w:rFonts w:ascii="Arial" w:cs="Arial" w:eastAsia="Arial" w:hAnsi="Arial"/>
          <w:sz w:val="19"/>
          <w:szCs w:val="19"/>
          <w:b w:val="1"/>
          <w:bCs w:val="1"/>
          <w:color w:val="auto"/>
        </w:rPr>
        <w:t>Joint Patent</w:t>
      </w:r>
      <w:r>
        <w:rPr>
          <w:rFonts w:ascii="Arial" w:cs="Arial" w:eastAsia="Arial" w:hAnsi="Arial"/>
          <w:sz w:val="19"/>
          <w:szCs w:val="19"/>
          <w:color w:val="auto"/>
        </w:rPr>
        <w:t>”) and other intellectual property rights in such Joint Invention (such intellectual property rights, together with any such Joint Patent, “</w:t>
      </w:r>
      <w:r>
        <w:rPr>
          <w:rFonts w:ascii="Arial" w:cs="Arial" w:eastAsia="Arial" w:hAnsi="Arial"/>
          <w:sz w:val="19"/>
          <w:szCs w:val="19"/>
          <w:b w:val="1"/>
          <w:bCs w:val="1"/>
          <w:color w:val="auto"/>
        </w:rPr>
        <w:t>Joint IPR</w:t>
      </w:r>
      <w:r>
        <w:rPr>
          <w:rFonts w:ascii="Arial" w:cs="Arial" w:eastAsia="Arial" w:hAnsi="Arial"/>
          <w:sz w:val="19"/>
          <w:szCs w:val="19"/>
          <w:color w:val="auto"/>
        </w:rPr>
        <w:t>”), shall be jointly owned by the Parties. Subject to the terms of this Agreement and except as otherwise licensed to the other Party under this Agreement, and subject to any other intellectual property owned by the Parties, each Party shall be entitled to practice and exploit the Joint Inventions and Joint IPR, subject to the licenses granted under Article 4, without the duty of accounting or seeking consent from the other Party. Each Party agrees to be named as a party, if necessary, to bring or maintain a lawsuit involving a Joint Invention or Joint IPR. For clarity, all DARPin Domains in Backup Compounds or Licensed Compounds and DARPin Compounds in Backup Compounds or Licensed Compounds will be included in the MP Core Inventions and owned solely by Molecular Partners. For the avoidance of doubt, post-translational modifications of amino acids of DARPin Compounds, or modifications to DARPin Compounds [***], do not fall within the scope of MP Core Inventions.</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304"/>
        <w:spacing w:after="0" w:line="261" w:lineRule="auto"/>
        <w:tabs>
          <w:tab w:leader="none" w:pos="1816" w:val="left"/>
        </w:tabs>
        <w:numPr>
          <w:ilvl w:val="0"/>
          <w:numId w:val="471"/>
        </w:numPr>
        <w:rPr>
          <w:rFonts w:ascii="Arial" w:cs="Arial" w:eastAsia="Arial" w:hAnsi="Arial"/>
          <w:sz w:val="21"/>
          <w:szCs w:val="21"/>
          <w:b w:val="1"/>
          <w:bCs w:val="1"/>
          <w:color w:val="auto"/>
        </w:rPr>
      </w:pPr>
      <w:r>
        <w:rPr>
          <w:rFonts w:ascii="Arial" w:cs="Arial" w:eastAsia="Arial" w:hAnsi="Arial"/>
          <w:sz w:val="21"/>
          <w:szCs w:val="21"/>
          <w:color w:val="auto"/>
        </w:rPr>
        <w:t>Each Party shall notify the other Party promptly after developing any Invention of which the other Party is the sole owner. Each Party shall assign and hereby assigns to the other Party its entire right, title and interest in and to such Inventions and the Patents and other intellectual property rights therein as needed to implement the ownership of the MP Core Inventions and the Allergan Core Inventions in accordance with the provisions of Section 10.2(a). Allergan shall have the sole right to file, prosecute and maintain any Patents within the Allergan Core Inventions. Molecular Partners shall have the rights with respect to MP Core Inventions as set forth in Section 10.3.</w:t>
      </w:r>
    </w:p>
    <w:p>
      <w:pPr>
        <w:spacing w:after="0" w:line="179" w:lineRule="exact"/>
        <w:rPr>
          <w:rFonts w:ascii="Arial" w:cs="Arial" w:eastAsia="Arial" w:hAnsi="Arial"/>
          <w:sz w:val="21"/>
          <w:szCs w:val="21"/>
          <w:b w:val="1"/>
          <w:bCs w:val="1"/>
          <w:color w:val="auto"/>
        </w:rPr>
      </w:pPr>
    </w:p>
    <w:p>
      <w:pPr>
        <w:ind w:right="20" w:firstLine="1304"/>
        <w:spacing w:after="0" w:line="263" w:lineRule="auto"/>
        <w:tabs>
          <w:tab w:leader="none" w:pos="1833" w:val="left"/>
        </w:tabs>
        <w:numPr>
          <w:ilvl w:val="0"/>
          <w:numId w:val="471"/>
        </w:numPr>
        <w:rPr>
          <w:rFonts w:ascii="Arial" w:cs="Arial" w:eastAsia="Arial" w:hAnsi="Arial"/>
          <w:sz w:val="22"/>
          <w:szCs w:val="22"/>
          <w:b w:val="1"/>
          <w:bCs w:val="1"/>
          <w:color w:val="auto"/>
        </w:rPr>
      </w:pPr>
      <w:r>
        <w:rPr>
          <w:rFonts w:ascii="Arial" w:cs="Arial" w:eastAsia="Arial" w:hAnsi="Arial"/>
          <w:sz w:val="22"/>
          <w:szCs w:val="22"/>
          <w:color w:val="auto"/>
        </w:rPr>
        <w:t>Nothing in this Agreement shall obligate either Party to transfer any ownership interest in any Patents or other intellectual property rights of such Party existing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513" w:name="page514"/>
    <w:bookmarkEnd w:id="513"/>
    <w:p>
      <w:pPr>
        <w:ind w:left="660"/>
        <w:spacing w:after="0"/>
        <w:tabs>
          <w:tab w:leader="none" w:pos="124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8"/>
          <w:szCs w:val="18"/>
          <w:b w:val="1"/>
          <w:bCs w:val="1"/>
          <w:color w:val="auto"/>
        </w:rPr>
        <w:t>Prosecution of Patents</w:t>
      </w:r>
      <w:r>
        <w:rPr>
          <w:rFonts w:ascii="Arial" w:cs="Arial" w:eastAsia="Arial" w:hAnsi="Arial"/>
          <w:sz w:val="18"/>
          <w:szCs w:val="18"/>
          <w:color w:val="auto"/>
        </w:rPr>
        <w:t>.</w:t>
      </w:r>
    </w:p>
    <w:p>
      <w:pPr>
        <w:spacing w:after="0" w:line="220" w:lineRule="exact"/>
        <w:rPr>
          <w:sz w:val="20"/>
          <w:szCs w:val="20"/>
          <w:color w:val="auto"/>
        </w:rPr>
      </w:pPr>
    </w:p>
    <w:p>
      <w:pPr>
        <w:ind w:left="1780" w:hanging="476"/>
        <w:spacing w:after="0"/>
        <w:tabs>
          <w:tab w:leader="none" w:pos="1780" w:val="left"/>
        </w:tabs>
        <w:numPr>
          <w:ilvl w:val="1"/>
          <w:numId w:val="472"/>
        </w:numPr>
        <w:rPr>
          <w:rFonts w:ascii="Arial" w:cs="Arial" w:eastAsia="Arial" w:hAnsi="Arial"/>
          <w:sz w:val="22"/>
          <w:szCs w:val="22"/>
          <w:b w:val="1"/>
          <w:bCs w:val="1"/>
          <w:color w:val="auto"/>
        </w:rPr>
      </w:pPr>
      <w:r>
        <w:rPr>
          <w:rFonts w:ascii="Arial" w:cs="Arial" w:eastAsia="Arial" w:hAnsi="Arial"/>
          <w:sz w:val="22"/>
          <w:szCs w:val="22"/>
          <w:b w:val="1"/>
          <w:bCs w:val="1"/>
          <w:color w:val="auto"/>
        </w:rPr>
        <w:t>Molecular Partners Patents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89" w:lineRule="auto"/>
        <w:tabs>
          <w:tab w:leader="none" w:pos="2404" w:val="left"/>
        </w:tabs>
        <w:numPr>
          <w:ilvl w:val="2"/>
          <w:numId w:val="472"/>
        </w:numPr>
        <w:rPr>
          <w:rFonts w:ascii="Arial" w:cs="Arial" w:eastAsia="Arial" w:hAnsi="Arial"/>
          <w:sz w:val="19"/>
          <w:szCs w:val="19"/>
          <w:b w:val="1"/>
          <w:bCs w:val="1"/>
          <w:color w:val="auto"/>
        </w:rPr>
      </w:pPr>
      <w:r>
        <w:rPr>
          <w:rFonts w:ascii="Arial" w:cs="Arial" w:eastAsia="Arial" w:hAnsi="Arial"/>
          <w:sz w:val="19"/>
          <w:szCs w:val="19"/>
          <w:color w:val="auto"/>
        </w:rPr>
        <w:t>Subject to Section 10.3(a)(iii), as between the Parties, Molecular Partners shall have the sole right to prepare, file, prosecute and maintain all Molecular Partners Patents [***], in each case including all Patents that claim priority, directly or indirectly, from such Patents; and any Patent from which such Patents claim priority, directly or indirectly (collectively, the “</w:t>
      </w:r>
      <w:r>
        <w:rPr>
          <w:rFonts w:ascii="Arial" w:cs="Arial" w:eastAsia="Arial" w:hAnsi="Arial"/>
          <w:sz w:val="19"/>
          <w:szCs w:val="19"/>
          <w:b w:val="1"/>
          <w:bCs w:val="1"/>
          <w:color w:val="auto"/>
        </w:rPr>
        <w:t>Molecular Partners [***] Patents</w:t>
      </w:r>
      <w:r>
        <w:rPr>
          <w:rFonts w:ascii="Arial" w:cs="Arial" w:eastAsia="Arial" w:hAnsi="Arial"/>
          <w:sz w:val="19"/>
          <w:szCs w:val="19"/>
          <w:color w:val="auto"/>
        </w:rPr>
        <w:t>”), [***]. On a Calendar Quarter basis, Molecular Partners shall update Allergan on the status of the prosecution and maintenance of all Molecular Partners [***] Patents and shall provide Allergan with copies of material filings with and communication from patent authorities with respect to such Patents to the extent applicable to Licensed Products. Molecular Partners shall respond to all reasonable requests of Allergan for additional Information with respect to all such prosecution and maintenance efforts. Molecular Partners agrees to reasonably implement any recommendations of Allergan toward the objective of optimizing overall patent protection for [***].</w:t>
      </w:r>
    </w:p>
    <w:p>
      <w:pPr>
        <w:spacing w:after="0" w:line="156" w:lineRule="exact"/>
        <w:rPr>
          <w:rFonts w:ascii="Arial" w:cs="Arial" w:eastAsia="Arial" w:hAnsi="Arial"/>
          <w:sz w:val="19"/>
          <w:szCs w:val="19"/>
          <w:b w:val="1"/>
          <w:bCs w:val="1"/>
          <w:color w:val="auto"/>
        </w:rPr>
      </w:pPr>
    </w:p>
    <w:p>
      <w:pPr>
        <w:jc w:val="both"/>
        <w:ind w:firstLine="1952"/>
        <w:spacing w:after="0" w:line="291" w:lineRule="auto"/>
        <w:tabs>
          <w:tab w:leader="none" w:pos="2491" w:val="left"/>
        </w:tabs>
        <w:numPr>
          <w:ilvl w:val="2"/>
          <w:numId w:val="472"/>
        </w:numPr>
        <w:rPr>
          <w:rFonts w:ascii="Arial" w:cs="Arial" w:eastAsia="Arial" w:hAnsi="Arial"/>
          <w:sz w:val="19"/>
          <w:szCs w:val="19"/>
          <w:b w:val="1"/>
          <w:bCs w:val="1"/>
          <w:color w:val="auto"/>
        </w:rPr>
      </w:pPr>
      <w:r>
        <w:rPr>
          <w:rFonts w:ascii="Arial" w:cs="Arial" w:eastAsia="Arial" w:hAnsi="Arial"/>
          <w:sz w:val="19"/>
          <w:szCs w:val="19"/>
          <w:color w:val="auto"/>
        </w:rPr>
        <w:t>As between the Parties, Molecular Partners shall have the first right to prepare, file, prosecute and maintain all Molecular Partners Patents other than the Molecular Partners [***] Patents (collectively, the “</w:t>
      </w:r>
      <w:r>
        <w:rPr>
          <w:rFonts w:ascii="Arial" w:cs="Arial" w:eastAsia="Arial" w:hAnsi="Arial"/>
          <w:sz w:val="19"/>
          <w:szCs w:val="19"/>
          <w:b w:val="1"/>
          <w:bCs w:val="1"/>
          <w:color w:val="auto"/>
        </w:rPr>
        <w:t>Molecular Partners</w:t>
      </w:r>
    </w:p>
    <w:p>
      <w:pPr>
        <w:spacing w:after="0" w:line="1" w:lineRule="exact"/>
        <w:rPr>
          <w:rFonts w:ascii="Arial" w:cs="Arial" w:eastAsia="Arial" w:hAnsi="Arial"/>
          <w:sz w:val="19"/>
          <w:szCs w:val="19"/>
          <w:b w:val="1"/>
          <w:bCs w:val="1"/>
          <w:color w:val="auto"/>
        </w:rPr>
      </w:pPr>
    </w:p>
    <w:p>
      <w:pPr>
        <w:jc w:val="both"/>
        <w:ind w:firstLine="8"/>
        <w:spacing w:after="0" w:line="256" w:lineRule="auto"/>
        <w:tabs>
          <w:tab w:leader="none" w:pos="522" w:val="left"/>
        </w:tabs>
        <w:numPr>
          <w:ilvl w:val="0"/>
          <w:numId w:val="472"/>
        </w:numPr>
        <w:rPr>
          <w:rFonts w:ascii="Arial" w:cs="Arial" w:eastAsia="Arial" w:hAnsi="Arial"/>
          <w:sz w:val="21"/>
          <w:szCs w:val="21"/>
          <w:b w:val="1"/>
          <w:bCs w:val="1"/>
          <w:color w:val="auto"/>
        </w:rPr>
      </w:pPr>
      <w:r>
        <w:rPr>
          <w:rFonts w:ascii="Arial" w:cs="Arial" w:eastAsia="Arial" w:hAnsi="Arial"/>
          <w:sz w:val="21"/>
          <w:szCs w:val="21"/>
          <w:b w:val="1"/>
          <w:bCs w:val="1"/>
          <w:color w:val="auto"/>
        </w:rPr>
        <w:t>Patents</w:t>
      </w:r>
      <w:r>
        <w:rPr>
          <w:rFonts w:ascii="Arial" w:cs="Arial" w:eastAsia="Arial" w:hAnsi="Arial"/>
          <w:sz w:val="21"/>
          <w:szCs w:val="21"/>
          <w:color w:val="auto"/>
        </w:rPr>
        <w:t>”) in the Territory, at Molecular Partners’ cost and expense. Molecular Partners shall reasonably inform and consult</w:t>
      </w:r>
      <w:r>
        <w:rPr>
          <w:rFonts w:ascii="Arial" w:cs="Arial" w:eastAsia="Arial" w:hAnsi="Arial"/>
          <w:sz w:val="21"/>
          <w:szCs w:val="21"/>
          <w:b w:val="1"/>
          <w:bCs w:val="1"/>
          <w:color w:val="auto"/>
        </w:rPr>
        <w:t xml:space="preserve"> </w:t>
      </w:r>
      <w:r>
        <w:rPr>
          <w:rFonts w:ascii="Arial" w:cs="Arial" w:eastAsia="Arial" w:hAnsi="Arial"/>
          <w:sz w:val="21"/>
          <w:szCs w:val="21"/>
          <w:color w:val="auto"/>
        </w:rPr>
        <w:t>with Allergan, and shall take Allergan’s comments into good faith consideration, with respect to the preparation, prosecution and maintenance of such Molecular Partners [***] Patents. Molecular Partners shall provide to Allergan copies of any papers relating to the filing, prosecution or maintenance of such Molecular Partners [***] Patents reasonably in advance of their being filed or promptly upon their being received, including draft filings, reasonably in advance of their being filed, so that Allergan can comment and provide input with respect to such draft filings. Molecular Partners agrees to discuss in good faith any changes reasonably requested by Allergan to such papers, including draft filings, promptly upon their being received. Molecular Partners agrees to reasonably implement any such recommended changes toward the objective of optimizing overall patent protection for [***].</w:t>
      </w:r>
    </w:p>
    <w:p>
      <w:pPr>
        <w:spacing w:after="0" w:line="188" w:lineRule="exact"/>
        <w:rPr>
          <w:rFonts w:ascii="Arial" w:cs="Arial" w:eastAsia="Arial" w:hAnsi="Arial"/>
          <w:sz w:val="21"/>
          <w:szCs w:val="21"/>
          <w:b w:val="1"/>
          <w:bCs w:val="1"/>
          <w:color w:val="auto"/>
        </w:rPr>
      </w:pPr>
    </w:p>
    <w:p>
      <w:pPr>
        <w:jc w:val="both"/>
        <w:ind w:firstLine="1952"/>
        <w:spacing w:after="0" w:line="288" w:lineRule="auto"/>
        <w:tabs>
          <w:tab w:leader="none" w:pos="2497" w:val="left"/>
        </w:tabs>
        <w:numPr>
          <w:ilvl w:val="2"/>
          <w:numId w:val="473"/>
        </w:numPr>
        <w:rPr>
          <w:rFonts w:ascii="Arial" w:cs="Arial" w:eastAsia="Arial" w:hAnsi="Arial"/>
          <w:sz w:val="19"/>
          <w:szCs w:val="19"/>
          <w:b w:val="1"/>
          <w:bCs w:val="1"/>
          <w:color w:val="auto"/>
        </w:rPr>
      </w:pPr>
      <w:r>
        <w:rPr>
          <w:rFonts w:ascii="Arial" w:cs="Arial" w:eastAsia="Arial" w:hAnsi="Arial"/>
          <w:sz w:val="19"/>
          <w:szCs w:val="19"/>
          <w:color w:val="auto"/>
        </w:rPr>
        <w:t>If Molecular Partners decides to cease the prosecution or maintenance of a Molecular Partners [***] Patent, it shall notify Allergan in writing sufficiently in advance so that Allergan may, at its discretion, assume the responsibility for the prosecution or maintenance of such Molecular Partners [***] Patents at Allergan’s cost and expense. For the avoidance of doubt, failing to file an application for a Molecular Partners [***] Patent in a particular jurisdiction or, if applicable, failing to validate a Molecular Partners [***] Patent granted by the European Patent Office in a particular jurisdiction shall each be deemed to be ceasing the prosecution of such Molecular Partners [***] Patent in such jurisdiction. If Allergan assumes such responsibility in a Claim Country, then no such claim shall be deemed a Valid Claim in such Claim Country. If Allergan assumes such responsibility in a Claim Country, Molecular Partners shall reimburse Allergan for [***] of its costs and expenses incurred in connection with such assumption in such Claim Country. If Molecular Partners decides to cease the prosecution or maintenance of all claims in a Molecular Partners [***] Patent that covers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514" w:name="page515"/>
    <w:bookmarkEnd w:id="514"/>
    <w:p>
      <w:pPr>
        <w:jc w:val="both"/>
        <w:spacing w:after="0" w:line="292" w:lineRule="auto"/>
        <w:rPr>
          <w:sz w:val="20"/>
          <w:szCs w:val="20"/>
          <w:color w:val="auto"/>
        </w:rPr>
      </w:pPr>
      <w:r>
        <w:rPr>
          <w:rFonts w:ascii="Arial" w:cs="Arial" w:eastAsia="Arial" w:hAnsi="Arial"/>
          <w:sz w:val="19"/>
          <w:szCs w:val="19"/>
          <w:color w:val="auto"/>
        </w:rPr>
        <w:t>Development, Manufacture or Commercialization of a Licensed Compound or Licensed Product in the Field and Territory, it shall notify Allergan in writing sufficiently in advance so that Allergan may, at its discretion, assume the responsibility for the prosecution or maintenance of such Molecular Partners [***] Patent to the extent claiming the Development, Manufacture or Commercialization of a Licensed Compound or Licensed Product in the Field and Territory, at Allergan’s cost and expense. If Allergan assumes such responsibility in a Claim Country, then no such claim shall be deemed a Valid Claim in such Claim Country. If Allergan assumes such responsibility in a Claim Country, Molecular Partners shall reimburse Allergan for [***] of its costs and expenses incurred in connection with such assumption in such Claim Country.</w:t>
      </w:r>
    </w:p>
    <w:p>
      <w:pPr>
        <w:spacing w:after="0" w:line="151" w:lineRule="exact"/>
        <w:rPr>
          <w:sz w:val="20"/>
          <w:szCs w:val="20"/>
          <w:color w:val="auto"/>
        </w:rPr>
      </w:pPr>
    </w:p>
    <w:p>
      <w:pPr>
        <w:jc w:val="both"/>
        <w:ind w:firstLine="1952"/>
        <w:spacing w:after="0" w:line="248" w:lineRule="auto"/>
        <w:tabs>
          <w:tab w:leader="none" w:pos="2512" w:val="left"/>
        </w:tabs>
        <w:numPr>
          <w:ilvl w:val="1"/>
          <w:numId w:val="474"/>
        </w:numPr>
        <w:rPr>
          <w:rFonts w:ascii="Arial" w:cs="Arial" w:eastAsia="Arial" w:hAnsi="Arial"/>
          <w:sz w:val="22"/>
          <w:szCs w:val="22"/>
          <w:b w:val="1"/>
          <w:bCs w:val="1"/>
          <w:color w:val="auto"/>
        </w:rPr>
      </w:pPr>
      <w:r>
        <w:rPr>
          <w:rFonts w:ascii="Arial" w:cs="Arial" w:eastAsia="Arial" w:hAnsi="Arial"/>
          <w:sz w:val="22"/>
          <w:szCs w:val="22"/>
          <w:color w:val="auto"/>
        </w:rPr>
        <w:t>Following the Effective Date, the Parties shall meet and discuss the extent to which it is feasible to allocate certain claims covered in the Molecular Partners [***] Patents to the Molecular Partners [***] Patents. At the reasonable request of Allergan, Molecular Partners shall make such filings as the Parties reasonably agree to allocate claims solely covering Licensed Compounds in the Field to the Molecular Partners [***] Patents. [***] the costs associated with such actions reasonably requested by Allergan.</w:t>
      </w:r>
    </w:p>
    <w:p>
      <w:pPr>
        <w:spacing w:after="0" w:line="185" w:lineRule="exact"/>
        <w:rPr>
          <w:rFonts w:ascii="Arial" w:cs="Arial" w:eastAsia="Arial" w:hAnsi="Arial"/>
          <w:sz w:val="22"/>
          <w:szCs w:val="22"/>
          <w:b w:val="1"/>
          <w:bCs w:val="1"/>
          <w:color w:val="auto"/>
        </w:rPr>
      </w:pPr>
    </w:p>
    <w:p>
      <w:pPr>
        <w:jc w:val="both"/>
        <w:ind w:firstLine="1304"/>
        <w:spacing w:after="0" w:line="288" w:lineRule="auto"/>
        <w:tabs>
          <w:tab w:leader="none" w:pos="1830" w:val="left"/>
        </w:tabs>
        <w:numPr>
          <w:ilvl w:val="0"/>
          <w:numId w:val="475"/>
        </w:numPr>
        <w:rPr>
          <w:rFonts w:ascii="Arial" w:cs="Arial" w:eastAsia="Arial" w:hAnsi="Arial"/>
          <w:sz w:val="19"/>
          <w:szCs w:val="19"/>
          <w:b w:val="1"/>
          <w:bCs w:val="1"/>
          <w:color w:val="auto"/>
        </w:rPr>
      </w:pPr>
      <w:r>
        <w:rPr>
          <w:rFonts w:ascii="Arial" w:cs="Arial" w:eastAsia="Arial" w:hAnsi="Arial"/>
          <w:sz w:val="19"/>
          <w:szCs w:val="19"/>
          <w:b w:val="1"/>
          <w:bCs w:val="1"/>
          <w:color w:val="auto"/>
        </w:rPr>
        <w:t>Joint Patents</w:t>
      </w:r>
      <w:r>
        <w:rPr>
          <w:rFonts w:ascii="Arial" w:cs="Arial" w:eastAsia="Arial" w:hAnsi="Arial"/>
          <w:sz w:val="19"/>
          <w:szCs w:val="19"/>
          <w:color w:val="auto"/>
        </w:rPr>
        <w:t>. The Parties shall mutually agree upon which Party shall prosecute Joint Patents, [***]. The</w:t>
      </w:r>
      <w:r>
        <w:rPr>
          <w:rFonts w:ascii="Arial" w:cs="Arial" w:eastAsia="Arial" w:hAnsi="Arial"/>
          <w:sz w:val="19"/>
          <w:szCs w:val="19"/>
          <w:b w:val="1"/>
          <w:bCs w:val="1"/>
          <w:color w:val="auto"/>
        </w:rPr>
        <w:t xml:space="preserve"> </w:t>
      </w:r>
      <w:r>
        <w:rPr>
          <w:rFonts w:ascii="Arial" w:cs="Arial" w:eastAsia="Arial" w:hAnsi="Arial"/>
          <w:sz w:val="19"/>
          <w:szCs w:val="19"/>
          <w:color w:val="auto"/>
        </w:rPr>
        <w:t>prosecuting Party shall reasonably inform and consult with the other Party, and shall take such other Party’s comments into good faith consideration, with respect to the preparation, prosecution and maintenance of such Joint Patents. The prosecuting Party shall provide to the other Party copies of any papers relating to the filing, prosecution or maintenance of such Joint Patents reasonably in advance of their being filed or promptly upon their being received, including draft filings, reasonably in advance of their being filed so that such other Party can comment and provide input with respect to such draft filings. The prosecuting Party agrees to discuss in good faith any changes reasonably requested by the other Party to such papers, including draft filings, promptly upon their being received. The prosecuting Party agrees to reasonably implement any such recommended changes toward the objective of optimizing overall patent protection for Licensed Compounds, Licensed Products, and other DARPin Compounds. In any event, neither Party will finally abandon, disclaim, or dedicate to the public any claims or limit any claims specific to DARPin Compounds, Licensed Compounds or Licensed Products without the other Party’s prior written consent.</w:t>
      </w:r>
    </w:p>
    <w:p>
      <w:pPr>
        <w:spacing w:after="0" w:line="153" w:lineRule="exact"/>
        <w:rPr>
          <w:rFonts w:ascii="Arial" w:cs="Arial" w:eastAsia="Arial" w:hAnsi="Arial"/>
          <w:sz w:val="19"/>
          <w:szCs w:val="19"/>
          <w:b w:val="1"/>
          <w:bCs w:val="1"/>
          <w:color w:val="auto"/>
        </w:rPr>
      </w:pPr>
    </w:p>
    <w:p>
      <w:pPr>
        <w:jc w:val="both"/>
        <w:ind w:firstLine="1304"/>
        <w:spacing w:after="0" w:line="259" w:lineRule="auto"/>
        <w:tabs>
          <w:tab w:leader="none" w:pos="1765" w:val="left"/>
        </w:tabs>
        <w:numPr>
          <w:ilvl w:val="0"/>
          <w:numId w:val="475"/>
        </w:numPr>
        <w:rPr>
          <w:rFonts w:ascii="Arial" w:cs="Arial" w:eastAsia="Arial" w:hAnsi="Arial"/>
          <w:sz w:val="21"/>
          <w:szCs w:val="21"/>
          <w:b w:val="1"/>
          <w:bCs w:val="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Each Party shall provide the other Party all reasonable assistance and cooperation, at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Party’s request and expense, in the patent prosecution efforts (i) with respect to the Allergan Core Inventions and the MP Core Inventions or (ii) provided above in this Section 10.3, including providing any necessary powers of attorney and executing any other required documents or instruments for such prosecution. Each Party shall execute and deliver to the other assignments with respect to any Joint Inventions, MP Core Inventions and Allergan Core Inventions, as applicable, in a mutually agreeable form and will take whatever actions reasonably necessary (including the appointment of the other Party as its attorney in fact solely to make such assignment) to effect such assignment. The prosecuting Party under this Section 10.3 agrees to conduct such prosecution toward the objective of optimizing overall patent protection for Licensed Compounds, Licensed Products, and other DARPin Compounds.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15" w:name="page516"/>
    <w:bookmarkEnd w:id="515"/>
    <w:p>
      <w:pPr>
        <w:ind w:left="660"/>
        <w:spacing w:after="0"/>
        <w:tabs>
          <w:tab w:leader="none" w:pos="124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Enforcement of Molecular Partners Patents and Joint Patents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9" w:lineRule="auto"/>
        <w:tabs>
          <w:tab w:leader="none" w:pos="1872" w:val="left"/>
        </w:tabs>
        <w:numPr>
          <w:ilvl w:val="0"/>
          <w:numId w:val="476"/>
        </w:numPr>
        <w:rPr>
          <w:rFonts w:ascii="Arial" w:cs="Arial" w:eastAsia="Arial" w:hAnsi="Arial"/>
          <w:sz w:val="21"/>
          <w:szCs w:val="21"/>
          <w:b w:val="1"/>
          <w:bCs w:val="1"/>
          <w:color w:val="auto"/>
        </w:rPr>
      </w:pPr>
      <w:r>
        <w:rPr>
          <w:rFonts w:ascii="Arial" w:cs="Arial" w:eastAsia="Arial" w:hAnsi="Arial"/>
          <w:sz w:val="21"/>
          <w:szCs w:val="21"/>
          <w:b w:val="1"/>
          <w:bCs w:val="1"/>
          <w:color w:val="auto"/>
        </w:rPr>
        <w:t>Notification</w:t>
      </w:r>
      <w:r>
        <w:rPr>
          <w:rFonts w:ascii="Arial" w:cs="Arial" w:eastAsia="Arial" w:hAnsi="Arial"/>
          <w:sz w:val="21"/>
          <w:szCs w:val="21"/>
          <w:color w:val="auto"/>
        </w:rPr>
        <w:t>. If either Party becomes aware of any existing or threatened infringement of the Molecular</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 Patents or Joint Patents in the Field in the Territory, which infringing activity involves the using, making, importing, offering for sale or selling Licensed Compounds or Licensed Products or a product containing an Exclusive DARPin, in each case in the Field and in the Territory, or any such Molecular Partners Patent or Joint Patent is challenged in any action or proceeding to the extent directly relating to Licensed Compounds or Licensed Products or a product containing an Exclusive DARPin, in each case in the Field and in the Territory (other than any oppositions, cancellations, interferences, reissue proceedings or reexaminations, which are addressed in Section 10.7) (a “</w:t>
      </w:r>
      <w:r>
        <w:rPr>
          <w:rFonts w:ascii="Arial" w:cs="Arial" w:eastAsia="Arial" w:hAnsi="Arial"/>
          <w:sz w:val="21"/>
          <w:szCs w:val="21"/>
          <w:b w:val="1"/>
          <w:bCs w:val="1"/>
          <w:color w:val="auto"/>
        </w:rPr>
        <w:t>Product Infringement</w:t>
      </w:r>
      <w:r>
        <w:rPr>
          <w:rFonts w:ascii="Arial" w:cs="Arial" w:eastAsia="Arial" w:hAnsi="Arial"/>
          <w:sz w:val="21"/>
          <w:szCs w:val="21"/>
          <w:color w:val="auto"/>
        </w:rPr>
        <w:t>”), it shall promptly notify the other Party in writing to that effect and the Parties will consult with each other regarding any actions to be taken with respect to such Product Infringement. Each Party shall share with the other Party all Information available to it regarding such alleged Product Infringement.</w:t>
      </w:r>
    </w:p>
    <w:p>
      <w:pPr>
        <w:spacing w:after="0" w:line="175" w:lineRule="exact"/>
        <w:rPr>
          <w:rFonts w:ascii="Arial" w:cs="Arial" w:eastAsia="Arial" w:hAnsi="Arial"/>
          <w:sz w:val="21"/>
          <w:szCs w:val="21"/>
          <w:b w:val="1"/>
          <w:bCs w:val="1"/>
          <w:color w:val="auto"/>
        </w:rPr>
      </w:pPr>
    </w:p>
    <w:p>
      <w:pPr>
        <w:ind w:left="1780" w:hanging="476"/>
        <w:spacing w:after="0"/>
        <w:tabs>
          <w:tab w:leader="none" w:pos="1780" w:val="left"/>
        </w:tabs>
        <w:numPr>
          <w:ilvl w:val="0"/>
          <w:numId w:val="476"/>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952"/>
        <w:spacing w:after="0" w:line="258" w:lineRule="auto"/>
        <w:tabs>
          <w:tab w:leader="none" w:pos="2445" w:val="left"/>
        </w:tabs>
        <w:numPr>
          <w:ilvl w:val="1"/>
          <w:numId w:val="476"/>
        </w:numPr>
        <w:rPr>
          <w:rFonts w:ascii="Arial" w:cs="Arial" w:eastAsia="Arial" w:hAnsi="Arial"/>
          <w:sz w:val="21"/>
          <w:szCs w:val="21"/>
          <w:b w:val="1"/>
          <w:bCs w:val="1"/>
          <w:color w:val="auto"/>
        </w:rPr>
      </w:pPr>
      <w:r>
        <w:rPr>
          <w:rFonts w:ascii="Arial" w:cs="Arial" w:eastAsia="Arial" w:hAnsi="Arial"/>
          <w:sz w:val="21"/>
          <w:szCs w:val="21"/>
          <w:color w:val="auto"/>
        </w:rPr>
        <w:t>Molecular Partners shall have the first right, but not the obligation, to bring an appropriate suit or other action against any person or entity engaged in a Product Infringement of the Molecular Partners [***] Patents. Molecular Partners shall keep Allergan regularly informed of the status and progress of such enforcement efforts, shall reasonably consider Allergan’s comments on any such efforts, and shall seek consent of Allergan in any important aspects of such enforcement, including determination of litigation strategy and filing of material papers to the competent court, which consent shall not be unreasonably withheld or delayed. In addition, Molecular Partners shall provide Allergan with drafts of all material papers to be filed with the court and shall in good faith incorporate all reasonable comments thereto by Allergan before filing such papers. Allergan shall provide to Molecular Partners reasonable assistance in such enforcement pursuant to this subsection (b)(i), at Molecular Partners’ request and expense, including joining such action as a party plaintiff if required by applicable Laws to pursue such action.</w:t>
      </w:r>
    </w:p>
    <w:p>
      <w:pPr>
        <w:spacing w:after="0" w:line="185" w:lineRule="exact"/>
        <w:rPr>
          <w:rFonts w:ascii="Arial" w:cs="Arial" w:eastAsia="Arial" w:hAnsi="Arial"/>
          <w:sz w:val="21"/>
          <w:szCs w:val="21"/>
          <w:b w:val="1"/>
          <w:bCs w:val="1"/>
          <w:color w:val="auto"/>
        </w:rPr>
      </w:pPr>
    </w:p>
    <w:p>
      <w:pPr>
        <w:jc w:val="both"/>
        <w:ind w:firstLine="1952"/>
        <w:spacing w:after="0" w:line="288" w:lineRule="auto"/>
        <w:tabs>
          <w:tab w:leader="none" w:pos="2478" w:val="left"/>
        </w:tabs>
        <w:numPr>
          <w:ilvl w:val="1"/>
          <w:numId w:val="476"/>
        </w:numPr>
        <w:rPr>
          <w:rFonts w:ascii="Arial" w:cs="Arial" w:eastAsia="Arial" w:hAnsi="Arial"/>
          <w:sz w:val="19"/>
          <w:szCs w:val="19"/>
          <w:b w:val="1"/>
          <w:bCs w:val="1"/>
          <w:color w:val="auto"/>
        </w:rPr>
      </w:pPr>
      <w:r>
        <w:rPr>
          <w:rFonts w:ascii="Arial" w:cs="Arial" w:eastAsia="Arial" w:hAnsi="Arial"/>
          <w:sz w:val="19"/>
          <w:szCs w:val="19"/>
          <w:color w:val="auto"/>
        </w:rPr>
        <w:t>Molecular Partners shall have a period of [***] after its receipt or delivery of notice under Section 10.4(a) to elect to so enforce the Molecular Partners [***] Patents in the Field in the Territory (or to settle or otherwise secure the abatement of such Product Infringement). If Molecular Partners fails to commence a suit to enforce the applicable Molecular Partners [***] Patents or to settle or otherwise secure the abatement of such Product Infringement within such period, then Allergan shall have the right, but not the obligation, to commence a suit or take action to enforce such Molecular Partners [***] Patents against such Product Infringement in the Field in the Territory at its own cost and expense. In such event, promptly after the expiration of the applicable [***] period, or Molecular Partners’ notice to Allergan that it does not elect to enforce such Molecular Partners [***] Patents, the Parties shall meet to discuss in good faith and determine the strategy for enforcing such Molecular Partners [***] Patents. Allergan shall not take any action with respect to such enforcement that is inconsistent with the strategy agreed by the Parties. Allergan acknowledges and agrees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516" w:name="page517"/>
    <w:bookmarkEnd w:id="516"/>
    <w:p>
      <w:pPr>
        <w:jc w:val="both"/>
        <w:spacing w:after="0" w:line="294" w:lineRule="auto"/>
        <w:rPr>
          <w:sz w:val="20"/>
          <w:szCs w:val="20"/>
          <w:color w:val="auto"/>
        </w:rPr>
      </w:pPr>
      <w:r>
        <w:rPr>
          <w:rFonts w:ascii="Arial" w:cs="Arial" w:eastAsia="Arial" w:hAnsi="Arial"/>
          <w:sz w:val="19"/>
          <w:szCs w:val="19"/>
          <w:color w:val="auto"/>
        </w:rPr>
        <w:t>Molecular Partners [***] Patents may be licensed to Third Parties who have rights with respect to the enforcement of such Patents, and that Allergan’s rights to conduct any enforcement activities are subject to such rights. In any event, Molecular Partners shall have the right to consult with such Third Party licensees prior to making any decisions with respect to enforcement activities under this Section 10.4(b)(ii). In addition, Allergan shall provide Molecular Partners with drafts of all material papers to be filed with the court and shall incorporate all reasonable comments thereto by Molecular Partners before filing such papers. Molecular Partners shall be entitled to separate representation in such matter by counsel of its own choice and at its own expense.</w:t>
      </w:r>
    </w:p>
    <w:p>
      <w:pPr>
        <w:spacing w:after="0" w:line="149" w:lineRule="exact"/>
        <w:rPr>
          <w:sz w:val="20"/>
          <w:szCs w:val="20"/>
          <w:color w:val="auto"/>
        </w:rPr>
      </w:pPr>
    </w:p>
    <w:p>
      <w:pPr>
        <w:jc w:val="both"/>
        <w:ind w:firstLine="1952"/>
        <w:spacing w:after="0" w:line="287" w:lineRule="auto"/>
        <w:tabs>
          <w:tab w:leader="none" w:pos="2524" w:val="left"/>
        </w:tabs>
        <w:numPr>
          <w:ilvl w:val="0"/>
          <w:numId w:val="477"/>
        </w:numPr>
        <w:rPr>
          <w:rFonts w:ascii="Arial" w:cs="Arial" w:eastAsia="Arial" w:hAnsi="Arial"/>
          <w:sz w:val="19"/>
          <w:szCs w:val="19"/>
          <w:b w:val="1"/>
          <w:bCs w:val="1"/>
          <w:color w:val="auto"/>
        </w:rPr>
      </w:pPr>
      <w:r>
        <w:rPr>
          <w:rFonts w:ascii="Arial" w:cs="Arial" w:eastAsia="Arial" w:hAnsi="Arial"/>
          <w:sz w:val="19"/>
          <w:szCs w:val="19"/>
          <w:color w:val="auto"/>
        </w:rPr>
        <w:t>Allergan shall have the first right, but not the obligation, to bring and control an appropriate suit or other action against any person or entity engaged in a Product Infringement of the Molecular Partners [***] Patents or Joint Patents, in its own name and entirely under its own direction and control, subject to the following. Allergan shall keep Molecular Partners regularly informed of the status and progress of such enforcement efforts. Allergan shall consult with Molecular Partners and take any Molecular Partners comments into good faith consideration with respect to the infringement, claim construction, or defense of the validity or enforceability of any claim in any Molecular Partners [***] Patent or Joint Patent. In addition, Allergan shall provide Molecular Partners with drafts of all material papers to be filed with the court and shall incorporate all reasonable comments thereto by Molecular Partners before filing such papers. Molecular Partners shall provide to Allergan reasonable assistance in such enforcement pursuant to this Section 10.4(b)(iii), at Allergan’s request and expense, including joining such action as a party plaintiff if requested by Allergan or required by applicable Laws to pursue such action. Molecular Partners shall be entitled to separate representation in such matter by counsel of its own choice and at its own expense.</w:t>
      </w:r>
    </w:p>
    <w:p>
      <w:pPr>
        <w:spacing w:after="0" w:line="163" w:lineRule="exact"/>
        <w:rPr>
          <w:rFonts w:ascii="Arial" w:cs="Arial" w:eastAsia="Arial" w:hAnsi="Arial"/>
          <w:sz w:val="19"/>
          <w:szCs w:val="19"/>
          <w:b w:val="1"/>
          <w:bCs w:val="1"/>
          <w:color w:val="auto"/>
        </w:rPr>
      </w:pPr>
    </w:p>
    <w:p>
      <w:pPr>
        <w:jc w:val="both"/>
        <w:ind w:firstLine="1952"/>
        <w:spacing w:after="0" w:line="257" w:lineRule="auto"/>
        <w:tabs>
          <w:tab w:leader="none" w:pos="2499" w:val="left"/>
        </w:tabs>
        <w:numPr>
          <w:ilvl w:val="0"/>
          <w:numId w:val="477"/>
        </w:numPr>
        <w:rPr>
          <w:rFonts w:ascii="Arial" w:cs="Arial" w:eastAsia="Arial" w:hAnsi="Arial"/>
          <w:sz w:val="21"/>
          <w:szCs w:val="21"/>
          <w:b w:val="1"/>
          <w:bCs w:val="1"/>
          <w:color w:val="auto"/>
        </w:rPr>
      </w:pPr>
      <w:r>
        <w:rPr>
          <w:rFonts w:ascii="Arial" w:cs="Arial" w:eastAsia="Arial" w:hAnsi="Arial"/>
          <w:sz w:val="21"/>
          <w:szCs w:val="21"/>
          <w:color w:val="auto"/>
        </w:rPr>
        <w:t>If Allergan elects not to settle, or bring any action or proceeding as described in Section 10.4(b)(iii) within [***] after first notifying Molecular Partners or being notified by Molecular Partners with respect thereto, then at any time during the Term, Molecular Partners may bring such suit or other action against any person or entity engaged in a Product Infringement of the Molecular Partners [***] Patents or Joint Patents, in its own name and entirely under its own direction and control, subject to the following. Molecular Partners shall consult with Allergan and take any Allergan comments into good faith consideration with respect to the infringement, claim construction, or defense of the validity or enforceability of any claim in any Molecular Partners [***] Patent or Joint Patent. Allergan shall provide to Molecular Partners reasonable assistance in such enforcement pursuant to this Section 10.4(b)(iv), at Molecular Partners’ request and expense, including joining such action as a party plaintiff if requested by Molecular Partners or required by applicable Laws to pursue such action. Allergan shall have the right to participate and be represented in any such suit by its own counsel at its own expense with respect to a Product Infringement. No settlement of any such action or proceeding which restricts the scope, or adversely affects the enforceability, of any Molecular Partners [***] Patent or Joint Patent shall be entered into by Molecular Partners without the prior written consent of Allergan, which consent shall not be unreasonably withheld, conditioned, or delayed. Molecular Partners shall not knowingly take any action during such litigation of any Molecular Partners [***] Patent or Joint Patent that would materially adversely affect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17" w:name="page518"/>
    <w:bookmarkEnd w:id="517"/>
    <w:p>
      <w:pPr>
        <w:spacing w:after="0"/>
        <w:rPr>
          <w:sz w:val="20"/>
          <w:szCs w:val="20"/>
          <w:color w:val="auto"/>
        </w:rPr>
      </w:pPr>
      <w:r>
        <w:rPr>
          <w:rFonts w:ascii="Arial" w:cs="Arial" w:eastAsia="Arial" w:hAnsi="Arial"/>
          <w:sz w:val="22"/>
          <w:szCs w:val="22"/>
          <w:color w:val="auto"/>
        </w:rPr>
        <w:t>without Allergan’s prior written consent, which shall not be unreasonably withheld, delayed, or conditioned.</w:t>
      </w:r>
    </w:p>
    <w:p>
      <w:pPr>
        <w:spacing w:after="0" w:line="220" w:lineRule="exact"/>
        <w:rPr>
          <w:sz w:val="20"/>
          <w:szCs w:val="20"/>
          <w:color w:val="auto"/>
        </w:rPr>
      </w:pPr>
    </w:p>
    <w:p>
      <w:pPr>
        <w:jc w:val="both"/>
        <w:ind w:firstLine="1952"/>
        <w:spacing w:after="0" w:line="312" w:lineRule="auto"/>
        <w:tabs>
          <w:tab w:leader="none" w:pos="2439" w:val="left"/>
        </w:tabs>
        <w:numPr>
          <w:ilvl w:val="0"/>
          <w:numId w:val="478"/>
        </w:numPr>
        <w:rPr>
          <w:rFonts w:ascii="Arial" w:cs="Arial" w:eastAsia="Arial" w:hAnsi="Arial"/>
          <w:sz w:val="19"/>
          <w:szCs w:val="19"/>
          <w:b w:val="1"/>
          <w:bCs w:val="1"/>
          <w:color w:val="auto"/>
        </w:rPr>
      </w:pPr>
      <w:r>
        <w:rPr>
          <w:rFonts w:ascii="Arial" w:cs="Arial" w:eastAsia="Arial" w:hAnsi="Arial"/>
          <w:sz w:val="19"/>
          <w:szCs w:val="19"/>
          <w:color w:val="auto"/>
        </w:rPr>
        <w:t>Notwithstanding Section 10.4(b)(ii) or (iv), if a Third Party submits an application to the appropriate Regulatory Authority for approval to sell a biological or drug product, and supports the application with any safety, efficacy, or other data that either Party has generated in Developing a Licensed Product, then the following will apply:</w:t>
      </w:r>
    </w:p>
    <w:p>
      <w:pPr>
        <w:spacing w:after="0" w:line="133" w:lineRule="exact"/>
        <w:rPr>
          <w:rFonts w:ascii="Arial" w:cs="Arial" w:eastAsia="Arial" w:hAnsi="Arial"/>
          <w:sz w:val="19"/>
          <w:szCs w:val="19"/>
          <w:b w:val="1"/>
          <w:bCs w:val="1"/>
          <w:color w:val="auto"/>
        </w:rPr>
      </w:pPr>
    </w:p>
    <w:p>
      <w:pPr>
        <w:jc w:val="both"/>
        <w:ind w:firstLine="2600"/>
        <w:spacing w:after="0" w:line="260" w:lineRule="auto"/>
        <w:tabs>
          <w:tab w:leader="none" w:pos="3100" w:val="left"/>
        </w:tabs>
        <w:numPr>
          <w:ilvl w:val="1"/>
          <w:numId w:val="478"/>
        </w:numPr>
        <w:rPr>
          <w:rFonts w:ascii="Arial" w:cs="Arial" w:eastAsia="Arial" w:hAnsi="Arial"/>
          <w:sz w:val="21"/>
          <w:szCs w:val="21"/>
          <w:b w:val="1"/>
          <w:bCs w:val="1"/>
          <w:color w:val="auto"/>
        </w:rPr>
      </w:pPr>
      <w:r>
        <w:rPr>
          <w:rFonts w:ascii="Arial" w:cs="Arial" w:eastAsia="Arial" w:hAnsi="Arial"/>
          <w:sz w:val="21"/>
          <w:szCs w:val="21"/>
          <w:color w:val="auto"/>
        </w:rPr>
        <w:t>if a Party receives from the Third Party a notice alleging that the Third Party’s manufacture, use, or sale of the biological or drug product does not infringe a Molecular Partners Patent, or that such Patent is invalid or unenforceable (such as a certification under 21 U.S.C. §§ 355(b)(2)(A)(iv) or 355(j)(2)(A)(vii)(IV), 21 C.F.R. §§ 314.94 or 314.95, 42 U.S.C. § 262(l), or under any other law anywhere in the world that by its effect permits a Third Party to support its application for approval with any safety, efficacy, or other data that Allergan generates in Developing a Licensed Product), then the Party receiving the notice will provide it to the other Party via facsimile and overnight courier as soon as practicable and at least within [***] after receiving the notice.</w:t>
      </w:r>
    </w:p>
    <w:p>
      <w:pPr>
        <w:spacing w:after="0" w:line="180" w:lineRule="exact"/>
        <w:rPr>
          <w:rFonts w:ascii="Arial" w:cs="Arial" w:eastAsia="Arial" w:hAnsi="Arial"/>
          <w:sz w:val="21"/>
          <w:szCs w:val="21"/>
          <w:b w:val="1"/>
          <w:bCs w:val="1"/>
          <w:color w:val="auto"/>
        </w:rPr>
      </w:pPr>
    </w:p>
    <w:p>
      <w:pPr>
        <w:jc w:val="both"/>
        <w:ind w:firstLine="2600"/>
        <w:spacing w:after="0" w:line="285" w:lineRule="auto"/>
        <w:tabs>
          <w:tab w:leader="none" w:pos="3154" w:val="left"/>
        </w:tabs>
        <w:numPr>
          <w:ilvl w:val="1"/>
          <w:numId w:val="478"/>
        </w:numPr>
        <w:rPr>
          <w:rFonts w:ascii="Arial" w:cs="Arial" w:eastAsia="Arial" w:hAnsi="Arial"/>
          <w:sz w:val="19"/>
          <w:szCs w:val="19"/>
          <w:b w:val="1"/>
          <w:bCs w:val="1"/>
          <w:color w:val="auto"/>
        </w:rPr>
      </w:pPr>
      <w:r>
        <w:rPr>
          <w:rFonts w:ascii="Arial" w:cs="Arial" w:eastAsia="Arial" w:hAnsi="Arial"/>
          <w:sz w:val="19"/>
          <w:szCs w:val="19"/>
          <w:color w:val="auto"/>
        </w:rPr>
        <w:t xml:space="preserve">Molecular Partners will have the first right, but not the obligation, to institute and control (where Molecular Partners is a plaintiff) or defend and control (where Molecular Partners is a defendant) an action before any government or private tribunal against the Third Party concerning the infringement, validity, and enforceability of any Molecular Partners [***] Patent and to settle any claims in connection with such Patents. Allergan will have the first right, but not the obligation, to institute and control (where Allergan is a plaintiff) or defend and control (where Allergan is a defendant) an action before any government or private tribunal against the Third Party concerning the infringement, validity, and enforceability of any Molecular Partners [***] Patent and to settle any claims in connection with such Patents. If the applicable Party decides not to institute (or defend, as applicable) such action, such Party will give notice to the other Party of its decision within [***] of the deadline for initiating the action (or, if such Party is defending the action, within [***] of any deadline required to maintain the action); if such Party consents in writing (such consent not to be unreasonably withheld, conditioned, or delayed), then the other Party may institute (or defend, as applicable) and control such action. Each Party will cooperate fully with the other Party in such actions and will provide reasonable assistance (including making available to such other Party documents possessed by such Party that are reasonably required by such other Party and making available personnel for interviews and testimony) in any actions undertaken in accordance with this Section 10.4(b)(v). At the controlling Party’s request, the other Party agrees to join any such action, or, in the case of Molecular Partners, to use reasonable efforts to cause any Third Party licensor under any license agreement between Molecular Partners and such Third Party pursuant to which Molecular Partners has obtained rights to any Molecular Partners Licensed Technology, including the agreements set forth on </w:t>
      </w:r>
      <w:r>
        <w:rPr>
          <w:rFonts w:ascii="Arial" w:cs="Arial" w:eastAsia="Arial" w:hAnsi="Arial"/>
          <w:sz w:val="19"/>
          <w:szCs w:val="19"/>
          <w:u w:val="single" w:color="auto"/>
          <w:color w:val="auto"/>
        </w:rPr>
        <w:t>Exhibit G</w:t>
      </w:r>
      <w:r>
        <w:rPr>
          <w:rFonts w:ascii="Arial" w:cs="Arial" w:eastAsia="Arial" w:hAnsi="Arial"/>
          <w:sz w:val="19"/>
          <w:szCs w:val="19"/>
          <w:color w:val="auto"/>
        </w:rPr>
        <w:t>, to join any such action, for the purpose of establishing standing. Each Party will have the right to approve any settlement under Section 10.4(b)(v) that would adversely affect the Molecular Partners Patents or result in any liability or admission on behalf of such Party, such approval not to be unreasonably withheld, conditioned,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18" w:name="page519"/>
    <w:bookmarkEnd w:id="518"/>
    <w:p>
      <w:pPr>
        <w:spacing w:after="0" w:line="263" w:lineRule="auto"/>
        <w:rPr>
          <w:sz w:val="20"/>
          <w:szCs w:val="20"/>
          <w:color w:val="auto"/>
        </w:rPr>
      </w:pPr>
      <w:r>
        <w:rPr>
          <w:rFonts w:ascii="Arial" w:cs="Arial" w:eastAsia="Arial" w:hAnsi="Arial"/>
          <w:sz w:val="22"/>
          <w:szCs w:val="22"/>
          <w:color w:val="auto"/>
        </w:rPr>
        <w:t>or delayed. Any recovery, by settlement or otherwise, realized as a result of such litigation will be allocated in accordance with Section 10.4(d).</w:t>
      </w:r>
    </w:p>
    <w:p>
      <w:pPr>
        <w:spacing w:after="0" w:line="169" w:lineRule="exact"/>
        <w:rPr>
          <w:sz w:val="20"/>
          <w:szCs w:val="20"/>
          <w:color w:val="auto"/>
        </w:rPr>
      </w:pPr>
    </w:p>
    <w:p>
      <w:pPr>
        <w:jc w:val="both"/>
        <w:ind w:firstLine="1304"/>
        <w:spacing w:after="0" w:line="267" w:lineRule="auto"/>
        <w:tabs>
          <w:tab w:leader="none" w:pos="1779" w:val="left"/>
        </w:tabs>
        <w:numPr>
          <w:ilvl w:val="0"/>
          <w:numId w:val="479"/>
        </w:numPr>
        <w:rPr>
          <w:rFonts w:ascii="Arial" w:cs="Arial" w:eastAsia="Arial" w:hAnsi="Arial"/>
          <w:sz w:val="21"/>
          <w:szCs w:val="21"/>
          <w:b w:val="1"/>
          <w:bCs w:val="1"/>
          <w:color w:val="auto"/>
        </w:rPr>
      </w:pPr>
      <w:r>
        <w:rPr>
          <w:rFonts w:ascii="Arial" w:cs="Arial" w:eastAsia="Arial" w:hAnsi="Arial"/>
          <w:sz w:val="21"/>
          <w:szCs w:val="21"/>
          <w:b w:val="1"/>
          <w:bCs w:val="1"/>
          <w:color w:val="auto"/>
        </w:rPr>
        <w:t>Settlement</w:t>
      </w:r>
      <w:r>
        <w:rPr>
          <w:rFonts w:ascii="Arial" w:cs="Arial" w:eastAsia="Arial" w:hAnsi="Arial"/>
          <w:sz w:val="21"/>
          <w:szCs w:val="21"/>
          <w:color w:val="auto"/>
        </w:rPr>
        <w:t>. Neither Party shall settle any claim, suit or action that it brought under Section 10.4(b)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the prior written consent of the other Party, not to be unreasonably withheld, delayed, or conditioned. Nothing in this Article 10 shall require such other Party to consent to any settlement that is reasonably anticipated by such other Party to have a materially adverse impact upon any Molecular Partners Patents or Joint Patents.</w:t>
      </w:r>
    </w:p>
    <w:p>
      <w:pPr>
        <w:spacing w:after="0" w:line="167" w:lineRule="exact"/>
        <w:rPr>
          <w:rFonts w:ascii="Arial" w:cs="Arial" w:eastAsia="Arial" w:hAnsi="Arial"/>
          <w:sz w:val="21"/>
          <w:szCs w:val="21"/>
          <w:b w:val="1"/>
          <w:bCs w:val="1"/>
          <w:color w:val="auto"/>
        </w:rPr>
      </w:pPr>
    </w:p>
    <w:p>
      <w:pPr>
        <w:jc w:val="both"/>
        <w:ind w:firstLine="1304"/>
        <w:spacing w:after="0" w:line="290" w:lineRule="auto"/>
        <w:tabs>
          <w:tab w:leader="none" w:pos="1821" w:val="left"/>
        </w:tabs>
        <w:numPr>
          <w:ilvl w:val="0"/>
          <w:numId w:val="479"/>
        </w:numPr>
        <w:rPr>
          <w:rFonts w:ascii="Arial" w:cs="Arial" w:eastAsia="Arial" w:hAnsi="Arial"/>
          <w:sz w:val="19"/>
          <w:szCs w:val="19"/>
          <w:b w:val="1"/>
          <w:bCs w:val="1"/>
          <w:color w:val="auto"/>
        </w:rPr>
      </w:pPr>
      <w:r>
        <w:rPr>
          <w:rFonts w:ascii="Arial" w:cs="Arial" w:eastAsia="Arial" w:hAnsi="Arial"/>
          <w:sz w:val="19"/>
          <w:szCs w:val="19"/>
          <w:b w:val="1"/>
          <w:bCs w:val="1"/>
          <w:color w:val="auto"/>
        </w:rPr>
        <w:t>Expenses and Recoveries</w:t>
      </w:r>
      <w:r>
        <w:rPr>
          <w:rFonts w:ascii="Arial" w:cs="Arial" w:eastAsia="Arial" w:hAnsi="Arial"/>
          <w:sz w:val="19"/>
          <w:szCs w:val="19"/>
          <w:color w:val="auto"/>
        </w:rPr>
        <w:t>. The enforcing Party bringing a claim, suit or action under Section 10.4(b)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solely responsible for any expenses incurred by such Party as a result of such claim, suit or action. If such Party recovers monetary damages in such claim, suit or action, such recovery shall first be allocated to the reimbursement of any expenses incurred by the Parties in such litigation (including, for this purpose, a reasonable allocation of expenses of internal counsel). If such recovery is insufficient to cover all such costs and expenses of both Parties, it shall be shared in proportion to the total of such costs and expenses incurred by each Party. If after such reimbursement any funds remain from such damages or other sums recovered, if Allergan brought such suit, such remaining funds shall be included in Net Sales subject to the royalty payment by Allergan to Molecular Partners pursuant to Section 9.6, and if Molecular Partners brought such suit, [***] of such funds shall be retained by Molecular Partners and Allergan shall receive [***] of such funds.</w:t>
      </w:r>
    </w:p>
    <w:p>
      <w:pPr>
        <w:spacing w:after="0" w:line="148" w:lineRule="exact"/>
        <w:rPr>
          <w:rFonts w:ascii="Arial" w:cs="Arial" w:eastAsia="Arial" w:hAnsi="Arial"/>
          <w:sz w:val="19"/>
          <w:szCs w:val="19"/>
          <w:b w:val="1"/>
          <w:bCs w:val="1"/>
          <w:color w:val="auto"/>
        </w:rPr>
      </w:pPr>
    </w:p>
    <w:p>
      <w:pPr>
        <w:jc w:val="both"/>
        <w:ind w:firstLine="1304"/>
        <w:spacing w:after="0" w:line="247" w:lineRule="auto"/>
        <w:tabs>
          <w:tab w:leader="none" w:pos="1926" w:val="left"/>
        </w:tabs>
        <w:numPr>
          <w:ilvl w:val="0"/>
          <w:numId w:val="479"/>
        </w:numPr>
        <w:rPr>
          <w:rFonts w:ascii="Arial" w:cs="Arial" w:eastAsia="Arial" w:hAnsi="Arial"/>
          <w:sz w:val="22"/>
          <w:szCs w:val="22"/>
          <w:b w:val="1"/>
          <w:bCs w:val="1"/>
          <w:color w:val="auto"/>
        </w:rPr>
      </w:pPr>
      <w:r>
        <w:rPr>
          <w:rFonts w:ascii="Arial" w:cs="Arial" w:eastAsia="Arial" w:hAnsi="Arial"/>
          <w:sz w:val="22"/>
          <w:szCs w:val="22"/>
          <w:b w:val="1"/>
          <w:bCs w:val="1"/>
          <w:color w:val="auto"/>
        </w:rPr>
        <w:t>Infringement Other Than a Product Infringement</w:t>
      </w:r>
      <w:r>
        <w:rPr>
          <w:rFonts w:ascii="Arial" w:cs="Arial" w:eastAsia="Arial" w:hAnsi="Arial"/>
          <w:sz w:val="22"/>
          <w:szCs w:val="22"/>
          <w:color w:val="auto"/>
        </w:rPr>
        <w:t>. For any and all infringement of any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Patents or Joint Patents other than a Product Infringement, as between the Parties, (i) Molecular Partners shall have the sole and exclusive right to bring an appropriate suit or other action against any person or entity engaged in such other infringement of a Molecular Partners Patent, in its sole discretion, and shall bear all related expenses and retain all related recoveries, and (ii) each Party shall have the right to bring an appropriate suit or other action against any person or entity engaged in such other infringement of a Joint Patent, in its sole discretion, and shall bear all related expenses and retain all related recoveries.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10.5 Patents Licensed From Third Parties</w:t>
      </w:r>
      <w:r>
        <w:rPr>
          <w:rFonts w:ascii="Arial" w:cs="Arial" w:eastAsia="Arial" w:hAnsi="Arial"/>
          <w:sz w:val="22"/>
          <w:szCs w:val="22"/>
          <w:color w:val="auto"/>
        </w:rPr>
        <w:t>. Each Party’s rights under this Article 10 with respect to the prosecution,</w:t>
      </w:r>
      <w:r>
        <w:rPr>
          <w:rFonts w:ascii="Arial" w:cs="Arial" w:eastAsia="Arial" w:hAnsi="Arial"/>
          <w:sz w:val="22"/>
          <w:szCs w:val="22"/>
          <w:b w:val="1"/>
          <w:bCs w:val="1"/>
          <w:color w:val="auto"/>
        </w:rPr>
        <w:t xml:space="preserve"> </w:t>
      </w:r>
      <w:r>
        <w:rPr>
          <w:rFonts w:ascii="Arial" w:cs="Arial" w:eastAsia="Arial" w:hAnsi="Arial"/>
          <w:sz w:val="22"/>
          <w:szCs w:val="22"/>
          <w:color w:val="auto"/>
        </w:rPr>
        <w:t>maintenance and enforcement of any Molecular Partners Patent that is licensed by Molecular Partners from a Third Party shall be subject to the rights of such Third Party to prosecute, maintain and enforce such Patent.</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10.6 Infringement of Third Party Rights in the Territory</w:t>
      </w:r>
      <w:r>
        <w:rPr>
          <w:rFonts w:ascii="Arial" w:cs="Arial" w:eastAsia="Arial" w:hAnsi="Arial"/>
          <w:sz w:val="19"/>
          <w:szCs w:val="19"/>
          <w:color w:val="auto"/>
        </w:rPr>
        <w:t>. If any Licensed Product used or sold by Allergan,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or sublicensees becomes the subject of a Third Party’s claim or assertion of infringement of a Patent granted by a jurisdiction within the Territory, Allergan shall promptly notify Molecular Partners and the Parties shall agree on and enter into a “common interest agreement” wherein the Parties agree to their shared, mutual interest in the outcome of such potential dispute, and thereafter, the Parties shall promptly meet to consider the claim or assertion and the appropriate course of action. Allergan shall be solely responsible for the defense of any such infringement claims, provided that Allergan shall provide to Molecular Partners the ability to join such action, at Molecular Partners’ request and expense, to pursue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19" w:name="page520"/>
    <w:bookmarkEnd w:id="519"/>
    <w:p>
      <w:pPr>
        <w:jc w:val="both"/>
        <w:spacing w:after="0" w:line="285" w:lineRule="auto"/>
        <w:rPr>
          <w:sz w:val="20"/>
          <w:szCs w:val="20"/>
          <w:color w:val="auto"/>
        </w:rPr>
      </w:pPr>
      <w:r>
        <w:rPr>
          <w:rFonts w:ascii="Arial" w:cs="Arial" w:eastAsia="Arial" w:hAnsi="Arial"/>
          <w:sz w:val="19"/>
          <w:szCs w:val="19"/>
          <w:color w:val="auto"/>
        </w:rPr>
        <w:t>such action in which a patent asserted by a Party under this Section 10.6, but excluding any Excluded IP, claims or covers (a) the composition of matter (including the nucleic or amino acid sequence) or use, sale, offer for sale, or importation in the Field of any Initial DARPin or (b) the manufacture of any such Initial DARPin using the process employed by Molecular Partners as of the Effective Date, except to the extent that such Patents or Information claim or cover the binding of an Initial DARPin to Collaboration Targets (other than [***]) or the inhibition of a Collaboration Target (other than [***]) (any such patent, excluding in each case a patent in the Excluded IP, a “</w:t>
      </w:r>
      <w:r>
        <w:rPr>
          <w:rFonts w:ascii="Arial" w:cs="Arial" w:eastAsia="Arial" w:hAnsi="Arial"/>
          <w:sz w:val="19"/>
          <w:szCs w:val="19"/>
          <w:b w:val="1"/>
          <w:bCs w:val="1"/>
          <w:color w:val="auto"/>
        </w:rPr>
        <w:t>Subject Patent</w:t>
      </w:r>
      <w:r>
        <w:rPr>
          <w:rFonts w:ascii="Arial" w:cs="Arial" w:eastAsia="Arial" w:hAnsi="Arial"/>
          <w:sz w:val="19"/>
          <w:szCs w:val="19"/>
          <w:color w:val="auto"/>
        </w:rPr>
        <w:t>”). To the extent directly related to the Subject Patent, Allergan shall keep Molecular Partners regularly informed of the status and progress of any action to the extent involving a Subject Patent, shall reasonably consider Molecular Partners’ comments on any such action with respect to such Subject Patent, and shall seek consent of Molecular Partners in any important aspects of such action with respect to such Subject Patent, including determination of litigation strategy and filing of material papers to the competent court, which consent shall not be unreasonably withheld or delayed. In addition, Allergan shall provide Molecular Partners with drafts of all material papers to be filed with the court to the extent directly related to the Subject Patent and shall in good faith incorporate all reasonable comments thereto by Molecular Partners before filing such papers. In connection with any settlement agreement or court order, made in accordance with the provisions of Section 9.7(b) for a Subject Patent, [***]. Allergan shall not settle any claim, suit or action under this Section 10.6 to the extent involving a Subject Patent (excluding, in each case, any Excluded IP) without the prior written consent of Molecular Partners, not to be unreasonably withheld, delayed, or conditioned.</w:t>
      </w:r>
    </w:p>
    <w:p>
      <w:pPr>
        <w:spacing w:after="0" w:line="1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10.7 Parties’ Patent Rights</w:t>
      </w:r>
      <w:r>
        <w:rPr>
          <w:rFonts w:ascii="Arial" w:cs="Arial" w:eastAsia="Arial" w:hAnsi="Arial"/>
          <w:sz w:val="19"/>
          <w:szCs w:val="19"/>
          <w:color w:val="auto"/>
        </w:rPr>
        <w:t>. If any Molecular Partners Patent or Joint Patent becomes the subject of any proceeding</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commenced by a Third Party within the Territory in connection with an opposition, reexamination request, action for declaratory judgment, nullity action, interference or other attack upon the validity, title or enforceability thereof (except insofar as such action is a counterclaim to or defense of, or accompanies a defense of, an action for infringement against a Third Party under Section 10.4, in which case the provisions of Section 10.4 shall govern), then Molecular Partners shall control such defense with respect to the Molecular Partners Patents and Allergan shall control such defense with respect to the Joint Patents. The defending Party shall be responsible for all costs and expenses incurred by such Party under this Section 10.7. The defending Party shall provide to the other Party copies of any papers relating to any such opposition, reexamination request, action for declaratory judgment, nullity action, interference or other attack upon any Molecular Partners Patents or Joint Patents, as applicable, reasonably in advance of their being filed or promptly upon their being received, including draft filings reasonably in advance of their being filed so that the other Party can comment and provide input with respect to such draft filings. The defending Party agrees to discuss in good faith any changes reasonably requested by the other Party to such papers, including draft filings, promptly upon their being received. The defending Party agrees in good faith to implement any reasonable recommended changes toward the objective of optimizing overall patent protection for Licensed Compounds or Licensed Products and DARPin Compounds other than Licensed Compounds in the Field. The defending Party shall permit the other Party to participate in the proceeding for a Molecular Partners [***] Patent or Joint Patent, as applicable, to the extent permissible under applicable Laws, and to be represented by its own counsel in such proceeding, at such other Party’s expense. If the defending Party decides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0" w:name="page521"/>
    <w:bookmarkEnd w:id="520"/>
    <w:p>
      <w:pPr>
        <w:jc w:val="both"/>
        <w:spacing w:after="0" w:line="253" w:lineRule="auto"/>
        <w:rPr>
          <w:sz w:val="20"/>
          <w:szCs w:val="20"/>
          <w:color w:val="auto"/>
        </w:rPr>
      </w:pPr>
      <w:r>
        <w:rPr>
          <w:rFonts w:ascii="Arial" w:cs="Arial" w:eastAsia="Arial" w:hAnsi="Arial"/>
          <w:sz w:val="22"/>
          <w:szCs w:val="22"/>
          <w:color w:val="auto"/>
        </w:rPr>
        <w:t>does not wish to defend against such action, then the other Party shall have a backup right to assume defense of such Third Party action at its own expense. Any awards or amounts received in defending any such Third Party action shall be allocated between the Parties as provided in Section 10.4(d).</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10.8 Patent Term Extension</w:t>
      </w:r>
      <w:r>
        <w:rPr>
          <w:rFonts w:ascii="Arial" w:cs="Arial" w:eastAsia="Arial" w:hAnsi="Arial"/>
          <w:sz w:val="19"/>
          <w:szCs w:val="19"/>
          <w:color w:val="auto"/>
        </w:rPr>
        <w:t>. Upon Allergan’s request, with respect to any Molecular Partners [***] Patent specified</w:t>
      </w:r>
      <w:r>
        <w:rPr>
          <w:rFonts w:ascii="Arial" w:cs="Arial" w:eastAsia="Arial" w:hAnsi="Arial"/>
          <w:sz w:val="19"/>
          <w:szCs w:val="19"/>
          <w:b w:val="1"/>
          <w:bCs w:val="1"/>
          <w:color w:val="auto"/>
        </w:rPr>
        <w:t xml:space="preserve"> </w:t>
      </w:r>
      <w:r>
        <w:rPr>
          <w:rFonts w:ascii="Arial" w:cs="Arial" w:eastAsia="Arial" w:hAnsi="Arial"/>
          <w:sz w:val="19"/>
          <w:szCs w:val="19"/>
          <w:color w:val="auto"/>
        </w:rPr>
        <w:t>by Allergan, Molecular Partners shall seek a patent term extension (including any pediatric exclusivity extensions as may be available) or supplemental protection certificates or their equivalents in any country with respect to such Molecular Partners</w:t>
      </w:r>
    </w:p>
    <w:p>
      <w:pPr>
        <w:spacing w:after="0" w:line="1" w:lineRule="exact"/>
        <w:rPr>
          <w:sz w:val="20"/>
          <w:szCs w:val="20"/>
          <w:color w:val="auto"/>
        </w:rPr>
      </w:pPr>
    </w:p>
    <w:p>
      <w:pPr>
        <w:ind w:left="560" w:hanging="552"/>
        <w:spacing w:after="0"/>
        <w:tabs>
          <w:tab w:leader="none" w:pos="560" w:val="left"/>
        </w:tabs>
        <w:numPr>
          <w:ilvl w:val="0"/>
          <w:numId w:val="480"/>
        </w:numPr>
        <w:rPr>
          <w:rFonts w:ascii="Arial" w:cs="Arial" w:eastAsia="Arial" w:hAnsi="Arial"/>
          <w:sz w:val="19"/>
          <w:szCs w:val="19"/>
          <w:color w:val="auto"/>
        </w:rPr>
      </w:pPr>
      <w:r>
        <w:rPr>
          <w:rFonts w:ascii="Arial" w:cs="Arial" w:eastAsia="Arial" w:hAnsi="Arial"/>
          <w:sz w:val="19"/>
          <w:szCs w:val="19"/>
          <w:color w:val="auto"/>
        </w:rPr>
        <w:t>Patents, as applicable. In the event Allergan desires to seek any of the foregoing extensions for any Molecular Partners</w:t>
      </w:r>
    </w:p>
    <w:p>
      <w:pPr>
        <w:spacing w:after="0" w:line="38" w:lineRule="exact"/>
        <w:rPr>
          <w:rFonts w:ascii="Arial" w:cs="Arial" w:eastAsia="Arial" w:hAnsi="Arial"/>
          <w:sz w:val="19"/>
          <w:szCs w:val="19"/>
          <w:color w:val="auto"/>
        </w:rPr>
      </w:pPr>
    </w:p>
    <w:p>
      <w:pPr>
        <w:jc w:val="both"/>
        <w:ind w:firstLine="8"/>
        <w:spacing w:after="0" w:line="256" w:lineRule="auto"/>
        <w:tabs>
          <w:tab w:leader="none" w:pos="546" w:val="left"/>
        </w:tabs>
        <w:numPr>
          <w:ilvl w:val="0"/>
          <w:numId w:val="480"/>
        </w:numPr>
        <w:rPr>
          <w:rFonts w:ascii="Arial" w:cs="Arial" w:eastAsia="Arial" w:hAnsi="Arial"/>
          <w:sz w:val="21"/>
          <w:szCs w:val="21"/>
          <w:color w:val="auto"/>
        </w:rPr>
      </w:pPr>
      <w:r>
        <w:rPr>
          <w:rFonts w:ascii="Arial" w:cs="Arial" w:eastAsia="Arial" w:hAnsi="Arial"/>
          <w:sz w:val="21"/>
          <w:szCs w:val="21"/>
          <w:color w:val="auto"/>
        </w:rPr>
        <w:t>Patent, then the Parties shall meet and discuss such request in good faith and Molecular Partners will not unreasonably withhold consent to such extension, provided that it shall not be unreasonable for Molecular Partners to withhold its consent if such extension would materially adversely affect such Molecular Partners [***] Patent or Molecular Partners’ or its licensee’s development or commercialization of DARPin Compounds covered by such Molecular Partners [***] Patent. For clarity, if elections with respect to obtaining such patent term extensions are to be made, Allergan shall have the right to elect to specify the Molecular Partners Patent for which patent term extension or supplemental protection will be sought, subject to the foregoing in this Section 10.8. Molecular Partners shall not have the right to seek any patent term extension or supplemental protection for any Molecular Partners [***] Patent without the prior written consent of Allergan; provided that Allergan will not withhold such consent for the purpose of limiting the Royalty Term.</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10.9 Regulatory Data Protection</w:t>
      </w:r>
      <w:r>
        <w:rPr>
          <w:rFonts w:ascii="Arial" w:cs="Arial" w:eastAsia="Arial" w:hAnsi="Arial"/>
          <w:sz w:val="19"/>
          <w:szCs w:val="19"/>
          <w:color w:val="auto"/>
        </w:rPr>
        <w:t>. To the extent required by or permitted by Law, Allergan will, at its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decide whether to list with the applicable Regulatory Authorities during the Term any applicable Molecular Partners [***] Patents covering any Licensed Product that Allergan intends to, or has begun to, Commercialize, and that has become the subject of a Regulatory Approval Application submitted to FDA. In the event Allergan desires to include in such listing any Molecular Partners [***] Patent, then the Parties shall meet and discuss such request in good faith and Molecular Partners will not unreasonably withhold consent to such listing, provided that it shall not be unreasonable for Molecular Partners to withhold its consent if such extension would materially adversely affect such Molecular Partners [***] Patent. Such listings may include all so called “Orange Book” listings required under the Hatch-Waxman Act or listing of Patents as provided in the patent dispute resolution procedures of the Biologics Price Competition and Innovation Act of 2009 or under 42 U.S.C. § 262(l) or similar provisions in the Territory during the Term. Prior to such decision on listings, the Parties will meet to evaluate and identify all applicable Patents to be listed and Allergan shall reasonably incorporate and address suggestions provided by Molecular Partners as to the listing or non-listing of any applicable Patents.</w:t>
      </w:r>
    </w:p>
    <w:p>
      <w:pPr>
        <w:spacing w:after="0" w:line="15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10.10</w:t>
      </w:r>
      <w:r>
        <w:rPr>
          <w:sz w:val="20"/>
          <w:szCs w:val="20"/>
          <w:color w:val="auto"/>
        </w:rPr>
        <w:tab/>
      </w:r>
      <w:r>
        <w:rPr>
          <w:rFonts w:ascii="Arial" w:cs="Arial" w:eastAsia="Arial" w:hAnsi="Arial"/>
          <w:sz w:val="19"/>
          <w:szCs w:val="19"/>
          <w:b w:val="1"/>
          <w:bCs w:val="1"/>
          <w:color w:val="auto"/>
        </w:rPr>
        <w:t>Trademarks and Domain Names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53" w:lineRule="auto"/>
        <w:tabs>
          <w:tab w:leader="none" w:pos="1885" w:val="left"/>
        </w:tabs>
        <w:numPr>
          <w:ilvl w:val="0"/>
          <w:numId w:val="481"/>
        </w:numPr>
        <w:rPr>
          <w:rFonts w:ascii="Arial" w:cs="Arial" w:eastAsia="Arial" w:hAnsi="Arial"/>
          <w:sz w:val="22"/>
          <w:szCs w:val="22"/>
          <w:b w:val="1"/>
          <w:bCs w:val="1"/>
          <w:color w:val="auto"/>
        </w:rPr>
      </w:pPr>
      <w:r>
        <w:rPr>
          <w:rFonts w:ascii="Arial" w:cs="Arial" w:eastAsia="Arial" w:hAnsi="Arial"/>
          <w:sz w:val="22"/>
          <w:szCs w:val="22"/>
          <w:color w:val="auto"/>
        </w:rPr>
        <w:t>Allergan shall be responsible for the selection, registration and maintenance of all Trademarks which it employs in connection with the Commercialization of any Licensed Product under this Agreement (“</w:t>
      </w:r>
      <w:r>
        <w:rPr>
          <w:rFonts w:ascii="Arial" w:cs="Arial" w:eastAsia="Arial" w:hAnsi="Arial"/>
          <w:sz w:val="22"/>
          <w:szCs w:val="22"/>
          <w:b w:val="1"/>
          <w:bCs w:val="1"/>
          <w:color w:val="auto"/>
        </w:rPr>
        <w:t>Licensed Product Marks</w:t>
      </w:r>
      <w:r>
        <w:rPr>
          <w:rFonts w:ascii="Arial" w:cs="Arial" w:eastAsia="Arial" w:hAnsi="Arial"/>
          <w:sz w:val="22"/>
          <w:szCs w:val="22"/>
          <w:color w:val="auto"/>
        </w:rPr>
        <w:t>”). Allergan shall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1" w:name="page522"/>
    <w:bookmarkEnd w:id="521"/>
    <w:p>
      <w:pPr>
        <w:jc w:val="both"/>
        <w:spacing w:after="0" w:line="288" w:lineRule="auto"/>
        <w:rPr>
          <w:sz w:val="20"/>
          <w:szCs w:val="20"/>
          <w:color w:val="auto"/>
        </w:rPr>
      </w:pPr>
      <w:r>
        <w:rPr>
          <w:rFonts w:ascii="Arial" w:cs="Arial" w:eastAsia="Arial" w:hAnsi="Arial"/>
          <w:sz w:val="19"/>
          <w:szCs w:val="19"/>
          <w:color w:val="auto"/>
        </w:rPr>
        <w:t>and control such Licensed Product Marks and pay all relevant costs relating thereto. Allergan shall have the right to brand the Licensed Products in the Territory using Licensed Product Marks it determines appropriate for the Licensed Products, which may vary by country or within a country, provided that Allergan shall not, and shall ensure that its Affiliates and Sublicensees will not,</w:t>
      </w:r>
    </w:p>
    <w:p>
      <w:pPr>
        <w:spacing w:after="0" w:line="1" w:lineRule="exact"/>
        <w:rPr>
          <w:sz w:val="20"/>
          <w:szCs w:val="20"/>
          <w:color w:val="auto"/>
        </w:rPr>
      </w:pPr>
    </w:p>
    <w:p>
      <w:pPr>
        <w:jc w:val="both"/>
        <w:ind w:firstLine="8"/>
        <w:spacing w:after="0" w:line="295" w:lineRule="auto"/>
        <w:tabs>
          <w:tab w:leader="none" w:pos="296" w:val="left"/>
        </w:tabs>
        <w:numPr>
          <w:ilvl w:val="0"/>
          <w:numId w:val="482"/>
        </w:numPr>
        <w:rPr>
          <w:rFonts w:ascii="Arial" w:cs="Arial" w:eastAsia="Arial" w:hAnsi="Arial"/>
          <w:sz w:val="19"/>
          <w:szCs w:val="19"/>
          <w:color w:val="auto"/>
        </w:rPr>
      </w:pPr>
      <w:r>
        <w:rPr>
          <w:rFonts w:ascii="Arial" w:cs="Arial" w:eastAsia="Arial" w:hAnsi="Arial"/>
          <w:sz w:val="19"/>
          <w:szCs w:val="19"/>
          <w:color w:val="auto"/>
        </w:rPr>
        <w:t>make any use of the Trademarks or house marks of Molecular Partners (including Molecular Partners’ corporate name) or any trademark confusingly similar thereto, or (b) include any Allergan Trademarks or house marks in the Licensed Product Marks. Allergan shall own all rights in the Licensed Product Marks and shall register and maintain, at its own cost and expense, the Licensed Product Marks in the countries and regions in the Territory that it determines reasonably necessary.</w:t>
      </w:r>
    </w:p>
    <w:p>
      <w:pPr>
        <w:spacing w:after="0" w:line="149" w:lineRule="exact"/>
        <w:rPr>
          <w:rFonts w:ascii="Arial" w:cs="Arial" w:eastAsia="Arial" w:hAnsi="Arial"/>
          <w:sz w:val="19"/>
          <w:szCs w:val="19"/>
          <w:color w:val="auto"/>
        </w:rPr>
      </w:pPr>
    </w:p>
    <w:p>
      <w:pPr>
        <w:jc w:val="both"/>
        <w:ind w:firstLine="1304"/>
        <w:spacing w:after="0" w:line="297" w:lineRule="auto"/>
        <w:tabs>
          <w:tab w:leader="none" w:pos="1992" w:val="left"/>
        </w:tabs>
        <w:numPr>
          <w:ilvl w:val="1"/>
          <w:numId w:val="482"/>
        </w:numPr>
        <w:rPr>
          <w:rFonts w:ascii="Arial" w:cs="Arial" w:eastAsia="Arial" w:hAnsi="Arial"/>
          <w:sz w:val="19"/>
          <w:szCs w:val="19"/>
          <w:b w:val="1"/>
          <w:bCs w:val="1"/>
          <w:color w:val="auto"/>
        </w:rPr>
      </w:pPr>
      <w:r>
        <w:rPr>
          <w:rFonts w:ascii="Arial" w:cs="Arial" w:eastAsia="Arial" w:hAnsi="Arial"/>
          <w:sz w:val="19"/>
          <w:szCs w:val="19"/>
          <w:color w:val="auto"/>
        </w:rPr>
        <w:t>Molecular Partners recognizes the exclusive ownership by Allergan of all Licensed Product Marks. Molecular Partners shall not, either while this Agreement is in effect, or at any time thereafter, register, use or challenge or assist others to challenge the Licensed Product Marks. Molecular Partners shall not attempt to obtain any right in or to any name, logotype, trademark or trade dress confusingly similar for the marketing, sale or distribution of any goods or products, notwithstanding whether such goods or products have a different use or are dissimilar to the Licensed Products.</w:t>
      </w:r>
    </w:p>
    <w:p>
      <w:pPr>
        <w:spacing w:after="0" w:line="146" w:lineRule="exact"/>
        <w:rPr>
          <w:rFonts w:ascii="Arial" w:cs="Arial" w:eastAsia="Arial" w:hAnsi="Arial"/>
          <w:sz w:val="19"/>
          <w:szCs w:val="19"/>
          <w:b w:val="1"/>
          <w:bCs w:val="1"/>
          <w:color w:val="auto"/>
        </w:rPr>
      </w:pPr>
    </w:p>
    <w:p>
      <w:pPr>
        <w:ind w:firstLine="1304"/>
        <w:spacing w:after="0" w:line="263" w:lineRule="auto"/>
        <w:tabs>
          <w:tab w:leader="none" w:pos="1779" w:val="left"/>
        </w:tabs>
        <w:numPr>
          <w:ilvl w:val="1"/>
          <w:numId w:val="482"/>
        </w:numPr>
        <w:rPr>
          <w:rFonts w:ascii="Arial" w:cs="Arial" w:eastAsia="Arial" w:hAnsi="Arial"/>
          <w:sz w:val="22"/>
          <w:szCs w:val="22"/>
          <w:b w:val="1"/>
          <w:bCs w:val="1"/>
          <w:color w:val="auto"/>
        </w:rPr>
      </w:pPr>
      <w:r>
        <w:rPr>
          <w:rFonts w:ascii="Arial" w:cs="Arial" w:eastAsia="Arial" w:hAnsi="Arial"/>
          <w:sz w:val="22"/>
          <w:szCs w:val="22"/>
          <w:color w:val="auto"/>
        </w:rPr>
        <w:t>Only Allergan will be authorized to initiate at its own discretion legal proceedings against any infringement or threatened infringement of any Trademarks.</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830" w:val="left"/>
        </w:tabs>
        <w:numPr>
          <w:ilvl w:val="1"/>
          <w:numId w:val="482"/>
        </w:numPr>
        <w:rPr>
          <w:rFonts w:ascii="Arial" w:cs="Arial" w:eastAsia="Arial" w:hAnsi="Arial"/>
          <w:sz w:val="22"/>
          <w:szCs w:val="22"/>
          <w:b w:val="1"/>
          <w:bCs w:val="1"/>
          <w:color w:val="auto"/>
        </w:rPr>
      </w:pPr>
      <w:r>
        <w:rPr>
          <w:rFonts w:ascii="Arial" w:cs="Arial" w:eastAsia="Arial" w:hAnsi="Arial"/>
          <w:sz w:val="22"/>
          <w:szCs w:val="22"/>
          <w:color w:val="auto"/>
        </w:rPr>
        <w:t>Allergan shall be responsible for the registration, hosting, maintenance and defense of any Domain Name. Allergan may at its sole and absolute discretion register in its own name or in name of others, host on its own servers or on Third Party servers, maintain and defend such Domain Names and use them for websites.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COVENANTS; DISCLAIMERS</w:t>
      </w:r>
    </w:p>
    <w:p>
      <w:pPr>
        <w:spacing w:after="0" w:line="196"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11.1 Mutual Representations and Warranties</w:t>
      </w:r>
      <w:r>
        <w:rPr>
          <w:rFonts w:ascii="Arial" w:cs="Arial" w:eastAsia="Arial" w:hAnsi="Arial"/>
          <w:sz w:val="22"/>
          <w:szCs w:val="22"/>
          <w:color w:val="auto"/>
        </w:rPr>
        <w:t>. Each Party hereby represents and warrants to the other Party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68" w:lineRule="exact"/>
        <w:rPr>
          <w:sz w:val="20"/>
          <w:szCs w:val="20"/>
          <w:color w:val="auto"/>
        </w:rPr>
      </w:pPr>
    </w:p>
    <w:p>
      <w:pPr>
        <w:ind w:firstLine="1304"/>
        <w:spacing w:after="0" w:line="263" w:lineRule="auto"/>
        <w:tabs>
          <w:tab w:leader="none" w:pos="1764" w:val="left"/>
        </w:tabs>
        <w:numPr>
          <w:ilvl w:val="0"/>
          <w:numId w:val="483"/>
        </w:numPr>
        <w:rPr>
          <w:rFonts w:ascii="Arial" w:cs="Arial" w:eastAsia="Arial" w:hAnsi="Arial"/>
          <w:sz w:val="22"/>
          <w:szCs w:val="22"/>
          <w:b w:val="1"/>
          <w:bCs w:val="1"/>
          <w:color w:val="auto"/>
        </w:rPr>
      </w:pPr>
      <w:r>
        <w:rPr>
          <w:rFonts w:ascii="Arial" w:cs="Arial" w:eastAsia="Arial" w:hAnsi="Arial"/>
          <w:sz w:val="22"/>
          <w:szCs w:val="22"/>
          <w:color w:val="auto"/>
        </w:rPr>
        <w:t>as of the Effective Date, it is a company or corporation duly organized, validly existing, and in good standing under the Laws of the jurisdiction in which it is organized or incorporated; and</w:t>
      </w:r>
    </w:p>
    <w:p>
      <w:pPr>
        <w:spacing w:after="0" w:line="174" w:lineRule="exact"/>
        <w:rPr>
          <w:rFonts w:ascii="Arial" w:cs="Arial" w:eastAsia="Arial" w:hAnsi="Arial"/>
          <w:sz w:val="22"/>
          <w:szCs w:val="22"/>
          <w:b w:val="1"/>
          <w:bCs w:val="1"/>
          <w:color w:val="auto"/>
        </w:rPr>
      </w:pPr>
    </w:p>
    <w:p>
      <w:pPr>
        <w:jc w:val="both"/>
        <w:ind w:firstLine="1304"/>
        <w:spacing w:after="0" w:line="248" w:lineRule="auto"/>
        <w:tabs>
          <w:tab w:leader="none" w:pos="1857" w:val="left"/>
        </w:tabs>
        <w:numPr>
          <w:ilvl w:val="0"/>
          <w:numId w:val="483"/>
        </w:numPr>
        <w:rPr>
          <w:rFonts w:ascii="Arial" w:cs="Arial" w:eastAsia="Arial" w:hAnsi="Arial"/>
          <w:sz w:val="22"/>
          <w:szCs w:val="22"/>
          <w:b w:val="1"/>
          <w:bCs w:val="1"/>
          <w:color w:val="auto"/>
        </w:rPr>
      </w:pPr>
      <w:r>
        <w:rPr>
          <w:rFonts w:ascii="Arial" w:cs="Arial" w:eastAsia="Arial" w:hAnsi="Arial"/>
          <w:sz w:val="22"/>
          <w:szCs w:val="22"/>
          <w:color w:val="auto"/>
        </w:rPr>
        <w:t>as of the Effective Date, (i)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8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11.2 Additional Representations and Warranties of Molecular Partners</w:t>
      </w:r>
      <w:r>
        <w:rPr>
          <w:rFonts w:ascii="Arial" w:cs="Arial" w:eastAsia="Arial" w:hAnsi="Arial"/>
          <w:sz w:val="22"/>
          <w:szCs w:val="22"/>
          <w:color w:val="auto"/>
        </w:rPr>
        <w:t>. Molecular Partners represents and warrants</w:t>
      </w:r>
      <w:r>
        <w:rPr>
          <w:rFonts w:ascii="Arial" w:cs="Arial" w:eastAsia="Arial" w:hAnsi="Arial"/>
          <w:sz w:val="22"/>
          <w:szCs w:val="22"/>
          <w:b w:val="1"/>
          <w:bCs w:val="1"/>
          <w:color w:val="auto"/>
        </w:rPr>
        <w:t xml:space="preserve"> </w:t>
      </w:r>
      <w:r>
        <w:rPr>
          <w:rFonts w:ascii="Arial" w:cs="Arial" w:eastAsia="Arial" w:hAnsi="Arial"/>
          <w:sz w:val="22"/>
          <w:szCs w:val="22"/>
          <w:color w:val="auto"/>
        </w:rPr>
        <w:t>to Allergan, as of the Effective Date,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2" w:name="page523"/>
    <w:bookmarkEnd w:id="522"/>
    <w:p>
      <w:pPr>
        <w:jc w:val="both"/>
        <w:ind w:firstLine="1304"/>
        <w:spacing w:after="0" w:line="294" w:lineRule="auto"/>
        <w:tabs>
          <w:tab w:leader="none" w:pos="1791" w:val="left"/>
        </w:tabs>
        <w:numPr>
          <w:ilvl w:val="0"/>
          <w:numId w:val="484"/>
        </w:numPr>
        <w:rPr>
          <w:rFonts w:ascii="Arial" w:cs="Arial" w:eastAsia="Arial" w:hAnsi="Arial"/>
          <w:sz w:val="19"/>
          <w:szCs w:val="19"/>
          <w:b w:val="1"/>
          <w:bCs w:val="1"/>
          <w:color w:val="auto"/>
        </w:rPr>
      </w:pPr>
      <w:r>
        <w:rPr>
          <w:rFonts w:ascii="Arial" w:cs="Arial" w:eastAsia="Arial" w:hAnsi="Arial"/>
          <w:sz w:val="19"/>
          <w:szCs w:val="19"/>
          <w:color w:val="auto"/>
        </w:rPr>
        <w:t>Molecular Partners has (i) the right under the Molecular Partners Licensed Technology that is contemplated by Molecular Partners as of the Effective Date to be used in generating DARPin Domains under the Research Program (the “</w:t>
      </w:r>
      <w:r>
        <w:rPr>
          <w:rFonts w:ascii="Arial" w:cs="Arial" w:eastAsia="Arial" w:hAnsi="Arial"/>
          <w:sz w:val="19"/>
          <w:szCs w:val="19"/>
          <w:b w:val="1"/>
          <w:bCs w:val="1"/>
          <w:color w:val="auto"/>
        </w:rPr>
        <w:t>DARPin Licensed Technology</w:t>
      </w:r>
      <w:r>
        <w:rPr>
          <w:rFonts w:ascii="Arial" w:cs="Arial" w:eastAsia="Arial" w:hAnsi="Arial"/>
          <w:sz w:val="19"/>
          <w:szCs w:val="19"/>
          <w:color w:val="auto"/>
        </w:rPr>
        <w:t>”) to grant the licenses to Allergan as purported to be granted pursuant to this Agreement, (ii) sufficient legal or beneficial title in the DARPin Licensed Technology to grant the licenses to Allergan as purported to be granted pursuant to this Agreement, and (iii) not granted any right or license to any Third Party under the DARPin Licensed Technology that would conflict or interfere with any of the rights or licenses granted to Allergan hereunder;</w:t>
      </w:r>
    </w:p>
    <w:p>
      <w:pPr>
        <w:spacing w:after="0" w:line="149" w:lineRule="exact"/>
        <w:rPr>
          <w:rFonts w:ascii="Arial" w:cs="Arial" w:eastAsia="Arial" w:hAnsi="Arial"/>
          <w:sz w:val="19"/>
          <w:szCs w:val="19"/>
          <w:b w:val="1"/>
          <w:bCs w:val="1"/>
          <w:color w:val="auto"/>
        </w:rPr>
      </w:pPr>
    </w:p>
    <w:p>
      <w:pPr>
        <w:jc w:val="both"/>
        <w:ind w:firstLine="1304"/>
        <w:spacing w:after="0" w:line="302" w:lineRule="auto"/>
        <w:tabs>
          <w:tab w:leader="none" w:pos="1789" w:val="left"/>
        </w:tabs>
        <w:numPr>
          <w:ilvl w:val="0"/>
          <w:numId w:val="484"/>
        </w:numPr>
        <w:rPr>
          <w:rFonts w:ascii="Arial" w:cs="Arial" w:eastAsia="Arial" w:hAnsi="Arial"/>
          <w:sz w:val="19"/>
          <w:szCs w:val="19"/>
          <w:b w:val="1"/>
          <w:bCs w:val="1"/>
          <w:color w:val="auto"/>
        </w:rPr>
      </w:pPr>
      <w:r>
        <w:rPr>
          <w:rFonts w:ascii="Arial" w:cs="Arial" w:eastAsia="Arial" w:hAnsi="Arial"/>
          <w:sz w:val="19"/>
          <w:szCs w:val="19"/>
          <w:color w:val="auto"/>
        </w:rPr>
        <w:t xml:space="preserve">Molecular Partners owns all right, title, and interest in the Molecular Partners Patents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and Molecular Partners has licensed rights to the Molecular Partners Patents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pursuant to the corresponding agreements set forth on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sufficient to grant the rights purported to be granted to Allergan under this Agreement, and all Patents owned or otherwise Controlled by Molecular Partners that cover or claim any DARPin Domain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142" w:lineRule="exact"/>
        <w:rPr>
          <w:rFonts w:ascii="Arial" w:cs="Arial" w:eastAsia="Arial" w:hAnsi="Arial"/>
          <w:sz w:val="19"/>
          <w:szCs w:val="19"/>
          <w:b w:val="1"/>
          <w:bCs w:val="1"/>
          <w:color w:val="auto"/>
        </w:rPr>
      </w:pPr>
    </w:p>
    <w:p>
      <w:pPr>
        <w:jc w:val="both"/>
        <w:ind w:firstLine="1304"/>
        <w:spacing w:after="0" w:line="258" w:lineRule="auto"/>
        <w:tabs>
          <w:tab w:leader="none" w:pos="1792" w:val="left"/>
        </w:tabs>
        <w:numPr>
          <w:ilvl w:val="0"/>
          <w:numId w:val="484"/>
        </w:numPr>
        <w:rPr>
          <w:rFonts w:ascii="Arial" w:cs="Arial" w:eastAsia="Arial" w:hAnsi="Arial"/>
          <w:sz w:val="21"/>
          <w:szCs w:val="21"/>
          <w:b w:val="1"/>
          <w:bCs w:val="1"/>
          <w:color w:val="auto"/>
        </w:rPr>
      </w:pPr>
      <w:r>
        <w:rPr>
          <w:rFonts w:ascii="Arial" w:cs="Arial" w:eastAsia="Arial" w:hAnsi="Arial"/>
          <w:sz w:val="21"/>
          <w:szCs w:val="21"/>
          <w:color w:val="auto"/>
        </w:rPr>
        <w:t xml:space="preserve">[***], (i) Molecular Partners has not received any written notice from any Third Party asserting or alleging that any research, development, manufacturing, or commercialization of any Initial DARPin or the practice of the DARPin Licensed Technology prior to the Effective Date has infringed or misappropriated the intellectual property rights of such Third Party, (ii) to the Knowledge of Molecular Partners, the use of the DARPin Licensed Technology to generate DARPin Domains under the Research Program will not infringe any valid and enforceable claim of an issued Patent of any Third Party existing as of the Effective Date, excluding any Patents related to Collaboration Targets, and (iii) there are no pending, and, to the Knowledge of Molecular Partners, no threatened, adverse actions, suits, arbitrations, litigations, or proceedings of any nature, civil, criminal, regulatory or otherwise, in law or in equity, against Molecular Partners or any of its Affiliates involving the DARPin Licensed Technology, the Initial DARPins or the Agreements set forth on </w:t>
      </w:r>
      <w:r>
        <w:rPr>
          <w:rFonts w:ascii="Arial" w:cs="Arial" w:eastAsia="Arial" w:hAnsi="Arial"/>
          <w:sz w:val="21"/>
          <w:szCs w:val="21"/>
          <w:u w:val="single" w:color="auto"/>
          <w:color w:val="auto"/>
        </w:rPr>
        <w:t>Exhibit G</w:t>
      </w:r>
      <w:r>
        <w:rPr>
          <w:rFonts w:ascii="Arial" w:cs="Arial" w:eastAsia="Arial" w:hAnsi="Arial"/>
          <w:sz w:val="21"/>
          <w:szCs w:val="21"/>
          <w:color w:val="auto"/>
        </w:rPr>
        <w:t>, including any that alleges that Molecular Partners’ activities conducted prior to the Effective Date with respect to any Initial DARPin has infringed or misappropriated any intellectual property right of any Third Party;</w:t>
      </w:r>
    </w:p>
    <w:p>
      <w:pPr>
        <w:spacing w:after="0" w:line="181" w:lineRule="exact"/>
        <w:rPr>
          <w:rFonts w:ascii="Arial" w:cs="Arial" w:eastAsia="Arial" w:hAnsi="Arial"/>
          <w:sz w:val="21"/>
          <w:szCs w:val="21"/>
          <w:b w:val="1"/>
          <w:bCs w:val="1"/>
          <w:color w:val="auto"/>
        </w:rPr>
      </w:pPr>
    </w:p>
    <w:p>
      <w:pPr>
        <w:ind w:firstLine="1304"/>
        <w:spacing w:after="0" w:line="263" w:lineRule="auto"/>
        <w:tabs>
          <w:tab w:leader="none" w:pos="1897" w:val="left"/>
        </w:tabs>
        <w:numPr>
          <w:ilvl w:val="0"/>
          <w:numId w:val="484"/>
        </w:numPr>
        <w:rPr>
          <w:rFonts w:ascii="Arial" w:cs="Arial" w:eastAsia="Arial" w:hAnsi="Arial"/>
          <w:sz w:val="22"/>
          <w:szCs w:val="22"/>
          <w:b w:val="1"/>
          <w:bCs w:val="1"/>
          <w:color w:val="auto"/>
        </w:rPr>
      </w:pPr>
      <w:r>
        <w:rPr>
          <w:rFonts w:ascii="Arial" w:cs="Arial" w:eastAsia="Arial" w:hAnsi="Arial"/>
          <w:sz w:val="22"/>
          <w:szCs w:val="22"/>
          <w:color w:val="auto"/>
        </w:rPr>
        <w:t>no lien, encumbrance, or security interest (including in connection with any indebtedness) exists in the Molecular Partners Patents in the DARPin Licensed Technology in favor of any creditor;</w:t>
      </w:r>
    </w:p>
    <w:p>
      <w:pPr>
        <w:spacing w:after="0" w:line="174" w:lineRule="exact"/>
        <w:rPr>
          <w:rFonts w:ascii="Arial" w:cs="Arial" w:eastAsia="Arial" w:hAnsi="Arial"/>
          <w:sz w:val="22"/>
          <w:szCs w:val="22"/>
          <w:b w:val="1"/>
          <w:bCs w:val="1"/>
          <w:color w:val="auto"/>
        </w:rPr>
      </w:pPr>
    </w:p>
    <w:p>
      <w:pPr>
        <w:jc w:val="both"/>
        <w:ind w:firstLine="1304"/>
        <w:spacing w:after="0" w:line="292" w:lineRule="auto"/>
        <w:tabs>
          <w:tab w:leader="none" w:pos="1779" w:val="left"/>
        </w:tabs>
        <w:numPr>
          <w:ilvl w:val="0"/>
          <w:numId w:val="484"/>
        </w:numPr>
        <w:rPr>
          <w:rFonts w:ascii="Arial" w:cs="Arial" w:eastAsia="Arial" w:hAnsi="Arial"/>
          <w:sz w:val="19"/>
          <w:szCs w:val="19"/>
          <w:b w:val="1"/>
          <w:bCs w:val="1"/>
          <w:color w:val="auto"/>
        </w:rPr>
      </w:pPr>
      <w:r>
        <w:rPr>
          <w:rFonts w:ascii="Arial" w:cs="Arial" w:eastAsia="Arial" w:hAnsi="Arial"/>
          <w:sz w:val="19"/>
          <w:szCs w:val="19"/>
          <w:color w:val="auto"/>
        </w:rPr>
        <w:t xml:space="preserve">(i) all existing agreements between Molecular Partners and any Third Party under which Molecular Partners receives a license under any intellectual property rights relating to the DARPin Licensed Technology or any Initial DARPin are listed in </w:t>
      </w:r>
      <w:r>
        <w:rPr>
          <w:rFonts w:ascii="Arial" w:cs="Arial" w:eastAsia="Arial" w:hAnsi="Arial"/>
          <w:sz w:val="19"/>
          <w:szCs w:val="19"/>
          <w:u w:val="single" w:color="auto"/>
          <w:color w:val="auto"/>
        </w:rPr>
        <w:t>Exhibit G</w:t>
      </w:r>
      <w:r>
        <w:rPr>
          <w:rFonts w:ascii="Arial" w:cs="Arial" w:eastAsia="Arial" w:hAnsi="Arial"/>
          <w:sz w:val="19"/>
          <w:szCs w:val="19"/>
          <w:color w:val="auto"/>
        </w:rPr>
        <w:t>, (ii) such agreements were made available to Allergan by Molecular Partners, and were true, accurate and complete copies of such agreements, and have not been modified, supplemented or amended since the date they were made available to Allergan; (iii) each of such agreements is in full force and effect; and (iv) Molecular Partners is not in material breach of any such agreements, and, to its Knowledge, no other party to any such agreements is in material breach thereof, in each respect in, any manner that would give such other party the right to terminate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3" w:name="page524"/>
    <w:bookmarkEnd w:id="523"/>
    <w:p>
      <w:pPr>
        <w:jc w:val="both"/>
        <w:ind w:firstLine="1304"/>
        <w:spacing w:after="0" w:line="258" w:lineRule="auto"/>
        <w:tabs>
          <w:tab w:leader="none" w:pos="1809" w:val="left"/>
        </w:tabs>
        <w:numPr>
          <w:ilvl w:val="0"/>
          <w:numId w:val="485"/>
        </w:numPr>
        <w:rPr>
          <w:rFonts w:ascii="Arial" w:cs="Arial" w:eastAsia="Arial" w:hAnsi="Arial"/>
          <w:sz w:val="21"/>
          <w:szCs w:val="21"/>
          <w:b w:val="1"/>
          <w:bCs w:val="1"/>
          <w:color w:val="auto"/>
        </w:rPr>
      </w:pPr>
      <w:r>
        <w:rPr>
          <w:rFonts w:ascii="Arial" w:cs="Arial" w:eastAsia="Arial" w:hAnsi="Arial"/>
          <w:sz w:val="21"/>
          <w:szCs w:val="21"/>
          <w:color w:val="auto"/>
        </w:rPr>
        <w:t>no oral or written communications have been received by Molecular Partners from any Third Parties that allege, and there is no pending litigation as of the Effective Date that alleges, either that any Molecular Partners Patent in existence as of the Effective Date is, or for any patent application included in the Molecular Partners Patents in existence as of the Effective Date, if issued, would be, invalid or unenforceable, and, to the Knowledge of Molecular Partners, no Third Party (i) is infringing any Molecular Partners Patents in existence as of the Effective Date or has misappropriated any Molecular Partners Know-How in the DARPin Licensed Technology or (ii) has challenged the ownership, scope, duration, validity, enforceability, priority or right to use any Molecular Partners Patents in existence as of the Effective Date (including, by way of example, through the institution of or written threat of institution of interference, reexamination, protest, opposition, nullity or similar invalidity proceeding before the U.S. Patent and Trademark Office or any analogous foreign entity) or any Molecular Partners Know-How in existence as of the Effective Date;</w:t>
      </w:r>
    </w:p>
    <w:p>
      <w:pPr>
        <w:spacing w:after="0" w:line="185" w:lineRule="exact"/>
        <w:rPr>
          <w:rFonts w:ascii="Arial" w:cs="Arial" w:eastAsia="Arial" w:hAnsi="Arial"/>
          <w:sz w:val="21"/>
          <w:szCs w:val="21"/>
          <w:b w:val="1"/>
          <w:bCs w:val="1"/>
          <w:color w:val="auto"/>
        </w:rPr>
      </w:pPr>
    </w:p>
    <w:p>
      <w:pPr>
        <w:jc w:val="both"/>
        <w:ind w:firstLine="1304"/>
        <w:spacing w:after="0" w:line="250" w:lineRule="auto"/>
        <w:tabs>
          <w:tab w:leader="none" w:pos="1764" w:val="left"/>
        </w:tabs>
        <w:numPr>
          <w:ilvl w:val="0"/>
          <w:numId w:val="485"/>
        </w:numPr>
        <w:rPr>
          <w:rFonts w:ascii="Arial" w:cs="Arial" w:eastAsia="Arial" w:hAnsi="Arial"/>
          <w:sz w:val="22"/>
          <w:szCs w:val="22"/>
          <w:b w:val="1"/>
          <w:bCs w:val="1"/>
          <w:color w:val="auto"/>
        </w:rPr>
      </w:pPr>
      <w:r>
        <w:rPr>
          <w:rFonts w:ascii="Arial" w:cs="Arial" w:eastAsia="Arial" w:hAnsi="Arial"/>
          <w:sz w:val="22"/>
          <w:szCs w:val="22"/>
          <w:color w:val="auto"/>
        </w:rPr>
        <w:t>each of the issued Patents, and any currently pending Patent application or Patent application from which any such Patent has issued, in each case within the Molecular Partners Patents in existence as of the Effective Date, (i) has been prosecuted in compliance with all applicable rules, policies, and procedures of the U.S. Patent and Trademark Office in all material respects, and (ii) is subsisting;</w:t>
      </w:r>
    </w:p>
    <w:p>
      <w:pPr>
        <w:spacing w:after="0" w:line="187" w:lineRule="exact"/>
        <w:rPr>
          <w:rFonts w:ascii="Arial" w:cs="Arial" w:eastAsia="Arial" w:hAnsi="Arial"/>
          <w:sz w:val="22"/>
          <w:szCs w:val="22"/>
          <w:b w:val="1"/>
          <w:bCs w:val="1"/>
          <w:color w:val="auto"/>
        </w:rPr>
      </w:pPr>
    </w:p>
    <w:p>
      <w:pPr>
        <w:jc w:val="both"/>
        <w:ind w:firstLine="1304"/>
        <w:spacing w:after="0" w:line="253" w:lineRule="auto"/>
        <w:tabs>
          <w:tab w:leader="none" w:pos="1776" w:val="left"/>
        </w:tabs>
        <w:numPr>
          <w:ilvl w:val="0"/>
          <w:numId w:val="485"/>
        </w:numPr>
        <w:rPr>
          <w:rFonts w:ascii="Arial" w:cs="Arial" w:eastAsia="Arial" w:hAnsi="Arial"/>
          <w:sz w:val="22"/>
          <w:szCs w:val="22"/>
          <w:b w:val="1"/>
          <w:bCs w:val="1"/>
          <w:color w:val="auto"/>
        </w:rPr>
      </w:pPr>
      <w:r>
        <w:rPr>
          <w:rFonts w:ascii="Arial" w:cs="Arial" w:eastAsia="Arial" w:hAnsi="Arial"/>
          <w:sz w:val="22"/>
          <w:szCs w:val="22"/>
          <w:color w:val="auto"/>
        </w:rPr>
        <w:t>[***] all Third Party issued Patents identified as material by counsel to Molecular Partners in any freedom to operate or patentability searches or opinions relating to the Molecular Partners Licensed Technology in existence as of the Effective Date in the Territory;</w:t>
      </w:r>
    </w:p>
    <w:p>
      <w:pPr>
        <w:spacing w:after="0" w:line="185" w:lineRule="exact"/>
        <w:rPr>
          <w:rFonts w:ascii="Arial" w:cs="Arial" w:eastAsia="Arial" w:hAnsi="Arial"/>
          <w:sz w:val="22"/>
          <w:szCs w:val="22"/>
          <w:b w:val="1"/>
          <w:bCs w:val="1"/>
          <w:color w:val="auto"/>
        </w:rPr>
      </w:pPr>
    </w:p>
    <w:p>
      <w:pPr>
        <w:jc w:val="both"/>
        <w:ind w:firstLine="1304"/>
        <w:spacing w:after="0" w:line="250" w:lineRule="auto"/>
        <w:tabs>
          <w:tab w:leader="none" w:pos="1729" w:val="left"/>
        </w:tabs>
        <w:numPr>
          <w:ilvl w:val="0"/>
          <w:numId w:val="485"/>
        </w:numPr>
        <w:rPr>
          <w:rFonts w:ascii="Arial" w:cs="Arial" w:eastAsia="Arial" w:hAnsi="Arial"/>
          <w:sz w:val="22"/>
          <w:szCs w:val="22"/>
          <w:b w:val="1"/>
          <w:bCs w:val="1"/>
          <w:color w:val="auto"/>
        </w:rPr>
      </w:pPr>
      <w:r>
        <w:rPr>
          <w:rFonts w:ascii="Arial" w:cs="Arial" w:eastAsia="Arial" w:hAnsi="Arial"/>
          <w:sz w:val="22"/>
          <w:szCs w:val="22"/>
          <w:color w:val="auto"/>
        </w:rPr>
        <w:t>all of Molecular Partners’ and its Affiliates’ employees and officers involved in development of the DARPin Licensed Technology have been obligated to assign to Molecular Partners or such Affiliate, as the case may be, all inventions claimed in the Patents in such DARPin Licensed Technology and to maintain as confidential the Confidential Information of Molecular Partners or such Affiliate, as the case may be;</w:t>
      </w:r>
    </w:p>
    <w:p>
      <w:pPr>
        <w:spacing w:after="0" w:line="187" w:lineRule="exact"/>
        <w:rPr>
          <w:rFonts w:ascii="Arial" w:cs="Arial" w:eastAsia="Arial" w:hAnsi="Arial"/>
          <w:sz w:val="22"/>
          <w:szCs w:val="22"/>
          <w:b w:val="1"/>
          <w:bCs w:val="1"/>
          <w:color w:val="auto"/>
        </w:rPr>
      </w:pPr>
    </w:p>
    <w:p>
      <w:pPr>
        <w:jc w:val="both"/>
        <w:ind w:right="20" w:firstLine="1304"/>
        <w:spacing w:after="0" w:line="271" w:lineRule="auto"/>
        <w:tabs>
          <w:tab w:leader="none" w:pos="1728" w:val="left"/>
        </w:tabs>
        <w:numPr>
          <w:ilvl w:val="0"/>
          <w:numId w:val="485"/>
        </w:numPr>
        <w:rPr>
          <w:rFonts w:ascii="Arial" w:cs="Arial" w:eastAsia="Arial" w:hAnsi="Arial"/>
          <w:sz w:val="21"/>
          <w:szCs w:val="21"/>
          <w:b w:val="1"/>
          <w:bCs w:val="1"/>
          <w:color w:val="auto"/>
        </w:rPr>
      </w:pPr>
      <w:r>
        <w:rPr>
          <w:rFonts w:ascii="Arial" w:cs="Arial" w:eastAsia="Arial" w:hAnsi="Arial"/>
          <w:sz w:val="21"/>
          <w:szCs w:val="21"/>
          <w:color w:val="auto"/>
        </w:rPr>
        <w:t>all inventors of any inventions included within the Molecular Partners Patents in existence as of the Effective Date owned by Molecular Partners have assigned their entire right, title, and interest in and to such inventions and the corresponding Patents to Molecular Partners and have been listed in such Patents as inventors; and</w:t>
      </w:r>
    </w:p>
    <w:p>
      <w:pPr>
        <w:spacing w:after="0" w:line="167" w:lineRule="exact"/>
        <w:rPr>
          <w:rFonts w:ascii="Arial" w:cs="Arial" w:eastAsia="Arial" w:hAnsi="Arial"/>
          <w:sz w:val="21"/>
          <w:szCs w:val="21"/>
          <w:b w:val="1"/>
          <w:bCs w:val="1"/>
          <w:color w:val="auto"/>
        </w:rPr>
      </w:pPr>
    </w:p>
    <w:p>
      <w:pPr>
        <w:jc w:val="both"/>
        <w:ind w:firstLine="1304"/>
        <w:spacing w:after="0" w:line="297" w:lineRule="auto"/>
        <w:tabs>
          <w:tab w:leader="none" w:pos="1884" w:val="left"/>
        </w:tabs>
        <w:numPr>
          <w:ilvl w:val="0"/>
          <w:numId w:val="485"/>
        </w:numPr>
        <w:rPr>
          <w:rFonts w:ascii="Arial" w:cs="Arial" w:eastAsia="Arial" w:hAnsi="Arial"/>
          <w:sz w:val="19"/>
          <w:szCs w:val="19"/>
          <w:b w:val="1"/>
          <w:bCs w:val="1"/>
          <w:color w:val="auto"/>
        </w:rPr>
      </w:pPr>
      <w:r>
        <w:rPr>
          <w:rFonts w:ascii="Arial" w:cs="Arial" w:eastAsia="Arial" w:hAnsi="Arial"/>
          <w:sz w:val="19"/>
          <w:szCs w:val="19"/>
          <w:color w:val="auto"/>
        </w:rPr>
        <w:t>neither the execution and delivery of this Agreement nor the performance hereof by Molecular Partners requires Molecular Partners to obtain any permits, authorizations or consents from any Governmental Authority or from any other person, firm or corporation, and such execution, delivery and performance will not result in the breach of or give rise to any right of termination, rescission, renegotiation or acceleration under, or trigger any other rights under, any agreement or contract to which Molecular Partners is a party or to which it may be subject that relates to the DARPin Licensed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4" w:name="page525"/>
    <w:bookmarkEnd w:id="524"/>
    <w:p>
      <w:pPr>
        <w:ind w:left="660"/>
        <w:spacing w:after="0"/>
        <w:tabs>
          <w:tab w:leader="none" w:pos="122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Mutual Covenants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4" w:lineRule="auto"/>
        <w:tabs>
          <w:tab w:leader="none" w:pos="1850" w:val="left"/>
        </w:tabs>
        <w:numPr>
          <w:ilvl w:val="1"/>
          <w:numId w:val="486"/>
        </w:numPr>
        <w:rPr>
          <w:rFonts w:ascii="Arial" w:cs="Arial" w:eastAsia="Arial" w:hAnsi="Arial"/>
          <w:sz w:val="21"/>
          <w:szCs w:val="21"/>
          <w:b w:val="1"/>
          <w:bCs w:val="1"/>
          <w:color w:val="auto"/>
        </w:rPr>
      </w:pPr>
      <w:r>
        <w:rPr>
          <w:rFonts w:ascii="Arial" w:cs="Arial" w:eastAsia="Arial" w:hAnsi="Arial"/>
          <w:sz w:val="21"/>
          <w:szCs w:val="21"/>
          <w:b w:val="1"/>
          <w:bCs w:val="1"/>
          <w:color w:val="auto"/>
        </w:rPr>
        <w:t>No Debarment</w:t>
      </w:r>
      <w:r>
        <w:rPr>
          <w:rFonts w:ascii="Arial" w:cs="Arial" w:eastAsia="Arial" w:hAnsi="Arial"/>
          <w:sz w:val="21"/>
          <w:szCs w:val="21"/>
          <w:color w:val="auto"/>
        </w:rPr>
        <w:t>. In the course of the Development of the Licensed Product, each Party shall not use any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or consultant who has ever been debarred or is the subject of debarment or convicted of a crime for which an entity or person could be debarred (including by the FDA under 21 U.S.C. § 335a (or subject to a similar sanction of any other Governmental Authority)). Each Party shall notify the other Party promptly upon becoming aware that any of its employees or consultants has been debarred or is the subject of debarment proceedings by any Regulatory Authority.</w:t>
      </w:r>
    </w:p>
    <w:p>
      <w:pPr>
        <w:spacing w:after="0" w:line="170" w:lineRule="exact"/>
        <w:rPr>
          <w:rFonts w:ascii="Arial" w:cs="Arial" w:eastAsia="Arial" w:hAnsi="Arial"/>
          <w:sz w:val="21"/>
          <w:szCs w:val="21"/>
          <w:b w:val="1"/>
          <w:bCs w:val="1"/>
          <w:color w:val="auto"/>
        </w:rPr>
      </w:pPr>
    </w:p>
    <w:p>
      <w:pPr>
        <w:jc w:val="both"/>
        <w:ind w:firstLine="1304"/>
        <w:spacing w:after="0" w:line="288" w:lineRule="auto"/>
        <w:tabs>
          <w:tab w:leader="none" w:pos="1816" w:val="left"/>
        </w:tabs>
        <w:numPr>
          <w:ilvl w:val="1"/>
          <w:numId w:val="486"/>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w:t>
      </w:r>
      <w:r>
        <w:rPr>
          <w:rFonts w:ascii="Arial" w:cs="Arial" w:eastAsia="Arial" w:hAnsi="Arial"/>
          <w:sz w:val="19"/>
          <w:szCs w:val="19"/>
          <w:color w:val="auto"/>
        </w:rPr>
        <w:t>. Each Party and its Affiliates shall comply in all material respects with all applicable Laws in</w:t>
      </w:r>
      <w:r>
        <w:rPr>
          <w:rFonts w:ascii="Arial" w:cs="Arial" w:eastAsia="Arial" w:hAnsi="Arial"/>
          <w:sz w:val="19"/>
          <w:szCs w:val="19"/>
          <w:b w:val="1"/>
          <w:bCs w:val="1"/>
          <w:color w:val="auto"/>
        </w:rPr>
        <w:t xml:space="preserve"> </w:t>
      </w:r>
      <w:r>
        <w:rPr>
          <w:rFonts w:ascii="Arial" w:cs="Arial" w:eastAsia="Arial" w:hAnsi="Arial"/>
          <w:sz w:val="19"/>
          <w:szCs w:val="19"/>
          <w:color w:val="auto"/>
        </w:rPr>
        <w:t>the Development, Manufacture, and Commercialization of Licensed Products performed under this Agreement, including the statutes, regulations and written directives of the FDA, the EMA and any Regulatory Authority having jurisdiction in the Territory, the FD&amp;C Act, the Prescription Drug Marketing Act, the Federal Health Care Programs Anti-Kickback Law, 42 U.S.C.</w:t>
      </w:r>
    </w:p>
    <w:p>
      <w:pPr>
        <w:spacing w:after="0" w:line="1" w:lineRule="exact"/>
        <w:rPr>
          <w:rFonts w:ascii="Arial" w:cs="Arial" w:eastAsia="Arial" w:hAnsi="Arial"/>
          <w:sz w:val="19"/>
          <w:szCs w:val="19"/>
          <w:b w:val="1"/>
          <w:bCs w:val="1"/>
          <w:color w:val="auto"/>
        </w:rPr>
      </w:pPr>
    </w:p>
    <w:p>
      <w:pPr>
        <w:ind w:firstLine="8"/>
        <w:spacing w:after="0" w:line="323" w:lineRule="auto"/>
        <w:tabs>
          <w:tab w:leader="none" w:pos="199" w:val="left"/>
        </w:tabs>
        <w:numPr>
          <w:ilvl w:val="0"/>
          <w:numId w:val="486"/>
        </w:numPr>
        <w:rPr>
          <w:rFonts w:ascii="Arial" w:cs="Arial" w:eastAsia="Arial" w:hAnsi="Arial"/>
          <w:sz w:val="19"/>
          <w:szCs w:val="19"/>
          <w:color w:val="auto"/>
        </w:rPr>
      </w:pPr>
      <w:r>
        <w:rPr>
          <w:rFonts w:ascii="Arial" w:cs="Arial" w:eastAsia="Arial" w:hAnsi="Arial"/>
          <w:sz w:val="19"/>
          <w:szCs w:val="19"/>
          <w:color w:val="auto"/>
        </w:rPr>
        <w:t>1320a-7b(b), the statutes, regulations and written directives of Medicare, Medicaid and all other health care programs, as defined in 42 U.S.C. § 1320a-7b(f), and the Foreign Corrupt Practices Act of 1977, each as may be amended from time to time.</w:t>
      </w:r>
    </w:p>
    <w:p>
      <w:pPr>
        <w:spacing w:after="0" w:line="11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b w:val="1"/>
          <w:bCs w:val="1"/>
          <w:color w:val="auto"/>
        </w:rPr>
        <w:t>Additional Covenants</w:t>
      </w:r>
      <w:r>
        <w:rPr>
          <w:rFonts w:ascii="Arial" w:cs="Arial" w:eastAsia="Arial" w:hAnsi="Arial"/>
          <w:sz w:val="19"/>
          <w:szCs w:val="19"/>
          <w:color w:val="auto"/>
        </w:rPr>
        <w:t>.</w:t>
      </w:r>
    </w:p>
    <w:p>
      <w:pPr>
        <w:spacing w:after="0" w:line="226" w:lineRule="exact"/>
        <w:rPr>
          <w:sz w:val="20"/>
          <w:szCs w:val="20"/>
          <w:color w:val="auto"/>
        </w:rPr>
      </w:pPr>
    </w:p>
    <w:p>
      <w:pPr>
        <w:jc w:val="both"/>
        <w:ind w:firstLine="1304"/>
        <w:spacing w:after="0" w:line="248" w:lineRule="auto"/>
        <w:tabs>
          <w:tab w:leader="none" w:pos="1831" w:val="left"/>
        </w:tabs>
        <w:numPr>
          <w:ilvl w:val="0"/>
          <w:numId w:val="487"/>
        </w:numPr>
        <w:rPr>
          <w:rFonts w:ascii="Arial" w:cs="Arial" w:eastAsia="Arial" w:hAnsi="Arial"/>
          <w:sz w:val="22"/>
          <w:szCs w:val="22"/>
          <w:b w:val="1"/>
          <w:bCs w:val="1"/>
          <w:color w:val="auto"/>
        </w:rPr>
      </w:pPr>
      <w:r>
        <w:rPr>
          <w:rFonts w:ascii="Arial" w:cs="Arial" w:eastAsia="Arial" w:hAnsi="Arial"/>
          <w:sz w:val="22"/>
          <w:szCs w:val="22"/>
          <w:color w:val="auto"/>
        </w:rPr>
        <w:t>Molecular Partners represents and warrants to and covenants with Allergan that all of Molecular Partners’ employees and officers involved in development of the Molecular Partners Licensed Technology, Licensed Compounds, or Licensed Products shall be obligated to assign to Molecular Partners all inventions relating to such Molecular Partners Licensed Technology, Licensed Compounds, or Licensed Products and to maintain as confidential the Confidential Information of Molecular Partners;</w:t>
      </w:r>
    </w:p>
    <w:p>
      <w:pPr>
        <w:spacing w:after="0" w:line="191" w:lineRule="exact"/>
        <w:rPr>
          <w:rFonts w:ascii="Arial" w:cs="Arial" w:eastAsia="Arial" w:hAnsi="Arial"/>
          <w:sz w:val="22"/>
          <w:szCs w:val="22"/>
          <w:b w:val="1"/>
          <w:bCs w:val="1"/>
          <w:color w:val="auto"/>
        </w:rPr>
      </w:pPr>
    </w:p>
    <w:p>
      <w:pPr>
        <w:jc w:val="both"/>
        <w:ind w:firstLine="1304"/>
        <w:spacing w:after="0" w:line="250" w:lineRule="auto"/>
        <w:tabs>
          <w:tab w:leader="none" w:pos="1803" w:val="left"/>
        </w:tabs>
        <w:numPr>
          <w:ilvl w:val="0"/>
          <w:numId w:val="487"/>
        </w:numPr>
        <w:rPr>
          <w:rFonts w:ascii="Arial" w:cs="Arial" w:eastAsia="Arial" w:hAnsi="Arial"/>
          <w:sz w:val="22"/>
          <w:szCs w:val="22"/>
          <w:b w:val="1"/>
          <w:bCs w:val="1"/>
          <w:color w:val="auto"/>
        </w:rPr>
      </w:pPr>
      <w:r>
        <w:rPr>
          <w:rFonts w:ascii="Arial" w:cs="Arial" w:eastAsia="Arial" w:hAnsi="Arial"/>
          <w:sz w:val="22"/>
          <w:szCs w:val="22"/>
          <w:color w:val="auto"/>
        </w:rPr>
        <w:t>Allergan represents and warrants to and covenants with Molecular Partners that all of Allergan’s employees and officers involved in Development of the Licensed Compounds or Licensed Products shall be obligated to assign to Allergan all inventions relating to such Licensed Compounds or Licensed Products and to maintain as confidential the Confidential Information of Allergan;</w:t>
      </w:r>
    </w:p>
    <w:p>
      <w:pPr>
        <w:spacing w:after="0" w:line="187" w:lineRule="exact"/>
        <w:rPr>
          <w:rFonts w:ascii="Arial" w:cs="Arial" w:eastAsia="Arial" w:hAnsi="Arial"/>
          <w:sz w:val="22"/>
          <w:szCs w:val="22"/>
          <w:b w:val="1"/>
          <w:bCs w:val="1"/>
          <w:color w:val="auto"/>
        </w:rPr>
      </w:pPr>
    </w:p>
    <w:p>
      <w:pPr>
        <w:jc w:val="both"/>
        <w:ind w:firstLine="1304"/>
        <w:spacing w:after="0" w:line="302" w:lineRule="auto"/>
        <w:tabs>
          <w:tab w:leader="none" w:pos="1765" w:val="left"/>
        </w:tabs>
        <w:numPr>
          <w:ilvl w:val="0"/>
          <w:numId w:val="487"/>
        </w:numPr>
        <w:rPr>
          <w:rFonts w:ascii="Arial" w:cs="Arial" w:eastAsia="Arial" w:hAnsi="Arial"/>
          <w:sz w:val="19"/>
          <w:szCs w:val="19"/>
          <w:b w:val="1"/>
          <w:bCs w:val="1"/>
          <w:color w:val="auto"/>
        </w:rPr>
      </w:pPr>
      <w:r>
        <w:rPr>
          <w:rFonts w:ascii="Arial" w:cs="Arial" w:eastAsia="Arial" w:hAnsi="Arial"/>
          <w:sz w:val="19"/>
          <w:szCs w:val="19"/>
          <w:color w:val="auto"/>
        </w:rPr>
        <w:t>Molecular Partners represents and warrants to and covenants with Allergan that Molecular Partners shall not sell, assign, or otherwise transfer to any person (other than any Affiliate of Molecular Partners) any Molecular Partners Patents (or agree to do any of the foregoing) in any manner that would be inconsistent with the rights and licenses granted to Allergan under this Agreement, except to the extent permitted by, and in compliance with, Section 16.6; and</w:t>
      </w:r>
    </w:p>
    <w:p>
      <w:pPr>
        <w:spacing w:after="0" w:line="142" w:lineRule="exact"/>
        <w:rPr>
          <w:rFonts w:ascii="Arial" w:cs="Arial" w:eastAsia="Arial" w:hAnsi="Arial"/>
          <w:sz w:val="19"/>
          <w:szCs w:val="19"/>
          <w:b w:val="1"/>
          <w:bCs w:val="1"/>
          <w:color w:val="auto"/>
        </w:rPr>
      </w:pPr>
    </w:p>
    <w:p>
      <w:pPr>
        <w:jc w:val="both"/>
        <w:ind w:firstLine="1304"/>
        <w:spacing w:after="0" w:line="312" w:lineRule="auto"/>
        <w:tabs>
          <w:tab w:leader="none" w:pos="1789" w:val="left"/>
        </w:tabs>
        <w:numPr>
          <w:ilvl w:val="0"/>
          <w:numId w:val="487"/>
        </w:numPr>
        <w:rPr>
          <w:rFonts w:ascii="Arial" w:cs="Arial" w:eastAsia="Arial" w:hAnsi="Arial"/>
          <w:sz w:val="19"/>
          <w:szCs w:val="19"/>
          <w:b w:val="1"/>
          <w:bCs w:val="1"/>
          <w:color w:val="auto"/>
        </w:rPr>
      </w:pPr>
      <w:r>
        <w:rPr>
          <w:rFonts w:ascii="Arial" w:cs="Arial" w:eastAsia="Arial" w:hAnsi="Arial"/>
          <w:sz w:val="19"/>
          <w:szCs w:val="19"/>
          <w:color w:val="auto"/>
        </w:rPr>
        <w:t>Molecular Partners represents and warrants to and covenants with Allergan that Molecular Partners shall not grant to any Third Party any right or license under the Molecular Partners Licensed Technology that is within the scope of licenses granted to Allergan under Section 4.3 or would breach Article 3; provided that in the event of any assignment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525" w:name="page526"/>
    <w:bookmarkEnd w:id="525"/>
    <w:p>
      <w:pPr>
        <w:jc w:val="both"/>
        <w:spacing w:after="0" w:line="297" w:lineRule="auto"/>
        <w:rPr>
          <w:sz w:val="20"/>
          <w:szCs w:val="20"/>
          <w:color w:val="auto"/>
        </w:rPr>
      </w:pPr>
      <w:r>
        <w:rPr>
          <w:rFonts w:ascii="Arial" w:cs="Arial" w:eastAsia="Arial" w:hAnsi="Arial"/>
          <w:sz w:val="19"/>
          <w:szCs w:val="19"/>
          <w:color w:val="auto"/>
        </w:rPr>
        <w:t>Section 16.6(a)(ii), all intellectual property rights (including any Information or Patents) owned or otherwise Controlled by an Acquiror or its Affiliates (except for Molecular Partners if remaining as a separate Affiliate or otherwise the successor entity thereto) shall be excluded from the Molecular Partners Licensed Technology subject to the preceding sentence (including any such intellectual property owned or otherwise controlled by such Acquiror as of the date of consummation of such transaction), except for any Invention generated by the Acquiror or its Affiliates in performing any activity under this Agreement.</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11.5 Disclaimer</w:t>
      </w:r>
      <w:r>
        <w:rPr>
          <w:rFonts w:ascii="Arial" w:cs="Arial" w:eastAsia="Arial" w:hAnsi="Arial"/>
          <w:sz w:val="21"/>
          <w:szCs w:val="21"/>
          <w:color w:val="auto"/>
        </w:rPr>
        <w:t>. Allergan understands that the Licensed Compounds and Licensed Products are the subject of ongoing</w:t>
      </w:r>
      <w:r>
        <w:rPr>
          <w:rFonts w:ascii="Arial" w:cs="Arial" w:eastAsia="Arial" w:hAnsi="Arial"/>
          <w:sz w:val="21"/>
          <w:szCs w:val="21"/>
          <w:b w:val="1"/>
          <w:bCs w:val="1"/>
          <w:color w:val="auto"/>
        </w:rPr>
        <w:t xml:space="preserve"> </w:t>
      </w:r>
      <w:r>
        <w:rPr>
          <w:rFonts w:ascii="Arial" w:cs="Arial" w:eastAsia="Arial" w:hAnsi="Arial"/>
          <w:sz w:val="21"/>
          <w:szCs w:val="21"/>
          <w:color w:val="auto"/>
        </w:rPr>
        <w:t>clinical research and development and that Molecular Partners cannot assure the safety or usefulness of any Licensed Compound or Licensed Product. In addition, Molecular Partners makes no warranties except as set forth in this Article 11 concerning the Molecular Partners Licensed Technology. EXCEPT AS EXPRESSLY STATED IN THIS AGREEMENT, NO REPRESENTATIONS OR WARRANTIES 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11.6 Knowledge Standard</w:t>
      </w:r>
      <w:r>
        <w:rPr>
          <w:rFonts w:ascii="Arial" w:cs="Arial" w:eastAsia="Arial" w:hAnsi="Arial"/>
          <w:sz w:val="22"/>
          <w:szCs w:val="22"/>
          <w:color w:val="auto"/>
        </w:rPr>
        <w:t>. “</w:t>
      </w:r>
      <w:r>
        <w:rPr>
          <w:rFonts w:ascii="Arial" w:cs="Arial" w:eastAsia="Arial" w:hAnsi="Arial"/>
          <w:sz w:val="22"/>
          <w:szCs w:val="22"/>
          <w:b w:val="1"/>
          <w:bCs w:val="1"/>
          <w:color w:val="auto"/>
        </w:rPr>
        <w:t>Knowledge</w:t>
      </w:r>
      <w:r>
        <w:rPr>
          <w:rFonts w:ascii="Arial" w:cs="Arial" w:eastAsia="Arial" w:hAnsi="Arial"/>
          <w:sz w:val="22"/>
          <w:szCs w:val="22"/>
          <w:color w:val="auto"/>
        </w:rPr>
        <w:t>” means, as applied to a Party in this Article 11, the actual knowledge,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of a Party’s executive officers or personnel with primary responsibility for the applicable subject matter exercising reasonably diligent inquiry.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12.1 Indemnification by Molecular Partners</w:t>
      </w:r>
      <w:r>
        <w:rPr>
          <w:rFonts w:ascii="Arial" w:cs="Arial" w:eastAsia="Arial" w:hAnsi="Arial"/>
          <w:sz w:val="19"/>
          <w:szCs w:val="19"/>
          <w:color w:val="auto"/>
        </w:rPr>
        <w:t>. Molecular Partners shall defend, indemnify, and hold Allergan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their respective officers, directors, employees, and agents (the “</w:t>
      </w:r>
      <w:r>
        <w:rPr>
          <w:rFonts w:ascii="Arial" w:cs="Arial" w:eastAsia="Arial" w:hAnsi="Arial"/>
          <w:sz w:val="19"/>
          <w:szCs w:val="19"/>
          <w:b w:val="1"/>
          <w:bCs w:val="1"/>
          <w:color w:val="auto"/>
        </w:rPr>
        <w:t>Allergan Indemnitees</w:t>
      </w:r>
      <w:r>
        <w:rPr>
          <w:rFonts w:ascii="Arial" w:cs="Arial" w:eastAsia="Arial" w:hAnsi="Arial"/>
          <w:sz w:val="19"/>
          <w:szCs w:val="19"/>
          <w:color w:val="auto"/>
        </w:rPr>
        <w:t>”) harmless from and against any and all Third Party claims, suits, proceedings, damages, expenses (including court costs and reasonable attorneys’ fees and expenses) and recoveries (collectively, “</w:t>
      </w:r>
      <w:r>
        <w:rPr>
          <w:rFonts w:ascii="Arial" w:cs="Arial" w:eastAsia="Arial" w:hAnsi="Arial"/>
          <w:sz w:val="19"/>
          <w:szCs w:val="19"/>
          <w:b w:val="1"/>
          <w:bCs w:val="1"/>
          <w:color w:val="auto"/>
        </w:rPr>
        <w:t>Claims</w:t>
      </w:r>
      <w:r>
        <w:rPr>
          <w:rFonts w:ascii="Arial" w:cs="Arial" w:eastAsia="Arial" w:hAnsi="Arial"/>
          <w:sz w:val="19"/>
          <w:szCs w:val="19"/>
          <w:color w:val="auto"/>
        </w:rPr>
        <w:t>”) to the extent that such Claims arise out of, are based on, or result from (a) the Development, Manufacture, or Commercialization of Terminated Products by Molecular Partners, its Affiliates or licensees, including Claims based upon product liability, (b) the breach of any of Molecular Partners’ obligations under this Agreement, including Molecular Partners’ representations, warranties, and covenants set forth herein, (c) the development, manufacture, or commercialization by Molecular Partners, its Affiliates or licensees (other than Allergan, its Affiliates or Sublicensees) of products containing DARPin Compounds (other than Licensed Products or products licensed under the MP0112 Agreement or MP0260 Agreement) solely to the extent such Claim is based on the use of the Molecular Partners Licensed Technology (excluding in all cases Claims covered by the scope of 12.2) by Molecular Partners, its Affiliates or licensees (other than Allergan, its Affiliates or Sublicensees) in connection with such development, manufacture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6" w:name="page527"/>
    <w:bookmarkEnd w:id="526"/>
    <w:p>
      <w:pPr>
        <w:jc w:val="both"/>
        <w:spacing w:after="0" w:line="261" w:lineRule="auto"/>
        <w:rPr>
          <w:sz w:val="20"/>
          <w:szCs w:val="20"/>
          <w:color w:val="auto"/>
        </w:rPr>
      </w:pPr>
      <w:r>
        <w:rPr>
          <w:rFonts w:ascii="Arial" w:cs="Arial" w:eastAsia="Arial" w:hAnsi="Arial"/>
          <w:sz w:val="21"/>
          <w:szCs w:val="21"/>
          <w:color w:val="auto"/>
        </w:rPr>
        <w:t>commercialization by such parties of such products, or (d) the willful misconduct or negligent acts of Molecular Partners, its Affiliates, or the officers, directors, employees, or agents of Molecular Partners or its Affiliates. The foregoing indemnity obligation shall not apply to the extent that (i) the Allergan Indemnitees fail to comply with the indemnification procedures set forth in Section 12.3 and Molecular Partners’ defense of the relevant Claims is prejudiced by such failure, or (ii) any Claim arises from, is based on, or results from any activity set forth in Section 12.2(b) or 12.2(c) for which Allergan is obligated to indemnify the Molecular Partners Indemnitees under Section 12.2.</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12.2 Indemnification by Allergan</w:t>
      </w:r>
      <w:r>
        <w:rPr>
          <w:rFonts w:ascii="Arial" w:cs="Arial" w:eastAsia="Arial" w:hAnsi="Arial"/>
          <w:sz w:val="19"/>
          <w:szCs w:val="19"/>
          <w:color w:val="auto"/>
        </w:rPr>
        <w:t>. Allergan shall defend, indemnify, and hold Molecular Partners and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officers, directors, employees, and agents (the “</w:t>
      </w:r>
      <w:r>
        <w:rPr>
          <w:rFonts w:ascii="Arial" w:cs="Arial" w:eastAsia="Arial" w:hAnsi="Arial"/>
          <w:sz w:val="19"/>
          <w:szCs w:val="19"/>
          <w:b w:val="1"/>
          <w:bCs w:val="1"/>
          <w:color w:val="auto"/>
        </w:rPr>
        <w:t>Molecular Partners Indemnitees</w:t>
      </w:r>
      <w:r>
        <w:rPr>
          <w:rFonts w:ascii="Arial" w:cs="Arial" w:eastAsia="Arial" w:hAnsi="Arial"/>
          <w:sz w:val="19"/>
          <w:szCs w:val="19"/>
          <w:color w:val="auto"/>
        </w:rPr>
        <w:t>”) harmless from and against any and all Claims to the extent that such Claims arise out of, are based on, or result from (a) the Development, Manufacture or Commercialization of Licensed Compounds or Licensed Products by or on behalf of Allergan or its Affiliates or Sublicensees, including Claims based upon product liability and patent infringement (excluding any amounts for which Molecular Partners is responsible under Section 10.6 with respect to Claims relating to Subject Patents), (b) the breach of any of Allergan’s obligations under this Agreement, including Allergan’s representations, warranties, and covenants set forth herein, (c) the willful misconduct or negligent acts of Allergan, its Affiliates, or its Sublicensees or the officers, directors, employees, or agents of Allergan, its Affiliates or its Sublicensees, or (d) the infringement of any Third Party Patent or misappropriation of any Third Party Information, to the extent that such infringement or misappropriation is attributable directly to any Collaboration Target (including any use thereof) as a result of Molecular Partners’ or any of its Affiliates’ performance of activities pursuant to the Research Program. The foregoing indemnity obligation shall not apply to the extent that (i) the Molecular Partners Indemnitees fail to comply with the indemnification procedures set forth in Section 12.3 and Allergan’s defense of the relevant Claims is prejudiced by such failure, or (ii) any Claim arises from, is based on, or results from any activity set forth in Section 12.1(b) or 12.1(c) for which Molecular Partners is obligated to indemnify the Allergan Indemnitees under Section 12.1.</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12.3 Indemnification Procedures</w:t>
      </w:r>
      <w:r>
        <w:rPr>
          <w:rFonts w:ascii="Arial" w:cs="Arial" w:eastAsia="Arial" w:hAnsi="Arial"/>
          <w:sz w:val="21"/>
          <w:szCs w:val="21"/>
          <w:color w:val="auto"/>
        </w:rPr>
        <w:t>. The Party claiming indemnity under this Article 12 (the “</w:t>
      </w:r>
      <w:r>
        <w:rPr>
          <w:rFonts w:ascii="Arial" w:cs="Arial" w:eastAsia="Arial" w:hAnsi="Arial"/>
          <w:sz w:val="21"/>
          <w:szCs w:val="21"/>
          <w:b w:val="1"/>
          <w:bCs w:val="1"/>
          <w:color w:val="auto"/>
        </w:rPr>
        <w:t>Indemnified Party</w:t>
      </w:r>
      <w:r>
        <w:rPr>
          <w:rFonts w:ascii="Arial" w:cs="Arial" w:eastAsia="Arial" w:hAnsi="Arial"/>
          <w:sz w:val="21"/>
          <w:szCs w:val="21"/>
          <w:color w:val="auto"/>
        </w:rPr>
        <w:t>”) shall</w:t>
      </w:r>
      <w:r>
        <w:rPr>
          <w:rFonts w:ascii="Arial" w:cs="Arial" w:eastAsia="Arial" w:hAnsi="Arial"/>
          <w:sz w:val="21"/>
          <w:szCs w:val="21"/>
          <w:b w:val="1"/>
          <w:bCs w:val="1"/>
          <w:color w:val="auto"/>
        </w:rPr>
        <w:t xml:space="preserve"> </w:t>
      </w:r>
      <w:r>
        <w:rPr>
          <w:rFonts w:ascii="Arial" w:cs="Arial" w:eastAsia="Arial" w:hAnsi="Arial"/>
          <w:sz w:val="21"/>
          <w:szCs w:val="21"/>
          <w:color w:val="auto"/>
        </w:rPr>
        <w:t>give written notice to the Party from whom indemnity is being sought (the “</w:t>
      </w:r>
      <w:r>
        <w:rPr>
          <w:rFonts w:ascii="Arial" w:cs="Arial" w:eastAsia="Arial" w:hAnsi="Arial"/>
          <w:sz w:val="21"/>
          <w:szCs w:val="21"/>
          <w:b w:val="1"/>
          <w:bCs w:val="1"/>
          <w:color w:val="auto"/>
        </w:rPr>
        <w:t>Indemnifying Party</w:t>
      </w:r>
      <w:r>
        <w:rPr>
          <w:rFonts w:ascii="Arial" w:cs="Arial" w:eastAsia="Arial" w:hAnsi="Arial"/>
          <w:sz w:val="21"/>
          <w:szCs w:val="21"/>
          <w:color w:val="auto"/>
        </w:rPr>
        <w:t>”) promptly after learning of such Claim. The Indemnified Party shall provide the Indemnifying Party with reasonable assistance, at the Indemnifying Party’s expense, in connection with the defense of the Claim for which indemnity is being sought and, if the Indemnified Party has assumed and is conducting the defense of the Claim, the Indemnifying Party shall provide the Indemnified Party with reasonable assistance, at the Indemnifying Party’s expense, in connection with the defense of the Claim for which the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So long as the Indemnifying Party is actively defending the Claim in good faith, the Indemnified Party shall not settle or compromise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7" w:name="page528"/>
    <w:bookmarkEnd w:id="527"/>
    <w:p>
      <w:pPr>
        <w:jc w:val="both"/>
        <w:spacing w:after="0" w:line="247" w:lineRule="auto"/>
        <w:rPr>
          <w:sz w:val="20"/>
          <w:szCs w:val="20"/>
          <w:color w:val="auto"/>
        </w:rPr>
      </w:pPr>
      <w:r>
        <w:rPr>
          <w:rFonts w:ascii="Arial" w:cs="Arial" w:eastAsia="Arial" w:hAnsi="Arial"/>
          <w:sz w:val="22"/>
          <w:szCs w:val="22"/>
          <w:color w:val="auto"/>
        </w:rPr>
        <w:t>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12.</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12.4 Limitation of Liability</w:t>
      </w:r>
      <w:r>
        <w:rPr>
          <w:rFonts w:ascii="Arial" w:cs="Arial" w:eastAsia="Arial" w:hAnsi="Arial"/>
          <w:sz w:val="22"/>
          <w:szCs w:val="22"/>
          <w:color w:val="auto"/>
        </w:rPr>
        <w:t>. NEITHER PARTY SHALL BE LIABLE TO THE OTHER FOR ANY SPECIAL,</w:t>
      </w:r>
      <w:r>
        <w:rPr>
          <w:rFonts w:ascii="Arial" w:cs="Arial" w:eastAsia="Arial" w:hAnsi="Arial"/>
          <w:sz w:val="22"/>
          <w:szCs w:val="22"/>
          <w:b w:val="1"/>
          <w:bCs w:val="1"/>
          <w:color w:val="auto"/>
        </w:rPr>
        <w:t xml:space="preserve"> </w:t>
      </w:r>
      <w:r>
        <w:rPr>
          <w:rFonts w:ascii="Arial" w:cs="Arial" w:eastAsia="Arial" w:hAnsi="Arial"/>
          <w:sz w:val="22"/>
          <w:szCs w:val="22"/>
          <w:color w:val="auto"/>
        </w:rPr>
        <w:t>CONSEQUENTIAL, INCIDENTAL, PUNITIVE, OR INDIRECT DAMAGES ARISING FROM OR RELATING TO ANY BREACH OF THIS AGREEMENT, REGARDLESS OF ANY NOTICE OF THE POSSIBILITY OF SUCH DAMAGES. NOTWITHSTANDING THE FOREGOING, NOTHING IN THIS SECTION 12.4 IS INTENDED TO OR SHALL LIMIT OR RESTRICT THE INDEMNIFICATION RIGHTS OR OBLIGATIONS OF ANY PARTY UNDER SECTION 12.1 OR 12.2 WITH RESPECT TO THIRD PARTY CLAIMS, OR DAMAGES AVAILABLE FOR A PARTY’S BREACH OF CONFIDENTIALITY OBLIGATIONS IN ARTICLE 13.</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12.5 Insurance</w:t>
      </w:r>
      <w:r>
        <w:rPr>
          <w:rFonts w:ascii="Arial" w:cs="Arial" w:eastAsia="Arial" w:hAnsi="Arial"/>
          <w:sz w:val="19"/>
          <w:szCs w:val="19"/>
          <w:color w:val="auto"/>
        </w:rPr>
        <w:t>. Each Party shall procure and maintain insurance, including Commercial General Liability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having product/completed operations coverage adequate to cover its obligations hereunder and consistent with normal business practices of prudent companies similarly situated at all times during which any Licensed Product is being clinically tested in human subjects or commercially distributed or sold by such Party and for a [***] period thereafter; provided that the foregoing obligation with respect to clinical activities shall apply to Molecular Partners only with respect to any Clinical Trial conducted by Molecular Partners. Each such Commercial General Liability insurance policy of a Party shall list the other Party as an additional insured. It is understood that such insurance shall not be construed to create a limit of either Party’s liability with respect to its indemnification obligations under this Article 12. Each Party shall provide the other Party with written evidence of such insurance upon request. Each Party shall provide the other Party with written notice at least [***] prior to the cancellation, non renewal or material change in such insurance.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9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13.1 Confidentiality</w:t>
      </w:r>
      <w:r>
        <w:rPr>
          <w:rFonts w:ascii="Arial" w:cs="Arial" w:eastAsia="Arial" w:hAnsi="Arial"/>
          <w:sz w:val="19"/>
          <w:szCs w:val="19"/>
          <w:color w:val="auto"/>
        </w:rPr>
        <w:t>. Each Party agrees that, during the Term and for a period of [***] thereafter, it shall keep</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The foregoing confidentiality and non-use obligations shall not apply to any portion of the other Party’s Confidential Information that the receiving Party can demonstrate by competent written proof:</w:t>
      </w:r>
    </w:p>
    <w:p>
      <w:pPr>
        <w:spacing w:after="0" w:line="150" w:lineRule="exact"/>
        <w:rPr>
          <w:sz w:val="20"/>
          <w:szCs w:val="20"/>
          <w:color w:val="auto"/>
        </w:rPr>
      </w:pPr>
    </w:p>
    <w:p>
      <w:pPr>
        <w:ind w:firstLine="1304"/>
        <w:spacing w:after="0" w:line="263" w:lineRule="auto"/>
        <w:tabs>
          <w:tab w:leader="none" w:pos="1777" w:val="left"/>
        </w:tabs>
        <w:numPr>
          <w:ilvl w:val="0"/>
          <w:numId w:val="488"/>
        </w:numPr>
        <w:rPr>
          <w:rFonts w:ascii="Arial" w:cs="Arial" w:eastAsia="Arial" w:hAnsi="Arial"/>
          <w:sz w:val="22"/>
          <w:szCs w:val="22"/>
          <w:b w:val="1"/>
          <w:bCs w:val="1"/>
          <w:color w:val="auto"/>
        </w:rPr>
      </w:pPr>
      <w:r>
        <w:rPr>
          <w:rFonts w:ascii="Arial" w:cs="Arial" w:eastAsia="Arial" w:hAnsi="Arial"/>
          <w:sz w:val="22"/>
          <w:szCs w:val="22"/>
          <w:color w:val="auto"/>
        </w:rPr>
        <w:t>was already known to the receiving Party or its Affiliate, other than under an obligation of confidentiality, at the time of disclosure by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8" w:name="page529"/>
    <w:bookmarkEnd w:id="528"/>
    <w:p>
      <w:pPr>
        <w:ind w:left="1780" w:hanging="476"/>
        <w:spacing w:after="0"/>
        <w:tabs>
          <w:tab w:leader="none" w:pos="1780" w:val="left"/>
        </w:tabs>
        <w:numPr>
          <w:ilvl w:val="0"/>
          <w:numId w:val="489"/>
        </w:numPr>
        <w:rPr>
          <w:rFonts w:ascii="Arial" w:cs="Arial" w:eastAsia="Arial" w:hAnsi="Arial"/>
          <w:sz w:val="19"/>
          <w:szCs w:val="19"/>
          <w:b w:val="1"/>
          <w:bCs w:val="1"/>
          <w:color w:val="auto"/>
        </w:rPr>
      </w:pPr>
      <w:r>
        <w:rPr>
          <w:rFonts w:ascii="Arial" w:cs="Arial" w:eastAsia="Arial" w:hAnsi="Arial"/>
          <w:sz w:val="19"/>
          <w:szCs w:val="19"/>
          <w:color w:val="auto"/>
        </w:rPr>
        <w:t>was generally available to the public or otherwise part of the public domain at the time of its disclosure to the</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receiving Party;</w:t>
      </w:r>
    </w:p>
    <w:p>
      <w:pPr>
        <w:spacing w:after="0" w:line="201" w:lineRule="exact"/>
        <w:rPr>
          <w:rFonts w:ascii="Arial" w:cs="Arial" w:eastAsia="Arial" w:hAnsi="Arial"/>
          <w:sz w:val="19"/>
          <w:szCs w:val="19"/>
          <w:b w:val="1"/>
          <w:bCs w:val="1"/>
          <w:color w:val="auto"/>
        </w:rPr>
      </w:pPr>
    </w:p>
    <w:p>
      <w:pPr>
        <w:ind w:firstLine="1304"/>
        <w:spacing w:after="0" w:line="263" w:lineRule="auto"/>
        <w:tabs>
          <w:tab w:leader="none" w:pos="1765" w:val="left"/>
        </w:tabs>
        <w:numPr>
          <w:ilvl w:val="0"/>
          <w:numId w:val="489"/>
        </w:numPr>
        <w:rPr>
          <w:rFonts w:ascii="Arial" w:cs="Arial" w:eastAsia="Arial" w:hAnsi="Arial"/>
          <w:sz w:val="22"/>
          <w:szCs w:val="22"/>
          <w:b w:val="1"/>
          <w:bCs w:val="1"/>
          <w:color w:val="auto"/>
        </w:rPr>
      </w:pPr>
      <w:r>
        <w:rPr>
          <w:rFonts w:ascii="Arial" w:cs="Arial" w:eastAsia="Arial" w:hAnsi="Arial"/>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74" w:lineRule="exact"/>
        <w:rPr>
          <w:rFonts w:ascii="Arial" w:cs="Arial" w:eastAsia="Arial" w:hAnsi="Arial"/>
          <w:sz w:val="22"/>
          <w:szCs w:val="22"/>
          <w:b w:val="1"/>
          <w:bCs w:val="1"/>
          <w:color w:val="auto"/>
        </w:rPr>
      </w:pPr>
    </w:p>
    <w:p>
      <w:pPr>
        <w:ind w:firstLine="1304"/>
        <w:spacing w:after="0" w:line="343" w:lineRule="auto"/>
        <w:tabs>
          <w:tab w:leader="none" w:pos="1830" w:val="left"/>
        </w:tabs>
        <w:numPr>
          <w:ilvl w:val="0"/>
          <w:numId w:val="489"/>
        </w:numPr>
        <w:rPr>
          <w:rFonts w:ascii="Arial" w:cs="Arial" w:eastAsia="Arial" w:hAnsi="Arial"/>
          <w:sz w:val="19"/>
          <w:szCs w:val="19"/>
          <w:b w:val="1"/>
          <w:bCs w:val="1"/>
          <w:color w:val="auto"/>
        </w:rPr>
      </w:pPr>
      <w:r>
        <w:rPr>
          <w:rFonts w:ascii="Arial" w:cs="Arial" w:eastAsia="Arial" w:hAnsi="Arial"/>
          <w:sz w:val="19"/>
          <w:szCs w:val="19"/>
          <w:color w:val="auto"/>
        </w:rPr>
        <w:t>was disclosed to the receiving Party or its Affiliate on a non-confidential basis by a Third Party who has a legal right to make such disclosure and who did not obtain such information directly or indirectly from the other Party; or</w:t>
      </w:r>
    </w:p>
    <w:p>
      <w:pPr>
        <w:spacing w:after="0" w:line="104" w:lineRule="exact"/>
        <w:rPr>
          <w:rFonts w:ascii="Arial" w:cs="Arial" w:eastAsia="Arial" w:hAnsi="Arial"/>
          <w:sz w:val="19"/>
          <w:szCs w:val="19"/>
          <w:b w:val="1"/>
          <w:bCs w:val="1"/>
          <w:color w:val="auto"/>
        </w:rPr>
      </w:pPr>
    </w:p>
    <w:p>
      <w:pPr>
        <w:ind w:firstLine="1304"/>
        <w:spacing w:after="0" w:line="287" w:lineRule="auto"/>
        <w:tabs>
          <w:tab w:leader="none" w:pos="1806" w:val="left"/>
        </w:tabs>
        <w:numPr>
          <w:ilvl w:val="0"/>
          <w:numId w:val="489"/>
        </w:numPr>
        <w:rPr>
          <w:rFonts w:ascii="Arial" w:cs="Arial" w:eastAsia="Arial" w:hAnsi="Arial"/>
          <w:sz w:val="21"/>
          <w:szCs w:val="21"/>
          <w:b w:val="1"/>
          <w:bCs w:val="1"/>
          <w:color w:val="auto"/>
        </w:rPr>
      </w:pPr>
      <w:r>
        <w:rPr>
          <w:rFonts w:ascii="Arial" w:cs="Arial" w:eastAsia="Arial" w:hAnsi="Arial"/>
          <w:sz w:val="21"/>
          <w:szCs w:val="21"/>
          <w:color w:val="auto"/>
        </w:rPr>
        <w:t>was independently discovered or developed by the receiving Party or its Affiliate without access to or aid, application or use of the other Party’s Confidential Information, as evidenced by a contemporaneous writing.</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Notwithstanding the definition of “Confidential Information” in Article 1 and anything to the contrary in this Agreement:</w:t>
      </w:r>
    </w:p>
    <w:p>
      <w:pPr>
        <w:spacing w:after="0" w:line="231" w:lineRule="exact"/>
        <w:rPr>
          <w:sz w:val="20"/>
          <w:szCs w:val="20"/>
          <w:color w:val="auto"/>
        </w:rPr>
      </w:pPr>
    </w:p>
    <w:p>
      <w:pPr>
        <w:jc w:val="both"/>
        <w:ind w:firstLine="1952"/>
        <w:spacing w:after="0" w:line="297" w:lineRule="auto"/>
        <w:tabs>
          <w:tab w:leader="none" w:pos="2404" w:val="left"/>
        </w:tabs>
        <w:numPr>
          <w:ilvl w:val="0"/>
          <w:numId w:val="490"/>
        </w:numPr>
        <w:rPr>
          <w:rFonts w:ascii="Arial" w:cs="Arial" w:eastAsia="Arial" w:hAnsi="Arial"/>
          <w:sz w:val="19"/>
          <w:szCs w:val="19"/>
          <w:b w:val="1"/>
          <w:bCs w:val="1"/>
          <w:color w:val="auto"/>
        </w:rPr>
      </w:pPr>
      <w:r>
        <w:rPr>
          <w:rFonts w:ascii="Arial" w:cs="Arial" w:eastAsia="Arial" w:hAnsi="Arial"/>
          <w:sz w:val="19"/>
          <w:szCs w:val="19"/>
          <w:color w:val="auto"/>
        </w:rPr>
        <w:t>the MP Core Inventions and MP Collaboration Results will be deemed the Confidential Information of Molecular Partners, and all other Information, including Allergan Core Inventions and AGN Collaboration Results, generated in connection with the Research Program or Commercialization, Development, or Manufacturing activities under this Agreement, whether generated by one or both Parties, shall be deemed to be Confidential Information of Allergan and Allergan shall be deemed to be the disclosing party with respect to such Confidential Information, but subject to the remainder of this Section 13.1;</w:t>
      </w:r>
    </w:p>
    <w:p>
      <w:pPr>
        <w:spacing w:after="0" w:line="146" w:lineRule="exact"/>
        <w:rPr>
          <w:rFonts w:ascii="Arial" w:cs="Arial" w:eastAsia="Arial" w:hAnsi="Arial"/>
          <w:sz w:val="19"/>
          <w:szCs w:val="19"/>
          <w:b w:val="1"/>
          <w:bCs w:val="1"/>
          <w:color w:val="auto"/>
        </w:rPr>
      </w:pPr>
    </w:p>
    <w:p>
      <w:pPr>
        <w:jc w:val="both"/>
        <w:ind w:firstLine="1952"/>
        <w:spacing w:after="0" w:line="250" w:lineRule="auto"/>
        <w:tabs>
          <w:tab w:leader="none" w:pos="2424" w:val="left"/>
        </w:tabs>
        <w:numPr>
          <w:ilvl w:val="0"/>
          <w:numId w:val="490"/>
        </w:numPr>
        <w:rPr>
          <w:rFonts w:ascii="Arial" w:cs="Arial" w:eastAsia="Arial" w:hAnsi="Arial"/>
          <w:sz w:val="22"/>
          <w:szCs w:val="22"/>
          <w:b w:val="1"/>
          <w:bCs w:val="1"/>
          <w:color w:val="auto"/>
        </w:rPr>
      </w:pPr>
      <w:r>
        <w:rPr>
          <w:rFonts w:ascii="Arial" w:cs="Arial" w:eastAsia="Arial" w:hAnsi="Arial"/>
          <w:sz w:val="22"/>
          <w:szCs w:val="22"/>
          <w:color w:val="auto"/>
        </w:rPr>
        <w:t>upon the expiration of the Research Term (or, if applicable, the Research Term Extension), Molecular Partners may use or disclose the AGN Collaboration Results licensed pursuant to Sections 4.9(c) and 4.10(b)(1)(B) (if applicable) solely to the extent reasonably necessary in order to practice the licenses granted pursuant to Sections 4.9(c) and 4.10(b)(1)(B) (if applicable);</w:t>
      </w:r>
    </w:p>
    <w:p>
      <w:pPr>
        <w:spacing w:after="0" w:line="187" w:lineRule="exact"/>
        <w:rPr>
          <w:rFonts w:ascii="Arial" w:cs="Arial" w:eastAsia="Arial" w:hAnsi="Arial"/>
          <w:sz w:val="22"/>
          <w:szCs w:val="22"/>
          <w:b w:val="1"/>
          <w:bCs w:val="1"/>
          <w:color w:val="auto"/>
        </w:rPr>
      </w:pPr>
    </w:p>
    <w:p>
      <w:pPr>
        <w:jc w:val="both"/>
        <w:ind w:firstLine="1952"/>
        <w:spacing w:after="0" w:line="248" w:lineRule="auto"/>
        <w:tabs>
          <w:tab w:leader="none" w:pos="2497" w:val="left"/>
        </w:tabs>
        <w:numPr>
          <w:ilvl w:val="0"/>
          <w:numId w:val="490"/>
        </w:numPr>
        <w:rPr>
          <w:rFonts w:ascii="Arial" w:cs="Arial" w:eastAsia="Arial" w:hAnsi="Arial"/>
          <w:sz w:val="22"/>
          <w:szCs w:val="22"/>
          <w:b w:val="1"/>
          <w:bCs w:val="1"/>
          <w:color w:val="auto"/>
        </w:rPr>
      </w:pPr>
      <w:r>
        <w:rPr>
          <w:rFonts w:ascii="Arial" w:cs="Arial" w:eastAsia="Arial" w:hAnsi="Arial"/>
          <w:sz w:val="22"/>
          <w:szCs w:val="22"/>
          <w:color w:val="auto"/>
        </w:rPr>
        <w:t>the Joint Collaboration Results will be deemed the Confidential Information of each Party, and each Party shall have the rights with respect thereto as expressly set forth herein, and shall have the right to use and practice such Information in connection with its exercise of such rights; provided, however, that any Joint Collaboration Results directly relating to Targets (other than [***]) or the pharmacology or biological roles of Targets (other than [***]) shall be deemed to be the Confidential Information of Allergan;</w:t>
      </w:r>
    </w:p>
    <w:p>
      <w:pPr>
        <w:spacing w:after="0" w:line="191" w:lineRule="exact"/>
        <w:rPr>
          <w:rFonts w:ascii="Arial" w:cs="Arial" w:eastAsia="Arial" w:hAnsi="Arial"/>
          <w:sz w:val="22"/>
          <w:szCs w:val="22"/>
          <w:b w:val="1"/>
          <w:bCs w:val="1"/>
          <w:color w:val="auto"/>
        </w:rPr>
      </w:pPr>
    </w:p>
    <w:p>
      <w:pPr>
        <w:jc w:val="both"/>
        <w:ind w:firstLine="1952"/>
        <w:spacing w:after="0" w:line="248" w:lineRule="auto"/>
        <w:tabs>
          <w:tab w:leader="none" w:pos="2593" w:val="left"/>
        </w:tabs>
        <w:numPr>
          <w:ilvl w:val="0"/>
          <w:numId w:val="490"/>
        </w:numPr>
        <w:rPr>
          <w:rFonts w:ascii="Arial" w:cs="Arial" w:eastAsia="Arial" w:hAnsi="Arial"/>
          <w:sz w:val="22"/>
          <w:szCs w:val="22"/>
          <w:b w:val="1"/>
          <w:bCs w:val="1"/>
          <w:color w:val="auto"/>
        </w:rPr>
      </w:pPr>
      <w:r>
        <w:rPr>
          <w:rFonts w:ascii="Arial" w:cs="Arial" w:eastAsia="Arial" w:hAnsi="Arial"/>
          <w:sz w:val="22"/>
          <w:szCs w:val="22"/>
          <w:color w:val="auto"/>
        </w:rPr>
        <w:t>during the Research Term, with respect to all MP Collaboration Results directly relating to any Collaboration Target (whether then current or former), and during the Research Term Extension, solely with respect to MP Collaboration Results directly relating to a RTE Collaboration Target or RTE Compound, Molecular Partners shall not disclose to any Third Party (except as necessary to conduct the Research Program in accordance with the terms of this Agreement) such MP Collaboration Results;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29" w:name="page530"/>
    <w:bookmarkEnd w:id="529"/>
    <w:p>
      <w:pPr>
        <w:jc w:val="both"/>
        <w:ind w:firstLine="1952"/>
        <w:spacing w:after="0" w:line="253" w:lineRule="auto"/>
        <w:tabs>
          <w:tab w:leader="none" w:pos="2452" w:val="left"/>
        </w:tabs>
        <w:numPr>
          <w:ilvl w:val="0"/>
          <w:numId w:val="491"/>
        </w:numPr>
        <w:rPr>
          <w:rFonts w:ascii="Arial" w:cs="Arial" w:eastAsia="Arial" w:hAnsi="Arial"/>
          <w:sz w:val="22"/>
          <w:szCs w:val="22"/>
          <w:b w:val="1"/>
          <w:bCs w:val="1"/>
          <w:color w:val="auto"/>
        </w:rPr>
      </w:pPr>
      <w:r>
        <w:rPr>
          <w:rFonts w:ascii="Arial" w:cs="Arial" w:eastAsia="Arial" w:hAnsi="Arial"/>
          <w:sz w:val="22"/>
          <w:szCs w:val="22"/>
          <w:color w:val="auto"/>
        </w:rPr>
        <w:t>during the term of any license under Section 4.3, Molecular Partners shall not disclose to any Third Party (except as necessary to conduct its obligations under this Agreement) any MP Collaboration Results directly related to the Licensed Products.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(but subject to clauses (i) through (v) above), the exceptions set forth in subsections (a) and (e) shall not apply to Information generated during or resulting from the Research Program or generated or resulting from the Commercialization, Development, or Manufacturing activities under this Agreement, whether generated by one or both Parties, which Information shall be deemed Confidential Information of Allergan regardless of whether such Information satisfies the criteria set forth in one or both subsections (unless other treatment is expressly set forth in clauses (i) through (v) above).</w:t>
      </w:r>
    </w:p>
    <w:p>
      <w:pPr>
        <w:spacing w:after="0" w:line="14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Authorized Disclosure</w:t>
      </w:r>
      <w:r>
        <w:rPr>
          <w:rFonts w:ascii="Arial" w:cs="Arial" w:eastAsia="Arial" w:hAnsi="Arial"/>
          <w:sz w:val="19"/>
          <w:szCs w:val="19"/>
          <w:color w:val="auto"/>
        </w:rPr>
        <w:t>. Notwithstanding the obligations set forth in Section 13.1, a Party may disclose the other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Party’s Confidential Information and the terms of this Agreement to the extent:</w:t>
      </w:r>
    </w:p>
    <w:p>
      <w:pPr>
        <w:spacing w:after="0" w:line="202" w:lineRule="exact"/>
        <w:rPr>
          <w:sz w:val="20"/>
          <w:szCs w:val="20"/>
          <w:color w:val="auto"/>
        </w:rPr>
      </w:pPr>
    </w:p>
    <w:p>
      <w:pPr>
        <w:jc w:val="both"/>
        <w:ind w:firstLine="1304"/>
        <w:spacing w:after="0" w:line="253" w:lineRule="auto"/>
        <w:tabs>
          <w:tab w:leader="none" w:pos="1804" w:val="left"/>
        </w:tabs>
        <w:numPr>
          <w:ilvl w:val="0"/>
          <w:numId w:val="492"/>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(i) to comply with the requirements of Regulatory Authorities with respect to obtaining and maintaining Regulatory Approval of a Licensed Product; or (ii) for prosecuting or defending litigation as contemplated by this Agreement;</w:t>
      </w:r>
    </w:p>
    <w:p>
      <w:pPr>
        <w:spacing w:after="0" w:line="185" w:lineRule="exact"/>
        <w:rPr>
          <w:rFonts w:ascii="Arial" w:cs="Arial" w:eastAsia="Arial" w:hAnsi="Arial"/>
          <w:sz w:val="22"/>
          <w:szCs w:val="22"/>
          <w:b w:val="1"/>
          <w:bCs w:val="1"/>
          <w:color w:val="auto"/>
        </w:rPr>
      </w:pPr>
    </w:p>
    <w:p>
      <w:pPr>
        <w:jc w:val="both"/>
        <w:ind w:firstLine="1304"/>
        <w:spacing w:after="0" w:line="250" w:lineRule="auto"/>
        <w:tabs>
          <w:tab w:leader="none" w:pos="1938" w:val="left"/>
        </w:tabs>
        <w:numPr>
          <w:ilvl w:val="0"/>
          <w:numId w:val="492"/>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its employees, agents, consultants, 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w:t>
      </w:r>
    </w:p>
    <w:p>
      <w:pPr>
        <w:spacing w:after="0" w:line="187" w:lineRule="exact"/>
        <w:rPr>
          <w:rFonts w:ascii="Arial" w:cs="Arial" w:eastAsia="Arial" w:hAnsi="Arial"/>
          <w:sz w:val="22"/>
          <w:szCs w:val="22"/>
          <w:b w:val="1"/>
          <w:bCs w:val="1"/>
          <w:color w:val="auto"/>
        </w:rPr>
      </w:pPr>
    </w:p>
    <w:p>
      <w:pPr>
        <w:jc w:val="both"/>
        <w:ind w:firstLine="1304"/>
        <w:spacing w:after="0" w:line="297" w:lineRule="auto"/>
        <w:tabs>
          <w:tab w:leader="none" w:pos="1752" w:val="left"/>
        </w:tabs>
        <w:numPr>
          <w:ilvl w:val="0"/>
          <w:numId w:val="492"/>
        </w:numPr>
        <w:rPr>
          <w:rFonts w:ascii="Arial" w:cs="Arial" w:eastAsia="Arial" w:hAnsi="Arial"/>
          <w:sz w:val="19"/>
          <w:szCs w:val="19"/>
          <w:b w:val="1"/>
          <w:bCs w:val="1"/>
          <w:color w:val="auto"/>
        </w:rPr>
      </w:pPr>
      <w:r>
        <w:rPr>
          <w:rFonts w:ascii="Arial" w:cs="Arial" w:eastAsia="Arial" w:hAnsi="Arial"/>
          <w:sz w:val="19"/>
          <w:szCs w:val="19"/>
          <w:color w:val="auto"/>
        </w:rPr>
        <w:t>such disclosure is reasonably necessary to any bona fide potential or actual investor, acquiror, merger partner, licensee, sublicensee, or other financial or commercial partner for the sole purpose of evaluating an actual or potential investment, acquisition or other business relationship; provided that in connection with such disclosure, such Party shall use all reasonable efforts to inform each disclosee of the confidential nature of such Confidential Information and, in each case, the disclosees are bound by written obligations of confidentiality and non-use consistent with those contained in this Agreement; or</w:t>
      </w:r>
    </w:p>
    <w:p>
      <w:pPr>
        <w:spacing w:after="0" w:line="146" w:lineRule="exact"/>
        <w:rPr>
          <w:rFonts w:ascii="Arial" w:cs="Arial" w:eastAsia="Arial" w:hAnsi="Arial"/>
          <w:sz w:val="19"/>
          <w:szCs w:val="19"/>
          <w:b w:val="1"/>
          <w:bCs w:val="1"/>
          <w:color w:val="auto"/>
        </w:rPr>
      </w:pPr>
    </w:p>
    <w:p>
      <w:pPr>
        <w:ind w:firstLine="1304"/>
        <w:spacing w:after="0" w:line="263" w:lineRule="auto"/>
        <w:tabs>
          <w:tab w:leader="none" w:pos="1803" w:val="left"/>
        </w:tabs>
        <w:numPr>
          <w:ilvl w:val="0"/>
          <w:numId w:val="492"/>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comply with applicable Laws, including regulations promulgated by applicable security exchanges, court order, administrative subpoena or order.</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the foregoing, in the event a Party is required to make a disclosure of the other Party’s Confidential Information pursuant to Section 13.2(a) or 13.2(d), such Party shall promptly notify the other Party of such required disclosure and shall use reasonable efforts to obtain, or to assist the other Party in obtaining, a protective order preventing or limiting the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30" w:name="page531"/>
    <w:bookmarkEnd w:id="530"/>
    <w:p>
      <w:pPr>
        <w:jc w:val="both"/>
        <w:ind w:firstLine="648"/>
        <w:spacing w:after="0" w:line="285" w:lineRule="auto"/>
        <w:rPr>
          <w:sz w:val="20"/>
          <w:szCs w:val="20"/>
          <w:color w:val="auto"/>
        </w:rPr>
      </w:pPr>
      <w:r>
        <w:rPr>
          <w:rFonts w:ascii="Arial" w:cs="Arial" w:eastAsia="Arial" w:hAnsi="Arial"/>
          <w:sz w:val="19"/>
          <w:szCs w:val="19"/>
          <w:b w:val="1"/>
          <w:bCs w:val="1"/>
          <w:color w:val="auto"/>
        </w:rPr>
        <w:t>13.3 Technical Publication</w:t>
      </w:r>
      <w:r>
        <w:rPr>
          <w:rFonts w:ascii="Arial" w:cs="Arial" w:eastAsia="Arial" w:hAnsi="Arial"/>
          <w:sz w:val="19"/>
          <w:szCs w:val="19"/>
          <w:color w:val="auto"/>
        </w:rPr>
        <w:t>. Neither Party may publish peer reviewed manuscripts, or give other forms of public</w:t>
      </w:r>
      <w:r>
        <w:rPr>
          <w:rFonts w:ascii="Arial" w:cs="Arial" w:eastAsia="Arial" w:hAnsi="Arial"/>
          <w:sz w:val="19"/>
          <w:szCs w:val="19"/>
          <w:b w:val="1"/>
          <w:bCs w:val="1"/>
          <w:color w:val="auto"/>
        </w:rPr>
        <w:t xml:space="preserve"> </w:t>
      </w:r>
      <w:r>
        <w:rPr>
          <w:rFonts w:ascii="Arial" w:cs="Arial" w:eastAsia="Arial" w:hAnsi="Arial"/>
          <w:sz w:val="19"/>
          <w:szCs w:val="19"/>
          <w:color w:val="auto"/>
        </w:rPr>
        <w:t>disclosure such as abstracts and presentations, of results of studies carried out under this Agreement, without the opportunity for prior review by the other Party, and subject to this Section 13.3, below, except to the extent required by applicable Laws. No publication shall include the other Party’s Confidential Information without the prior written consent of such other Party. A Party seeking publication shall provide the other Party the opportunity to review and comment on any proposed publication that relates to, during the Research Term or any Research Term Extension, any Product Candidate, any AGN DARPin Domain, or any MP DARPin Domain (other than any MP DARPin Domain for [***]) and, during any other portion of the Term, any Licensed Compound or Licensed Product, at least [***] prior to its intended submission for publication. The other Party shall provide the Party seeking publication with its comments in writing, if any, within [***] after receipt of such proposed publication. The Party seeking publication shall consider in good faith any comments thereto provided by the other Party and shall comply with the other Party’s request to remove any and all of such other Party’s Confidential Information from the proposed publication. In addition, the Party seeking publication shall delay the submission for a period up to [***] in the event that the other Party can demonstrate reasonable need for such delay, including the preparation and filing of a patent application (or, in the case that Molecular Partners is seeking publication and Allergan has a compelling business justification, for a longer period reasonably selected by Allergan). If the other Party fails to provide its comments to the Party seeking publication within such [***] period, such other Party shall be deemed not to have any comments, and the Party seeking publication shall be free to publish in accordance with this Section 13.3 after the [***] period has elapsed; provided that such publication does not include Confidential Information of the other Party. The Party seeking publication shall provide the other Party a copy of the manuscript at the time of the submission. Each Party agrees to acknowledge the contributions of the other Party and its employees in all publications as scientifically appropriate.</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Publicity; Terms of this Agreement</w:t>
      </w:r>
      <w:r>
        <w:rPr>
          <w:rFonts w:ascii="Arial" w:cs="Arial" w:eastAsia="Arial" w:hAnsi="Arial"/>
          <w:sz w:val="19"/>
          <w:szCs w:val="19"/>
          <w:color w:val="auto"/>
        </w:rPr>
        <w:t>.</w:t>
      </w:r>
    </w:p>
    <w:p>
      <w:pPr>
        <w:spacing w:after="0" w:line="226" w:lineRule="exact"/>
        <w:rPr>
          <w:sz w:val="20"/>
          <w:szCs w:val="20"/>
          <w:color w:val="auto"/>
        </w:rPr>
      </w:pPr>
    </w:p>
    <w:p>
      <w:pPr>
        <w:ind w:firstLine="1304"/>
        <w:spacing w:after="0" w:line="263" w:lineRule="auto"/>
        <w:tabs>
          <w:tab w:leader="none" w:pos="1791" w:val="left"/>
        </w:tabs>
        <w:numPr>
          <w:ilvl w:val="0"/>
          <w:numId w:val="493"/>
        </w:numPr>
        <w:rPr>
          <w:rFonts w:ascii="Arial" w:cs="Arial" w:eastAsia="Arial" w:hAnsi="Arial"/>
          <w:sz w:val="22"/>
          <w:szCs w:val="22"/>
          <w:b w:val="1"/>
          <w:bCs w:val="1"/>
          <w:color w:val="auto"/>
        </w:rPr>
      </w:pPr>
      <w:r>
        <w:rPr>
          <w:rFonts w:ascii="Arial" w:cs="Arial" w:eastAsia="Arial" w:hAnsi="Arial"/>
          <w:sz w:val="22"/>
          <w:szCs w:val="22"/>
          <w:color w:val="auto"/>
        </w:rPr>
        <w:t>The Parties agree that the material terms of this Agreement are the Confidential Information of both Parties, subject to the special authorized disclosure provisions set forth in this Section 13.4.</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789" w:val="left"/>
        </w:tabs>
        <w:numPr>
          <w:ilvl w:val="0"/>
          <w:numId w:val="493"/>
        </w:numPr>
        <w:rPr>
          <w:rFonts w:ascii="Arial" w:cs="Arial" w:eastAsia="Arial" w:hAnsi="Arial"/>
          <w:sz w:val="22"/>
          <w:szCs w:val="22"/>
          <w:b w:val="1"/>
          <w:bCs w:val="1"/>
          <w:color w:val="auto"/>
        </w:rPr>
      </w:pPr>
      <w:r>
        <w:rPr>
          <w:rFonts w:ascii="Arial" w:cs="Arial" w:eastAsia="Arial" w:hAnsi="Arial"/>
          <w:sz w:val="22"/>
          <w:szCs w:val="22"/>
          <w:color w:val="auto"/>
        </w:rPr>
        <w:t xml:space="preserve">The Parties shall make a joint public announcement of the execution of this Agreement in the form attached as </w:t>
      </w:r>
      <w:r>
        <w:rPr>
          <w:rFonts w:ascii="Arial" w:cs="Arial" w:eastAsia="Arial" w:hAnsi="Arial"/>
          <w:sz w:val="22"/>
          <w:szCs w:val="22"/>
          <w:u w:val="single" w:color="auto"/>
          <w:color w:val="auto"/>
        </w:rPr>
        <w:t>Exhibit H</w:t>
      </w:r>
      <w:r>
        <w:rPr>
          <w:rFonts w:ascii="Arial" w:cs="Arial" w:eastAsia="Arial" w:hAnsi="Arial"/>
          <w:sz w:val="22"/>
          <w:szCs w:val="22"/>
          <w:color w:val="auto"/>
        </w:rPr>
        <w:t>, which shall be issued on or promptly after the Effective Date.</w:t>
      </w:r>
    </w:p>
    <w:p>
      <w:pPr>
        <w:spacing w:after="0" w:line="174" w:lineRule="exact"/>
        <w:rPr>
          <w:rFonts w:ascii="Arial" w:cs="Arial" w:eastAsia="Arial" w:hAnsi="Arial"/>
          <w:sz w:val="22"/>
          <w:szCs w:val="22"/>
          <w:b w:val="1"/>
          <w:bCs w:val="1"/>
          <w:color w:val="auto"/>
        </w:rPr>
      </w:pPr>
    </w:p>
    <w:p>
      <w:pPr>
        <w:jc w:val="both"/>
        <w:ind w:firstLine="1304"/>
        <w:spacing w:after="0" w:line="247" w:lineRule="auto"/>
        <w:tabs>
          <w:tab w:leader="none" w:pos="1833" w:val="left"/>
        </w:tabs>
        <w:numPr>
          <w:ilvl w:val="0"/>
          <w:numId w:val="493"/>
        </w:numPr>
        <w:rPr>
          <w:rFonts w:ascii="Arial" w:cs="Arial" w:eastAsia="Arial" w:hAnsi="Arial"/>
          <w:sz w:val="22"/>
          <w:szCs w:val="22"/>
          <w:b w:val="1"/>
          <w:bCs w:val="1"/>
          <w:color w:val="auto"/>
        </w:rPr>
      </w:pPr>
      <w:r>
        <w:rPr>
          <w:rFonts w:ascii="Arial" w:cs="Arial" w:eastAsia="Arial" w:hAnsi="Arial"/>
          <w:sz w:val="22"/>
          <w:szCs w:val="22"/>
          <w:color w:val="auto"/>
        </w:rPr>
        <w:t>After release of such press release, if either Party desires to make a public announcement concerning the material terms of this Agreement, such Party shall give reasonable prior advance notice of the proposed text of such announcement to the other Party for its prior review and approval (except as otherwise provided herein). A Party commenting on such a proposed press release shall provide its comments, if any, within [***] after receiving the press release for review. Notwithstanding the foregoing, a Party shall have the right to make a public announcement or press release announcing the achievement of each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531" w:name="page532"/>
    <w:bookmarkEnd w:id="531"/>
    <w:p>
      <w:pPr>
        <w:jc w:val="both"/>
        <w:spacing w:after="0" w:line="289" w:lineRule="auto"/>
        <w:rPr>
          <w:sz w:val="20"/>
          <w:szCs w:val="20"/>
          <w:color w:val="auto"/>
        </w:rPr>
      </w:pPr>
      <w:r>
        <w:rPr>
          <w:rFonts w:ascii="Arial" w:cs="Arial" w:eastAsia="Arial" w:hAnsi="Arial"/>
          <w:sz w:val="19"/>
          <w:szCs w:val="19"/>
          <w:color w:val="auto"/>
        </w:rPr>
        <w:t>development milestone event set forth in Section 9.4 (excluding, for clarity, the [***]) as it is achieved, and the achievement of other Regulatory Approvals in the Territory as they occur either (i) with the consent of the other Party (not to be unreasonably withheld); (ii) where required by applicable Laws or regulations promulgated by an applicable security exchange; or (iii) as permitted under Section 13.2. Except as provided in this subsection (c) or permitted under Section 13.2, no press release shall include the other Party’s Confidential Information without the prior written consent of such other Party. In relation to the other Party’s review of such an announcement, such other Party may make specific, reasonable comments on such proposed press release within the prescribed time for commentary. Neither Party shall be required to seek the permission of the other Party to repeat any information regarding the terms of this Agreement that has already been publicly disclosed by such Party, or by the other Party, in accordance with this Section 13.4, provided such information remains accurate as of such time.</w:t>
      </w:r>
    </w:p>
    <w:p>
      <w:pPr>
        <w:spacing w:after="0" w:line="157" w:lineRule="exact"/>
        <w:rPr>
          <w:sz w:val="20"/>
          <w:szCs w:val="20"/>
          <w:color w:val="auto"/>
        </w:rPr>
      </w:pPr>
    </w:p>
    <w:p>
      <w:pPr>
        <w:jc w:val="both"/>
        <w:ind w:firstLine="1304"/>
        <w:spacing w:after="0" w:line="287" w:lineRule="auto"/>
        <w:tabs>
          <w:tab w:leader="none" w:pos="1830" w:val="left"/>
        </w:tabs>
        <w:numPr>
          <w:ilvl w:val="0"/>
          <w:numId w:val="494"/>
        </w:numPr>
        <w:rPr>
          <w:rFonts w:ascii="Arial" w:cs="Arial" w:eastAsia="Arial" w:hAnsi="Arial"/>
          <w:sz w:val="19"/>
          <w:szCs w:val="19"/>
          <w:b w:val="1"/>
          <w:bCs w:val="1"/>
          <w:color w:val="auto"/>
        </w:rPr>
      </w:pPr>
      <w:r>
        <w:rPr>
          <w:rFonts w:ascii="Arial" w:cs="Arial" w:eastAsia="Arial" w:hAnsi="Arial"/>
          <w:sz w:val="19"/>
          <w:szCs w:val="19"/>
          <w:color w:val="auto"/>
        </w:rPr>
        <w:t>The Parties acknowledge that either or both Parties may be obligated to file a copy of this Agreement and summaries of the terms hereof with the U.S. Securities and Exchange Commission or other Governmental Authority as reasonably required to comply with applicable Laws or the rules of a nationally-recognized securities exchange. Each Party shall be entitled to make such filings, provided that it requests confidential treatment of the commercial terms and sensitive technical terms hereof and thereof to the extent such confidential treatment is reasonably available to such Party; provided that the foregoing obligation to request confidential treatment shall not apply with respect to any disclosure of this Agreement by either Party to the U.S. Internal Revenue Service or similar Governmental Authority outside the U.S. In the event of any such filing, each Party will provide the other Party with a copy of this Agreement and related filings marked to show provisions for which such Party intends to seek confidential treatment and shall reasonably consider and incorporate the other Party’s comments thereon to the extent consistent with the legal requirements and the rules of any nationally recognized securities exchange, with respect to the filing Party, governing disclosure of material agreements and material information to be publicly filed.</w:t>
      </w:r>
    </w:p>
    <w:p>
      <w:pPr>
        <w:spacing w:after="0" w:line="15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13.5 Equitable Relief</w:t>
      </w:r>
      <w:r>
        <w:rPr>
          <w:rFonts w:ascii="Arial" w:cs="Arial" w:eastAsia="Arial" w:hAnsi="Arial"/>
          <w:sz w:val="19"/>
          <w:szCs w:val="19"/>
          <w:color w:val="auto"/>
        </w:rPr>
        <w:t>. Each Party acknowledges that its breach of this Article 13 may cause irreparable harm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which cannot be reasonably or adequately compensated in damages in an action at law. By reasons thereof, each Party agrees that the other Party shall be entitled, in addition to any other remedies it may have under this Agreement or otherwise, to seek preliminary and permanent injunctive and other equitable relief to prevent or curtail any actual or threatened breach of the obligations relating to Confidential Information set forth in this Article 13 by the other Party.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14.1 Term</w:t>
      </w:r>
      <w:r>
        <w:rPr>
          <w:rFonts w:ascii="Arial" w:cs="Arial" w:eastAsia="Arial" w:hAnsi="Arial"/>
          <w:sz w:val="22"/>
          <w:szCs w:val="22"/>
          <w:color w:val="auto"/>
        </w:rPr>
        <w:t>. This Agreement shall become effective on the Effective Date and, unless earlier terminated pursuant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14, shall remain in effect during the Research Term or any Research Term Extension and, thereafter, on a Licensed Product-by-Licensed Product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32" w:name="page533"/>
    <w:bookmarkEnd w:id="532"/>
    <w:p>
      <w:pPr>
        <w:spacing w:after="0"/>
        <w:rPr>
          <w:sz w:val="20"/>
          <w:szCs w:val="20"/>
          <w:color w:val="auto"/>
        </w:rPr>
      </w:pPr>
      <w:r>
        <w:rPr>
          <w:rFonts w:ascii="Arial" w:cs="Arial" w:eastAsia="Arial" w:hAnsi="Arial"/>
          <w:sz w:val="21"/>
          <w:szCs w:val="21"/>
          <w:color w:val="auto"/>
        </w:rPr>
        <w:t>country-by-country basis, until the expiration of the Royalty Term for such Licensed Product in such country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231"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14.2 Termination by Allergan during Research Term</w:t>
      </w:r>
      <w:r>
        <w:rPr>
          <w:rFonts w:ascii="Arial" w:cs="Arial" w:eastAsia="Arial" w:hAnsi="Arial"/>
          <w:sz w:val="19"/>
          <w:szCs w:val="19"/>
          <w:color w:val="auto"/>
        </w:rPr>
        <w:t>. During the Research Term or any Research Term Extension,</w:t>
      </w:r>
      <w:r>
        <w:rPr>
          <w:rFonts w:ascii="Arial" w:cs="Arial" w:eastAsia="Arial" w:hAnsi="Arial"/>
          <w:sz w:val="19"/>
          <w:szCs w:val="19"/>
          <w:b w:val="1"/>
          <w:bCs w:val="1"/>
          <w:color w:val="auto"/>
        </w:rPr>
        <w:t xml:space="preserve"> </w:t>
      </w:r>
      <w:r>
        <w:rPr>
          <w:rFonts w:ascii="Arial" w:cs="Arial" w:eastAsia="Arial" w:hAnsi="Arial"/>
          <w:sz w:val="19"/>
          <w:szCs w:val="19"/>
          <w:color w:val="auto"/>
        </w:rPr>
        <w:t>Allergan may terminate this Agreement in its entirety upon at least [***] prior written notice to Molecular Partners.</w:t>
      </w:r>
    </w:p>
    <w:p>
      <w:pPr>
        <w:spacing w:after="0" w:line="9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14.3 Termination for Breach</w:t>
      </w:r>
      <w:r>
        <w:rPr>
          <w:rFonts w:ascii="Arial" w:cs="Arial" w:eastAsia="Arial" w:hAnsi="Arial"/>
          <w:sz w:val="19"/>
          <w:szCs w:val="19"/>
          <w:color w:val="auto"/>
        </w:rPr>
        <w:t>. Each Party (the “</w:t>
      </w:r>
      <w:r>
        <w:rPr>
          <w:rFonts w:ascii="Arial" w:cs="Arial" w:eastAsia="Arial" w:hAnsi="Arial"/>
          <w:sz w:val="19"/>
          <w:szCs w:val="19"/>
          <w:b w:val="1"/>
          <w:bCs w:val="1"/>
          <w:color w:val="auto"/>
        </w:rPr>
        <w:t>Non-Breaching Party</w:t>
      </w:r>
      <w:r>
        <w:rPr>
          <w:rFonts w:ascii="Arial" w:cs="Arial" w:eastAsia="Arial" w:hAnsi="Arial"/>
          <w:sz w:val="19"/>
          <w:szCs w:val="19"/>
          <w:color w:val="auto"/>
        </w:rPr>
        <w:t>”) shall have the right, without prejudice to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remedies available to it at law or in equity, to terminate this Agreement in its entirety upon written notice to the other Party if the other Party materially breaches its obligations under this Agreement and, after receiving written notice identifying such material breach in reasonable detail, fails to cure such material breach, or if such material breach is not susceptible to cure within the Cure Period, fails to deliver to the Non-Breaching Party a written plan that is reasonably calculated to resolve such material breach, within [***] from the date of such notice (or within [***] from the date of such notice in the event such material breach is solely based on the breaching Party’s failure to pay any undisputed amounts due hereunder) (the “</w:t>
      </w:r>
      <w:r>
        <w:rPr>
          <w:rFonts w:ascii="Arial" w:cs="Arial" w:eastAsia="Arial" w:hAnsi="Arial"/>
          <w:sz w:val="19"/>
          <w:szCs w:val="19"/>
          <w:b w:val="1"/>
          <w:bCs w:val="1"/>
          <w:color w:val="auto"/>
        </w:rPr>
        <w:t>Cure Period</w:t>
      </w:r>
      <w:r>
        <w:rPr>
          <w:rFonts w:ascii="Arial" w:cs="Arial" w:eastAsia="Arial" w:hAnsi="Arial"/>
          <w:sz w:val="19"/>
          <w:szCs w:val="19"/>
          <w:color w:val="auto"/>
        </w:rPr>
        <w:t>”). If the Parties reasonably and in good faith disagree as to whether there has been a material breach, the Party that disputes that there has been a material breach may contest the allegation in accordance with Article 15. It is understood and acknowledged that, during the pendency of such a Dispute, the Cure Period shall be extended by the period of time of such pendency, all of the terms and conditions of this Agreement shall remain in effect, and the Parties shall continue to perform all of their respective obligations under this Agreement. If in connection with such Dispute brought under Article 15, an arbitrator determines that Allergan has materially breached its obligations under Section 5.3 or 7.2 or asserts a patent challenge pursuant to Section 14.4 that is not permitted under Section 14.4, then this Agreement shall terminate and the consequences of Section 14.5 shall apply. In the case of material breach of this Agreement by Allergan other that covered by the foregoing sentence, then the arbitrator may terminate this Agreement if Molecular Partners does not have a reasonable remedy for all damages resulting from such material breach or the character, frequency, nature and extent of such breach (including the culpability of the Parties) supports termination of this Agreement as an appropriate remedy. Nothing in this Section 14.3 shall limit a Party’s ability to seek remedies available under this Agreement in law or equity.</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14.4 Termination for Patent Challenge</w:t>
      </w:r>
      <w:r>
        <w:rPr>
          <w:rFonts w:ascii="Arial" w:cs="Arial" w:eastAsia="Arial" w:hAnsi="Arial"/>
          <w:sz w:val="19"/>
          <w:szCs w:val="19"/>
          <w:color w:val="auto"/>
        </w:rPr>
        <w:t>. Molecular Partners may terminate this Agreement in its entirety immediately</w:t>
      </w:r>
      <w:r>
        <w:rPr>
          <w:rFonts w:ascii="Arial" w:cs="Arial" w:eastAsia="Arial" w:hAnsi="Arial"/>
          <w:sz w:val="19"/>
          <w:szCs w:val="19"/>
          <w:b w:val="1"/>
          <w:bCs w:val="1"/>
          <w:color w:val="auto"/>
        </w:rPr>
        <w:t xml:space="preserve"> </w:t>
      </w:r>
      <w:r>
        <w:rPr>
          <w:rFonts w:ascii="Arial" w:cs="Arial" w:eastAsia="Arial" w:hAnsi="Arial"/>
          <w:sz w:val="19"/>
          <w:szCs w:val="19"/>
          <w:color w:val="auto"/>
        </w:rPr>
        <w:t>upon written notice to Allergan if Allergan or its Affiliates or Sublicensees (directly or indirectly, individually or in association with any other person or entity) challenges the validity, enforceability or scope of any Molecular Partners Patent anywhere in the world. Notwithstanding the foregoing, in the event that Molecular Partners (directly or indirectly) first initiates or participates in a legal proceeding against Allergan, its Affiliates or Sublicensees in which the Patents within the Molecular Partners Patents are asserted against Allergan, its Affiliates or Sublicensees, then Allergan, its Affiliates or Sublicensees, as applicable, shall have the right to participate in such actions including by challenging the validity, enforceability or scope of any Molecular Partners Patent, and no such challenge by Allergan, its Affiliates or Sublicensees shall give Molecular Partners the right to terminate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533" w:name="page534"/>
    <w:bookmarkEnd w:id="533"/>
    <w:p>
      <w:pPr>
        <w:spacing w:after="0" w:line="263" w:lineRule="auto"/>
        <w:rPr>
          <w:sz w:val="20"/>
          <w:szCs w:val="20"/>
          <w:color w:val="auto"/>
        </w:rPr>
      </w:pPr>
      <w:r>
        <w:rPr>
          <w:rFonts w:ascii="Arial" w:cs="Arial" w:eastAsia="Arial" w:hAnsi="Arial"/>
          <w:sz w:val="22"/>
          <w:szCs w:val="22"/>
          <w:color w:val="auto"/>
        </w:rPr>
        <w:t>Agreement under this Section 14.4, except to the extent Allergan has sublicensed rights with respect to a Terminated Product to a Sublicensee pursuant to Section 4.5.</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b w:val="1"/>
          <w:bCs w:val="1"/>
          <w:color w:val="auto"/>
        </w:rPr>
        <w:t>Consequences of Termination</w:t>
      </w:r>
      <w:r>
        <w:rPr>
          <w:rFonts w:ascii="Arial" w:cs="Arial" w:eastAsia="Arial" w:hAnsi="Arial"/>
          <w:sz w:val="19"/>
          <w:szCs w:val="19"/>
          <w:color w:val="auto"/>
        </w:rPr>
        <w:t>.</w:t>
      </w:r>
    </w:p>
    <w:p>
      <w:pPr>
        <w:spacing w:after="0" w:line="226" w:lineRule="exact"/>
        <w:rPr>
          <w:sz w:val="20"/>
          <w:szCs w:val="20"/>
          <w:color w:val="auto"/>
        </w:rPr>
      </w:pPr>
    </w:p>
    <w:p>
      <w:pPr>
        <w:ind w:firstLine="1304"/>
        <w:spacing w:after="0" w:line="287" w:lineRule="auto"/>
        <w:tabs>
          <w:tab w:leader="none" w:pos="1764" w:val="left"/>
        </w:tabs>
        <w:numPr>
          <w:ilvl w:val="0"/>
          <w:numId w:val="495"/>
        </w:numPr>
        <w:rPr>
          <w:rFonts w:ascii="Arial" w:cs="Arial" w:eastAsia="Arial" w:hAnsi="Arial"/>
          <w:sz w:val="21"/>
          <w:szCs w:val="21"/>
          <w:b w:val="1"/>
          <w:bCs w:val="1"/>
          <w:color w:val="auto"/>
        </w:rPr>
      </w:pPr>
      <w:r>
        <w:rPr>
          <w:rFonts w:ascii="Arial" w:cs="Arial" w:eastAsia="Arial" w:hAnsi="Arial"/>
          <w:sz w:val="21"/>
          <w:szCs w:val="21"/>
          <w:color w:val="auto"/>
        </w:rPr>
        <w:t>Upon any termination of this Agreement pursuant to Section 14.2, 14.3, or 14.4, except as otherwise set forth in Section 14.6, all licenses and rights granted by either Party under this Agreement shall terminate.</w:t>
      </w:r>
    </w:p>
    <w:p>
      <w:pPr>
        <w:spacing w:after="0" w:line="151" w:lineRule="exact"/>
        <w:rPr>
          <w:rFonts w:ascii="Arial" w:cs="Arial" w:eastAsia="Arial" w:hAnsi="Arial"/>
          <w:sz w:val="21"/>
          <w:szCs w:val="21"/>
          <w:b w:val="1"/>
          <w:bCs w:val="1"/>
          <w:color w:val="auto"/>
        </w:rPr>
      </w:pPr>
    </w:p>
    <w:p>
      <w:pPr>
        <w:jc w:val="both"/>
        <w:ind w:firstLine="1304"/>
        <w:spacing w:after="0" w:line="265" w:lineRule="auto"/>
        <w:tabs>
          <w:tab w:leader="none" w:pos="1870" w:val="left"/>
        </w:tabs>
        <w:numPr>
          <w:ilvl w:val="0"/>
          <w:numId w:val="495"/>
        </w:numPr>
        <w:rPr>
          <w:rFonts w:ascii="Arial" w:cs="Arial" w:eastAsia="Arial" w:hAnsi="Arial"/>
          <w:sz w:val="21"/>
          <w:szCs w:val="21"/>
          <w:b w:val="1"/>
          <w:bCs w:val="1"/>
          <w:color w:val="auto"/>
        </w:rPr>
      </w:pPr>
      <w:r>
        <w:rPr>
          <w:rFonts w:ascii="Arial" w:cs="Arial" w:eastAsia="Arial" w:hAnsi="Arial"/>
          <w:sz w:val="21"/>
          <w:szCs w:val="21"/>
          <w:color w:val="auto"/>
        </w:rPr>
        <w:t>Upon any termination of this Agreement by Molecular Partners pursuant to Section 14.3 in the event an arbitrator determines pursuant to Section 14.3 that Allergan has materially breached its obligations under Section 5.3 or 7.2 or asserts a patent challenge pursuant to Section 14.4 that is not permitted under Section 14.4, the provisions of Sections 4.10(b)(i) and (ii) shall apply with respect to each Licensed Product at the time of such termination.</w:t>
      </w:r>
    </w:p>
    <w:p>
      <w:pPr>
        <w:spacing w:after="0" w:line="175" w:lineRule="exact"/>
        <w:rPr>
          <w:rFonts w:ascii="Arial" w:cs="Arial" w:eastAsia="Arial" w:hAnsi="Arial"/>
          <w:sz w:val="21"/>
          <w:szCs w:val="21"/>
          <w:b w:val="1"/>
          <w:bCs w:val="1"/>
          <w:color w:val="auto"/>
        </w:rPr>
      </w:pPr>
    </w:p>
    <w:p>
      <w:pPr>
        <w:jc w:val="both"/>
        <w:ind w:firstLine="1304"/>
        <w:spacing w:after="0" w:line="302" w:lineRule="auto"/>
        <w:tabs>
          <w:tab w:leader="none" w:pos="1995" w:val="left"/>
        </w:tabs>
        <w:numPr>
          <w:ilvl w:val="0"/>
          <w:numId w:val="495"/>
        </w:numPr>
        <w:rPr>
          <w:rFonts w:ascii="Arial" w:cs="Arial" w:eastAsia="Arial" w:hAnsi="Arial"/>
          <w:sz w:val="19"/>
          <w:szCs w:val="19"/>
          <w:b w:val="1"/>
          <w:bCs w:val="1"/>
          <w:color w:val="auto"/>
        </w:rPr>
      </w:pPr>
      <w:r>
        <w:rPr>
          <w:rFonts w:ascii="Arial" w:cs="Arial" w:eastAsia="Arial" w:hAnsi="Arial"/>
          <w:sz w:val="19"/>
          <w:szCs w:val="19"/>
          <w:color w:val="auto"/>
        </w:rPr>
        <w:t>Upon any termination of this Agreement by Allergan pursuant to Section 14.2, in addition to the consequences provided elsewhere in this Agreement, the provisions of Section 4.9 shall apply as if such termination was the expiration of the Research Term. Upon any termination of this Agreement by Allergan pursuant to and in accordance with Section 14.3 for breach by Molecular Partners, the provisions of Section 4.9 following such termination shall not apply.</w:t>
      </w:r>
    </w:p>
    <w:p>
      <w:pPr>
        <w:spacing w:after="0" w:line="13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14.6 Survival</w:t>
      </w:r>
      <w:r>
        <w:rPr>
          <w:rFonts w:ascii="Arial" w:cs="Arial" w:eastAsia="Arial" w:hAnsi="Arial"/>
          <w:sz w:val="21"/>
          <w:szCs w:val="21"/>
          <w:color w:val="auto"/>
        </w:rPr>
        <w:t>. Termination or expiration of this Agreement shall not affect any rights or obligations of the Parties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that have accrued prior to the date of termination or expiration. Notwithstanding anything to the contrary, the following provisions shall survive any expiration or termination of this Agreement: Articles 1, 12, 13 (for the period set forth in Section 13.1), 15, and 16 and Sections 2.10, 2.12, 2.13, 2.14, 2.16, 3.5, 3.6, 4.6, 4.7, 4.9, 4.10, 4.11, 4.12, 5.7(f), 9.8, 9.9, 9.10, 9.11 (each such listed section in Article 9 to the extent applicable to payments (a) accrued prior to the effective date of such termination or expiration and payable by Allergan under Article 9 or (b) payable under Section 4.10(c) or 4.11, as applicable), 9.12, 9.13, 10.1, 10.2, 10.3(b), 11.5, 14.5 (as applicable), 14.6, and 14.7.</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14.7 No Limitation on Remedies</w:t>
      </w:r>
      <w:r>
        <w:rPr>
          <w:rFonts w:ascii="Arial" w:cs="Arial" w:eastAsia="Arial" w:hAnsi="Arial"/>
          <w:sz w:val="21"/>
          <w:szCs w:val="21"/>
          <w:color w:val="auto"/>
        </w:rPr>
        <w:t>. Notwithstanding anything to the contrary in this Agreement, termination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of this Agreement shall not relieve the Parties of any liability or obligation which accrued hereunder prior to the effective date of such termination or expiration nor prejudice either Party’s right to obtain performance of any obligation. Subject to the terms and conditions of this Agreement, each Party shall be free to seek (without restriction as to the number of times it may seek) damages, costs and remedies that may be available at Law or in equity and shall be entitled to offset the amount of any damages and costs obtained in a final, non-appealable judgment (or judgment from which no appeal was taken within the allowable time period) of monetary damages or costs (as permitted by this Agreement) against the other Party against any amounts otherwise due to such other Party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34" w:name="page535"/>
    <w:bookmarkEnd w:id="534"/>
    <w:p>
      <w:pPr>
        <w:jc w:val="center"/>
        <w:spacing w:after="0"/>
        <w:rPr>
          <w:sz w:val="20"/>
          <w:szCs w:val="20"/>
          <w:color w:val="auto"/>
        </w:rPr>
      </w:pPr>
      <w:r>
        <w:rPr>
          <w:rFonts w:ascii="Arial" w:cs="Arial" w:eastAsia="Arial" w:hAnsi="Arial"/>
          <w:sz w:val="22"/>
          <w:szCs w:val="22"/>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1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15.1 Disputes</w:t>
      </w:r>
      <w:r>
        <w:rPr>
          <w:rFonts w:ascii="Arial" w:cs="Arial" w:eastAsia="Arial" w:hAnsi="Arial"/>
          <w:sz w:val="21"/>
          <w:szCs w:val="21"/>
          <w:color w:val="auto"/>
        </w:rPr>
        <w:t>. The Parties recognize that controversies or claims arising out of, relating to or in connection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of this Agreement as to certain matters may from time to time arise that relate to either Party’s rights or obligations hereunder (collectively, “</w:t>
      </w:r>
      <w:r>
        <w:rPr>
          <w:rFonts w:ascii="Arial" w:cs="Arial" w:eastAsia="Arial" w:hAnsi="Arial"/>
          <w:sz w:val="21"/>
          <w:szCs w:val="21"/>
          <w:b w:val="1"/>
          <w:bCs w:val="1"/>
          <w:color w:val="auto"/>
        </w:rPr>
        <w:t>Disputes</w:t>
      </w:r>
      <w:r>
        <w:rPr>
          <w:rFonts w:ascii="Arial" w:cs="Arial" w:eastAsia="Arial" w:hAnsi="Arial"/>
          <w:sz w:val="21"/>
          <w:szCs w:val="21"/>
          <w:color w:val="auto"/>
        </w:rPr>
        <w:t>”). It is the objective of the Parties to establish procedures to facilitate the resolution of Disputes in an expedient manner by mutual cooperation and without resort to litigation. To accomplish this objective, the Parties agree to follow the procedures set forth in this Article 15 to resolve any Dispute.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15.2 Internal Resolution</w:t>
      </w:r>
      <w:r>
        <w:rPr>
          <w:rFonts w:ascii="Arial" w:cs="Arial" w:eastAsia="Arial" w:hAnsi="Arial"/>
          <w:sz w:val="19"/>
          <w:szCs w:val="19"/>
          <w:color w:val="auto"/>
        </w:rPr>
        <w:t>. With respect to all Disputes, including any alleged breach under this Agreement or any issue</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interpretation or application of this Agreement, if the Parties are unable to resolve such Dispute within [***] after such Dispute is first identified by either Party in writing to the other, the Parties shall refer such Dispute to the Executive Officers of the Parties for attempted resolution by good faith negotiations within [***] after such notice is received, including at least one</w:t>
      </w:r>
    </w:p>
    <w:p>
      <w:pPr>
        <w:spacing w:after="0" w:line="1" w:lineRule="exact"/>
        <w:rPr>
          <w:sz w:val="20"/>
          <w:szCs w:val="20"/>
          <w:color w:val="auto"/>
        </w:rPr>
      </w:pPr>
    </w:p>
    <w:p>
      <w:pPr>
        <w:jc w:val="both"/>
        <w:ind w:firstLine="8"/>
        <w:spacing w:after="0" w:line="245" w:lineRule="auto"/>
        <w:tabs>
          <w:tab w:leader="none" w:pos="315" w:val="left"/>
        </w:tabs>
        <w:numPr>
          <w:ilvl w:val="0"/>
          <w:numId w:val="496"/>
        </w:numPr>
        <w:rPr>
          <w:rFonts w:ascii="Arial" w:cs="Arial" w:eastAsia="Arial" w:hAnsi="Arial"/>
          <w:sz w:val="22"/>
          <w:szCs w:val="22"/>
          <w:color w:val="auto"/>
        </w:rPr>
      </w:pPr>
      <w:r>
        <w:rPr>
          <w:rFonts w:ascii="Arial" w:cs="Arial" w:eastAsia="Arial" w:hAnsi="Arial"/>
          <w:sz w:val="22"/>
          <w:szCs w:val="22"/>
          <w:color w:val="auto"/>
        </w:rPr>
        <w:t>in-person meeting of the Executive Officers within [***] after such notice is received. Each Party may, in its sole discretion, seek resolution of any and all Disputes that are not resolved under this Section 15.2 within such [***] period in accordance with Section 15.3.</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15.3 Submission to Arbitration for Resolution</w:t>
      </w:r>
      <w:r>
        <w:rPr>
          <w:rFonts w:ascii="Arial" w:cs="Arial" w:eastAsia="Arial" w:hAnsi="Arial"/>
          <w:sz w:val="19"/>
          <w:szCs w:val="19"/>
          <w:color w:val="auto"/>
        </w:rPr>
        <w:t>. If the Executive Officers are not able to resolve such dispute 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them under Section 15.2 within such [***] period, then such dispute shall be finally resolved by final and binding arbitration conducted in accordance with the terms of this Section 15.3. The arbitration will be held in New York, New York, USA according to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Commercial Arbitration Rules then in effect. The arbitration will be conducted by a panel of three (3) independent arbitrators with significant experience in the pharmaceutical industry, unless otherwise agreed by the Parties, appointed in accordance with applicable AAA rules. Any arbitration herewith will be conducted in the English language to the maximum extent possible. The arbitrators will be instructed not to award any punitive or special damages and the Parties will take all reasonable actions (including to an expedited discovery and hearing schedule) to conclude the arbitration as promptly as possible. The arbitrator shall be required to render a written decision no later than [***] following the selection of the arbitrator, including a basis for any damages awarded and a statement of how the damages were calculated; provided that such time period may be extended by the Parties or upon petition to extend such time period to avoid manifest injustice. Any award will be immediately paid in Dollars free of any tax, deduction or offset. Each Party agrees to abide by the award rendered in any arbitration conducted pursuant to this Section 15.3. With respect to money damages, nothing contained herein will be construed to permit the arbitrator or any court or any other forum to award punitive or exemplary damages. By entering into this agreement to arbitrate, the Parties expressly waive any claim for punitive or exemplary damages. Each Party will pay its legal fees and costs related to the arbitration (including witness and expert fees). Judgment on the award so rendered will be final and may be entered in any court having jurisdiction thereof. The Parties further hereby irrevocably and unconditionally waive any objection to the laying of venue of an arbitration proceeding initiated under this Section 15.3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1" w:right="339" w:bottom="1440" w:gutter="0" w:footer="0" w:header="0"/>
        </w:sectPr>
      </w:pPr>
    </w:p>
    <w:bookmarkStart w:id="535" w:name="page536"/>
    <w:bookmarkEnd w:id="535"/>
    <w:p>
      <w:pPr>
        <w:jc w:val="both"/>
        <w:spacing w:after="0" w:line="302" w:lineRule="auto"/>
        <w:rPr>
          <w:sz w:val="20"/>
          <w:szCs w:val="20"/>
          <w:color w:val="auto"/>
        </w:rPr>
      </w:pPr>
      <w:r>
        <w:rPr>
          <w:rFonts w:ascii="Arial" w:cs="Arial" w:eastAsia="Arial" w:hAnsi="Arial"/>
          <w:sz w:val="19"/>
          <w:szCs w:val="19"/>
          <w:color w:val="auto"/>
        </w:rPr>
        <w:t>New York, New York, U.S., and hereby further irrevocably and unconditionally waive and agree not to plead or claim that any such action, suit or proceeding brought in any such court has been brought in an inconvenient forum. Each Party further agrees that service of any process, summons, notice or document by registered mail to its address set forth in Section 16.4 shall be effective service of process for any action, suit or proceeding brought against it under this Agreement in any such court.</w:t>
      </w:r>
    </w:p>
    <w:p>
      <w:pPr>
        <w:spacing w:after="0" w:line="1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15.4 Preliminary Injunctions</w:t>
      </w:r>
      <w:r>
        <w:rPr>
          <w:rFonts w:ascii="Arial" w:cs="Arial" w:eastAsia="Arial" w:hAnsi="Arial"/>
          <w:sz w:val="22"/>
          <w:szCs w:val="22"/>
          <w:color w:val="auto"/>
        </w:rPr>
        <w:t>. Notwithstanding anything in this Agreement to the contrary, a Party may,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seek a temporary restraining order or a preliminary injunction from any court of competent jurisdiction in order to prevent immediate and irreparable injury, loss, or damage on a provisional basis, pending the decision of the arbitrator(s) on the ultimate merits of any dispute.</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15.5 Patent Disputes</w:t>
      </w:r>
      <w:r>
        <w:rPr>
          <w:rFonts w:ascii="Arial" w:cs="Arial" w:eastAsia="Arial" w:hAnsi="Arial"/>
          <w:sz w:val="21"/>
          <w:szCs w:val="21"/>
          <w:color w:val="auto"/>
        </w:rPr>
        <w:t>. Notwithstanding anything in this Agreement to the contrary, any and all issues regarding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validity and enforceability of any patent in a country within the Territory (“</w:t>
      </w:r>
      <w:r>
        <w:rPr>
          <w:rFonts w:ascii="Arial" w:cs="Arial" w:eastAsia="Arial" w:hAnsi="Arial"/>
          <w:sz w:val="21"/>
          <w:szCs w:val="21"/>
          <w:b w:val="1"/>
          <w:bCs w:val="1"/>
          <w:color w:val="auto"/>
        </w:rPr>
        <w:t>Patent Matters</w:t>
      </w:r>
      <w:r>
        <w:rPr>
          <w:rFonts w:ascii="Arial" w:cs="Arial" w:eastAsia="Arial" w:hAnsi="Arial"/>
          <w:sz w:val="21"/>
          <w:szCs w:val="21"/>
          <w:color w:val="auto"/>
        </w:rPr>
        <w:t>”) shall be determined in a court or other tribunal, as the case may be, of competent jurisdiction under the applicable patent laws of such country. If such Dispute involves both Patent Matters and other matters, the arbitrators will have the right to stay the arbitration until determination of Patent Matters material to the resolution of the Dispute as to other matters is resolved.</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15.6 Confidentiality</w:t>
      </w:r>
      <w:r>
        <w:rPr>
          <w:rFonts w:ascii="Arial" w:cs="Arial" w:eastAsia="Arial" w:hAnsi="Arial"/>
          <w:sz w:val="22"/>
          <w:szCs w:val="22"/>
          <w:color w:val="auto"/>
        </w:rPr>
        <w:t>. Any and all activities conducted under Sections 15.1 through 15.3, including without limitation</w:t>
      </w:r>
      <w:r>
        <w:rPr>
          <w:rFonts w:ascii="Arial" w:cs="Arial" w:eastAsia="Arial" w:hAnsi="Arial"/>
          <w:sz w:val="22"/>
          <w:szCs w:val="22"/>
          <w:b w:val="1"/>
          <w:bCs w:val="1"/>
          <w:color w:val="auto"/>
        </w:rPr>
        <w:t xml:space="preserve"> </w:t>
      </w:r>
      <w:r>
        <w:rPr>
          <w:rFonts w:ascii="Arial" w:cs="Arial" w:eastAsia="Arial" w:hAnsi="Arial"/>
          <w:sz w:val="22"/>
          <w:szCs w:val="22"/>
          <w:color w:val="auto"/>
        </w:rPr>
        <w:t>any and all proceedings and decisions of arbitrator(s) under Section 15.3, shall be deemed Confidential Information of each of the Parties, and shall be subject to Article 13.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16.1 English Language; Governing Law</w:t>
      </w:r>
      <w:r>
        <w:rPr>
          <w:rFonts w:ascii="Arial" w:cs="Arial" w:eastAsia="Arial" w:hAnsi="Arial"/>
          <w:sz w:val="19"/>
          <w:szCs w:val="19"/>
          <w:color w:val="auto"/>
        </w:rPr>
        <w:t>. This Agreement was prepared in the English language, which language shall</w:t>
      </w:r>
      <w:r>
        <w:rPr>
          <w:rFonts w:ascii="Arial" w:cs="Arial" w:eastAsia="Arial" w:hAnsi="Arial"/>
          <w:sz w:val="19"/>
          <w:szCs w:val="19"/>
          <w:b w:val="1"/>
          <w:bCs w:val="1"/>
          <w:color w:val="auto"/>
        </w:rPr>
        <w:t xml:space="preserve"> </w:t>
      </w:r>
      <w:r>
        <w:rPr>
          <w:rFonts w:ascii="Arial" w:cs="Arial" w:eastAsia="Arial" w:hAnsi="Arial"/>
          <w:sz w:val="19"/>
          <w:szCs w:val="19"/>
          <w:color w:val="auto"/>
        </w:rPr>
        <w:t>govern the interpretation of, and any dispute regarding, the terms of this Agreement. This Agreement and all disputes arising out of or related to this Agreement or any breach hereof shall be governed by and construed under the laws of the State of New York, USA (as permitted by Section 5-1401 of the New York General Obligations Law, or any similar successor provision), without giving effect to any choice of law principles that would require the application of the laws of a different jurisdiction.</w:t>
      </w:r>
    </w:p>
    <w:p>
      <w:pPr>
        <w:spacing w:after="0" w:line="1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16.2 Entire Agreement; Amendment</w:t>
      </w:r>
      <w:r>
        <w:rPr>
          <w:rFonts w:ascii="Arial" w:cs="Arial" w:eastAsia="Arial" w:hAnsi="Arial"/>
          <w:sz w:val="19"/>
          <w:szCs w:val="19"/>
          <w:color w:val="auto"/>
        </w:rPr>
        <w:t>. This Agreement, including the Exhibits hereto, sets forth the complete, final and</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agreement and all the covenants, promises, agreements, warranties, representations, conditions and understandings between the Parties with respect to the subject matter hereof and supersedes, as of the Effective Date, all prior and contemporaneous agreements and understandings between the Parties with respect to the subject matter hereof, including the Confidentiality Agreement and that certain Materials Transfer Agreement by and among Molecular Partners and Allergan, Inc., dated August 9, 2012; provided that nothing in this Agreement shall amend or supersede the MP0112 Agreement or the MP0260 Agreement. Other than as contemplated by Section 2.8 or Section 2.17, no subsequent alteration,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36" w:name="page537"/>
    <w:bookmarkEnd w:id="536"/>
    <w:p>
      <w:pPr>
        <w:jc w:val="both"/>
        <w:spacing w:after="0" w:line="263" w:lineRule="auto"/>
        <w:rPr>
          <w:sz w:val="20"/>
          <w:szCs w:val="20"/>
          <w:color w:val="auto"/>
        </w:rPr>
      </w:pPr>
      <w:r>
        <w:rPr>
          <w:rFonts w:ascii="Arial" w:cs="Arial" w:eastAsia="Arial" w:hAnsi="Arial"/>
          <w:sz w:val="22"/>
          <w:szCs w:val="22"/>
          <w:color w:val="auto"/>
        </w:rPr>
        <w:t>amendment, change or addition to this Agreement shall be binding upon the Parties unless reduced to writing and signed by an authorized officer of each Party.</w:t>
      </w:r>
    </w:p>
    <w:p>
      <w:pPr>
        <w:spacing w:after="0" w:line="16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16.3 Force Majeure</w:t>
      </w:r>
      <w:r>
        <w:rPr>
          <w:rFonts w:ascii="Arial" w:cs="Arial" w:eastAsia="Arial" w:hAnsi="Arial"/>
          <w:sz w:val="19"/>
          <w:szCs w:val="19"/>
          <w:color w:val="auto"/>
        </w:rPr>
        <w:t>. Both Parties shall be excused from the performance of their obligations under this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terrorist act, labor strike or lock-out, epidemic, and fire, earthquake, storm, release of radioactive material into the environment, or like catastrophe. Notwithstanding the foregoing, a Party shall not be excused from making payments owed hereunder because of a force majeure affecting such Party. If a force majeure persists for more than [***], then the Parties will discuss in good faith the modification of the Parties’ obligations under this Agreement in order to mitigate the delays caused by such force majeure.</w:t>
      </w:r>
    </w:p>
    <w:p>
      <w:pPr>
        <w:spacing w:after="0" w:line="1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16.4 Notices</w:t>
      </w:r>
      <w:r>
        <w:rPr>
          <w:rFonts w:ascii="Arial" w:cs="Arial" w:eastAsia="Arial" w:hAnsi="Arial"/>
          <w:sz w:val="19"/>
          <w:szCs w:val="19"/>
          <w:color w:val="auto"/>
        </w:rPr>
        <w:t>. Any notice required or permitted to be given under this Agreement shall be in writing, shall specifically</w:t>
      </w:r>
      <w:r>
        <w:rPr>
          <w:rFonts w:ascii="Arial" w:cs="Arial" w:eastAsia="Arial" w:hAnsi="Arial"/>
          <w:sz w:val="19"/>
          <w:szCs w:val="19"/>
          <w:b w:val="1"/>
          <w:bCs w:val="1"/>
          <w:color w:val="auto"/>
        </w:rPr>
        <w:t xml:space="preserve"> </w:t>
      </w:r>
      <w:r>
        <w:rPr>
          <w:rFonts w:ascii="Arial" w:cs="Arial" w:eastAsia="Arial" w:hAnsi="Arial"/>
          <w:sz w:val="19"/>
          <w:szCs w:val="19"/>
          <w:color w:val="auto"/>
        </w:rPr>
        <w:t>refer to this Agreement, and shall be addressed to the appropriate Party at the address specified below or such other address as may be specified by such Party in writing in accordance with this Section 16.4, and shall be deemed to have been given for all purposes (a) when received, if hand-delivered or sent by confirmed facsimile or a reputable courier service, or (b) [***] after mailing, if mailed by first class certified or registered airmail, postage prepaid, return receipt requested.</w:t>
      </w:r>
    </w:p>
    <w:p>
      <w:pPr>
        <w:sectPr>
          <w:pgSz w:w="11900" w:h="16838" w:orient="portrait"/>
          <w:cols w:equalWidth="0" w:num="1">
            <w:col w:w="11240"/>
          </w:cols>
          <w:pgMar w:left="320" w:top="1427" w:right="339" w:bottom="1440" w:gutter="0" w:footer="0" w:header="0"/>
        </w:sectPr>
      </w:pPr>
    </w:p>
    <w:p>
      <w:pPr>
        <w:spacing w:after="0" w:line="1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Molecular Partners: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Molecular Partners AG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Wagistrasse 11a 8952</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Zürich-Schlieren, Switzerland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Attn: [***]</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w:t>
      </w:r>
    </w:p>
    <w:p>
      <w:pPr>
        <w:spacing w:after="0" w:line="200" w:lineRule="exact"/>
        <w:rPr>
          <w:sz w:val="20"/>
          <w:szCs w:val="20"/>
          <w:color w:val="auto"/>
        </w:rPr>
      </w:pPr>
    </w:p>
    <w:p>
      <w:pPr>
        <w:sectPr>
          <w:pgSz w:w="11900" w:h="16838" w:orient="portrait"/>
          <w:cols w:equalWidth="0" w:num="2">
            <w:col w:w="2780" w:space="460"/>
            <w:col w:w="8000"/>
          </w:cols>
          <w:pgMar w:left="320" w:top="1427" w:right="3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With a copy to (which shall not constitute notice):</w:t>
      </w:r>
    </w:p>
    <w:p>
      <w:pPr>
        <w:spacing w:after="0" w:line="27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Cooley LLP</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One Freedom Square</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Reston Town Center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11951 Freedom Drive</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Reston, VA 20190-5656</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Attn: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Fax: [***]</w:t>
      </w:r>
    </w:p>
    <w:p>
      <w:pPr>
        <w:sectPr>
          <w:pgSz w:w="11900" w:h="16838" w:orient="portrait"/>
          <w:cols w:equalWidth="0" w:num="1">
            <w:col w:w="11240"/>
          </w:cols>
          <w:pgMar w:left="320" w:top="1427" w:right="339" w:bottom="1440" w:gutter="0" w:footer="0" w:header="0"/>
          <w:type w:val="continuous"/>
        </w:sect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Allergan: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Allergan, Inc.</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9"/>
          <w:szCs w:val="19"/>
          <w:color w:val="auto"/>
        </w:rPr>
        <w:t>2525 Dupont Drive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Irvine, CA 92612</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Attn: [***]</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color w:val="auto"/>
        </w:rPr>
        <w:t>Fax: [***]</w:t>
      </w:r>
    </w:p>
    <w:p>
      <w:pPr>
        <w:spacing w:after="0" w:line="200" w:lineRule="exact"/>
        <w:rPr>
          <w:sz w:val="20"/>
          <w:szCs w:val="20"/>
          <w:color w:val="auto"/>
        </w:rPr>
      </w:pPr>
    </w:p>
    <w:p>
      <w:pPr>
        <w:sectPr>
          <w:pgSz w:w="11900" w:h="16838" w:orient="portrait"/>
          <w:cols w:equalWidth="0" w:num="2">
            <w:col w:w="2500" w:space="720"/>
            <w:col w:w="8020"/>
          </w:cols>
          <w:pgMar w:left="320" w:top="14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Confidential</w:t>
      </w:r>
    </w:p>
    <w:p>
      <w:pPr>
        <w:sectPr>
          <w:pgSz w:w="11900" w:h="16838" w:orient="portrait"/>
          <w:cols w:equalWidth="0" w:num="1">
            <w:col w:w="11240"/>
          </w:cols>
          <w:pgMar w:left="320" w:top="1427" w:right="339" w:bottom="1440" w:gutter="0" w:footer="0" w:header="0"/>
          <w:type w:val="continuous"/>
        </w:sectPr>
      </w:pPr>
    </w:p>
    <w:bookmarkStart w:id="537" w:name="page538"/>
    <w:bookmarkEnd w:id="537"/>
    <w:p>
      <w:pPr>
        <w:ind w:left="660"/>
        <w:spacing w:after="0"/>
        <w:rPr>
          <w:sz w:val="20"/>
          <w:szCs w:val="20"/>
          <w:color w:val="auto"/>
        </w:rPr>
      </w:pPr>
      <w:r>
        <w:rPr>
          <w:rFonts w:ascii="Arial" w:cs="Arial" w:eastAsia="Arial" w:hAnsi="Arial"/>
          <w:sz w:val="22"/>
          <w:szCs w:val="22"/>
          <w:color w:val="auto"/>
        </w:rPr>
        <w:t>With a copy to (which shall not constitute notice):</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Gibson, Dunn &amp; Crutcher LLP</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1881 Page Mill Road</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Palo Alto, CA 94304</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Attn: [***]</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Fax: [***]</w:t>
      </w:r>
    </w:p>
    <w:p>
      <w:pPr>
        <w:spacing w:after="0" w:line="1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16.5 No Strict Construction; Headings</w:t>
      </w:r>
      <w:r>
        <w:rPr>
          <w:rFonts w:ascii="Arial" w:cs="Arial" w:eastAsia="Arial" w:hAnsi="Arial"/>
          <w:sz w:val="21"/>
          <w:szCs w:val="21"/>
          <w:color w:val="auto"/>
        </w:rPr>
        <w:t>. This Agreement has been prepared jointly by the Parties and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The use of any gender shall be applicable to all genders. The word “or” is used in the inclusive sense (and/or). The term “including” means “including without limitation,” without limiting the generality of any description preceding such term. The term “shall” means “will”.</w:t>
      </w:r>
    </w:p>
    <w:p>
      <w:pPr>
        <w:spacing w:after="0" w:line="17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26" w:lineRule="exact"/>
        <w:rPr>
          <w:sz w:val="20"/>
          <w:szCs w:val="20"/>
          <w:color w:val="auto"/>
        </w:rPr>
      </w:pPr>
    </w:p>
    <w:p>
      <w:pPr>
        <w:jc w:val="both"/>
        <w:ind w:firstLine="1304"/>
        <w:spacing w:after="0" w:line="259" w:lineRule="auto"/>
        <w:tabs>
          <w:tab w:leader="none" w:pos="1791" w:val="left"/>
        </w:tabs>
        <w:numPr>
          <w:ilvl w:val="0"/>
          <w:numId w:val="497"/>
        </w:numPr>
        <w:rPr>
          <w:rFonts w:ascii="Arial" w:cs="Arial" w:eastAsia="Arial" w:hAnsi="Arial"/>
          <w:sz w:val="21"/>
          <w:szCs w:val="21"/>
          <w:b w:val="1"/>
          <w:bCs w:val="1"/>
          <w:color w:val="auto"/>
        </w:rPr>
      </w:pPr>
      <w:r>
        <w:rPr>
          <w:rFonts w:ascii="Arial" w:cs="Arial" w:eastAsia="Arial" w:hAnsi="Arial"/>
          <w:sz w:val="21"/>
          <w:szCs w:val="21"/>
          <w:color w:val="auto"/>
        </w:rPr>
        <w:t>Neither Party may assign or transfer this Agreement or any rights or obligations hereunder without the prior written consent of the other Party, except that a Party may make such an assignment or transfer without the other Party’s consent to (i) an Affiliate (for so long as such entity remains an Affiliate) or (ii) a Third Party in connection with a Change of Control of such Party (such Third Party, an “</w:t>
      </w:r>
      <w:r>
        <w:rPr>
          <w:rFonts w:ascii="Arial" w:cs="Arial" w:eastAsia="Arial" w:hAnsi="Arial"/>
          <w:sz w:val="21"/>
          <w:szCs w:val="21"/>
          <w:b w:val="1"/>
          <w:bCs w:val="1"/>
          <w:color w:val="auto"/>
        </w:rPr>
        <w:t>Acquiror</w:t>
      </w:r>
      <w:r>
        <w:rPr>
          <w:rFonts w:ascii="Arial" w:cs="Arial" w:eastAsia="Arial" w:hAnsi="Arial"/>
          <w:sz w:val="21"/>
          <w:szCs w:val="21"/>
          <w:color w:val="auto"/>
        </w:rPr>
        <w:t>”). Any successor or assignee of rights or obligations permitted hereunder shall, in writing to the other Party, expressly assume performance of such rights or obligations. Any permitted assignment shall be binding on the successors of the assigning Party. Notwithstanding the foregoing, neither Party shall assign this Agreement unless it simultaneously assigns or transfers the JSC Agreement or the rights and obligations under the JSC Agreement then applicable to this Agreement, if any. Any assignment or attempted assignment by either Party in violation of the terms of this Section 16.6 shall be null, void and of no legal effect.</w:t>
      </w:r>
    </w:p>
    <w:p>
      <w:pPr>
        <w:spacing w:after="0" w:line="179" w:lineRule="exact"/>
        <w:rPr>
          <w:rFonts w:ascii="Arial" w:cs="Arial" w:eastAsia="Arial" w:hAnsi="Arial"/>
          <w:sz w:val="21"/>
          <w:szCs w:val="21"/>
          <w:b w:val="1"/>
          <w:bCs w:val="1"/>
          <w:color w:val="auto"/>
        </w:rPr>
      </w:pPr>
    </w:p>
    <w:p>
      <w:pPr>
        <w:jc w:val="both"/>
        <w:ind w:firstLine="1304"/>
        <w:spacing w:after="0" w:line="292" w:lineRule="auto"/>
        <w:tabs>
          <w:tab w:leader="none" w:pos="1857" w:val="left"/>
        </w:tabs>
        <w:numPr>
          <w:ilvl w:val="0"/>
          <w:numId w:val="497"/>
        </w:numPr>
        <w:rPr>
          <w:rFonts w:ascii="Arial" w:cs="Arial" w:eastAsia="Arial" w:hAnsi="Arial"/>
          <w:sz w:val="19"/>
          <w:szCs w:val="19"/>
          <w:b w:val="1"/>
          <w:bCs w:val="1"/>
          <w:color w:val="auto"/>
        </w:rPr>
      </w:pPr>
      <w:r>
        <w:rPr>
          <w:rFonts w:ascii="Arial" w:cs="Arial" w:eastAsia="Arial" w:hAnsi="Arial"/>
          <w:sz w:val="19"/>
          <w:szCs w:val="19"/>
          <w:color w:val="auto"/>
        </w:rPr>
        <w:t>In the event of any such assignment under Section 16.6(a)(ii) in connection with a Change of Control of Molecular Partners, all intellectual property rights (including any Information or Patents) owned or otherwise Controlled by the Acquiror or its Affiliates (except for Molecular Partners, if remaining as a separate Affiliate or otherwise the successor entity thereto) shall be excluded from the licenses granted to Allergan under this Agreement and the Molecular Partners Research IP and Molecular Partners Licensed Technology (including in each case any such intellectual property rights (including any Information or Patents) owned or otherwise Controlled by such Acquiror as of the date of consummation of such transaction), except for any Invention generated by the Acquiror or its Affiliates in performing any activity under this Agreement.</w:t>
      </w:r>
    </w:p>
    <w:p>
      <w:pPr>
        <w:spacing w:after="0" w:line="150" w:lineRule="exact"/>
        <w:rPr>
          <w:rFonts w:ascii="Arial" w:cs="Arial" w:eastAsia="Arial" w:hAnsi="Arial"/>
          <w:sz w:val="19"/>
          <w:szCs w:val="19"/>
          <w:b w:val="1"/>
          <w:bCs w:val="1"/>
          <w:color w:val="auto"/>
        </w:rPr>
      </w:pPr>
    </w:p>
    <w:p>
      <w:pPr>
        <w:ind w:firstLine="1304"/>
        <w:spacing w:after="0" w:line="263" w:lineRule="auto"/>
        <w:tabs>
          <w:tab w:leader="none" w:pos="1833" w:val="left"/>
        </w:tabs>
        <w:numPr>
          <w:ilvl w:val="0"/>
          <w:numId w:val="497"/>
        </w:numPr>
        <w:rPr>
          <w:rFonts w:ascii="Arial" w:cs="Arial" w:eastAsia="Arial" w:hAnsi="Arial"/>
          <w:sz w:val="22"/>
          <w:szCs w:val="22"/>
          <w:b w:val="1"/>
          <w:bCs w:val="1"/>
          <w:color w:val="auto"/>
        </w:rPr>
      </w:pPr>
      <w:r>
        <w:rPr>
          <w:rFonts w:ascii="Arial" w:cs="Arial" w:eastAsia="Arial" w:hAnsi="Arial"/>
          <w:sz w:val="22"/>
          <w:szCs w:val="22"/>
          <w:color w:val="auto"/>
        </w:rPr>
        <w:t>In the event of any such assignment under Section 16.6(a)(ii) in connection with a Change of Control of Allergan, all intellectual property rights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38" w:name="page539"/>
    <w:bookmarkEnd w:id="538"/>
    <w:p>
      <w:pPr>
        <w:jc w:val="both"/>
        <w:spacing w:after="0" w:line="263" w:lineRule="auto"/>
        <w:rPr>
          <w:sz w:val="20"/>
          <w:szCs w:val="20"/>
          <w:color w:val="auto"/>
        </w:rPr>
      </w:pPr>
      <w:r>
        <w:rPr>
          <w:rFonts w:ascii="Arial" w:cs="Arial" w:eastAsia="Arial" w:hAnsi="Arial"/>
          <w:sz w:val="21"/>
          <w:szCs w:val="21"/>
          <w:color w:val="auto"/>
        </w:rPr>
        <w:t>Information or Patents) owned or otherwise Controlled by the Acquiror or its Affiliates (except for Allergan, if remaining as a separate Affiliate or otherwise the successor entity thereto) shall be excluded from the licenses granted to Molecular Partners under this Agreement (including any such intellectual property rights (including any Information or Patents) owned or otherwise Controlled by such Acquiror as of the date of consummation of such transaction), except for any Invention generated by the Acquiror or its Affiliates in performing any activity under this Agreement.</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16.7 Performance by Affiliates</w:t>
      </w:r>
      <w:r>
        <w:rPr>
          <w:rFonts w:ascii="Arial" w:cs="Arial" w:eastAsia="Arial" w:hAnsi="Arial"/>
          <w:sz w:val="19"/>
          <w:szCs w:val="19"/>
          <w:color w:val="auto"/>
        </w:rPr>
        <w:t>. Each Party may discharge any obligations and exercise any right hereunder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 Without limiting the generality of this Section 16.7, each of Allergan, Inc. and Allergan Sales, LLC covenant as follows: (i) Allergan Sales, LLC shall be the entity responsible for the discharge and performance of the obligations of Allergan under this Agreement, (ii) the liability of each of Allergan, Inc. and Allergan Sales, LLC shall be joint and several; (iii) Allergan, Inc. unconditionally guarantees the payment and performance of Allergan Sales, LLC; (iv) all obligations of Molecular Partners shall be performed and discharged to Allergan Sales, LLC for the benefit of both of Allergan, Inc. and Allergan Sales, LLC.; and (v) Allergan Sales, LLC shall be terminated as a Party to this Agreement without the need for further action of the Parties in the event and as of the date that Allergan Sales, LLC shall cease to be an Affiliate of Allergan, Inc. Allergan, Inc. represents and warrants, as of the Effective Date, that Allergan Sales, LLC is a wholly-owned Affiliate of Allergan, Inc.</w:t>
      </w:r>
    </w:p>
    <w:p>
      <w:pPr>
        <w:spacing w:after="0" w:line="154"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16.8 Further Actions</w:t>
      </w:r>
      <w:r>
        <w:rPr>
          <w:rFonts w:ascii="Arial" w:cs="Arial" w:eastAsia="Arial" w:hAnsi="Arial"/>
          <w:sz w:val="19"/>
          <w:szCs w:val="19"/>
          <w:color w:val="auto"/>
        </w:rPr>
        <w:t>. Each Party agrees to execute, acknowledge and deliver such further instruments, and to do all</w:t>
      </w:r>
      <w:r>
        <w:rPr>
          <w:rFonts w:ascii="Arial" w:cs="Arial" w:eastAsia="Arial" w:hAnsi="Arial"/>
          <w:sz w:val="19"/>
          <w:szCs w:val="19"/>
          <w:b w:val="1"/>
          <w:bCs w:val="1"/>
          <w:color w:val="auto"/>
        </w:rPr>
        <w:t xml:space="preserve"> </w:t>
      </w:r>
      <w:r>
        <w:rPr>
          <w:rFonts w:ascii="Arial" w:cs="Arial" w:eastAsia="Arial" w:hAnsi="Arial"/>
          <w:sz w:val="19"/>
          <w:szCs w:val="19"/>
          <w:color w:val="auto"/>
        </w:rPr>
        <w:t>such other acts, as may be necessary or appropriate in order to carry out the purposes and intent of this Agreement.</w:t>
      </w:r>
    </w:p>
    <w:p>
      <w:pPr>
        <w:spacing w:after="0" w:line="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16.9 Rights in Bankruptcy</w:t>
      </w:r>
      <w:r>
        <w:rPr>
          <w:rFonts w:ascii="Arial" w:cs="Arial" w:eastAsia="Arial" w:hAnsi="Arial"/>
          <w:sz w:val="19"/>
          <w:szCs w:val="19"/>
          <w:color w:val="auto"/>
        </w:rPr>
        <w:t>. All rights and licenses granted under or pursuant to this Agreement by Molecular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are, and shall otherwise be deemed to be, for purposes of Section 365(n) of the U.S. Bankruptcy Code, and foreign equivalents thereof (the “</w:t>
      </w:r>
      <w:r>
        <w:rPr>
          <w:rFonts w:ascii="Arial" w:cs="Arial" w:eastAsia="Arial" w:hAnsi="Arial"/>
          <w:sz w:val="19"/>
          <w:szCs w:val="19"/>
          <w:b w:val="1"/>
          <w:bCs w:val="1"/>
          <w:color w:val="auto"/>
        </w:rPr>
        <w:t>Bankruptcy Code</w:t>
      </w:r>
      <w:r>
        <w:rPr>
          <w:rFonts w:ascii="Arial" w:cs="Arial" w:eastAsia="Arial" w:hAnsi="Arial"/>
          <w:sz w:val="19"/>
          <w:szCs w:val="19"/>
          <w:color w:val="auto"/>
        </w:rPr>
        <w:t>”), licenses of right to “intellectual property” as defined under Section 61 of the U.S. Bankruptcy Code. The Parties agree that Allergan, as licensee of such rights under this Agreement, shall retain and may fully exercise all of its rights and elections under the Bankruptcy Code. The Parties further agree that, in the event of the commencement of a bankruptcy proceeding by or against Molecular Partners under the Bankruptcy Code, Allergan shall be entitled to a complete duplicate of (or complete access to, as appropriate) any such intellectual property and all embodiments of such intellectual property, which, if not already in the Allergan’s possession, shall be promptly delivered to it (a) upon any such commencement of a bankruptcy proceeding upon Allergan’s written request therefor, unless Molecular Partners elects to continue to perform all of its obligations under this Agreement, or (b) if not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39" w:name="page540"/>
    <w:bookmarkEnd w:id="539"/>
    <w:p>
      <w:pPr>
        <w:jc w:val="both"/>
        <w:spacing w:after="0" w:line="263" w:lineRule="auto"/>
        <w:rPr>
          <w:sz w:val="20"/>
          <w:szCs w:val="20"/>
          <w:color w:val="auto"/>
        </w:rPr>
      </w:pPr>
      <w:r>
        <w:rPr>
          <w:rFonts w:ascii="Arial" w:cs="Arial" w:eastAsia="Arial" w:hAnsi="Arial"/>
          <w:sz w:val="22"/>
          <w:szCs w:val="22"/>
          <w:color w:val="auto"/>
        </w:rPr>
        <w:t>under Section 16.9(a), following the rejection of this Agreement by or on behalf of Molecular Partners upon written request therefor by Allergan.</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16.10 Severability</w:t>
      </w:r>
      <w:r>
        <w:rPr>
          <w:rFonts w:ascii="Arial" w:cs="Arial" w:eastAsia="Arial" w:hAnsi="Arial"/>
          <w:sz w:val="22"/>
          <w:szCs w:val="22"/>
          <w:color w:val="auto"/>
        </w:rPr>
        <w:t>. If any one or more of the provisions of this Agreement is held to be invalid or unenforceable by any</w:t>
      </w:r>
      <w:r>
        <w:rPr>
          <w:rFonts w:ascii="Arial" w:cs="Arial" w:eastAsia="Arial" w:hAnsi="Arial"/>
          <w:sz w:val="22"/>
          <w:szCs w:val="22"/>
          <w:b w:val="1"/>
          <w:bCs w:val="1"/>
          <w:color w:val="auto"/>
        </w:rPr>
        <w:t xml:space="preserve"> </w:t>
      </w:r>
      <w:r>
        <w:rPr>
          <w:rFonts w:ascii="Arial" w:cs="Arial" w:eastAsia="Arial" w:hAnsi="Arial"/>
          <w:sz w:val="22"/>
          <w:szCs w:val="22"/>
          <w:color w:val="auto"/>
        </w:rPr>
        <w:t>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16.11 No Waiver</w:t>
      </w:r>
      <w:r>
        <w:rPr>
          <w:rFonts w:ascii="Arial" w:cs="Arial" w:eastAsia="Arial" w:hAnsi="Arial"/>
          <w:sz w:val="19"/>
          <w:szCs w:val="19"/>
          <w:color w:val="auto"/>
        </w:rPr>
        <w:t>. Any delay in enforcing a Party’s rights under this Agreement or any waiver as to a particular default</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16.12 Independent Contractors</w:t>
      </w:r>
      <w:r>
        <w:rPr>
          <w:rFonts w:ascii="Arial" w:cs="Arial" w:eastAsia="Arial" w:hAnsi="Arial"/>
          <w:sz w:val="22"/>
          <w:szCs w:val="22"/>
          <w:color w:val="auto"/>
        </w:rPr>
        <w:t>. Each Party shall act solely as an independent contractor, and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16.13 Counterparts; Electronic Delivery</w:t>
      </w:r>
      <w:r>
        <w:rPr>
          <w:rFonts w:ascii="Arial" w:cs="Arial" w:eastAsia="Arial" w:hAnsi="Arial"/>
          <w:sz w:val="21"/>
          <w:szCs w:val="21"/>
          <w:color w:val="auto"/>
        </w:rPr>
        <w:t>. This Agreement may be executed in one (1) or more counterparts, by</w:t>
      </w:r>
      <w:r>
        <w:rPr>
          <w:rFonts w:ascii="Arial" w:cs="Arial" w:eastAsia="Arial" w:hAnsi="Arial"/>
          <w:sz w:val="21"/>
          <w:szCs w:val="21"/>
          <w:b w:val="1"/>
          <w:bCs w:val="1"/>
          <w:color w:val="auto"/>
        </w:rPr>
        <w:t xml:space="preserve"> </w:t>
      </w:r>
      <w:r>
        <w:rPr>
          <w:rFonts w:ascii="Arial" w:cs="Arial" w:eastAsia="Arial" w:hAnsi="Arial"/>
          <w:sz w:val="21"/>
          <w:szCs w:val="21"/>
          <w:color w:val="auto"/>
        </w:rPr>
        <w:t>original, facsimile or PDF signature, each of which shall be deemed an original, but all of which together shall constitute one and the same instrument.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Confidential</w:t>
      </w:r>
    </w:p>
    <w:p>
      <w:pPr>
        <w:sectPr>
          <w:pgSz w:w="11900" w:h="16838" w:orient="portrait"/>
          <w:cols w:equalWidth="0" w:num="1">
            <w:col w:w="11240"/>
          </w:cols>
          <w:pgMar w:left="320" w:top="1427" w:right="339" w:bottom="1440" w:gutter="0" w:footer="0" w:header="0"/>
        </w:sectPr>
      </w:pPr>
    </w:p>
    <w:bookmarkStart w:id="540" w:name="page541"/>
    <w:bookmarkEnd w:id="540"/>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by their duly authorized officers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w:t>
      </w:r>
    </w:p>
    <w:p>
      <w:pPr>
        <w:spacing w:after="0" w:line="207"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b w:val="1"/>
          <w:bCs w:val="1"/>
          <w:color w:val="auto"/>
        </w:rPr>
        <w:t>ALLERGAN, INC.</w:t>
      </w:r>
      <w:r>
        <w:rPr>
          <w:sz w:val="20"/>
          <w:szCs w:val="20"/>
          <w:color w:val="auto"/>
        </w:rPr>
        <w:tab/>
      </w:r>
      <w:r>
        <w:rPr>
          <w:rFonts w:ascii="Arial" w:cs="Arial" w:eastAsia="Arial" w:hAnsi="Arial"/>
          <w:sz w:val="19"/>
          <w:szCs w:val="19"/>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E.I. Pyott</w:t>
            </w:r>
          </w:p>
        </w:tc>
        <w:tc>
          <w:tcPr>
            <w:tcW w:w="1480" w:type="dxa"/>
            <w:vAlign w:val="bottom"/>
          </w:tcPr>
          <w:p>
            <w:pPr>
              <w:ind w:left="580"/>
              <w:spacing w:after="0"/>
              <w:rPr>
                <w:sz w:val="20"/>
                <w:szCs w:val="20"/>
                <w:color w:val="auto"/>
              </w:rPr>
            </w:pPr>
            <w:r>
              <w:rPr>
                <w:rFonts w:ascii="Arial" w:cs="Arial" w:eastAsia="Arial" w:hAnsi="Arial"/>
                <w:sz w:val="22"/>
                <w:szCs w:val="22"/>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Christian Zahnd</w:t>
            </w:r>
          </w:p>
        </w:tc>
      </w:tr>
      <w:tr>
        <w:trPr>
          <w:trHeight w:val="55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400" w:type="dxa"/>
            <w:vAlign w:val="bottom"/>
          </w:tcPr>
          <w:p>
            <w:pPr>
              <w:ind w:left="20"/>
              <w:spacing w:after="0"/>
              <w:rPr>
                <w:sz w:val="20"/>
                <w:szCs w:val="20"/>
                <w:color w:val="auto"/>
              </w:rPr>
            </w:pPr>
            <w:r>
              <w:rPr>
                <w:rFonts w:ascii="Arial" w:cs="Arial" w:eastAsia="Arial" w:hAnsi="Arial"/>
                <w:sz w:val="22"/>
                <w:szCs w:val="22"/>
                <w:color w:val="auto"/>
              </w:rPr>
              <w:t>David E.I. Pyott</w:t>
            </w:r>
          </w:p>
        </w:tc>
        <w:tc>
          <w:tcPr>
            <w:tcW w:w="1480" w:type="dxa"/>
            <w:vAlign w:val="bottom"/>
          </w:tcPr>
          <w:p>
            <w:pPr>
              <w:ind w:left="580"/>
              <w:spacing w:after="0"/>
              <w:rPr>
                <w:sz w:val="20"/>
                <w:szCs w:val="20"/>
                <w:color w:val="auto"/>
              </w:rPr>
            </w:pPr>
            <w:r>
              <w:rPr>
                <w:rFonts w:ascii="Arial" w:cs="Arial" w:eastAsia="Arial" w:hAnsi="Arial"/>
                <w:sz w:val="22"/>
                <w:szCs w:val="22"/>
                <w:color w:val="auto"/>
              </w:rPr>
              <w:t>Name:</w:t>
            </w:r>
          </w:p>
        </w:tc>
        <w:tc>
          <w:tcPr>
            <w:tcW w:w="4420" w:type="dxa"/>
            <w:vAlign w:val="bottom"/>
          </w:tcPr>
          <w:p>
            <w:pPr>
              <w:ind w:left="20"/>
              <w:spacing w:after="0"/>
              <w:rPr>
                <w:sz w:val="20"/>
                <w:szCs w:val="20"/>
                <w:color w:val="auto"/>
              </w:rPr>
            </w:pPr>
            <w:r>
              <w:rPr>
                <w:rFonts w:ascii="Arial" w:cs="Arial" w:eastAsia="Arial" w:hAnsi="Arial"/>
                <w:sz w:val="22"/>
                <w:szCs w:val="22"/>
                <w:color w:val="auto"/>
              </w:rPr>
              <w:t>Christian Zahnd</w:t>
            </w:r>
          </w:p>
        </w:tc>
      </w:tr>
      <w:tr>
        <w:trPr>
          <w:trHeight w:val="563"/>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400" w:type="dxa"/>
            <w:vAlign w:val="bottom"/>
          </w:tcPr>
          <w:p>
            <w:pPr>
              <w:ind w:left="20"/>
              <w:spacing w:after="0"/>
              <w:rPr>
                <w:sz w:val="20"/>
                <w:szCs w:val="20"/>
                <w:color w:val="auto"/>
              </w:rPr>
            </w:pPr>
            <w:r>
              <w:rPr>
                <w:rFonts w:ascii="Arial" w:cs="Arial" w:eastAsia="Arial" w:hAnsi="Arial"/>
                <w:sz w:val="22"/>
                <w:szCs w:val="22"/>
                <w:color w:val="auto"/>
              </w:rPr>
              <w:t>Chairman of the Board, President and Chief</w:t>
            </w:r>
          </w:p>
        </w:tc>
        <w:tc>
          <w:tcPr>
            <w:tcW w:w="1480" w:type="dxa"/>
            <w:vAlign w:val="bottom"/>
          </w:tcPr>
          <w:p>
            <w:pPr>
              <w:ind w:left="580"/>
              <w:spacing w:after="0"/>
              <w:rPr>
                <w:sz w:val="20"/>
                <w:szCs w:val="20"/>
                <w:color w:val="auto"/>
              </w:rPr>
            </w:pPr>
            <w:r>
              <w:rPr>
                <w:rFonts w:ascii="Arial" w:cs="Arial" w:eastAsia="Arial" w:hAnsi="Arial"/>
                <w:sz w:val="22"/>
                <w:szCs w:val="22"/>
                <w:color w:val="auto"/>
              </w:rPr>
              <w:t>Title:</w:t>
            </w:r>
          </w:p>
        </w:tc>
        <w:tc>
          <w:tcPr>
            <w:tcW w:w="442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r>
        <w:trPr>
          <w:trHeight w:val="274"/>
        </w:trPr>
        <w:tc>
          <w:tcPr>
            <w:tcW w:w="900" w:type="dxa"/>
            <w:vAlign w:val="bottom"/>
          </w:tcPr>
          <w:p>
            <w:pPr>
              <w:spacing w:after="0"/>
              <w:rPr>
                <w:sz w:val="23"/>
                <w:szCs w:val="23"/>
                <w:color w:val="auto"/>
              </w:rPr>
            </w:pPr>
          </w:p>
        </w:tc>
        <w:tc>
          <w:tcPr>
            <w:tcW w:w="4400" w:type="dxa"/>
            <w:vAlign w:val="bottom"/>
          </w:tcPr>
          <w:p>
            <w:pPr>
              <w:ind w:left="20"/>
              <w:spacing w:after="0"/>
              <w:rPr>
                <w:sz w:val="20"/>
                <w:szCs w:val="20"/>
                <w:color w:val="auto"/>
              </w:rPr>
            </w:pPr>
            <w:r>
              <w:rPr>
                <w:rFonts w:ascii="Arial" w:cs="Arial" w:eastAsia="Arial" w:hAnsi="Arial"/>
                <w:sz w:val="22"/>
                <w:szCs w:val="22"/>
                <w:color w:val="auto"/>
              </w:rPr>
              <w:t>Executive Officer</w:t>
            </w:r>
          </w:p>
        </w:tc>
        <w:tc>
          <w:tcPr>
            <w:tcW w:w="1480" w:type="dxa"/>
            <w:vAlign w:val="bottom"/>
          </w:tcPr>
          <w:p>
            <w:pPr>
              <w:spacing w:after="0"/>
              <w:rPr>
                <w:sz w:val="23"/>
                <w:szCs w:val="23"/>
                <w:color w:val="auto"/>
              </w:rPr>
            </w:pPr>
          </w:p>
        </w:tc>
        <w:tc>
          <w:tcPr>
            <w:tcW w:w="4420" w:type="dxa"/>
            <w:vAlign w:val="bottom"/>
          </w:tcPr>
          <w:p>
            <w:pPr>
              <w:spacing w:after="0"/>
              <w:rPr>
                <w:sz w:val="23"/>
                <w:szCs w:val="23"/>
                <w:color w:val="auto"/>
              </w:rPr>
            </w:pPr>
          </w:p>
        </w:tc>
      </w:tr>
      <w:tr>
        <w:trPr>
          <w:trHeight w:val="818"/>
        </w:trPr>
        <w:tc>
          <w:tcPr>
            <w:tcW w:w="5300" w:type="dxa"/>
            <w:vAlign w:val="bottom"/>
            <w:gridSpan w:val="2"/>
          </w:tcPr>
          <w:p>
            <w:pPr>
              <w:spacing w:after="0"/>
              <w:rPr>
                <w:sz w:val="20"/>
                <w:szCs w:val="20"/>
                <w:color w:val="auto"/>
              </w:rPr>
            </w:pPr>
            <w:r>
              <w:rPr>
                <w:rFonts w:ascii="Arial" w:cs="Arial" w:eastAsia="Arial" w:hAnsi="Arial"/>
                <w:sz w:val="20"/>
                <w:szCs w:val="20"/>
                <w:b w:val="1"/>
                <w:bCs w:val="1"/>
                <w:color w:val="auto"/>
              </w:rPr>
              <w:t>ALLERGAN SALES, LLC</w:t>
            </w:r>
          </w:p>
        </w:tc>
        <w:tc>
          <w:tcPr>
            <w:tcW w:w="5900" w:type="dxa"/>
            <w:vAlign w:val="bottom"/>
            <w:gridSpan w:val="2"/>
          </w:tcPr>
          <w:p>
            <w:pPr>
              <w:ind w:left="580"/>
              <w:spacing w:after="0"/>
              <w:rPr>
                <w:sz w:val="20"/>
                <w:szCs w:val="20"/>
                <w:color w:val="auto"/>
              </w:rPr>
            </w:pPr>
            <w:r>
              <w:rPr>
                <w:rFonts w:ascii="Arial" w:cs="Arial" w:eastAsia="Arial" w:hAnsi="Arial"/>
                <w:sz w:val="20"/>
                <w:szCs w:val="20"/>
                <w:b w:val="1"/>
                <w:bCs w:val="1"/>
                <w:color w:val="auto"/>
              </w:rPr>
              <w:t>MOLECULAR PARTNERS AG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Scott M. Whitcup, M.D.</w:t>
            </w:r>
          </w:p>
        </w:tc>
        <w:tc>
          <w:tcPr>
            <w:tcW w:w="1480" w:type="dxa"/>
            <w:vAlign w:val="bottom"/>
          </w:tcPr>
          <w:p>
            <w:pPr>
              <w:ind w:left="580"/>
              <w:spacing w:after="0"/>
              <w:rPr>
                <w:sz w:val="20"/>
                <w:szCs w:val="20"/>
                <w:color w:val="auto"/>
              </w:rPr>
            </w:pPr>
            <w:r>
              <w:rPr>
                <w:rFonts w:ascii="Arial" w:cs="Arial" w:eastAsia="Arial" w:hAnsi="Arial"/>
                <w:sz w:val="22"/>
                <w:szCs w:val="22"/>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Patrick Amstutz</w:t>
            </w:r>
          </w:p>
        </w:tc>
      </w:tr>
      <w:tr>
        <w:trPr>
          <w:trHeight w:val="55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400" w:type="dxa"/>
            <w:vAlign w:val="bottom"/>
          </w:tcPr>
          <w:p>
            <w:pPr>
              <w:ind w:left="20"/>
              <w:spacing w:after="0"/>
              <w:rPr>
                <w:sz w:val="20"/>
                <w:szCs w:val="20"/>
                <w:color w:val="auto"/>
              </w:rPr>
            </w:pPr>
            <w:r>
              <w:rPr>
                <w:rFonts w:ascii="Arial" w:cs="Arial" w:eastAsia="Arial" w:hAnsi="Arial"/>
                <w:sz w:val="22"/>
                <w:szCs w:val="22"/>
                <w:color w:val="auto"/>
              </w:rPr>
              <w:t>Scott M. Whitcup, M.D.</w:t>
            </w:r>
          </w:p>
        </w:tc>
        <w:tc>
          <w:tcPr>
            <w:tcW w:w="1480" w:type="dxa"/>
            <w:vAlign w:val="bottom"/>
          </w:tcPr>
          <w:p>
            <w:pPr>
              <w:ind w:left="580"/>
              <w:spacing w:after="0"/>
              <w:rPr>
                <w:sz w:val="20"/>
                <w:szCs w:val="20"/>
                <w:color w:val="auto"/>
              </w:rPr>
            </w:pPr>
            <w:r>
              <w:rPr>
                <w:rFonts w:ascii="Arial" w:cs="Arial" w:eastAsia="Arial" w:hAnsi="Arial"/>
                <w:sz w:val="22"/>
                <w:szCs w:val="22"/>
                <w:color w:val="auto"/>
              </w:rPr>
              <w:t>Name:</w:t>
            </w:r>
          </w:p>
        </w:tc>
        <w:tc>
          <w:tcPr>
            <w:tcW w:w="4420" w:type="dxa"/>
            <w:vAlign w:val="bottom"/>
          </w:tcPr>
          <w:p>
            <w:pPr>
              <w:ind w:left="20"/>
              <w:spacing w:after="0"/>
              <w:rPr>
                <w:sz w:val="20"/>
                <w:szCs w:val="20"/>
                <w:color w:val="auto"/>
              </w:rPr>
            </w:pPr>
            <w:r>
              <w:rPr>
                <w:rFonts w:ascii="Arial" w:cs="Arial" w:eastAsia="Arial" w:hAnsi="Arial"/>
                <w:sz w:val="22"/>
                <w:szCs w:val="22"/>
                <w:color w:val="auto"/>
              </w:rPr>
              <w:t>Patrick Amstutz</w:t>
            </w:r>
          </w:p>
        </w:tc>
      </w:tr>
      <w:tr>
        <w:trPr>
          <w:trHeight w:val="580"/>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400" w:type="dxa"/>
            <w:vAlign w:val="bottom"/>
          </w:tcPr>
          <w:p>
            <w:pPr>
              <w:ind w:left="20"/>
              <w:spacing w:after="0"/>
              <w:rPr>
                <w:sz w:val="20"/>
                <w:szCs w:val="20"/>
                <w:color w:val="auto"/>
              </w:rPr>
            </w:pPr>
            <w:r>
              <w:rPr>
                <w:rFonts w:ascii="Arial" w:cs="Arial" w:eastAsia="Arial" w:hAnsi="Arial"/>
                <w:sz w:val="22"/>
                <w:szCs w:val="22"/>
                <w:color w:val="auto"/>
              </w:rPr>
              <w:t>Vice President</w:t>
            </w:r>
          </w:p>
        </w:tc>
        <w:tc>
          <w:tcPr>
            <w:tcW w:w="1480" w:type="dxa"/>
            <w:vAlign w:val="bottom"/>
          </w:tcPr>
          <w:p>
            <w:pPr>
              <w:ind w:left="580"/>
              <w:spacing w:after="0"/>
              <w:rPr>
                <w:sz w:val="20"/>
                <w:szCs w:val="20"/>
                <w:color w:val="auto"/>
              </w:rPr>
            </w:pPr>
            <w:r>
              <w:rPr>
                <w:rFonts w:ascii="Arial" w:cs="Arial" w:eastAsia="Arial" w:hAnsi="Arial"/>
                <w:sz w:val="22"/>
                <w:szCs w:val="22"/>
                <w:color w:val="auto"/>
              </w:rPr>
              <w:t>Title:</w:t>
            </w:r>
          </w:p>
        </w:tc>
        <w:tc>
          <w:tcPr>
            <w:tcW w:w="4420" w:type="dxa"/>
            <w:vAlign w:val="bottom"/>
          </w:tcPr>
          <w:p>
            <w:pPr>
              <w:ind w:left="20"/>
              <w:spacing w:after="0"/>
              <w:rPr>
                <w:sz w:val="20"/>
                <w:szCs w:val="20"/>
                <w:color w:val="auto"/>
              </w:rPr>
            </w:pPr>
            <w:r>
              <w:rPr>
                <w:rFonts w:ascii="Arial" w:cs="Arial" w:eastAsia="Arial" w:hAnsi="Arial"/>
                <w:sz w:val="22"/>
                <w:szCs w:val="22"/>
                <w:color w:val="auto"/>
              </w:rPr>
              <w:t>Chief Business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Discovery Alliance Agreement]</w:t>
      </w:r>
    </w:p>
    <w:p>
      <w:pPr>
        <w:sectPr>
          <w:pgSz w:w="11900" w:h="16838" w:orient="portrait"/>
          <w:cols w:equalWidth="0" w:num="1">
            <w:col w:w="11240"/>
          </w:cols>
          <w:pgMar w:left="320" w:top="1421" w:right="339" w:bottom="1440" w:gutter="0" w:footer="0" w:header="0"/>
        </w:sectPr>
      </w:pPr>
    </w:p>
    <w:bookmarkStart w:id="541" w:name="page542"/>
    <w:bookmarkEnd w:id="541"/>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by their duly authorized officers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w:t>
      </w:r>
    </w:p>
    <w:p>
      <w:pPr>
        <w:spacing w:after="0" w:line="207"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b w:val="1"/>
          <w:bCs w:val="1"/>
          <w:color w:val="auto"/>
        </w:rPr>
        <w:t>ALLERGAN, INC.</w:t>
      </w:r>
      <w:r>
        <w:rPr>
          <w:sz w:val="20"/>
          <w:szCs w:val="20"/>
          <w:color w:val="auto"/>
        </w:rPr>
        <w:tab/>
      </w:r>
      <w:r>
        <w:rPr>
          <w:rFonts w:ascii="Arial" w:cs="Arial" w:eastAsia="Arial" w:hAnsi="Arial"/>
          <w:sz w:val="19"/>
          <w:szCs w:val="19"/>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4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auto"/>
              </w:rPr>
              <w:t>By:</w:t>
            </w:r>
          </w:p>
        </w:tc>
        <w:tc>
          <w:tcPr>
            <w:tcW w:w="4420" w:type="dxa"/>
            <w:vAlign w:val="bottom"/>
          </w:tcPr>
          <w:p>
            <w:pPr>
              <w:spacing w:after="0"/>
              <w:rPr>
                <w:sz w:val="21"/>
                <w:szCs w:val="21"/>
                <w:color w:val="auto"/>
              </w:rPr>
            </w:pPr>
          </w:p>
        </w:tc>
      </w:tr>
      <w:tr>
        <w:trPr>
          <w:trHeight w:val="23"/>
        </w:trPr>
        <w:tc>
          <w:tcPr>
            <w:tcW w:w="9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511"/>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4400" w:type="dxa"/>
            <w:vAlign w:val="bottom"/>
          </w:tcPr>
          <w:p>
            <w:pPr>
              <w:ind w:left="20"/>
              <w:spacing w:after="0"/>
              <w:rPr>
                <w:sz w:val="20"/>
                <w:szCs w:val="20"/>
                <w:color w:val="auto"/>
              </w:rPr>
            </w:pPr>
            <w:r>
              <w:rPr>
                <w:rFonts w:ascii="Arial" w:cs="Arial" w:eastAsia="Arial" w:hAnsi="Arial"/>
                <w:sz w:val="20"/>
                <w:szCs w:val="20"/>
                <w:color w:val="auto"/>
              </w:rPr>
              <w:t>David E.I. Pyott</w:t>
            </w:r>
          </w:p>
        </w:tc>
        <w:tc>
          <w:tcPr>
            <w:tcW w:w="1480" w:type="dxa"/>
            <w:vAlign w:val="bottom"/>
          </w:tcPr>
          <w:p>
            <w:pPr>
              <w:ind w:left="580"/>
              <w:spacing w:after="0"/>
              <w:rPr>
                <w:sz w:val="20"/>
                <w:szCs w:val="20"/>
                <w:color w:val="auto"/>
              </w:rPr>
            </w:pPr>
            <w:r>
              <w:rPr>
                <w:rFonts w:ascii="Arial" w:cs="Arial" w:eastAsia="Arial" w:hAnsi="Arial"/>
                <w:sz w:val="20"/>
                <w:szCs w:val="20"/>
                <w:color w:val="auto"/>
              </w:rPr>
              <w:t>Name:</w:t>
            </w:r>
          </w:p>
        </w:tc>
        <w:tc>
          <w:tcPr>
            <w:tcW w:w="4420" w:type="dxa"/>
            <w:vAlign w:val="bottom"/>
          </w:tcPr>
          <w:p>
            <w:pPr>
              <w:ind w:left="20"/>
              <w:spacing w:after="0"/>
              <w:rPr>
                <w:sz w:val="20"/>
                <w:szCs w:val="20"/>
                <w:color w:val="auto"/>
              </w:rPr>
            </w:pPr>
            <w:r>
              <w:rPr>
                <w:rFonts w:ascii="Arial" w:cs="Arial" w:eastAsia="Arial" w:hAnsi="Arial"/>
                <w:sz w:val="20"/>
                <w:szCs w:val="20"/>
                <w:color w:val="auto"/>
              </w:rPr>
              <w:t>Christian Zahnd</w:t>
            </w:r>
          </w:p>
        </w:tc>
      </w:tr>
      <w:tr>
        <w:trPr>
          <w:trHeight w:val="533"/>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400" w:type="dxa"/>
            <w:vAlign w:val="bottom"/>
          </w:tcPr>
          <w:p>
            <w:pPr>
              <w:ind w:left="20"/>
              <w:spacing w:after="0"/>
              <w:rPr>
                <w:sz w:val="20"/>
                <w:szCs w:val="20"/>
                <w:color w:val="auto"/>
              </w:rPr>
            </w:pPr>
            <w:r>
              <w:rPr>
                <w:rFonts w:ascii="Arial" w:cs="Arial" w:eastAsia="Arial" w:hAnsi="Arial"/>
                <w:sz w:val="20"/>
                <w:szCs w:val="20"/>
                <w:color w:val="auto"/>
                <w:w w:val="90"/>
              </w:rPr>
              <w:t>Chairman of the Board, President and Chief Executive</w:t>
            </w:r>
          </w:p>
        </w:tc>
        <w:tc>
          <w:tcPr>
            <w:tcW w:w="1480" w:type="dxa"/>
            <w:vAlign w:val="bottom"/>
          </w:tcPr>
          <w:p>
            <w:pPr>
              <w:ind w:left="580"/>
              <w:spacing w:after="0"/>
              <w:rPr>
                <w:sz w:val="20"/>
                <w:szCs w:val="20"/>
                <w:color w:val="auto"/>
              </w:rPr>
            </w:pPr>
            <w:r>
              <w:rPr>
                <w:rFonts w:ascii="Arial" w:cs="Arial" w:eastAsia="Arial" w:hAnsi="Arial"/>
                <w:sz w:val="20"/>
                <w:szCs w:val="20"/>
                <w:color w:val="auto"/>
              </w:rPr>
              <w:t>Title:</w:t>
            </w:r>
          </w:p>
        </w:tc>
        <w:tc>
          <w:tcPr>
            <w:tcW w:w="44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250"/>
        </w:trPr>
        <w:tc>
          <w:tcPr>
            <w:tcW w:w="90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Arial" w:cs="Arial" w:eastAsia="Arial" w:hAnsi="Arial"/>
                <w:sz w:val="20"/>
                <w:szCs w:val="20"/>
                <w:color w:val="auto"/>
              </w:rPr>
              <w:t>Officer</w:t>
            </w:r>
          </w:p>
        </w:tc>
        <w:tc>
          <w:tcPr>
            <w:tcW w:w="1480" w:type="dxa"/>
            <w:vAlign w:val="bottom"/>
          </w:tcPr>
          <w:p>
            <w:pPr>
              <w:spacing w:after="0"/>
              <w:rPr>
                <w:sz w:val="21"/>
                <w:szCs w:val="21"/>
                <w:color w:val="auto"/>
              </w:rPr>
            </w:pPr>
          </w:p>
        </w:tc>
        <w:tc>
          <w:tcPr>
            <w:tcW w:w="4420" w:type="dxa"/>
            <w:vAlign w:val="bottom"/>
          </w:tcPr>
          <w:p>
            <w:pPr>
              <w:spacing w:after="0"/>
              <w:rPr>
                <w:sz w:val="21"/>
                <w:szCs w:val="21"/>
                <w:color w:val="auto"/>
              </w:rPr>
            </w:pPr>
          </w:p>
        </w:tc>
      </w:tr>
      <w:tr>
        <w:trPr>
          <w:trHeight w:val="823"/>
        </w:trPr>
        <w:tc>
          <w:tcPr>
            <w:tcW w:w="5300" w:type="dxa"/>
            <w:vAlign w:val="bottom"/>
            <w:gridSpan w:val="2"/>
          </w:tcPr>
          <w:p>
            <w:pPr>
              <w:spacing w:after="0"/>
              <w:rPr>
                <w:sz w:val="20"/>
                <w:szCs w:val="20"/>
                <w:color w:val="auto"/>
              </w:rPr>
            </w:pPr>
            <w:r>
              <w:rPr>
                <w:rFonts w:ascii="Arial" w:cs="Arial" w:eastAsia="Arial" w:hAnsi="Arial"/>
                <w:sz w:val="20"/>
                <w:szCs w:val="20"/>
                <w:b w:val="1"/>
                <w:bCs w:val="1"/>
                <w:color w:val="auto"/>
              </w:rPr>
              <w:t>ALLERGAN SALES, LLC</w:t>
            </w:r>
          </w:p>
        </w:tc>
        <w:tc>
          <w:tcPr>
            <w:tcW w:w="5900" w:type="dxa"/>
            <w:vAlign w:val="bottom"/>
            <w:gridSpan w:val="2"/>
          </w:tcPr>
          <w:p>
            <w:pPr>
              <w:ind w:left="580"/>
              <w:spacing w:after="0"/>
              <w:rPr>
                <w:sz w:val="20"/>
                <w:szCs w:val="20"/>
                <w:color w:val="auto"/>
              </w:rPr>
            </w:pPr>
            <w:r>
              <w:rPr>
                <w:rFonts w:ascii="Arial" w:cs="Arial" w:eastAsia="Arial" w:hAnsi="Arial"/>
                <w:sz w:val="20"/>
                <w:szCs w:val="20"/>
                <w:b w:val="1"/>
                <w:bCs w:val="1"/>
                <w:color w:val="auto"/>
              </w:rPr>
              <w:t>MOLECULAR PARTNERS AG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4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auto"/>
              </w:rPr>
              <w:t>By:</w:t>
            </w:r>
          </w:p>
        </w:tc>
        <w:tc>
          <w:tcPr>
            <w:tcW w:w="4420" w:type="dxa"/>
            <w:vAlign w:val="bottom"/>
          </w:tcPr>
          <w:p>
            <w:pPr>
              <w:spacing w:after="0"/>
              <w:rPr>
                <w:sz w:val="21"/>
                <w:szCs w:val="21"/>
                <w:color w:val="auto"/>
              </w:rPr>
            </w:pPr>
          </w:p>
        </w:tc>
      </w:tr>
      <w:tr>
        <w:trPr>
          <w:trHeight w:val="23"/>
        </w:trPr>
        <w:tc>
          <w:tcPr>
            <w:tcW w:w="9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510"/>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4400" w:type="dxa"/>
            <w:vAlign w:val="bottom"/>
          </w:tcPr>
          <w:p>
            <w:pPr>
              <w:ind w:left="20"/>
              <w:spacing w:after="0"/>
              <w:rPr>
                <w:sz w:val="20"/>
                <w:szCs w:val="20"/>
                <w:color w:val="auto"/>
              </w:rPr>
            </w:pPr>
            <w:r>
              <w:rPr>
                <w:rFonts w:ascii="Arial" w:cs="Arial" w:eastAsia="Arial" w:hAnsi="Arial"/>
                <w:sz w:val="20"/>
                <w:szCs w:val="20"/>
                <w:color w:val="auto"/>
              </w:rPr>
              <w:t>Scott M. Whitcup, M.D.</w:t>
            </w:r>
          </w:p>
        </w:tc>
        <w:tc>
          <w:tcPr>
            <w:tcW w:w="1480" w:type="dxa"/>
            <w:vAlign w:val="bottom"/>
          </w:tcPr>
          <w:p>
            <w:pPr>
              <w:ind w:left="580"/>
              <w:spacing w:after="0"/>
              <w:rPr>
                <w:sz w:val="20"/>
                <w:szCs w:val="20"/>
                <w:color w:val="auto"/>
              </w:rPr>
            </w:pPr>
            <w:r>
              <w:rPr>
                <w:rFonts w:ascii="Arial" w:cs="Arial" w:eastAsia="Arial" w:hAnsi="Arial"/>
                <w:sz w:val="20"/>
                <w:szCs w:val="20"/>
                <w:color w:val="auto"/>
              </w:rPr>
              <w:t>Name:</w:t>
            </w:r>
          </w:p>
        </w:tc>
        <w:tc>
          <w:tcPr>
            <w:tcW w:w="4420" w:type="dxa"/>
            <w:vAlign w:val="bottom"/>
          </w:tcPr>
          <w:p>
            <w:pPr>
              <w:ind w:left="20"/>
              <w:spacing w:after="0"/>
              <w:rPr>
                <w:sz w:val="20"/>
                <w:szCs w:val="20"/>
                <w:color w:val="auto"/>
              </w:rPr>
            </w:pPr>
            <w:r>
              <w:rPr>
                <w:rFonts w:ascii="Arial" w:cs="Arial" w:eastAsia="Arial" w:hAnsi="Arial"/>
                <w:sz w:val="20"/>
                <w:szCs w:val="20"/>
                <w:color w:val="auto"/>
              </w:rPr>
              <w:t>Patrick Amstutz</w:t>
            </w:r>
          </w:p>
        </w:tc>
      </w:tr>
      <w:tr>
        <w:trPr>
          <w:trHeight w:val="554"/>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400" w:type="dxa"/>
            <w:vAlign w:val="bottom"/>
          </w:tcPr>
          <w:p>
            <w:pPr>
              <w:ind w:left="20"/>
              <w:spacing w:after="0"/>
              <w:rPr>
                <w:sz w:val="20"/>
                <w:szCs w:val="20"/>
                <w:color w:val="auto"/>
              </w:rPr>
            </w:pPr>
            <w:r>
              <w:rPr>
                <w:rFonts w:ascii="Arial" w:cs="Arial" w:eastAsia="Arial" w:hAnsi="Arial"/>
                <w:sz w:val="20"/>
                <w:szCs w:val="20"/>
                <w:color w:val="auto"/>
              </w:rPr>
              <w:t>Vice President</w:t>
            </w:r>
          </w:p>
        </w:tc>
        <w:tc>
          <w:tcPr>
            <w:tcW w:w="1480" w:type="dxa"/>
            <w:vAlign w:val="bottom"/>
          </w:tcPr>
          <w:p>
            <w:pPr>
              <w:ind w:left="580"/>
              <w:spacing w:after="0"/>
              <w:rPr>
                <w:sz w:val="20"/>
                <w:szCs w:val="20"/>
                <w:color w:val="auto"/>
              </w:rPr>
            </w:pPr>
            <w:r>
              <w:rPr>
                <w:rFonts w:ascii="Arial" w:cs="Arial" w:eastAsia="Arial" w:hAnsi="Arial"/>
                <w:sz w:val="20"/>
                <w:szCs w:val="20"/>
                <w:color w:val="auto"/>
              </w:rPr>
              <w:t>Title:</w:t>
            </w:r>
          </w:p>
        </w:tc>
        <w:tc>
          <w:tcPr>
            <w:tcW w:w="4420" w:type="dxa"/>
            <w:vAlign w:val="bottom"/>
          </w:tcPr>
          <w:p>
            <w:pPr>
              <w:ind w:left="20"/>
              <w:spacing w:after="0"/>
              <w:rPr>
                <w:sz w:val="20"/>
                <w:szCs w:val="20"/>
                <w:color w:val="auto"/>
              </w:rPr>
            </w:pPr>
            <w:r>
              <w:rPr>
                <w:rFonts w:ascii="Arial" w:cs="Arial" w:eastAsia="Arial" w:hAnsi="Arial"/>
                <w:sz w:val="20"/>
                <w:szCs w:val="20"/>
                <w:color w:val="auto"/>
              </w:rPr>
              <w:t>Chief Business Officer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Discovery Alliance Agreement]</w:t>
      </w:r>
    </w:p>
    <w:p>
      <w:pPr>
        <w:sectPr>
          <w:pgSz w:w="11900" w:h="16838" w:orient="portrait"/>
          <w:cols w:equalWidth="0" w:num="1">
            <w:col w:w="11240"/>
          </w:cols>
          <w:pgMar w:left="320" w:top="1421" w:right="339" w:bottom="1440" w:gutter="0" w:footer="0" w:header="0"/>
        </w:sectPr>
      </w:pPr>
    </w:p>
    <w:bookmarkStart w:id="542" w:name="page543"/>
    <w:bookmarkEnd w:id="542"/>
    <w:p>
      <w:pPr>
        <w:spacing w:after="0"/>
        <w:rPr>
          <w:sz w:val="20"/>
          <w:szCs w:val="20"/>
          <w:color w:val="auto"/>
        </w:rPr>
      </w:pPr>
      <w:r>
        <w:rPr>
          <w:rFonts w:ascii="Arial" w:cs="Arial" w:eastAsia="Arial" w:hAnsi="Arial"/>
          <w:sz w:val="22"/>
          <w:szCs w:val="22"/>
          <w:b w:val="1"/>
          <w:bCs w:val="1"/>
          <w:color w:val="auto"/>
        </w:rPr>
        <w:t>LIST OF EXHIBITS:</w:t>
      </w:r>
    </w:p>
    <w:p>
      <w:pPr>
        <w:spacing w:after="0" w:line="226"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Collaboration Targets and Exclusivity Targets</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Product Candidate Criteria</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Excluded DARPin Domains</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21"/>
          <w:szCs w:val="21"/>
          <w:color w:val="auto"/>
        </w:rPr>
        <w:t>Initial DARPin Domains for [***]</w:t>
      </w:r>
    </w:p>
    <w:p>
      <w:pPr>
        <w:spacing w:after="0" w:line="22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Molecular Partners Owned Patents</w:t>
      </w:r>
    </w:p>
    <w:p>
      <w:pPr>
        <w:spacing w:after="0" w:line="22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Molecular Partners Licensed Patents</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Third Party License Agreements</w:t>
      </w:r>
    </w:p>
    <w:p>
      <w:pPr>
        <w:spacing w:after="0" w:line="220"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8"/>
          <w:szCs w:val="18"/>
          <w:color w:val="auto"/>
        </w:rPr>
        <w:t>Press Release</w:t>
      </w:r>
    </w:p>
    <w:p>
      <w:pPr>
        <w:sectPr>
          <w:pgSz w:w="11900" w:h="16838" w:orient="portrait"/>
          <w:cols w:equalWidth="0" w:num="1">
            <w:col w:w="10139"/>
          </w:cols>
          <w:pgMar w:left="320" w:top="1421" w:right="1440" w:bottom="1440" w:gutter="0" w:footer="0" w:header="0"/>
        </w:sectPr>
      </w:pPr>
    </w:p>
    <w:bookmarkStart w:id="543" w:name="page544"/>
    <w:bookmarkEnd w:id="543"/>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Collaboration Targets and Exclusivity Targets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7"/>
                <w:szCs w:val="27"/>
                <w:b w:val="1"/>
                <w:bCs w:val="1"/>
                <w:color w:val="auto"/>
              </w:rPr>
              <w:t>Targets</w:t>
            </w:r>
          </w:p>
        </w:tc>
        <w:tc>
          <w:tcPr>
            <w:tcW w:w="3540" w:type="dxa"/>
            <w:vAlign w:val="bottom"/>
            <w:tcBorders>
              <w:top w:val="single" w:sz="8" w:color="auto"/>
              <w:right w:val="single" w:sz="8" w:color="auto"/>
            </w:tcBorders>
          </w:tcPr>
          <w:p>
            <w:pPr>
              <w:spacing w:after="0"/>
              <w:rPr>
                <w:sz w:val="24"/>
                <w:szCs w:val="24"/>
                <w:color w:val="auto"/>
              </w:rPr>
            </w:pPr>
          </w:p>
        </w:tc>
        <w:tc>
          <w:tcPr>
            <w:tcW w:w="4260" w:type="dxa"/>
            <w:vAlign w:val="bottom"/>
            <w:tcBorders>
              <w:top w:val="single" w:sz="8" w:color="auto"/>
              <w:right w:val="single" w:sz="8" w:color="auto"/>
            </w:tcBorders>
          </w:tcPr>
          <w:p>
            <w:pPr>
              <w:spacing w:after="0"/>
              <w:rPr>
                <w:sz w:val="24"/>
                <w:szCs w:val="24"/>
                <w:color w:val="auto"/>
              </w:rPr>
            </w:pPr>
          </w:p>
        </w:tc>
      </w:tr>
      <w:tr>
        <w:trPr>
          <w:trHeight w:val="28"/>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301"/>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3540" w:type="dxa"/>
            <w:vAlign w:val="bottom"/>
            <w:tcBorders>
              <w:right w:val="single" w:sz="8" w:color="auto"/>
            </w:tcBorders>
          </w:tcPr>
          <w:p>
            <w:pPr>
              <w:jc w:val="right"/>
              <w:ind w:right="2952"/>
              <w:spacing w:after="0"/>
              <w:rPr>
                <w:sz w:val="20"/>
                <w:szCs w:val="20"/>
                <w:color w:val="auto"/>
              </w:rPr>
            </w:pPr>
            <w:r>
              <w:rPr>
                <w:rFonts w:ascii="Arial" w:cs="Arial" w:eastAsia="Arial" w:hAnsi="Arial"/>
                <w:sz w:val="22"/>
                <w:szCs w:val="22"/>
                <w:b w:val="1"/>
                <w:bCs w:val="1"/>
                <w:color w:val="auto"/>
              </w:rPr>
              <w:t>[***]</w:t>
            </w:r>
          </w:p>
        </w:tc>
        <w:tc>
          <w:tcPr>
            <w:tcW w:w="4260" w:type="dxa"/>
            <w:vAlign w:val="bottom"/>
            <w:tcBorders>
              <w:right w:val="single" w:sz="8" w:color="auto"/>
            </w:tcBorders>
          </w:tcPr>
          <w:p>
            <w:pPr>
              <w:jc w:val="right"/>
              <w:ind w:right="3672"/>
              <w:spacing w:after="0"/>
              <w:rPr>
                <w:sz w:val="20"/>
                <w:szCs w:val="20"/>
                <w:color w:val="auto"/>
              </w:rPr>
            </w:pPr>
            <w:r>
              <w:rPr>
                <w:rFonts w:ascii="Arial" w:cs="Arial" w:eastAsia="Arial" w:hAnsi="Arial"/>
                <w:sz w:val="22"/>
                <w:szCs w:val="22"/>
                <w:b w:val="1"/>
                <w:bCs w:val="1"/>
                <w:color w:val="auto"/>
              </w:rPr>
              <w:t>[***]</w:t>
            </w:r>
          </w:p>
        </w:tc>
      </w:tr>
      <w:tr>
        <w:trPr>
          <w:trHeight w:val="30"/>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301"/>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3540" w:type="dxa"/>
            <w:vAlign w:val="bottom"/>
            <w:tcBorders>
              <w:right w:val="single" w:sz="8" w:color="auto"/>
            </w:tcBorders>
          </w:tcPr>
          <w:p>
            <w:pPr>
              <w:jc w:val="right"/>
              <w:ind w:right="2952"/>
              <w:spacing w:after="0"/>
              <w:rPr>
                <w:sz w:val="20"/>
                <w:szCs w:val="20"/>
                <w:color w:val="auto"/>
              </w:rPr>
            </w:pPr>
            <w:r>
              <w:rPr>
                <w:rFonts w:ascii="Arial" w:cs="Arial" w:eastAsia="Arial" w:hAnsi="Arial"/>
                <w:sz w:val="22"/>
                <w:szCs w:val="22"/>
                <w:color w:val="auto"/>
              </w:rPr>
              <w:t>[***]</w:t>
            </w:r>
          </w:p>
        </w:tc>
        <w:tc>
          <w:tcPr>
            <w:tcW w:w="4260" w:type="dxa"/>
            <w:vAlign w:val="bottom"/>
            <w:tcBorders>
              <w:right w:val="single" w:sz="8" w:color="auto"/>
            </w:tcBorders>
          </w:tcPr>
          <w:p>
            <w:pPr>
              <w:jc w:val="right"/>
              <w:ind w:right="3672"/>
              <w:spacing w:after="0"/>
              <w:rPr>
                <w:sz w:val="20"/>
                <w:szCs w:val="20"/>
                <w:color w:val="auto"/>
              </w:rPr>
            </w:pPr>
            <w:r>
              <w:rPr>
                <w:rFonts w:ascii="Arial" w:cs="Arial" w:eastAsia="Arial" w:hAnsi="Arial"/>
                <w:sz w:val="22"/>
                <w:szCs w:val="22"/>
                <w:color w:val="auto"/>
              </w:rPr>
              <w:t>[***]</w:t>
            </w:r>
          </w:p>
        </w:tc>
      </w:tr>
      <w:tr>
        <w:trPr>
          <w:trHeight w:val="30"/>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301"/>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3540" w:type="dxa"/>
            <w:vAlign w:val="bottom"/>
            <w:tcBorders>
              <w:right w:val="single" w:sz="8" w:color="auto"/>
            </w:tcBorders>
          </w:tcPr>
          <w:p>
            <w:pPr>
              <w:jc w:val="right"/>
              <w:ind w:right="2952"/>
              <w:spacing w:after="0"/>
              <w:rPr>
                <w:sz w:val="20"/>
                <w:szCs w:val="20"/>
                <w:color w:val="auto"/>
              </w:rPr>
            </w:pPr>
            <w:r>
              <w:rPr>
                <w:rFonts w:ascii="Arial" w:cs="Arial" w:eastAsia="Arial" w:hAnsi="Arial"/>
                <w:sz w:val="22"/>
                <w:szCs w:val="22"/>
                <w:color w:val="auto"/>
              </w:rPr>
              <w:t>[***]</w:t>
            </w:r>
          </w:p>
        </w:tc>
        <w:tc>
          <w:tcPr>
            <w:tcW w:w="4260" w:type="dxa"/>
            <w:vAlign w:val="bottom"/>
            <w:tcBorders>
              <w:right w:val="single" w:sz="8" w:color="auto"/>
            </w:tcBorders>
          </w:tcPr>
          <w:p>
            <w:pPr>
              <w:jc w:val="right"/>
              <w:ind w:right="3672"/>
              <w:spacing w:after="0"/>
              <w:rPr>
                <w:sz w:val="20"/>
                <w:szCs w:val="20"/>
                <w:color w:val="auto"/>
              </w:rPr>
            </w:pPr>
            <w:r>
              <w:rPr>
                <w:rFonts w:ascii="Arial" w:cs="Arial" w:eastAsia="Arial" w:hAnsi="Arial"/>
                <w:sz w:val="22"/>
                <w:szCs w:val="22"/>
                <w:color w:val="auto"/>
              </w:rPr>
              <w:t>[***]</w:t>
            </w:r>
          </w:p>
        </w:tc>
      </w:tr>
      <w:tr>
        <w:trPr>
          <w:trHeight w:val="30"/>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301"/>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3540" w:type="dxa"/>
            <w:vAlign w:val="bottom"/>
            <w:tcBorders>
              <w:right w:val="single" w:sz="8" w:color="auto"/>
            </w:tcBorders>
          </w:tcPr>
          <w:p>
            <w:pPr>
              <w:jc w:val="right"/>
              <w:ind w:right="2952"/>
              <w:spacing w:after="0"/>
              <w:rPr>
                <w:sz w:val="20"/>
                <w:szCs w:val="20"/>
                <w:color w:val="auto"/>
              </w:rPr>
            </w:pPr>
            <w:r>
              <w:rPr>
                <w:rFonts w:ascii="Arial" w:cs="Arial" w:eastAsia="Arial" w:hAnsi="Arial"/>
                <w:sz w:val="22"/>
                <w:szCs w:val="22"/>
                <w:color w:val="auto"/>
              </w:rPr>
              <w:t>[***]</w:t>
            </w:r>
          </w:p>
        </w:tc>
        <w:tc>
          <w:tcPr>
            <w:tcW w:w="4260" w:type="dxa"/>
            <w:vAlign w:val="bottom"/>
            <w:tcBorders>
              <w:right w:val="single" w:sz="8" w:color="auto"/>
            </w:tcBorders>
          </w:tcPr>
          <w:p>
            <w:pPr>
              <w:jc w:val="right"/>
              <w:ind w:right="3672"/>
              <w:spacing w:after="0"/>
              <w:rPr>
                <w:sz w:val="20"/>
                <w:szCs w:val="20"/>
                <w:color w:val="auto"/>
              </w:rPr>
            </w:pPr>
            <w:r>
              <w:rPr>
                <w:rFonts w:ascii="Arial" w:cs="Arial" w:eastAsia="Arial" w:hAnsi="Arial"/>
                <w:sz w:val="22"/>
                <w:szCs w:val="22"/>
                <w:color w:val="auto"/>
              </w:rPr>
              <w:t>[***]</w:t>
            </w:r>
          </w:p>
        </w:tc>
      </w:tr>
      <w:tr>
        <w:trPr>
          <w:trHeight w:val="31"/>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300"/>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3540" w:type="dxa"/>
            <w:vAlign w:val="bottom"/>
            <w:tcBorders>
              <w:right w:val="single" w:sz="8" w:color="auto"/>
            </w:tcBorders>
          </w:tcPr>
          <w:p>
            <w:pPr>
              <w:jc w:val="right"/>
              <w:ind w:right="2952"/>
              <w:spacing w:after="0"/>
              <w:rPr>
                <w:sz w:val="20"/>
                <w:szCs w:val="20"/>
                <w:color w:val="auto"/>
              </w:rPr>
            </w:pPr>
            <w:r>
              <w:rPr>
                <w:rFonts w:ascii="Arial" w:cs="Arial" w:eastAsia="Arial" w:hAnsi="Arial"/>
                <w:sz w:val="22"/>
                <w:szCs w:val="22"/>
                <w:color w:val="auto"/>
              </w:rPr>
              <w:t>[***]</w:t>
            </w:r>
          </w:p>
        </w:tc>
        <w:tc>
          <w:tcPr>
            <w:tcW w:w="4260" w:type="dxa"/>
            <w:vAlign w:val="bottom"/>
            <w:tcBorders>
              <w:right w:val="single" w:sz="8" w:color="auto"/>
            </w:tcBorders>
          </w:tcPr>
          <w:p>
            <w:pPr>
              <w:jc w:val="right"/>
              <w:ind w:right="3672"/>
              <w:spacing w:after="0"/>
              <w:rPr>
                <w:sz w:val="20"/>
                <w:szCs w:val="20"/>
                <w:color w:val="auto"/>
              </w:rPr>
            </w:pPr>
            <w:r>
              <w:rPr>
                <w:rFonts w:ascii="Arial" w:cs="Arial" w:eastAsia="Arial" w:hAnsi="Arial"/>
                <w:sz w:val="22"/>
                <w:szCs w:val="22"/>
                <w:color w:val="auto"/>
              </w:rPr>
              <w:t>[***]</w:t>
            </w:r>
          </w:p>
        </w:tc>
      </w:tr>
      <w:tr>
        <w:trPr>
          <w:trHeight w:val="31"/>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300"/>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3540" w:type="dxa"/>
            <w:vAlign w:val="bottom"/>
            <w:tcBorders>
              <w:right w:val="single" w:sz="8" w:color="auto"/>
            </w:tcBorders>
          </w:tcPr>
          <w:p>
            <w:pPr>
              <w:jc w:val="right"/>
              <w:ind w:right="2952"/>
              <w:spacing w:after="0"/>
              <w:rPr>
                <w:sz w:val="20"/>
                <w:szCs w:val="20"/>
                <w:color w:val="auto"/>
              </w:rPr>
            </w:pPr>
            <w:r>
              <w:rPr>
                <w:rFonts w:ascii="Arial" w:cs="Arial" w:eastAsia="Arial" w:hAnsi="Arial"/>
                <w:sz w:val="22"/>
                <w:szCs w:val="22"/>
                <w:color w:val="auto"/>
              </w:rPr>
              <w:t>[***]</w:t>
            </w:r>
          </w:p>
        </w:tc>
        <w:tc>
          <w:tcPr>
            <w:tcW w:w="4260" w:type="dxa"/>
            <w:vAlign w:val="bottom"/>
            <w:tcBorders>
              <w:right w:val="single" w:sz="8" w:color="auto"/>
            </w:tcBorders>
          </w:tcPr>
          <w:p>
            <w:pPr>
              <w:jc w:val="right"/>
              <w:ind w:right="3672"/>
              <w:spacing w:after="0"/>
              <w:rPr>
                <w:sz w:val="20"/>
                <w:szCs w:val="20"/>
                <w:color w:val="auto"/>
              </w:rPr>
            </w:pPr>
            <w:r>
              <w:rPr>
                <w:rFonts w:ascii="Arial" w:cs="Arial" w:eastAsia="Arial" w:hAnsi="Arial"/>
                <w:sz w:val="22"/>
                <w:szCs w:val="22"/>
                <w:color w:val="auto"/>
              </w:rPr>
              <w:t>[***]</w:t>
            </w:r>
          </w:p>
        </w:tc>
      </w:tr>
      <w:tr>
        <w:trPr>
          <w:trHeight w:val="31"/>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r>
        <w:trPr>
          <w:trHeight w:val="301"/>
        </w:trPr>
        <w:tc>
          <w:tcPr>
            <w:tcW w:w="3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w:t>
            </w:r>
          </w:p>
        </w:tc>
        <w:tc>
          <w:tcPr>
            <w:tcW w:w="3540" w:type="dxa"/>
            <w:vAlign w:val="bottom"/>
            <w:tcBorders>
              <w:right w:val="single" w:sz="8" w:color="auto"/>
            </w:tcBorders>
          </w:tcPr>
          <w:p>
            <w:pPr>
              <w:spacing w:after="0"/>
              <w:rPr>
                <w:sz w:val="24"/>
                <w:szCs w:val="24"/>
                <w:color w:val="auto"/>
              </w:rPr>
            </w:pPr>
          </w:p>
        </w:tc>
        <w:tc>
          <w:tcPr>
            <w:tcW w:w="4260" w:type="dxa"/>
            <w:vAlign w:val="bottom"/>
            <w:tcBorders>
              <w:right w:val="single" w:sz="8" w:color="auto"/>
            </w:tcBorders>
          </w:tcPr>
          <w:p>
            <w:pPr>
              <w:jc w:val="right"/>
              <w:ind w:right="3672"/>
              <w:spacing w:after="0"/>
              <w:rPr>
                <w:sz w:val="20"/>
                <w:szCs w:val="20"/>
                <w:color w:val="auto"/>
              </w:rPr>
            </w:pPr>
            <w:r>
              <w:rPr>
                <w:rFonts w:ascii="Arial" w:cs="Arial" w:eastAsia="Arial" w:hAnsi="Arial"/>
                <w:sz w:val="22"/>
                <w:szCs w:val="22"/>
                <w:color w:val="auto"/>
              </w:rPr>
              <w:t>[***]</w:t>
            </w:r>
          </w:p>
        </w:tc>
      </w:tr>
      <w:tr>
        <w:trPr>
          <w:trHeight w:val="30"/>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21" w:right="319" w:bottom="1440" w:gutter="0" w:footer="0" w:header="0"/>
        </w:sectPr>
      </w:pPr>
    </w:p>
    <w:bookmarkStart w:id="544" w:name="page545"/>
    <w:bookmarkEnd w:id="5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6160" w:type="dxa"/>
            <w:vAlign w:val="bottom"/>
            <w:gridSpan w:val="2"/>
          </w:tcPr>
          <w:p>
            <w:pPr>
              <w:jc w:val="center"/>
              <w:ind w:right="4934"/>
              <w:spacing w:after="0"/>
              <w:rPr>
                <w:sz w:val="20"/>
                <w:szCs w:val="20"/>
                <w:color w:val="auto"/>
              </w:rPr>
            </w:pPr>
            <w:r>
              <w:rPr>
                <w:rFonts w:ascii="Arial" w:cs="Arial" w:eastAsia="Arial" w:hAnsi="Arial"/>
                <w:sz w:val="22"/>
                <w:szCs w:val="22"/>
                <w:b w:val="1"/>
                <w:bCs w:val="1"/>
                <w:color w:val="auto"/>
              </w:rPr>
              <w:t>EXHIBIT B</w:t>
            </w:r>
          </w:p>
        </w:tc>
      </w:tr>
      <w:tr>
        <w:trPr>
          <w:trHeight w:val="20"/>
        </w:trPr>
        <w:tc>
          <w:tcPr>
            <w:tcW w:w="2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503"/>
        </w:trPr>
        <w:tc>
          <w:tcPr>
            <w:tcW w:w="2420" w:type="dxa"/>
            <w:vAlign w:val="bottom"/>
          </w:tcPr>
          <w:p>
            <w:pPr>
              <w:spacing w:after="0"/>
              <w:rPr>
                <w:sz w:val="24"/>
                <w:szCs w:val="24"/>
                <w:color w:val="auto"/>
              </w:rPr>
            </w:pPr>
          </w:p>
        </w:tc>
        <w:tc>
          <w:tcPr>
            <w:tcW w:w="8800" w:type="dxa"/>
            <w:vAlign w:val="bottom"/>
            <w:gridSpan w:val="3"/>
          </w:tcPr>
          <w:p>
            <w:pPr>
              <w:jc w:val="center"/>
              <w:ind w:right="2294"/>
              <w:spacing w:after="0"/>
              <w:rPr>
                <w:sz w:val="20"/>
                <w:szCs w:val="20"/>
                <w:color w:val="auto"/>
              </w:rPr>
            </w:pPr>
            <w:r>
              <w:rPr>
                <w:rFonts w:ascii="Arial" w:cs="Arial" w:eastAsia="Arial" w:hAnsi="Arial"/>
                <w:sz w:val="22"/>
                <w:szCs w:val="22"/>
                <w:b w:val="1"/>
                <w:bCs w:val="1"/>
                <w:color w:val="auto"/>
                <w:w w:val="91"/>
              </w:rPr>
              <w:t>Product Candidate Criteria</w:t>
            </w:r>
          </w:p>
        </w:tc>
      </w:tr>
      <w:tr>
        <w:trPr>
          <w:trHeight w:val="233"/>
        </w:trPr>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58"/>
        </w:trPr>
        <w:tc>
          <w:tcPr>
            <w:tcW w:w="2420" w:type="dxa"/>
            <w:vAlign w:val="bottom"/>
            <w:tcBorders>
              <w:bottom w:val="single" w:sz="8" w:color="BFBFBF"/>
            </w:tcBorders>
            <w:shd w:val="clear" w:color="auto" w:fill="BFBFBF"/>
          </w:tcPr>
          <w:p>
            <w:pPr>
              <w:ind w:left="20"/>
              <w:spacing w:after="0"/>
              <w:rPr>
                <w:sz w:val="20"/>
                <w:szCs w:val="20"/>
                <w:color w:val="auto"/>
              </w:rPr>
            </w:pPr>
            <w:r>
              <w:rPr>
                <w:rFonts w:ascii="Arial" w:cs="Arial" w:eastAsia="Arial" w:hAnsi="Arial"/>
                <w:sz w:val="25"/>
                <w:szCs w:val="25"/>
                <w:b w:val="1"/>
                <w:bCs w:val="1"/>
                <w:color w:val="auto"/>
              </w:rPr>
              <w:t>[***]</w:t>
            </w:r>
          </w:p>
        </w:tc>
        <w:tc>
          <w:tcPr>
            <w:tcW w:w="2640" w:type="dxa"/>
            <w:vAlign w:val="bottom"/>
            <w:tcBorders>
              <w:bottom w:val="single" w:sz="8" w:color="BFBFBF"/>
            </w:tcBorders>
            <w:shd w:val="clear" w:color="auto" w:fill="BFBFBF"/>
          </w:tcPr>
          <w:p>
            <w:pPr>
              <w:spacing w:after="0"/>
              <w:rPr>
                <w:sz w:val="24"/>
                <w:szCs w:val="24"/>
                <w:color w:val="auto"/>
              </w:rPr>
            </w:pPr>
          </w:p>
        </w:tc>
        <w:tc>
          <w:tcPr>
            <w:tcW w:w="1120" w:type="dxa"/>
            <w:vAlign w:val="bottom"/>
            <w:tcBorders>
              <w:bottom w:val="single" w:sz="8" w:color="BFBFBF"/>
            </w:tcBorders>
            <w:shd w:val="clear" w:color="auto" w:fill="BFBFBF"/>
          </w:tcPr>
          <w:p>
            <w:pPr>
              <w:spacing w:after="0"/>
              <w:rPr>
                <w:sz w:val="24"/>
                <w:szCs w:val="24"/>
                <w:color w:val="auto"/>
              </w:rPr>
            </w:pPr>
          </w:p>
        </w:tc>
        <w:tc>
          <w:tcPr>
            <w:tcW w:w="5040" w:type="dxa"/>
            <w:vAlign w:val="bottom"/>
            <w:tcBorders>
              <w:bottom w:val="single" w:sz="8" w:color="BFBFBF"/>
            </w:tcBorders>
            <w:shd w:val="clear" w:color="auto" w:fill="BFBFBF"/>
          </w:tcPr>
          <w:p>
            <w:pPr>
              <w:spacing w:after="0"/>
              <w:rPr>
                <w:sz w:val="24"/>
                <w:szCs w:val="24"/>
                <w:color w:val="auto"/>
              </w:rPr>
            </w:pPr>
          </w:p>
        </w:tc>
      </w:tr>
      <w:tr>
        <w:trPr>
          <w:trHeight w:val="307"/>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338"/>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338"/>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338"/>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338"/>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338"/>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338"/>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338"/>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338"/>
        </w:trPr>
        <w:tc>
          <w:tcPr>
            <w:tcW w:w="2420" w:type="dxa"/>
            <w:vAlign w:val="bottom"/>
            <w:shd w:val="clear" w:color="auto" w:fill="F7FFAF"/>
          </w:tcPr>
          <w:p>
            <w:pPr>
              <w:ind w:left="20"/>
              <w:spacing w:after="0"/>
              <w:rPr>
                <w:sz w:val="20"/>
                <w:szCs w:val="20"/>
                <w:color w:val="auto"/>
              </w:rPr>
            </w:pPr>
            <w:r>
              <w:rPr>
                <w:rFonts w:ascii="Arial" w:cs="Arial" w:eastAsia="Arial" w:hAnsi="Arial"/>
                <w:sz w:val="22"/>
                <w:szCs w:val="22"/>
                <w:color w:val="auto"/>
              </w:rPr>
              <w:t>[***]</w:t>
            </w:r>
          </w:p>
        </w:tc>
        <w:tc>
          <w:tcPr>
            <w:tcW w:w="3760" w:type="dxa"/>
            <w:vAlign w:val="bottom"/>
            <w:gridSpan w:val="2"/>
            <w:shd w:val="clear" w:color="auto" w:fill="F7FFAF"/>
          </w:tcPr>
          <w:p>
            <w:pPr>
              <w:spacing w:after="0"/>
              <w:rPr>
                <w:sz w:val="24"/>
                <w:szCs w:val="24"/>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22"/>
                <w:szCs w:val="22"/>
                <w:color w:val="auto"/>
              </w:rPr>
              <w:t>[***]</w:t>
            </w:r>
          </w:p>
        </w:tc>
      </w:tr>
      <w:tr>
        <w:trPr>
          <w:trHeight w:val="269"/>
        </w:trPr>
        <w:tc>
          <w:tcPr>
            <w:tcW w:w="2420" w:type="dxa"/>
            <w:vAlign w:val="bottom"/>
            <w:shd w:val="clear" w:color="auto" w:fill="F7FFAF"/>
          </w:tcPr>
          <w:p>
            <w:pPr>
              <w:spacing w:after="0"/>
              <w:rPr>
                <w:sz w:val="23"/>
                <w:szCs w:val="23"/>
                <w:color w:val="auto"/>
              </w:rPr>
            </w:pPr>
          </w:p>
        </w:tc>
        <w:tc>
          <w:tcPr>
            <w:tcW w:w="3760" w:type="dxa"/>
            <w:vAlign w:val="bottom"/>
            <w:gridSpan w:val="2"/>
            <w:shd w:val="clear" w:color="auto" w:fill="F7FFAF"/>
          </w:tcPr>
          <w:p>
            <w:pPr>
              <w:spacing w:after="0"/>
              <w:rPr>
                <w:sz w:val="23"/>
                <w:szCs w:val="23"/>
                <w:color w:val="auto"/>
              </w:rPr>
            </w:pPr>
          </w:p>
        </w:tc>
        <w:tc>
          <w:tcPr>
            <w:tcW w:w="5040" w:type="dxa"/>
            <w:vAlign w:val="bottom"/>
            <w:shd w:val="clear" w:color="auto" w:fill="F7FFAF"/>
          </w:tcPr>
          <w:p>
            <w:pPr>
              <w:ind w:left="100"/>
              <w:spacing w:after="0"/>
              <w:rPr>
                <w:sz w:val="20"/>
                <w:szCs w:val="20"/>
                <w:color w:val="auto"/>
              </w:rPr>
            </w:pPr>
            <w:r>
              <w:rPr>
                <w:rFonts w:ascii="Arial" w:cs="Arial" w:eastAsia="Arial" w:hAnsi="Arial"/>
                <w:sz w:val="17"/>
                <w:szCs w:val="17"/>
                <w:color w:val="auto"/>
              </w:rPr>
              <w:t>[***]</w:t>
            </w:r>
          </w:p>
        </w:tc>
      </w:tr>
      <w:tr>
        <w:trPr>
          <w:trHeight w:val="31"/>
        </w:trPr>
        <w:tc>
          <w:tcPr>
            <w:tcW w:w="2420" w:type="dxa"/>
            <w:vAlign w:val="bottom"/>
            <w:shd w:val="clear" w:color="auto" w:fill="F7FFAF"/>
          </w:tcPr>
          <w:p>
            <w:pPr>
              <w:spacing w:after="0"/>
              <w:rPr>
                <w:sz w:val="2"/>
                <w:szCs w:val="2"/>
                <w:color w:val="auto"/>
              </w:rPr>
            </w:pPr>
          </w:p>
        </w:tc>
        <w:tc>
          <w:tcPr>
            <w:tcW w:w="2640" w:type="dxa"/>
            <w:vAlign w:val="bottom"/>
            <w:shd w:val="clear" w:color="auto" w:fill="F7FFAF"/>
          </w:tcPr>
          <w:p>
            <w:pPr>
              <w:spacing w:after="0"/>
              <w:rPr>
                <w:sz w:val="2"/>
                <w:szCs w:val="2"/>
                <w:color w:val="auto"/>
              </w:rPr>
            </w:pPr>
          </w:p>
        </w:tc>
        <w:tc>
          <w:tcPr>
            <w:tcW w:w="1120" w:type="dxa"/>
            <w:vAlign w:val="bottom"/>
            <w:shd w:val="clear" w:color="auto" w:fill="F7FFAF"/>
          </w:tcPr>
          <w:p>
            <w:pPr>
              <w:spacing w:after="0"/>
              <w:rPr>
                <w:sz w:val="2"/>
                <w:szCs w:val="2"/>
                <w:color w:val="auto"/>
              </w:rPr>
            </w:pPr>
          </w:p>
        </w:tc>
        <w:tc>
          <w:tcPr>
            <w:tcW w:w="5040" w:type="dxa"/>
            <w:vAlign w:val="bottom"/>
            <w:shd w:val="clear" w:color="auto" w:fill="F7FFAF"/>
          </w:tcPr>
          <w:p>
            <w:pPr>
              <w:spacing w:after="0"/>
              <w:rPr>
                <w:sz w:val="2"/>
                <w:szCs w:val="2"/>
                <w:color w:val="auto"/>
              </w:rPr>
            </w:pPr>
          </w:p>
        </w:tc>
      </w:tr>
    </w:tbl>
    <w:p>
      <w:pPr>
        <w:sectPr>
          <w:pgSz w:w="11900" w:h="16838" w:orient="portrait"/>
          <w:cols w:equalWidth="0" w:num="1">
            <w:col w:w="11220"/>
          </w:cols>
          <w:pgMar w:left="320" w:top="1398" w:right="359" w:bottom="1440" w:gutter="0" w:footer="0" w:header="0"/>
        </w:sectPr>
      </w:pPr>
    </w:p>
    <w:bookmarkStart w:id="545" w:name="page546"/>
    <w:bookmarkEnd w:id="545"/>
    <w:p>
      <w:pPr>
        <w:jc w:val="center"/>
        <w:ind w:right="-1100"/>
        <w:spacing w:after="0"/>
        <w:rPr>
          <w:sz w:val="20"/>
          <w:szCs w:val="20"/>
          <w:color w:val="auto"/>
        </w:rPr>
      </w:pPr>
      <w:r>
        <w:rPr>
          <w:rFonts w:ascii="Arial" w:cs="Arial" w:eastAsia="Arial" w:hAnsi="Arial"/>
          <w:sz w:val="22"/>
          <w:szCs w:val="22"/>
          <w:b w:val="1"/>
          <w:bCs w:val="1"/>
          <w:u w:val="single" w:color="auto"/>
          <w:color w:val="auto"/>
        </w:rPr>
        <w:t>EXHIBIT C</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Excluded DARPin Domains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21" w:right="1440" w:bottom="1440" w:gutter="0" w:footer="0" w:header="0"/>
        </w:sectPr>
      </w:pPr>
    </w:p>
    <w:bookmarkStart w:id="546" w:name="page547"/>
    <w:bookmarkEnd w:id="546"/>
    <w:p>
      <w:pPr>
        <w:jc w:val="center"/>
        <w:ind w:right="-1120"/>
        <w:spacing w:after="0"/>
        <w:rPr>
          <w:sz w:val="20"/>
          <w:szCs w:val="20"/>
          <w:color w:val="auto"/>
        </w:rPr>
      </w:pPr>
      <w:r>
        <w:rPr>
          <w:rFonts w:ascii="Arial" w:cs="Arial" w:eastAsia="Arial" w:hAnsi="Arial"/>
          <w:sz w:val="22"/>
          <w:szCs w:val="22"/>
          <w:b w:val="1"/>
          <w:bCs w:val="1"/>
          <w:u w:val="single" w:color="auto"/>
          <w:color w:val="auto"/>
        </w:rPr>
        <w:t>EXHIBIT D</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Initial DARPin Domains for [***]</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21" w:right="1440" w:bottom="1440" w:gutter="0" w:footer="0" w:header="0"/>
        </w:sectPr>
      </w:pPr>
    </w:p>
    <w:bookmarkStart w:id="547" w:name="page548"/>
    <w:bookmarkEnd w:id="547"/>
    <w:p>
      <w:pPr>
        <w:jc w:val="center"/>
        <w:ind w:right="-1100"/>
        <w:spacing w:after="0"/>
        <w:rPr>
          <w:sz w:val="20"/>
          <w:szCs w:val="20"/>
          <w:color w:val="auto"/>
        </w:rPr>
      </w:pPr>
      <w:r>
        <w:rPr>
          <w:rFonts w:ascii="Arial" w:cs="Arial" w:eastAsia="Arial" w:hAnsi="Arial"/>
          <w:sz w:val="22"/>
          <w:szCs w:val="22"/>
          <w:b w:val="1"/>
          <w:bCs w:val="1"/>
          <w:u w:val="single" w:color="auto"/>
          <w:color w:val="auto"/>
        </w:rPr>
        <w:t>EXHIBIT E</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Molecular Partners Owned Patents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21" w:right="1440" w:bottom="1440" w:gutter="0" w:footer="0" w:header="0"/>
        </w:sectPr>
      </w:pPr>
    </w:p>
    <w:bookmarkStart w:id="548" w:name="page549"/>
    <w:bookmarkEnd w:id="548"/>
    <w:p>
      <w:pPr>
        <w:jc w:val="center"/>
        <w:ind w:right="-1100"/>
        <w:spacing w:after="0"/>
        <w:rPr>
          <w:sz w:val="20"/>
          <w:szCs w:val="20"/>
          <w:color w:val="auto"/>
        </w:rPr>
      </w:pPr>
      <w:r>
        <w:rPr>
          <w:rFonts w:ascii="Arial" w:cs="Arial" w:eastAsia="Arial" w:hAnsi="Arial"/>
          <w:sz w:val="22"/>
          <w:szCs w:val="22"/>
          <w:b w:val="1"/>
          <w:bCs w:val="1"/>
          <w:u w:val="single" w:color="auto"/>
          <w:color w:val="auto"/>
        </w:rPr>
        <w:t>EXHIBIT F</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Molecular Partners Licensed Patents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21" w:right="1440" w:bottom="1440" w:gutter="0" w:footer="0" w:header="0"/>
        </w:sectPr>
      </w:pPr>
    </w:p>
    <w:bookmarkStart w:id="549" w:name="page550"/>
    <w:bookmarkEnd w:id="549"/>
    <w:p>
      <w:pPr>
        <w:jc w:val="center"/>
        <w:ind w:right="-1120"/>
        <w:spacing w:after="0"/>
        <w:rPr>
          <w:sz w:val="20"/>
          <w:szCs w:val="20"/>
          <w:color w:val="auto"/>
        </w:rPr>
      </w:pPr>
      <w:r>
        <w:rPr>
          <w:rFonts w:ascii="Arial" w:cs="Arial" w:eastAsia="Arial" w:hAnsi="Arial"/>
          <w:sz w:val="22"/>
          <w:szCs w:val="22"/>
          <w:b w:val="1"/>
          <w:bCs w:val="1"/>
          <w:u w:val="single" w:color="auto"/>
          <w:color w:val="auto"/>
        </w:rPr>
        <w:t>EXHIBIT G</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Third Party License Agreements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21" w:right="1440" w:bottom="1440" w:gutter="0" w:footer="0" w:header="0"/>
        </w:sectPr>
      </w:pPr>
    </w:p>
    <w:bookmarkStart w:id="550" w:name="page551"/>
    <w:bookmarkEnd w:id="550"/>
    <w:p>
      <w:pPr>
        <w:ind w:left="5380"/>
        <w:spacing w:after="0"/>
        <w:rPr>
          <w:sz w:val="20"/>
          <w:szCs w:val="20"/>
          <w:color w:val="auto"/>
        </w:rPr>
      </w:pPr>
      <w:r>
        <w:rPr>
          <w:rFonts w:ascii="Arial" w:cs="Arial" w:eastAsia="Arial" w:hAnsi="Arial"/>
          <w:sz w:val="22"/>
          <w:szCs w:val="22"/>
          <w:b w:val="1"/>
          <w:bCs w:val="1"/>
          <w:u w:val="single" w:color="auto"/>
          <w:color w:val="auto"/>
        </w:rPr>
        <w:t>EXHIBIT H</w:t>
      </w:r>
    </w:p>
    <w:p>
      <w:pPr>
        <w:spacing w:after="0" w:line="226" w:lineRule="exact"/>
        <w:rPr>
          <w:sz w:val="20"/>
          <w:szCs w:val="20"/>
          <w:color w:val="auto"/>
        </w:rPr>
      </w:pPr>
    </w:p>
    <w:p>
      <w:pPr>
        <w:jc w:val="right"/>
        <w:ind w:right="3599"/>
        <w:spacing w:after="0"/>
        <w:rPr>
          <w:sz w:val="20"/>
          <w:szCs w:val="20"/>
          <w:color w:val="auto"/>
        </w:rPr>
      </w:pPr>
      <w:r>
        <w:rPr>
          <w:rFonts w:ascii="Arial" w:cs="Arial" w:eastAsia="Arial" w:hAnsi="Arial"/>
          <w:sz w:val="22"/>
          <w:szCs w:val="22"/>
          <w:color w:val="auto"/>
        </w:rPr>
        <w:t>Press Release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Please see attached.</w:t>
      </w:r>
    </w:p>
    <w:p>
      <w:pPr>
        <w:sectPr>
          <w:pgSz w:w="11900" w:h="16838" w:orient="portrait"/>
          <w:cols w:equalWidth="0" w:num="1">
            <w:col w:w="10139"/>
          </w:cols>
          <w:pgMar w:left="320" w:top="1421" w:right="1440" w:bottom="1440" w:gutter="0" w:footer="0" w:header="0"/>
        </w:sectPr>
      </w:pPr>
    </w:p>
    <w:bookmarkStart w:id="551" w:name="page552"/>
    <w:bookmarkEnd w:id="5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1134110</wp:posOffset>
            </wp:positionH>
            <wp:positionV relativeFrom="page">
              <wp:posOffset>997585</wp:posOffset>
            </wp:positionV>
            <wp:extent cx="1714500"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74320"/>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929005</wp:posOffset>
            </wp:positionV>
            <wp:extent cx="1371600"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Allergan and Molecular Partners Enter into Exclusive Alliance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Global partnership will develop novel products for eye diseases</w:t>
      </w:r>
    </w:p>
    <w:p>
      <w:pPr>
        <w:spacing w:after="0" w:line="270" w:lineRule="exact"/>
        <w:rPr>
          <w:sz w:val="20"/>
          <w:szCs w:val="20"/>
          <w:color w:val="auto"/>
        </w:rPr>
      </w:pPr>
    </w:p>
    <w:p>
      <w:pPr>
        <w:jc w:val="both"/>
        <w:spacing w:after="0" w:line="306" w:lineRule="auto"/>
        <w:rPr>
          <w:sz w:val="20"/>
          <w:szCs w:val="20"/>
          <w:color w:val="auto"/>
        </w:rPr>
      </w:pPr>
      <w:r>
        <w:rPr>
          <w:rFonts w:ascii="Arial" w:cs="Arial" w:eastAsia="Arial" w:hAnsi="Arial"/>
          <w:sz w:val="20"/>
          <w:szCs w:val="20"/>
          <w:b w:val="1"/>
          <w:bCs w:val="1"/>
          <w:color w:val="auto"/>
        </w:rPr>
        <w:t xml:space="preserve">Irvine, California, USA / Zurich-Schlieren, Switzerland, August 21, 2012. </w:t>
      </w:r>
      <w:r>
        <w:rPr>
          <w:rFonts w:ascii="Arial" w:cs="Arial" w:eastAsia="Arial" w:hAnsi="Arial"/>
          <w:sz w:val="20"/>
          <w:szCs w:val="20"/>
          <w:color w:val="auto"/>
        </w:rPr>
        <w:t>Allergan, Inc. (NYSE: AGN) and Molecular</w:t>
      </w:r>
      <w:r>
        <w:rPr>
          <w:rFonts w:ascii="Arial" w:cs="Arial" w:eastAsia="Arial" w:hAnsi="Arial"/>
          <w:sz w:val="20"/>
          <w:szCs w:val="20"/>
          <w:b w:val="1"/>
          <w:bCs w:val="1"/>
          <w:color w:val="auto"/>
        </w:rPr>
        <w:t xml:space="preserve"> </w:t>
      </w:r>
      <w:r>
        <w:rPr>
          <w:rFonts w:ascii="Arial" w:cs="Arial" w:eastAsia="Arial" w:hAnsi="Arial"/>
          <w:sz w:val="20"/>
          <w:szCs w:val="20"/>
          <w:color w:val="auto"/>
        </w:rPr>
        <w:t>Partners AG today announced that they have significantly expanded their existing relationship by entering into two separate agreements to discover, develop, and commercialize proprietary therapeutic DARPin® products for the treatment of serious ophthalmic diseases.</w:t>
      </w:r>
    </w:p>
    <w:p>
      <w:pPr>
        <w:spacing w:after="0" w:line="201"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Molecular Partners will receive combined upfront payments of $62.5 million under the two agreements and is eligible to receive additional success-based payments, including up to $1.4 billion in aggregate development, regulatory and sales milestones, and tiered royalties up into the low double-digits for future product sales.</w:t>
      </w:r>
    </w:p>
    <w:p>
      <w:pPr>
        <w:spacing w:after="0" w:line="207"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The first agreement is an exclusive license agreement for the design, development and commercialization of a potent dual anti-VEGF-A/PDGF-B DARPin® (“MP0260”) and its corresponding backups for the treatment of exudative age-related macular degeneration (AMD) and related conditions. Under the license agreement, Allergan and Molecular Partners will work together to develop MP0260 through human proof of concept, at which point Molecular Partners has the option to co-fund Allergan’s development costs in exchange for a significant royalty step up.</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20"/>
          <w:szCs w:val="20"/>
          <w:color w:val="auto"/>
        </w:rPr>
        <w:t>The second agreement is an exclusive discovery alliance agreement under which the parties will collaborate to design and develop DARPins against selected targets that are implicated in causing serious diseases of the eye. During the research phase, Allergan has the right to exercise three options to exclusively license collaboration compounds for ophthalmology. Upon execution of each option, Allergan will pay Molecular Partners an option exercise fee and be solely responsible for all downstream development, manufacturing, and commercialization activities.</w:t>
      </w:r>
    </w:p>
    <w:p>
      <w:pPr>
        <w:spacing w:after="0" w:line="211"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Scott M. Whitcup, M.D., Executive Vice President, Research and Development, Chief Scientific Officer of Allergan commented: “As a leader in ophthalmology, Allergan is committed to developing new treatments for serious eye diseases like AMD. We look forward to further developing a novel therapy that blocks both VEGF and PDGF, as a potential way to improve vision in patients with wet AMD.”</w:t>
      </w:r>
    </w:p>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20"/>
          <w:szCs w:val="20"/>
          <w:color w:val="auto"/>
        </w:rPr>
        <w:t>Christian Zahnd, Ph.D., Chief Executive Officer of Molecular Partners said: “With Allergan we have found the ideal partner to generate a strong pipeline of DARPin-based drug candidates with the goal to treat retinal and other severe ocular diseases. This significant expansion of our agreement together with the fast progress in the ongoing phase IIb development of AGN150998 / MP0112 is a great validation of the DARPin approach.”</w:t>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19"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“This is an important step forward in our strategy to build on strong partnerships with the leaders in a therapeutic area” added Patrick Amstutz, Ph.D., Chief Business Officer of Molecular Partners, “DARPins are potent biologics which may address significant unmet medical needs in large patient populations in various disease areas.”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ends -</w:t>
      </w:r>
    </w:p>
    <w:p>
      <w:pPr>
        <w:sectPr>
          <w:pgSz w:w="11900" w:h="16838" w:orient="portrait"/>
          <w:cols w:equalWidth="0" w:num="1">
            <w:col w:w="11240"/>
          </w:cols>
          <w:pgMar w:left="320" w:top="1440" w:right="339" w:bottom="1440" w:gutter="0" w:footer="0" w:header="0"/>
        </w:sectPr>
      </w:pPr>
    </w:p>
    <w:bookmarkStart w:id="553" w:name="page554"/>
    <w:bookmarkEnd w:id="553"/>
    <w:p>
      <w:pPr>
        <w:spacing w:after="0"/>
        <w:rPr>
          <w:sz w:val="20"/>
          <w:szCs w:val="20"/>
          <w:color w:val="auto"/>
        </w:rPr>
      </w:pPr>
      <w:r>
        <w:rPr>
          <w:rFonts w:ascii="Arial" w:cs="Arial" w:eastAsia="Arial" w:hAnsi="Arial"/>
          <w:sz w:val="20"/>
          <w:szCs w:val="20"/>
          <w:b w:val="1"/>
          <w:bCs w:val="1"/>
          <w:color w:val="auto"/>
        </w:rPr>
        <w:t>Notes to editors: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MP0260</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MP0260 is a DARPin®-based, small therapeutic protein with dual activity. It inhibits with high potency and selectivity all relevant forms of the two growth factors vascular endothelial growth factor A (VEGF-A) and platelet-derived growth factor B (PDGF-B). The molecule is currently being explored for its use in wet age-related macular degeneration (AMD). Its high efficacy and long intravitreal PK have been demonstrated in various preclinical models.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Molecular Partners AG</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Molecular Partners is a privately-owned biotech company focusing on the research, development and commercialization of a novel class of biological drugs known as DARPins. The company is committed to create medicines for diseases with unmet medical need and to dramatically improve existing therapies. DARPins combine the high specificity, selectivity and safety of monoclonal antibodies with many advantages of small molecules, including high stability and low-cost production.</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Molecular Partners has established a strong DARPin pipeline which is well differentiated from standard therapeutic approaches. Next to ophthalmology, Molecular Partners is focusing on DARPin drugs in inflammation, oncology and other disease areas. The internal pipeline is expanded by partnered programs with leading pharmaceutical companies. Molecular Partners has established alliances with Allergan and Janssen and other pharmaceutical companies. The company is backed by a strong syndicate of investors and holds a strong patent estate covering all DARPin applications. For more information regarding to Molecular Partners, go to: </w:t>
      </w:r>
      <w:r>
        <w:rPr>
          <w:rFonts w:ascii="Arial" w:cs="Arial" w:eastAsia="Arial" w:hAnsi="Arial"/>
          <w:sz w:val="20"/>
          <w:szCs w:val="20"/>
          <w:u w:val="single" w:color="auto"/>
          <w:color w:val="0000FF"/>
        </w:rPr>
        <w:t>www.molecularpartners.com</w:t>
      </w:r>
      <w:r>
        <w:rPr>
          <w:rFonts w:ascii="Arial" w:cs="Arial" w:eastAsia="Arial" w:hAnsi="Arial"/>
          <w:sz w:val="20"/>
          <w:szCs w:val="20"/>
          <w:color w:val="auto"/>
        </w:rPr>
        <w:t>.</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Allergan, Inc.</w:t>
      </w:r>
    </w:p>
    <w:p>
      <w:pPr>
        <w:spacing w:after="0" w:line="3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Allergan is a multi-specialty health care company established more than 60 years ago with a commitment to uncover the best of science and develop and deliver innovative and meaningful treatments to help people reach their life’s potential. Today, we have approximately 10,500 highly dedicated and talented employees, global marketing and sales capabilities with a presence in more than 100 countries, a rich and ever-evolving portfolio of pharmaceuticals, biologics, medical devices and over-the-counter consumer products, and state-of-the-art resources in R&amp;D, manufacturing and safety surveillance that help millions of patients see more clearly, move more freely and express themselves more fully. From our beginnings as an eye care company to our focus today on several medical specialties, including eye care, neurosciences, medical aesthetics, medical dermatology, breast aesthetics, obesity intervention and urologics, Allergan is proud to celebrate more than 60 years of medical advances and proud to support the patients and physicians who rely on our products and the employees and communities in which we live and work. For more information regarding Allergan, go to: </w:t>
      </w:r>
      <w:r>
        <w:rPr>
          <w:rFonts w:ascii="Arial" w:cs="Arial" w:eastAsia="Arial" w:hAnsi="Arial"/>
          <w:sz w:val="20"/>
          <w:szCs w:val="20"/>
          <w:u w:val="single" w:color="auto"/>
          <w:color w:val="0000FF"/>
        </w:rPr>
        <w:t>www.allergan.com</w:t>
      </w:r>
      <w:r>
        <w:rPr>
          <w:rFonts w:ascii="Arial" w:cs="Arial" w:eastAsia="Arial" w:hAnsi="Arial"/>
          <w:sz w:val="20"/>
          <w:szCs w:val="20"/>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5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This press release contains “forward-looking statements,” including, but not limited to, the statements by Dr. Whitcup and Drs. Zahnd and Amstutz and other statements regarding the discovery and development of DARPin® products as well as the safety, effectiveness, approvals, adverse events and</w:t>
      </w:r>
    </w:p>
    <w:p>
      <w:pPr>
        <w:sectPr>
          <w:pgSz w:w="11900" w:h="16838" w:orient="portrait"/>
          <w:cols w:equalWidth="0" w:num="1">
            <w:col w:w="11240"/>
          </w:cols>
          <w:pgMar w:left="320" w:top="1421" w:right="339" w:bottom="1440" w:gutter="0" w:footer="0" w:header="0"/>
        </w:sectPr>
      </w:pPr>
    </w:p>
    <w:bookmarkStart w:id="554" w:name="page555"/>
    <w:bookmarkEnd w:id="554"/>
    <w:p>
      <w:pPr>
        <w:spacing w:after="0" w:line="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market potential of DARPin® products. These statements are based on current expectations of future events. If underlying assumptions prove inaccurate or unknown risks or uncertainties materialize, actual results could vary materially from Allergan’s expectations and projections. Risks and uncertainties include, among other things, general industry and pharmaceutical market conditions; technological advances and patents attained by competitors; challenges inherent in the research and development and regulatory processes; challenges related to product marketing, such as the unpredictability of market acceptance for new products and/or the acceptance of new indications for such products; inconsistency of treatment results among patients; general economic conditions; and governmental laws and regulations affecting domestic and foreign operations. Allergan expressly disclaims any intent or obligation to update these forward-looking statements except as required by law. Additional information concerning the above-referenced risk factors and other risk factors can be found in Allergan’s public periodic filings with the Securities and Exchange Commission, including the discussion under the heading “Risk Factors” in Allergan’s 2011 Annual Report on Form 10-K and subsequent Quarterly Reports on Form 10-Q. Additional information about Allergan is available at www.allergan.com or you can contact the Allergan Investor Relations Department by calling 714-246-4636.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further details please contact:</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Media relations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Nicole Yost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College Hill Life Sciences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Tel: +44 (0) 20 7866 7855</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0000FF"/>
        </w:rPr>
        <w:t>nicole.yost@collegehill.com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9"/>
          <w:szCs w:val="19"/>
          <w:b w:val="1"/>
          <w:bCs w:val="1"/>
          <w:color w:val="auto"/>
        </w:rPr>
        <w:t>olecular Partners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Dr. Christian Zahnd, CEO</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9"/>
          <w:szCs w:val="19"/>
          <w:u w:val="single" w:color="auto"/>
          <w:color w:val="0000FF"/>
        </w:rPr>
        <w:t>christian.zahnd@molecularpartners.com</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Dr. Patrick Amstutz, CBO</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9"/>
          <w:szCs w:val="19"/>
          <w:u w:val="single" w:color="auto"/>
          <w:color w:val="0000FF"/>
        </w:rPr>
        <w:t>patrick.amstutz@molecularpartners.com</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Tel: +41 (0) 44 755 77 00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ectPr>
          <w:pgSz w:w="11900" w:h="16838" w:orient="portrait"/>
          <w:cols w:equalWidth="0" w:num="2">
            <w:col w:w="4680" w:space="720"/>
            <w:col w:w="5840"/>
          </w:cols>
          <w:pgMar w:left="320" w:top="1440" w:right="339" w:bottom="1440" w:gutter="0" w:footer="0" w:header="0"/>
          <w:type w:val="continuous"/>
        </w:sectPr>
      </w:pPr>
    </w:p>
    <w:bookmarkStart w:id="555" w:name="page556"/>
    <w:bookmarkEnd w:id="555"/>
    <w:p>
      <w:pPr>
        <w:ind w:left="120" w:hanging="112"/>
        <w:spacing w:after="0"/>
        <w:tabs>
          <w:tab w:leader="none" w:pos="120" w:val="left"/>
        </w:tabs>
        <w:numPr>
          <w:ilvl w:val="0"/>
          <w:numId w:val="498"/>
        </w:numPr>
        <w:rPr>
          <w:rFonts w:ascii="Arial" w:cs="Arial" w:eastAsia="Arial" w:hAnsi="Arial"/>
          <w:sz w:val="18"/>
          <w:szCs w:val="18"/>
          <w:color w:val="auto"/>
          <w:highlight w:val="green"/>
        </w:rPr>
      </w:pPr>
      <w:r>
        <w:rPr>
          <w:rFonts w:ascii="Arial" w:cs="Arial" w:eastAsia="Arial" w:hAnsi="Arial"/>
          <w:sz w:val="18"/>
          <w:szCs w:val="18"/>
          <w:color w:val="auto"/>
          <w:highlight w:val="green"/>
        </w:rPr>
        <w:t xml:space="preserve">] </w:t>
      </w:r>
      <w:r>
        <w:rPr>
          <w:rFonts w:ascii="Arial" w:cs="Arial" w:eastAsia="Arial" w:hAnsi="Arial"/>
          <w:sz w:val="18"/>
          <w:szCs w:val="18"/>
          <w:color w:val="auto"/>
        </w:rPr>
        <w:t>=</w:t>
      </w:r>
      <w:r>
        <w:rPr>
          <w:rFonts w:ascii="Arial" w:cs="Arial" w:eastAsia="Arial" w:hAnsi="Arial"/>
          <w:sz w:val="18"/>
          <w:szCs w:val="18"/>
          <w:color w:val="auto"/>
          <w:highlight w:val="green"/>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27" w:lineRule="exact"/>
        <w:rPr>
          <w:rFonts w:ascii="Arial" w:cs="Arial" w:eastAsia="Arial" w:hAnsi="Arial"/>
          <w:sz w:val="18"/>
          <w:szCs w:val="18"/>
          <w:color w:val="auto"/>
          <w:highlight w:val="green"/>
        </w:rPr>
      </w:pPr>
    </w:p>
    <w:p>
      <w:pPr>
        <w:ind w:right="1420"/>
        <w:spacing w:after="0" w:line="260" w:lineRule="auto"/>
        <w:rPr>
          <w:rFonts w:ascii="Arial" w:cs="Arial" w:eastAsia="Arial" w:hAnsi="Arial"/>
          <w:sz w:val="18"/>
          <w:szCs w:val="18"/>
          <w:color w:val="auto"/>
          <w:highlight w:val="green"/>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FIRST AMENDMENT TO DISCOVERY ALLIANCE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First Amendment to Discovery Alliance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First Amendment</w:t>
      </w:r>
      <w:r>
        <w:rPr>
          <w:rFonts w:ascii="Arial" w:cs="Arial" w:eastAsia="Arial" w:hAnsi="Arial"/>
          <w:sz w:val="22"/>
          <w:szCs w:val="22"/>
          <w:color w:val="auto"/>
        </w:rPr>
        <w:t xml:space="preserve">”) is entered into by and between (a) </w:t>
      </w:r>
      <w:r>
        <w:rPr>
          <w:rFonts w:ascii="Arial" w:cs="Arial" w:eastAsia="Arial" w:hAnsi="Arial"/>
          <w:sz w:val="22"/>
          <w:szCs w:val="22"/>
          <w:b w:val="1"/>
          <w:bCs w:val="1"/>
          <w:color w:val="auto"/>
        </w:rPr>
        <w:t>Molecular Partners AG</w:t>
      </w:r>
      <w:r>
        <w:rPr>
          <w:rFonts w:ascii="Arial" w:cs="Arial" w:eastAsia="Arial" w:hAnsi="Arial"/>
          <w:sz w:val="22"/>
          <w:szCs w:val="22"/>
          <w:color w:val="auto"/>
        </w:rPr>
        <w:t>, a corporation organized and existing under the laws of Switzerland, having its principal place of</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at Wagistrasse 14, 8952 Zürich-Schlieren, Switzerland (“</w:t>
      </w:r>
      <w:r>
        <w:rPr>
          <w:rFonts w:ascii="Arial" w:cs="Arial" w:eastAsia="Arial" w:hAnsi="Arial"/>
          <w:sz w:val="22"/>
          <w:szCs w:val="22"/>
          <w:b w:val="1"/>
          <w:bCs w:val="1"/>
          <w:color w:val="auto"/>
        </w:rPr>
        <w:t>Molecular Partners</w:t>
      </w:r>
      <w:r>
        <w:rPr>
          <w:rFonts w:ascii="Arial" w:cs="Arial" w:eastAsia="Arial" w:hAnsi="Arial"/>
          <w:sz w:val="22"/>
          <w:szCs w:val="22"/>
          <w:color w:val="auto"/>
        </w:rPr>
        <w:t xml:space="preserve">”) and (b) </w:t>
      </w:r>
      <w:r>
        <w:rPr>
          <w:rFonts w:ascii="Arial" w:cs="Arial" w:eastAsia="Arial" w:hAnsi="Arial"/>
          <w:sz w:val="22"/>
          <w:szCs w:val="22"/>
          <w:b w:val="1"/>
          <w:bCs w:val="1"/>
          <w:color w:val="auto"/>
        </w:rPr>
        <w:t>Allergan, Inc.</w:t>
      </w:r>
      <w:r>
        <w:rPr>
          <w:rFonts w:ascii="Arial" w:cs="Arial" w:eastAsia="Arial" w:hAnsi="Arial"/>
          <w:sz w:val="22"/>
          <w:szCs w:val="22"/>
          <w:color w:val="auto"/>
        </w:rPr>
        <w:t xml:space="preserve">, a Delaware corporation having a place of business at 2525 Dupont Drive, Irvine, California 92612 USA, and </w:t>
      </w:r>
      <w:r>
        <w:rPr>
          <w:rFonts w:ascii="Arial" w:cs="Arial" w:eastAsia="Arial" w:hAnsi="Arial"/>
          <w:sz w:val="22"/>
          <w:szCs w:val="22"/>
          <w:b w:val="1"/>
          <w:bCs w:val="1"/>
          <w:color w:val="auto"/>
        </w:rPr>
        <w:t>Allergan Sales, LLC</w:t>
      </w:r>
      <w:r>
        <w:rPr>
          <w:rFonts w:ascii="Arial" w:cs="Arial" w:eastAsia="Arial" w:hAnsi="Arial"/>
          <w:sz w:val="22"/>
          <w:szCs w:val="22"/>
          <w:color w:val="auto"/>
        </w:rPr>
        <w:t>, a Delaware limited liability company having a place of business at 2525 Dupont Drive, Irvine, California 92612 USA (Allergan, Inc. and Allergan Sales, LLC, together “</w:t>
      </w:r>
      <w:r>
        <w:rPr>
          <w:rFonts w:ascii="Arial" w:cs="Arial" w:eastAsia="Arial" w:hAnsi="Arial"/>
          <w:sz w:val="22"/>
          <w:szCs w:val="22"/>
          <w:b w:val="1"/>
          <w:bCs w:val="1"/>
          <w:color w:val="auto"/>
        </w:rPr>
        <w:t>Allergan</w:t>
      </w:r>
      <w:r>
        <w:rPr>
          <w:rFonts w:ascii="Arial" w:cs="Arial" w:eastAsia="Arial" w:hAnsi="Arial"/>
          <w:sz w:val="22"/>
          <w:szCs w:val="22"/>
          <w:color w:val="auto"/>
        </w:rPr>
        <w:t>”). Molecular Partners and Allergan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Parties entered into a Discovery Alliance Agreement on August 20, 2012 (the “</w:t>
      </w:r>
      <w:r>
        <w:rPr>
          <w:rFonts w:ascii="Arial" w:cs="Arial" w:eastAsia="Arial" w:hAnsi="Arial"/>
          <w:sz w:val="19"/>
          <w:szCs w:val="19"/>
          <w:b w:val="1"/>
          <w:bCs w:val="1"/>
          <w:color w:val="auto"/>
        </w:rPr>
        <w:t>Discovery Alliance Agreement</w:t>
      </w:r>
      <w:r>
        <w:rPr>
          <w:rFonts w:ascii="Arial" w:cs="Arial" w:eastAsia="Arial" w:hAnsi="Arial"/>
          <w:sz w:val="19"/>
          <w:szCs w:val="19"/>
          <w:color w:val="auto"/>
        </w:rPr>
        <w:t>”), pursuant to which they have engaged in a research collaboration to identify DARPin domains binding [***]</w:t>
      </w:r>
      <w:r>
        <w:rPr>
          <w:rFonts w:ascii="Arial" w:cs="Arial" w:eastAsia="Arial" w:hAnsi="Arial"/>
          <w:sz w:val="19"/>
          <w:szCs w:val="19"/>
          <w:b w:val="1"/>
          <w:bCs w:val="1"/>
          <w:color w:val="auto"/>
        </w:rPr>
        <w:t xml:space="preserve"> </w:t>
      </w:r>
      <w:r>
        <w:rPr>
          <w:rFonts w:ascii="Arial" w:cs="Arial" w:eastAsia="Arial" w:hAnsi="Arial"/>
          <w:sz w:val="19"/>
          <w:szCs w:val="19"/>
          <w:color w:val="auto"/>
        </w:rPr>
        <w:t>different Collaboration Targets, to generate product candidates from certain combinations of such DARPin domains, and pursuant to which Allergan has three options, exercisable at Allergan’s sole discretion, to obtain a license from Molecular Partners to develop and commercialize certain of such product candidates in the field of ophthalmology; and</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designated [***] and [***] as a Collaboration Target and [***] as the corresponding Exclusivity</w:t>
      </w:r>
      <w:r>
        <w:rPr>
          <w:rFonts w:ascii="Arial" w:cs="Arial" w:eastAsia="Arial" w:hAnsi="Arial"/>
          <w:sz w:val="22"/>
          <w:szCs w:val="22"/>
          <w:b w:val="1"/>
          <w:bCs w:val="1"/>
          <w:color w:val="auto"/>
        </w:rPr>
        <w:t xml:space="preserve"> </w:t>
      </w:r>
      <w:r>
        <w:rPr>
          <w:rFonts w:ascii="Arial" w:cs="Arial" w:eastAsia="Arial" w:hAnsi="Arial"/>
          <w:sz w:val="22"/>
          <w:szCs w:val="22"/>
          <w:color w:val="auto"/>
        </w:rPr>
        <w:t>Target in the Discovery Alliance Agreement; and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wish to change those designations, designating [***] as a Collaboration Target and [***]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corresponding Exclusivity Target, and wish to effectuate that change by amending the Discovery Alliance Agreement, as reflected in the minutes of the Joint Steering Committee Meeting of June 28, 2013 (§ 1.D);</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and conditions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thisFirst Amendment, the Parties agree as follows:</w:t>
      </w:r>
    </w:p>
    <w:p>
      <w:pPr>
        <w:spacing w:after="0" w:line="162" w:lineRule="exact"/>
        <w:rPr>
          <w:sz w:val="20"/>
          <w:szCs w:val="20"/>
          <w:color w:val="auto"/>
        </w:rPr>
      </w:pPr>
    </w:p>
    <w:p>
      <w:pPr>
        <w:ind w:left="380" w:hanging="372"/>
        <w:spacing w:after="0"/>
        <w:tabs>
          <w:tab w:leader="none" w:pos="380" w:val="left"/>
        </w:tabs>
        <w:numPr>
          <w:ilvl w:val="0"/>
          <w:numId w:val="499"/>
        </w:numPr>
        <w:rPr>
          <w:rFonts w:ascii="Arial" w:cs="Arial" w:eastAsia="Arial" w:hAnsi="Arial"/>
          <w:sz w:val="22"/>
          <w:szCs w:val="22"/>
          <w:b w:val="1"/>
          <w:bCs w:val="1"/>
          <w:color w:val="auto"/>
        </w:rPr>
      </w:pPr>
      <w:r>
        <w:rPr>
          <w:rFonts w:ascii="Arial" w:cs="Arial" w:eastAsia="Arial" w:hAnsi="Arial"/>
          <w:sz w:val="22"/>
          <w:szCs w:val="22"/>
          <w:color w:val="auto"/>
        </w:rPr>
        <w:t>This First Amendment is effective as of June 28, 2013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660" w:hanging="652"/>
        <w:spacing w:after="0" w:line="263" w:lineRule="auto"/>
        <w:tabs>
          <w:tab w:leader="none" w:pos="403" w:val="left"/>
        </w:tabs>
        <w:numPr>
          <w:ilvl w:val="0"/>
          <w:numId w:val="499"/>
        </w:numPr>
        <w:rPr>
          <w:rFonts w:ascii="Arial" w:cs="Arial" w:eastAsia="Arial" w:hAnsi="Arial"/>
          <w:sz w:val="22"/>
          <w:szCs w:val="22"/>
          <w:b w:val="1"/>
          <w:bCs w:val="1"/>
          <w:color w:val="auto"/>
        </w:rPr>
      </w:pPr>
      <w:r>
        <w:rPr>
          <w:rFonts w:ascii="Arial" w:cs="Arial" w:eastAsia="Arial" w:hAnsi="Arial"/>
          <w:sz w:val="22"/>
          <w:szCs w:val="22"/>
          <w:color w:val="auto"/>
        </w:rPr>
        <w:t>The Parties add the following to the Discovery Alliance Agreement as Collaboration Targets, Collaboration Target Isoforms, Exclusivity Targets, and Exclusivity Target Isoforms:</w:t>
      </w:r>
    </w:p>
    <w:p>
      <w:pPr>
        <w:spacing w:after="0" w:line="174" w:lineRule="exact"/>
        <w:rPr>
          <w:rFonts w:ascii="Arial" w:cs="Arial" w:eastAsia="Arial" w:hAnsi="Arial"/>
          <w:sz w:val="22"/>
          <w:szCs w:val="22"/>
          <w:b w:val="1"/>
          <w:bCs w:val="1"/>
          <w:color w:val="auto"/>
        </w:rPr>
      </w:pPr>
    </w:p>
    <w:p>
      <w:pPr>
        <w:ind w:left="1060" w:hanging="404"/>
        <w:spacing w:after="0"/>
        <w:tabs>
          <w:tab w:leader="none" w:pos="1060" w:val="left"/>
        </w:tabs>
        <w:numPr>
          <w:ilvl w:val="1"/>
          <w:numId w:val="499"/>
        </w:numPr>
        <w:rPr>
          <w:rFonts w:ascii="Arial" w:cs="Arial" w:eastAsia="Arial" w:hAnsi="Arial"/>
          <w:sz w:val="22"/>
          <w:szCs w:val="22"/>
          <w:b w:val="1"/>
          <w:bCs w:val="1"/>
          <w:color w:val="auto"/>
        </w:rPr>
      </w:pPr>
      <w:r>
        <w:rPr>
          <w:rFonts w:ascii="Arial" w:cs="Arial" w:eastAsia="Arial" w:hAnsi="Arial"/>
          <w:sz w:val="22"/>
          <w:szCs w:val="22"/>
          <w:color w:val="auto"/>
        </w:rPr>
        <w:t>[***] is a Collaboration Target;</w:t>
      </w:r>
    </w:p>
    <w:p>
      <w:pPr>
        <w:spacing w:after="0" w:line="219" w:lineRule="exact"/>
        <w:rPr>
          <w:rFonts w:ascii="Arial" w:cs="Arial" w:eastAsia="Arial" w:hAnsi="Arial"/>
          <w:sz w:val="22"/>
          <w:szCs w:val="22"/>
          <w:b w:val="1"/>
          <w:bCs w:val="1"/>
          <w:color w:val="auto"/>
        </w:rPr>
      </w:pPr>
    </w:p>
    <w:p>
      <w:pPr>
        <w:ind w:left="1060" w:hanging="404"/>
        <w:spacing w:after="0"/>
        <w:tabs>
          <w:tab w:leader="none" w:pos="1060" w:val="left"/>
        </w:tabs>
        <w:numPr>
          <w:ilvl w:val="1"/>
          <w:numId w:val="499"/>
        </w:numPr>
        <w:rPr>
          <w:rFonts w:ascii="Arial" w:cs="Arial" w:eastAsia="Arial" w:hAnsi="Arial"/>
          <w:sz w:val="22"/>
          <w:szCs w:val="22"/>
          <w:b w:val="1"/>
          <w:bCs w:val="1"/>
          <w:color w:val="auto"/>
        </w:rPr>
      </w:pPr>
      <w:r>
        <w:rPr>
          <w:rFonts w:ascii="Arial" w:cs="Arial" w:eastAsia="Arial" w:hAnsi="Arial"/>
          <w:sz w:val="22"/>
          <w:szCs w:val="22"/>
          <w:color w:val="auto"/>
        </w:rPr>
        <w:t>those proteins having SwissProt Nos. [***] are Collaboration Target Isoforms of [***];</w:t>
      </w:r>
    </w:p>
    <w:p>
      <w:pPr>
        <w:spacing w:after="0" w:line="219" w:lineRule="exact"/>
        <w:rPr>
          <w:rFonts w:ascii="Arial" w:cs="Arial" w:eastAsia="Arial" w:hAnsi="Arial"/>
          <w:sz w:val="22"/>
          <w:szCs w:val="22"/>
          <w:b w:val="1"/>
          <w:bCs w:val="1"/>
          <w:color w:val="auto"/>
        </w:rPr>
      </w:pPr>
    </w:p>
    <w:p>
      <w:pPr>
        <w:ind w:left="1040" w:hanging="384"/>
        <w:spacing w:after="0"/>
        <w:tabs>
          <w:tab w:leader="none" w:pos="1040" w:val="left"/>
        </w:tabs>
        <w:numPr>
          <w:ilvl w:val="1"/>
          <w:numId w:val="499"/>
        </w:numPr>
        <w:rPr>
          <w:rFonts w:ascii="Arial" w:cs="Arial" w:eastAsia="Arial" w:hAnsi="Arial"/>
          <w:sz w:val="22"/>
          <w:szCs w:val="22"/>
          <w:b w:val="1"/>
          <w:bCs w:val="1"/>
          <w:color w:val="auto"/>
        </w:rPr>
      </w:pPr>
      <w:r>
        <w:rPr>
          <w:rFonts w:ascii="Arial" w:cs="Arial" w:eastAsia="Arial" w:hAnsi="Arial"/>
          <w:sz w:val="22"/>
          <w:szCs w:val="22"/>
          <w:color w:val="auto"/>
        </w:rPr>
        <w:t>[***] and [***] are Exclusivity Targets corresponding to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 of 3</w:t>
      </w:r>
    </w:p>
    <w:p>
      <w:pPr>
        <w:sectPr>
          <w:pgSz w:w="11900" w:h="16838" w:orient="portrait"/>
          <w:cols w:equalWidth="0" w:num="1">
            <w:col w:w="11240"/>
          </w:cols>
          <w:pgMar w:left="320" w:top="121" w:right="339" w:bottom="1440" w:gutter="0" w:footer="0" w:header="0"/>
        </w:sectPr>
      </w:pPr>
    </w:p>
    <w:bookmarkStart w:id="556" w:name="page557"/>
    <w:bookmarkEnd w:id="556"/>
    <w:p>
      <w:pPr>
        <w:ind w:left="120" w:hanging="112"/>
        <w:spacing w:after="0"/>
        <w:tabs>
          <w:tab w:leader="none" w:pos="120" w:val="left"/>
        </w:tabs>
        <w:numPr>
          <w:ilvl w:val="0"/>
          <w:numId w:val="500"/>
        </w:numPr>
        <w:rPr>
          <w:rFonts w:ascii="Arial" w:cs="Arial" w:eastAsia="Arial" w:hAnsi="Arial"/>
          <w:sz w:val="18"/>
          <w:szCs w:val="18"/>
          <w:color w:val="auto"/>
          <w:highlight w:val="green"/>
        </w:rPr>
      </w:pPr>
      <w:r>
        <w:rPr>
          <w:rFonts w:ascii="Arial" w:cs="Arial" w:eastAsia="Arial" w:hAnsi="Arial"/>
          <w:sz w:val="18"/>
          <w:szCs w:val="18"/>
          <w:color w:val="auto"/>
          <w:highlight w:val="green"/>
        </w:rPr>
        <w:t xml:space="preserve">] </w:t>
      </w:r>
      <w:r>
        <w:rPr>
          <w:rFonts w:ascii="Arial" w:cs="Arial" w:eastAsia="Arial" w:hAnsi="Arial"/>
          <w:sz w:val="18"/>
          <w:szCs w:val="18"/>
          <w:color w:val="auto"/>
        </w:rPr>
        <w:t>=</w:t>
      </w:r>
      <w:r>
        <w:rPr>
          <w:rFonts w:ascii="Arial" w:cs="Arial" w:eastAsia="Arial" w:hAnsi="Arial"/>
          <w:sz w:val="18"/>
          <w:szCs w:val="18"/>
          <w:color w:val="auto"/>
          <w:highlight w:val="green"/>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27" w:lineRule="exact"/>
        <w:rPr>
          <w:rFonts w:ascii="Arial" w:cs="Arial" w:eastAsia="Arial" w:hAnsi="Arial"/>
          <w:sz w:val="18"/>
          <w:szCs w:val="18"/>
          <w:color w:val="auto"/>
          <w:highlight w:val="green"/>
        </w:rPr>
      </w:pPr>
    </w:p>
    <w:p>
      <w:pPr>
        <w:ind w:right="1420"/>
        <w:spacing w:after="0" w:line="260" w:lineRule="auto"/>
        <w:rPr>
          <w:rFonts w:ascii="Arial" w:cs="Arial" w:eastAsia="Arial" w:hAnsi="Arial"/>
          <w:sz w:val="18"/>
          <w:szCs w:val="18"/>
          <w:color w:val="auto"/>
          <w:highlight w:val="green"/>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right="20" w:hanging="644"/>
        <w:spacing w:after="0" w:line="263" w:lineRule="auto"/>
        <w:tabs>
          <w:tab w:leader="none" w:pos="1222" w:val="left"/>
        </w:tabs>
        <w:numPr>
          <w:ilvl w:val="1"/>
          <w:numId w:val="501"/>
        </w:numPr>
        <w:rPr>
          <w:rFonts w:ascii="Arial" w:cs="Arial" w:eastAsia="Arial" w:hAnsi="Arial"/>
          <w:sz w:val="22"/>
          <w:szCs w:val="22"/>
          <w:b w:val="1"/>
          <w:bCs w:val="1"/>
          <w:color w:val="auto"/>
        </w:rPr>
      </w:pPr>
      <w:r>
        <w:rPr>
          <w:rFonts w:ascii="Arial" w:cs="Arial" w:eastAsia="Arial" w:hAnsi="Arial"/>
          <w:sz w:val="22"/>
          <w:szCs w:val="22"/>
          <w:color w:val="auto"/>
        </w:rPr>
        <w:t>the [***] is the Exclusivity Target Isoform of [***], and those proteins having SwissProt Nos. [***] are the Exclusivity Target Isoforms of [***].</w:t>
      </w:r>
    </w:p>
    <w:p>
      <w:pPr>
        <w:spacing w:after="0" w:line="174" w:lineRule="exact"/>
        <w:rPr>
          <w:rFonts w:ascii="Arial" w:cs="Arial" w:eastAsia="Arial" w:hAnsi="Arial"/>
          <w:sz w:val="22"/>
          <w:szCs w:val="22"/>
          <w:b w:val="1"/>
          <w:bCs w:val="1"/>
          <w:color w:val="auto"/>
        </w:rPr>
      </w:pPr>
    </w:p>
    <w:p>
      <w:pPr>
        <w:ind w:left="380" w:hanging="372"/>
        <w:spacing w:after="0"/>
        <w:tabs>
          <w:tab w:leader="none" w:pos="380" w:val="left"/>
        </w:tabs>
        <w:numPr>
          <w:ilvl w:val="0"/>
          <w:numId w:val="502"/>
        </w:numPr>
        <w:rPr>
          <w:rFonts w:ascii="Arial" w:cs="Arial" w:eastAsia="Arial" w:hAnsi="Arial"/>
          <w:sz w:val="22"/>
          <w:szCs w:val="22"/>
          <w:b w:val="1"/>
          <w:bCs w:val="1"/>
          <w:color w:val="auto"/>
        </w:rPr>
      </w:pPr>
      <w:r>
        <w:rPr>
          <w:rFonts w:ascii="Arial" w:cs="Arial" w:eastAsia="Arial" w:hAnsi="Arial"/>
          <w:sz w:val="22"/>
          <w:szCs w:val="22"/>
          <w:color w:val="auto"/>
        </w:rPr>
        <w:t>The Parties remove the following from the Discovery Alliance Agreement:</w:t>
      </w:r>
    </w:p>
    <w:p>
      <w:pPr>
        <w:spacing w:after="0" w:line="219" w:lineRule="exact"/>
        <w:rPr>
          <w:rFonts w:ascii="Arial" w:cs="Arial" w:eastAsia="Arial" w:hAnsi="Arial"/>
          <w:sz w:val="22"/>
          <w:szCs w:val="22"/>
          <w:b w:val="1"/>
          <w:bCs w:val="1"/>
          <w:color w:val="auto"/>
        </w:rPr>
      </w:pPr>
    </w:p>
    <w:p>
      <w:pPr>
        <w:ind w:left="1060" w:hanging="404"/>
        <w:spacing w:after="0"/>
        <w:tabs>
          <w:tab w:leader="none" w:pos="1060" w:val="left"/>
        </w:tabs>
        <w:numPr>
          <w:ilvl w:val="1"/>
          <w:numId w:val="502"/>
        </w:numPr>
        <w:rPr>
          <w:rFonts w:ascii="Arial" w:cs="Arial" w:eastAsia="Arial" w:hAnsi="Arial"/>
          <w:sz w:val="22"/>
          <w:szCs w:val="22"/>
          <w:b w:val="1"/>
          <w:bCs w:val="1"/>
          <w:color w:val="auto"/>
        </w:rPr>
      </w:pPr>
      <w:r>
        <w:rPr>
          <w:rFonts w:ascii="Arial" w:cs="Arial" w:eastAsia="Arial" w:hAnsi="Arial"/>
          <w:sz w:val="22"/>
          <w:szCs w:val="22"/>
          <w:color w:val="auto"/>
        </w:rPr>
        <w:t>[***] are no longer Collaboration Targets;</w:t>
      </w:r>
    </w:p>
    <w:p>
      <w:pPr>
        <w:spacing w:after="0" w:line="219" w:lineRule="exact"/>
        <w:rPr>
          <w:rFonts w:ascii="Arial" w:cs="Arial" w:eastAsia="Arial" w:hAnsi="Arial"/>
          <w:sz w:val="22"/>
          <w:szCs w:val="22"/>
          <w:b w:val="1"/>
          <w:bCs w:val="1"/>
          <w:color w:val="auto"/>
        </w:rPr>
      </w:pPr>
    </w:p>
    <w:p>
      <w:pPr>
        <w:ind w:left="1060" w:hanging="404"/>
        <w:spacing w:after="0"/>
        <w:tabs>
          <w:tab w:leader="none" w:pos="1060" w:val="left"/>
        </w:tabs>
        <w:numPr>
          <w:ilvl w:val="1"/>
          <w:numId w:val="502"/>
        </w:numPr>
        <w:rPr>
          <w:rFonts w:ascii="Arial" w:cs="Arial" w:eastAsia="Arial" w:hAnsi="Arial"/>
          <w:sz w:val="22"/>
          <w:szCs w:val="22"/>
          <w:b w:val="1"/>
          <w:bCs w:val="1"/>
          <w:color w:val="auto"/>
        </w:rPr>
      </w:pPr>
      <w:r>
        <w:rPr>
          <w:rFonts w:ascii="Arial" w:cs="Arial" w:eastAsia="Arial" w:hAnsi="Arial"/>
          <w:sz w:val="22"/>
          <w:szCs w:val="22"/>
          <w:color w:val="auto"/>
        </w:rPr>
        <w:t>the [***] and those proteins having SwissProt Nos. [***] are no longer Collaboration Target Isoforms;</w:t>
      </w:r>
    </w:p>
    <w:p>
      <w:pPr>
        <w:spacing w:after="0" w:line="219" w:lineRule="exact"/>
        <w:rPr>
          <w:rFonts w:ascii="Arial" w:cs="Arial" w:eastAsia="Arial" w:hAnsi="Arial"/>
          <w:sz w:val="22"/>
          <w:szCs w:val="22"/>
          <w:b w:val="1"/>
          <w:bCs w:val="1"/>
          <w:color w:val="auto"/>
        </w:rPr>
      </w:pPr>
    </w:p>
    <w:p>
      <w:pPr>
        <w:ind w:left="1040" w:hanging="384"/>
        <w:spacing w:after="0"/>
        <w:tabs>
          <w:tab w:leader="none" w:pos="1040" w:val="left"/>
        </w:tabs>
        <w:numPr>
          <w:ilvl w:val="1"/>
          <w:numId w:val="502"/>
        </w:numPr>
        <w:rPr>
          <w:rFonts w:ascii="Arial" w:cs="Arial" w:eastAsia="Arial" w:hAnsi="Arial"/>
          <w:sz w:val="22"/>
          <w:szCs w:val="22"/>
          <w:b w:val="1"/>
          <w:bCs w:val="1"/>
          <w:color w:val="auto"/>
        </w:rPr>
      </w:pPr>
      <w:r>
        <w:rPr>
          <w:rFonts w:ascii="Arial" w:cs="Arial" w:eastAsia="Arial" w:hAnsi="Arial"/>
          <w:sz w:val="22"/>
          <w:szCs w:val="22"/>
          <w:color w:val="auto"/>
        </w:rPr>
        <w:t>[***] is no longer an Exclusivity Target; and</w:t>
      </w:r>
    </w:p>
    <w:p>
      <w:pPr>
        <w:spacing w:after="0" w:line="219" w:lineRule="exact"/>
        <w:rPr>
          <w:rFonts w:ascii="Arial" w:cs="Arial" w:eastAsia="Arial" w:hAnsi="Arial"/>
          <w:sz w:val="22"/>
          <w:szCs w:val="22"/>
          <w:b w:val="1"/>
          <w:bCs w:val="1"/>
          <w:color w:val="auto"/>
        </w:rPr>
      </w:pPr>
    </w:p>
    <w:p>
      <w:pPr>
        <w:ind w:left="1060" w:hanging="404"/>
        <w:spacing w:after="0"/>
        <w:tabs>
          <w:tab w:leader="none" w:pos="1060" w:val="left"/>
        </w:tabs>
        <w:numPr>
          <w:ilvl w:val="1"/>
          <w:numId w:val="502"/>
        </w:numPr>
        <w:rPr>
          <w:rFonts w:ascii="Arial" w:cs="Arial" w:eastAsia="Arial" w:hAnsi="Arial"/>
          <w:sz w:val="22"/>
          <w:szCs w:val="22"/>
          <w:b w:val="1"/>
          <w:bCs w:val="1"/>
          <w:color w:val="auto"/>
        </w:rPr>
      </w:pPr>
      <w:r>
        <w:rPr>
          <w:rFonts w:ascii="Arial" w:cs="Arial" w:eastAsia="Arial" w:hAnsi="Arial"/>
          <w:sz w:val="22"/>
          <w:szCs w:val="22"/>
          <w:color w:val="auto"/>
        </w:rPr>
        <w:t>those proteins having SwissProt Nos. [***] are no longer Exclusivity Target Isoforms.</w:t>
      </w:r>
    </w:p>
    <w:p>
      <w:pPr>
        <w:spacing w:after="0" w:line="219" w:lineRule="exact"/>
        <w:rPr>
          <w:rFonts w:ascii="Arial" w:cs="Arial" w:eastAsia="Arial" w:hAnsi="Arial"/>
          <w:sz w:val="22"/>
          <w:szCs w:val="22"/>
          <w:b w:val="1"/>
          <w:bCs w:val="1"/>
          <w:color w:val="auto"/>
        </w:rPr>
      </w:pPr>
    </w:p>
    <w:p>
      <w:pPr>
        <w:ind w:left="660" w:hanging="652"/>
        <w:spacing w:after="0" w:line="263" w:lineRule="auto"/>
        <w:tabs>
          <w:tab w:leader="none" w:pos="390" w:val="left"/>
        </w:tabs>
        <w:numPr>
          <w:ilvl w:val="0"/>
          <w:numId w:val="502"/>
        </w:numPr>
        <w:rPr>
          <w:rFonts w:ascii="Arial" w:cs="Arial" w:eastAsia="Arial" w:hAnsi="Arial"/>
          <w:sz w:val="22"/>
          <w:szCs w:val="22"/>
          <w:b w:val="1"/>
          <w:bCs w:val="1"/>
          <w:color w:val="auto"/>
        </w:rPr>
      </w:pPr>
      <w:r>
        <w:rPr>
          <w:rFonts w:ascii="Arial" w:cs="Arial" w:eastAsia="Arial" w:hAnsi="Arial"/>
          <w:sz w:val="22"/>
          <w:szCs w:val="22"/>
          <w:color w:val="auto"/>
        </w:rPr>
        <w:t>Exhibit A of the Discovery Alliance Agreement is deleted in its entirety and replaced with the amended Exhibit A attached to this First Amendment.</w:t>
      </w:r>
    </w:p>
    <w:p>
      <w:pPr>
        <w:spacing w:after="0" w:line="174" w:lineRule="exact"/>
        <w:rPr>
          <w:rFonts w:ascii="Arial" w:cs="Arial" w:eastAsia="Arial" w:hAnsi="Arial"/>
          <w:sz w:val="22"/>
          <w:szCs w:val="22"/>
          <w:b w:val="1"/>
          <w:bCs w:val="1"/>
          <w:color w:val="auto"/>
        </w:rPr>
      </w:pPr>
    </w:p>
    <w:p>
      <w:pPr>
        <w:ind w:left="660" w:hanging="652"/>
        <w:spacing w:after="0" w:line="263" w:lineRule="auto"/>
        <w:tabs>
          <w:tab w:leader="none" w:pos="565" w:val="left"/>
        </w:tabs>
        <w:numPr>
          <w:ilvl w:val="0"/>
          <w:numId w:val="502"/>
        </w:numPr>
        <w:rPr>
          <w:rFonts w:ascii="Arial" w:cs="Arial" w:eastAsia="Arial" w:hAnsi="Arial"/>
          <w:sz w:val="21"/>
          <w:szCs w:val="21"/>
          <w:b w:val="1"/>
          <w:bCs w:val="1"/>
          <w:color w:val="auto"/>
        </w:rPr>
      </w:pPr>
      <w:r>
        <w:rPr>
          <w:rFonts w:ascii="Arial" w:cs="Arial" w:eastAsia="Arial" w:hAnsi="Arial"/>
          <w:sz w:val="21"/>
          <w:szCs w:val="21"/>
          <w:color w:val="auto"/>
        </w:rPr>
        <w:t>The Parties make the foregoing additions and deletions notwithstanding that the Parties have not complied with the procedure set forth at section 2.8 of the Discovery Alliance Agreement. Hence, the proteins identified in Exhibit A, as amended by this First Amendment, are Collaboration Targets, Collaboration Target Isoforms, Exclusivity Targets, and Exclusivity Target Isoforms (all as specified by Exhibit A) as of the Effective Date of this First Amendment, notwithstanding anything to the contrary in the Discovery Alliance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226" w:lineRule="exact"/>
        <w:rPr>
          <w:sz w:val="20"/>
          <w:szCs w:val="20"/>
          <w:color w:val="auto"/>
        </w:rPr>
      </w:pPr>
    </w:p>
    <w:p>
      <w:pPr>
        <w:ind w:left="660" w:hanging="652"/>
        <w:spacing w:after="0" w:line="263" w:lineRule="auto"/>
        <w:tabs>
          <w:tab w:leader="none" w:pos="444" w:val="left"/>
        </w:tabs>
        <w:numPr>
          <w:ilvl w:val="0"/>
          <w:numId w:val="503"/>
        </w:numPr>
        <w:rPr>
          <w:rFonts w:ascii="Arial" w:cs="Arial" w:eastAsia="Arial" w:hAnsi="Arial"/>
          <w:sz w:val="22"/>
          <w:szCs w:val="22"/>
          <w:b w:val="1"/>
          <w:bCs w:val="1"/>
          <w:color w:val="auto"/>
        </w:rPr>
      </w:pPr>
      <w:r>
        <w:rPr>
          <w:rFonts w:ascii="Arial" w:cs="Arial" w:eastAsia="Arial" w:hAnsi="Arial"/>
          <w:sz w:val="22"/>
          <w:szCs w:val="22"/>
          <w:color w:val="auto"/>
        </w:rPr>
        <w:t>Any capitalized term used but not defined in this First Amendment shall have the meaning ascribed to it in the Discovery Alliance Agreement</w:t>
      </w:r>
    </w:p>
    <w:p>
      <w:pPr>
        <w:spacing w:after="0" w:line="174" w:lineRule="exact"/>
        <w:rPr>
          <w:rFonts w:ascii="Arial" w:cs="Arial" w:eastAsia="Arial" w:hAnsi="Arial"/>
          <w:sz w:val="22"/>
          <w:szCs w:val="22"/>
          <w:b w:val="1"/>
          <w:bCs w:val="1"/>
          <w:color w:val="auto"/>
        </w:rPr>
      </w:pPr>
    </w:p>
    <w:p>
      <w:pPr>
        <w:ind w:left="660" w:right="20" w:hanging="652"/>
        <w:spacing w:after="0" w:line="263" w:lineRule="auto"/>
        <w:tabs>
          <w:tab w:leader="none" w:pos="471" w:val="left"/>
        </w:tabs>
        <w:numPr>
          <w:ilvl w:val="0"/>
          <w:numId w:val="503"/>
        </w:numPr>
        <w:rPr>
          <w:rFonts w:ascii="Arial" w:cs="Arial" w:eastAsia="Arial" w:hAnsi="Arial"/>
          <w:sz w:val="22"/>
          <w:szCs w:val="22"/>
          <w:b w:val="1"/>
          <w:bCs w:val="1"/>
          <w:color w:val="auto"/>
        </w:rPr>
      </w:pPr>
      <w:r>
        <w:rPr>
          <w:rFonts w:ascii="Arial" w:cs="Arial" w:eastAsia="Arial" w:hAnsi="Arial"/>
          <w:sz w:val="22"/>
          <w:szCs w:val="22"/>
          <w:color w:val="auto"/>
        </w:rPr>
        <w:t>This First Amendment was prepared in the English language, which language shall govern the interpretation of, and any dispute regarding, the terms of this First Amendment.</w:t>
      </w:r>
    </w:p>
    <w:p>
      <w:pPr>
        <w:spacing w:after="0" w:line="174" w:lineRule="exact"/>
        <w:rPr>
          <w:rFonts w:ascii="Arial" w:cs="Arial" w:eastAsia="Arial" w:hAnsi="Arial"/>
          <w:sz w:val="22"/>
          <w:szCs w:val="22"/>
          <w:b w:val="1"/>
          <w:bCs w:val="1"/>
          <w:color w:val="auto"/>
        </w:rPr>
      </w:pPr>
    </w:p>
    <w:p>
      <w:pPr>
        <w:ind w:left="660" w:hanging="652"/>
        <w:spacing w:after="0" w:line="271" w:lineRule="auto"/>
        <w:tabs>
          <w:tab w:leader="none" w:pos="403" w:val="left"/>
        </w:tabs>
        <w:numPr>
          <w:ilvl w:val="0"/>
          <w:numId w:val="503"/>
        </w:numPr>
        <w:rPr>
          <w:rFonts w:ascii="Arial" w:cs="Arial" w:eastAsia="Arial" w:hAnsi="Arial"/>
          <w:sz w:val="21"/>
          <w:szCs w:val="21"/>
          <w:b w:val="1"/>
          <w:bCs w:val="1"/>
          <w:color w:val="auto"/>
        </w:rPr>
      </w:pPr>
      <w:r>
        <w:rPr>
          <w:rFonts w:ascii="Arial" w:cs="Arial" w:eastAsia="Arial" w:hAnsi="Arial"/>
          <w:sz w:val="21"/>
          <w:szCs w:val="21"/>
          <w:color w:val="auto"/>
        </w:rPr>
        <w:t>Where there is any conflict between the terms of this First Amendment and the terms of the Discovery Alliance Agreement, the terms of this First Amendment shall prevail. Except as expressly set forth in this First Amendment, all other terms of the Discovery Alliance Agreement shall apply and remain in full force and effect.</w:t>
      </w:r>
    </w:p>
    <w:p>
      <w:pPr>
        <w:spacing w:after="0" w:line="167" w:lineRule="exact"/>
        <w:rPr>
          <w:rFonts w:ascii="Arial" w:cs="Arial" w:eastAsia="Arial" w:hAnsi="Arial"/>
          <w:sz w:val="21"/>
          <w:szCs w:val="21"/>
          <w:b w:val="1"/>
          <w:bCs w:val="1"/>
          <w:color w:val="auto"/>
        </w:rPr>
      </w:pPr>
    </w:p>
    <w:p>
      <w:pPr>
        <w:ind w:left="660" w:hanging="652"/>
        <w:spacing w:after="0" w:line="263" w:lineRule="auto"/>
        <w:tabs>
          <w:tab w:leader="none" w:pos="457" w:val="left"/>
        </w:tabs>
        <w:numPr>
          <w:ilvl w:val="0"/>
          <w:numId w:val="503"/>
        </w:numPr>
        <w:rPr>
          <w:rFonts w:ascii="Arial" w:cs="Arial" w:eastAsia="Arial" w:hAnsi="Arial"/>
          <w:sz w:val="21"/>
          <w:szCs w:val="21"/>
          <w:b w:val="1"/>
          <w:bCs w:val="1"/>
          <w:color w:val="auto"/>
        </w:rPr>
      </w:pPr>
      <w:r>
        <w:rPr>
          <w:rFonts w:ascii="Arial" w:cs="Arial" w:eastAsia="Arial" w:hAnsi="Arial"/>
          <w:sz w:val="21"/>
          <w:szCs w:val="21"/>
          <w:color w:val="auto"/>
        </w:rPr>
        <w:t>This Agreement may be executed in one (1) or more counterparts, by original, facsimile or PDF signature, each of which shall be deemed an original, but all of which together shall constitute one and the same instrument. Signatures to this Agreement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 of 3</w:t>
      </w:r>
    </w:p>
    <w:p>
      <w:pPr>
        <w:sectPr>
          <w:pgSz w:w="11900" w:h="16838" w:orient="portrait"/>
          <w:cols w:equalWidth="0" w:num="1">
            <w:col w:w="11240"/>
          </w:cols>
          <w:pgMar w:left="320" w:top="121" w:right="339" w:bottom="1440" w:gutter="0" w:footer="0" w:header="0"/>
        </w:sectPr>
      </w:pPr>
    </w:p>
    <w:bookmarkStart w:id="557" w:name="page558"/>
    <w:bookmarkEnd w:id="557"/>
    <w:p>
      <w:pPr>
        <w:ind w:left="120" w:hanging="112"/>
        <w:spacing w:after="0"/>
        <w:tabs>
          <w:tab w:leader="none" w:pos="120" w:val="left"/>
        </w:tabs>
        <w:numPr>
          <w:ilvl w:val="0"/>
          <w:numId w:val="504"/>
        </w:numPr>
        <w:rPr>
          <w:rFonts w:ascii="Arial" w:cs="Arial" w:eastAsia="Arial" w:hAnsi="Arial"/>
          <w:sz w:val="18"/>
          <w:szCs w:val="18"/>
          <w:color w:val="auto"/>
          <w:highlight w:val="green"/>
        </w:rPr>
      </w:pPr>
      <w:r>
        <w:rPr>
          <w:rFonts w:ascii="Arial" w:cs="Arial" w:eastAsia="Arial" w:hAnsi="Arial"/>
          <w:sz w:val="18"/>
          <w:szCs w:val="18"/>
          <w:color w:val="auto"/>
          <w:highlight w:val="green"/>
        </w:rPr>
        <w:t xml:space="preserve">] </w:t>
      </w:r>
      <w:r>
        <w:rPr>
          <w:rFonts w:ascii="Arial" w:cs="Arial" w:eastAsia="Arial" w:hAnsi="Arial"/>
          <w:sz w:val="18"/>
          <w:szCs w:val="18"/>
          <w:color w:val="auto"/>
        </w:rPr>
        <w:t>=</w:t>
      </w:r>
      <w:r>
        <w:rPr>
          <w:rFonts w:ascii="Arial" w:cs="Arial" w:eastAsia="Arial" w:hAnsi="Arial"/>
          <w:sz w:val="18"/>
          <w:szCs w:val="18"/>
          <w:color w:val="auto"/>
          <w:highlight w:val="green"/>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27" w:lineRule="exact"/>
        <w:rPr>
          <w:rFonts w:ascii="Arial" w:cs="Arial" w:eastAsia="Arial" w:hAnsi="Arial"/>
          <w:sz w:val="18"/>
          <w:szCs w:val="18"/>
          <w:color w:val="auto"/>
          <w:highlight w:val="green"/>
        </w:rPr>
      </w:pPr>
    </w:p>
    <w:p>
      <w:pPr>
        <w:ind w:right="1280"/>
        <w:spacing w:after="0" w:line="260" w:lineRule="auto"/>
        <w:rPr>
          <w:rFonts w:ascii="Arial" w:cs="Arial" w:eastAsia="Arial" w:hAnsi="Arial"/>
          <w:sz w:val="18"/>
          <w:szCs w:val="18"/>
          <w:color w:val="auto"/>
          <w:highlight w:val="green"/>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 by their duly authorized officers as of the Effective Date.</w:t>
      </w:r>
    </w:p>
    <w:p>
      <w:pPr>
        <w:spacing w:after="0" w:line="200" w:lineRule="exact"/>
        <w:rPr>
          <w:sz w:val="20"/>
          <w:szCs w:val="20"/>
          <w:color w:val="auto"/>
        </w:rPr>
      </w:pPr>
    </w:p>
    <w:p>
      <w:pPr>
        <w:spacing w:after="0" w:line="315"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20"/>
          <w:szCs w:val="20"/>
          <w:b w:val="1"/>
          <w:bCs w:val="1"/>
          <w:color w:val="auto"/>
        </w:rPr>
        <w:t>ALLERGAN, INC.</w:t>
      </w:r>
      <w:r>
        <w:rPr>
          <w:sz w:val="20"/>
          <w:szCs w:val="20"/>
          <w:color w:val="auto"/>
        </w:rPr>
        <w:tab/>
      </w:r>
      <w:r>
        <w:rPr>
          <w:rFonts w:ascii="Arial" w:cs="Arial" w:eastAsia="Arial" w:hAnsi="Arial"/>
          <w:sz w:val="19"/>
          <w:szCs w:val="19"/>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27305</wp:posOffset>
            </wp:positionV>
            <wp:extent cx="6540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40500" cy="8890"/>
                    </a:xfrm>
                    <a:prstGeom prst="rect">
                      <a:avLst/>
                    </a:prstGeom>
                    <a:noFill/>
                  </pic:spPr>
                </pic:pic>
              </a:graphicData>
            </a:graphic>
          </wp:anchor>
        </w:drawing>
      </w:r>
    </w:p>
    <w:p>
      <w:pPr>
        <w:spacing w:after="0" w:line="61"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Andreas Emmenegger</w:t>
      </w:r>
    </w:p>
    <w:p>
      <w:pPr>
        <w:spacing w:after="0" w:line="81"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20"/>
          <w:szCs w:val="20"/>
          <w:b w:val="1"/>
          <w:bCs w:val="1"/>
          <w:color w:val="auto"/>
        </w:rPr>
        <w:t>ALLERGAN SALES, LLC</w:t>
      </w:r>
      <w:r>
        <w:rPr>
          <w:sz w:val="20"/>
          <w:szCs w:val="20"/>
          <w:color w:val="auto"/>
        </w:rPr>
        <w:tab/>
      </w:r>
      <w:r>
        <w:rPr>
          <w:rFonts w:ascii="Arial" w:cs="Arial" w:eastAsia="Arial" w:hAnsi="Arial"/>
          <w:sz w:val="19"/>
          <w:szCs w:val="19"/>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27305</wp:posOffset>
            </wp:positionV>
            <wp:extent cx="6540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61"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Patrick Amstutz</w:t>
      </w:r>
    </w:p>
    <w:p>
      <w:pPr>
        <w:spacing w:after="0" w:line="81" w:lineRule="exact"/>
        <w:rPr>
          <w:sz w:val="20"/>
          <w:szCs w:val="20"/>
          <w:color w:val="auto"/>
        </w:rPr>
      </w:pPr>
    </w:p>
    <w:p>
      <w:pPr>
        <w:ind w:left="7000"/>
        <w:spacing w:after="0"/>
        <w:rPr>
          <w:sz w:val="20"/>
          <w:szCs w:val="20"/>
          <w:color w:val="auto"/>
        </w:rPr>
      </w:pPr>
      <w:r>
        <w:rPr>
          <w:rFonts w:ascii="Arial" w:cs="Arial" w:eastAsia="Arial" w:hAnsi="Arial"/>
          <w:sz w:val="20"/>
          <w:szCs w:val="20"/>
          <w:color w:val="auto"/>
        </w:rPr>
        <w:t>Chief Business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 of 3</w:t>
      </w:r>
    </w:p>
    <w:p>
      <w:pPr>
        <w:sectPr>
          <w:pgSz w:w="11900" w:h="16838" w:orient="portrait"/>
          <w:cols w:equalWidth="0" w:num="1">
            <w:col w:w="11100"/>
          </w:cols>
          <w:pgMar w:left="320" w:top="121" w:right="479" w:bottom="1440" w:gutter="0" w:footer="0" w:header="0"/>
        </w:sectPr>
      </w:pPr>
    </w:p>
    <w:bookmarkStart w:id="558" w:name="page559"/>
    <w:bookmarkEnd w:id="558"/>
    <w:p>
      <w:pPr>
        <w:ind w:left="7600"/>
        <w:spacing w:after="0"/>
        <w:rPr>
          <w:sz w:val="20"/>
          <w:szCs w:val="20"/>
          <w:color w:val="auto"/>
        </w:rPr>
      </w:pPr>
      <w:r>
        <w:rPr>
          <w:rFonts w:ascii="Arial" w:cs="Arial" w:eastAsia="Arial" w:hAnsi="Arial"/>
          <w:sz w:val="22"/>
          <w:szCs w:val="22"/>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Collaboration Targets and Exclusivity Targets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Italicized text shows additions to the Discovery Alliance Agreement; strike-through text shows deletions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23430" cy="7372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3430" cy="737235"/>
                    </a:xfrm>
                    <a:prstGeom prst="rect">
                      <a:avLst/>
                    </a:prstGeom>
                    <a:noFill/>
                  </pic:spPr>
                </pic:pic>
              </a:graphicData>
            </a:graphic>
          </wp:anchor>
        </w:drawing>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TARGETS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3400" w:type="dxa"/>
            <w:vAlign w:val="bottom"/>
            <w:tcBorders>
              <w:top w:val="single" w:sz="8" w:color="auto"/>
              <w:right w:val="single" w:sz="8" w:color="auto"/>
            </w:tcBorders>
          </w:tcPr>
          <w:p>
            <w:pPr>
              <w:jc w:val="right"/>
              <w:ind w:right="612"/>
              <w:spacing w:after="0"/>
              <w:rPr>
                <w:sz w:val="20"/>
                <w:szCs w:val="20"/>
                <w:color w:val="auto"/>
              </w:rPr>
            </w:pPr>
            <w:r>
              <w:rPr>
                <w:rFonts w:ascii="Arial" w:cs="Arial" w:eastAsia="Arial" w:hAnsi="Arial"/>
                <w:sz w:val="22"/>
                <w:szCs w:val="22"/>
                <w:b w:val="1"/>
                <w:bCs w:val="1"/>
                <w:color w:val="auto"/>
              </w:rPr>
              <w:t>Collaboration Target</w:t>
            </w:r>
          </w:p>
        </w:tc>
        <w:tc>
          <w:tcPr>
            <w:tcW w:w="3400" w:type="dxa"/>
            <w:vAlign w:val="bottom"/>
            <w:tcBorders>
              <w:top w:val="single" w:sz="8" w:color="auto"/>
              <w:right w:val="single" w:sz="8" w:color="auto"/>
            </w:tcBorders>
          </w:tcPr>
          <w:p>
            <w:pPr>
              <w:jc w:val="right"/>
              <w:ind w:right="772"/>
              <w:spacing w:after="0"/>
              <w:rPr>
                <w:sz w:val="20"/>
                <w:szCs w:val="20"/>
                <w:color w:val="auto"/>
              </w:rPr>
            </w:pPr>
            <w:r>
              <w:rPr>
                <w:rFonts w:ascii="Arial" w:cs="Arial" w:eastAsia="Arial" w:hAnsi="Arial"/>
                <w:sz w:val="22"/>
                <w:szCs w:val="22"/>
                <w:b w:val="1"/>
                <w:bCs w:val="1"/>
                <w:color w:val="auto"/>
              </w:rPr>
              <w:t>Exclusivity Target</w:t>
            </w:r>
          </w:p>
        </w:tc>
        <w:tc>
          <w:tcPr>
            <w:tcW w:w="4420" w:type="dxa"/>
            <w:vAlign w:val="bottom"/>
            <w:tcBorders>
              <w:top w:val="single" w:sz="8" w:color="auto"/>
            </w:tcBorders>
          </w:tcPr>
          <w:p>
            <w:pPr>
              <w:jc w:val="right"/>
              <w:ind w:right="712"/>
              <w:spacing w:after="0"/>
              <w:rPr>
                <w:sz w:val="20"/>
                <w:szCs w:val="20"/>
                <w:color w:val="auto"/>
              </w:rPr>
            </w:pPr>
            <w:r>
              <w:rPr>
                <w:rFonts w:ascii="Arial" w:cs="Arial" w:eastAsia="Arial" w:hAnsi="Arial"/>
                <w:sz w:val="22"/>
                <w:szCs w:val="22"/>
                <w:b w:val="1"/>
                <w:bCs w:val="1"/>
                <w:color w:val="auto"/>
              </w:rPr>
              <w:t>Collaboration Target Isoforms</w:t>
            </w:r>
          </w:p>
        </w:tc>
      </w:tr>
      <w:tr>
        <w:trPr>
          <w:trHeight w:val="30"/>
        </w:trPr>
        <w:tc>
          <w:tcPr>
            <w:tcW w:w="34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301"/>
        </w:trPr>
        <w:tc>
          <w:tcPr>
            <w:tcW w:w="3400" w:type="dxa"/>
            <w:vAlign w:val="bottom"/>
            <w:tcBorders>
              <w:right w:val="single" w:sz="8" w:color="auto"/>
            </w:tcBorders>
          </w:tcPr>
          <w:p>
            <w:pPr>
              <w:jc w:val="right"/>
              <w:ind w:right="2792"/>
              <w:spacing w:after="0"/>
              <w:rPr>
                <w:sz w:val="20"/>
                <w:szCs w:val="20"/>
                <w:color w:val="auto"/>
              </w:rPr>
            </w:pPr>
            <w:r>
              <w:rPr>
                <w:rFonts w:ascii="Arial" w:cs="Arial" w:eastAsia="Arial" w:hAnsi="Arial"/>
                <w:sz w:val="22"/>
                <w:szCs w:val="22"/>
                <w:color w:val="auto"/>
              </w:rPr>
              <w:t>[***]</w:t>
            </w:r>
          </w:p>
        </w:tc>
        <w:tc>
          <w:tcPr>
            <w:tcW w:w="3400" w:type="dxa"/>
            <w:vAlign w:val="bottom"/>
            <w:tcBorders>
              <w:right w:val="single" w:sz="8" w:color="auto"/>
            </w:tcBorders>
          </w:tcPr>
          <w:p>
            <w:pPr>
              <w:jc w:val="right"/>
              <w:ind w:right="2812"/>
              <w:spacing w:after="0"/>
              <w:rPr>
                <w:sz w:val="20"/>
                <w:szCs w:val="20"/>
                <w:color w:val="auto"/>
              </w:rPr>
            </w:pPr>
            <w:r>
              <w:rPr>
                <w:rFonts w:ascii="Arial" w:cs="Arial" w:eastAsia="Arial" w:hAnsi="Arial"/>
                <w:sz w:val="22"/>
                <w:szCs w:val="22"/>
                <w:color w:val="auto"/>
              </w:rPr>
              <w:t>[***]</w:t>
            </w:r>
          </w:p>
        </w:tc>
        <w:tc>
          <w:tcPr>
            <w:tcW w:w="4420" w:type="dxa"/>
            <w:vAlign w:val="bottom"/>
          </w:tcPr>
          <w:p>
            <w:pPr>
              <w:jc w:val="right"/>
              <w:ind w:right="3832"/>
              <w:spacing w:after="0"/>
              <w:rPr>
                <w:sz w:val="20"/>
                <w:szCs w:val="20"/>
                <w:color w:val="auto"/>
              </w:rPr>
            </w:pPr>
            <w:r>
              <w:rPr>
                <w:rFonts w:ascii="Arial" w:cs="Arial" w:eastAsia="Arial" w:hAnsi="Arial"/>
                <w:sz w:val="22"/>
                <w:szCs w:val="22"/>
                <w:color w:val="auto"/>
              </w:rPr>
              <w:t>[***]</w:t>
            </w:r>
          </w:p>
        </w:tc>
      </w:tr>
      <w:tr>
        <w:trPr>
          <w:trHeight w:val="30"/>
        </w:trPr>
        <w:tc>
          <w:tcPr>
            <w:tcW w:w="34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 of A2</w:t>
      </w:r>
    </w:p>
    <w:p>
      <w:pPr>
        <w:sectPr>
          <w:pgSz w:w="11900" w:h="16838" w:orient="portrait"/>
          <w:cols w:equalWidth="0" w:num="1">
            <w:col w:w="11220"/>
          </w:cols>
          <w:pgMar w:left="320" w:top="193" w:right="359" w:bottom="1440" w:gutter="0" w:footer="0" w:header="0"/>
        </w:sectPr>
      </w:pPr>
    </w:p>
    <w:bookmarkStart w:id="559" w:name="page560"/>
    <w:bookmarkEnd w:id="559"/>
    <w:p>
      <w:pPr>
        <w:ind w:left="440" w:hanging="432"/>
        <w:spacing w:after="0"/>
        <w:tabs>
          <w:tab w:leader="none" w:pos="4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27" w:lineRule="exact"/>
        <w:rPr>
          <w:rFonts w:ascii="Arial" w:cs="Arial" w:eastAsia="Arial" w:hAnsi="Arial"/>
          <w:sz w:val="18"/>
          <w:szCs w:val="18"/>
          <w:color w:val="auto"/>
        </w:rPr>
      </w:pPr>
    </w:p>
    <w:p>
      <w:pPr>
        <w:ind w:right="142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DISCOVERY ALLIANCE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Amendment to Discovery Alliance Agreement</w:t>
      </w:r>
      <w:r>
        <w:rPr>
          <w:rFonts w:ascii="Arial" w:cs="Arial" w:eastAsia="Arial" w:hAnsi="Arial"/>
          <w:sz w:val="22"/>
          <w:szCs w:val="22"/>
          <w:color w:val="auto"/>
        </w:rPr>
        <w:t xml:space="preserve"> (this “</w:t>
      </w:r>
      <w:r>
        <w:rPr>
          <w:rFonts w:ascii="Arial" w:cs="Arial" w:eastAsia="Arial" w:hAnsi="Arial"/>
          <w:sz w:val="22"/>
          <w:szCs w:val="22"/>
          <w:b w:val="1"/>
          <w:bCs w:val="1"/>
          <w:color w:val="auto"/>
        </w:rPr>
        <w:t>Second Amendment</w:t>
      </w:r>
      <w:r>
        <w:rPr>
          <w:rFonts w:ascii="Arial" w:cs="Arial" w:eastAsia="Arial" w:hAnsi="Arial"/>
          <w:sz w:val="22"/>
          <w:szCs w:val="22"/>
          <w:color w:val="auto"/>
        </w:rPr>
        <w:t>”) is entered into as of September 30, 2014 (the “</w:t>
      </w:r>
      <w:r>
        <w:rPr>
          <w:rFonts w:ascii="Arial" w:cs="Arial" w:eastAsia="Arial" w:hAnsi="Arial"/>
          <w:sz w:val="22"/>
          <w:szCs w:val="22"/>
          <w:b w:val="1"/>
          <w:bCs w:val="1"/>
          <w:color w:val="auto"/>
        </w:rPr>
        <w:t>Second Amendment Effective Date</w:t>
      </w:r>
      <w:r>
        <w:rPr>
          <w:rFonts w:ascii="Arial" w:cs="Arial" w:eastAsia="Arial" w:hAnsi="Arial"/>
          <w:sz w:val="22"/>
          <w:szCs w:val="22"/>
          <w:color w:val="auto"/>
        </w:rPr>
        <w:t xml:space="preserve">”) by and between (a) </w:t>
      </w:r>
      <w:r>
        <w:rPr>
          <w:rFonts w:ascii="Arial" w:cs="Arial" w:eastAsia="Arial" w:hAnsi="Arial"/>
          <w:sz w:val="22"/>
          <w:szCs w:val="22"/>
          <w:b w:val="1"/>
          <w:bCs w:val="1"/>
          <w:color w:val="auto"/>
        </w:rPr>
        <w:t>Molecular Partners AG</w:t>
      </w:r>
      <w:r>
        <w:rPr>
          <w:rFonts w:ascii="Arial" w:cs="Arial" w:eastAsia="Arial" w:hAnsi="Arial"/>
          <w:sz w:val="22"/>
          <w:szCs w:val="22"/>
          <w:color w:val="auto"/>
        </w:rPr>
        <w:t>, a corporation organized and existing under the laws of Switzerland, having its principal place of business at Wagistrasse 14, 8952 Zürich-Schlieren, Switzerland (“</w:t>
      </w:r>
      <w:r>
        <w:rPr>
          <w:rFonts w:ascii="Arial" w:cs="Arial" w:eastAsia="Arial" w:hAnsi="Arial"/>
          <w:sz w:val="22"/>
          <w:szCs w:val="22"/>
          <w:b w:val="1"/>
          <w:bCs w:val="1"/>
          <w:color w:val="auto"/>
        </w:rPr>
        <w:t>Molecular Partners</w:t>
      </w:r>
      <w:r>
        <w:rPr>
          <w:rFonts w:ascii="Arial" w:cs="Arial" w:eastAsia="Arial" w:hAnsi="Arial"/>
          <w:sz w:val="22"/>
          <w:szCs w:val="22"/>
          <w:color w:val="auto"/>
        </w:rPr>
        <w:t xml:space="preserve">”) and (b) </w:t>
      </w:r>
      <w:r>
        <w:rPr>
          <w:rFonts w:ascii="Arial" w:cs="Arial" w:eastAsia="Arial" w:hAnsi="Arial"/>
          <w:sz w:val="22"/>
          <w:szCs w:val="22"/>
          <w:b w:val="1"/>
          <w:bCs w:val="1"/>
          <w:color w:val="auto"/>
        </w:rPr>
        <w:t>Allergan, Inc.</w:t>
      </w:r>
      <w:r>
        <w:rPr>
          <w:rFonts w:ascii="Arial" w:cs="Arial" w:eastAsia="Arial" w:hAnsi="Arial"/>
          <w:sz w:val="22"/>
          <w:szCs w:val="22"/>
          <w:color w:val="auto"/>
        </w:rPr>
        <w:t xml:space="preserve">, a Delaware corporation having a place of business at 2525 Dupont Drive, Irvine, California 92612 USA, and </w:t>
      </w:r>
      <w:r>
        <w:rPr>
          <w:rFonts w:ascii="Arial" w:cs="Arial" w:eastAsia="Arial" w:hAnsi="Arial"/>
          <w:sz w:val="22"/>
          <w:szCs w:val="22"/>
          <w:b w:val="1"/>
          <w:bCs w:val="1"/>
          <w:color w:val="auto"/>
        </w:rPr>
        <w:t>Allergan Sales, LLC</w:t>
      </w:r>
      <w:r>
        <w:rPr>
          <w:rFonts w:ascii="Arial" w:cs="Arial" w:eastAsia="Arial" w:hAnsi="Arial"/>
          <w:sz w:val="22"/>
          <w:szCs w:val="22"/>
          <w:color w:val="auto"/>
        </w:rPr>
        <w:t>, a Delaware limited liability company having a place of business at 2525 Dupont Drive, Irvine, California 92612 USA (Allergan, Inc. and Allergan Sales, LLC, together “</w:t>
      </w:r>
      <w:r>
        <w:rPr>
          <w:rFonts w:ascii="Arial" w:cs="Arial" w:eastAsia="Arial" w:hAnsi="Arial"/>
          <w:sz w:val="22"/>
          <w:szCs w:val="22"/>
          <w:b w:val="1"/>
          <w:bCs w:val="1"/>
          <w:color w:val="auto"/>
        </w:rPr>
        <w:t>Allergan</w:t>
      </w:r>
      <w:r>
        <w:rPr>
          <w:rFonts w:ascii="Arial" w:cs="Arial" w:eastAsia="Arial" w:hAnsi="Arial"/>
          <w:sz w:val="22"/>
          <w:szCs w:val="22"/>
          <w:color w:val="auto"/>
        </w:rPr>
        <w:t>”). Molecular Partners and Allergan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Parties entered into a Discovery Alliance Agreement, dated as of August 20, 2012, as amended by a</w:t>
      </w:r>
      <w:r>
        <w:rPr>
          <w:rFonts w:ascii="Arial" w:cs="Arial" w:eastAsia="Arial" w:hAnsi="Arial"/>
          <w:sz w:val="21"/>
          <w:szCs w:val="21"/>
          <w:b w:val="1"/>
          <w:bCs w:val="1"/>
          <w:color w:val="auto"/>
        </w:rPr>
        <w:t xml:space="preserve"> </w:t>
      </w:r>
      <w:r>
        <w:rPr>
          <w:rFonts w:ascii="Arial" w:cs="Arial" w:eastAsia="Arial" w:hAnsi="Arial"/>
          <w:sz w:val="21"/>
          <w:szCs w:val="21"/>
          <w:color w:val="auto"/>
        </w:rPr>
        <w:t>First Amendment, dated as of June 28, 2013 (the “</w:t>
      </w:r>
      <w:r>
        <w:rPr>
          <w:rFonts w:ascii="Arial" w:cs="Arial" w:eastAsia="Arial" w:hAnsi="Arial"/>
          <w:sz w:val="21"/>
          <w:szCs w:val="21"/>
          <w:b w:val="1"/>
          <w:bCs w:val="1"/>
          <w:color w:val="auto"/>
        </w:rPr>
        <w:t>First Amendment</w:t>
      </w:r>
      <w:r>
        <w:rPr>
          <w:rFonts w:ascii="Arial" w:cs="Arial" w:eastAsia="Arial" w:hAnsi="Arial"/>
          <w:sz w:val="21"/>
          <w:szCs w:val="21"/>
          <w:color w:val="auto"/>
        </w:rPr>
        <w:t>”) (together, the “</w:t>
      </w:r>
      <w:r>
        <w:rPr>
          <w:rFonts w:ascii="Arial" w:cs="Arial" w:eastAsia="Arial" w:hAnsi="Arial"/>
          <w:sz w:val="21"/>
          <w:szCs w:val="21"/>
          <w:b w:val="1"/>
          <w:bCs w:val="1"/>
          <w:color w:val="auto"/>
        </w:rPr>
        <w:t>Discovery Alliance Agreement</w:t>
      </w:r>
      <w:r>
        <w:rPr>
          <w:rFonts w:ascii="Arial" w:cs="Arial" w:eastAsia="Arial" w:hAnsi="Arial"/>
          <w:sz w:val="21"/>
          <w:szCs w:val="21"/>
          <w:color w:val="auto"/>
        </w:rPr>
        <w:t>”), pursuant to which the Parties are engaging in a [***] research collaboration to generate Product Candidates, and pursuant to which Allergan has options to exclusively license Product Candidates for up to three Collaboration Target Combinations from Molecular Partners, which options may be exercised during such research collaboration, which may be extended for [***] if Allergan exercises one or two options by February 20, 2015;</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that Allergan be granted additional time to evaluate Product Candidates to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to exercise one or more of such options;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expand and amend in certain other respects their collaboration.</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and conditions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Second Amendment, the Parties agree as follows:</w:t>
      </w:r>
    </w:p>
    <w:p>
      <w:pPr>
        <w:spacing w:after="0" w:line="168" w:lineRule="exact"/>
        <w:rPr>
          <w:sz w:val="20"/>
          <w:szCs w:val="20"/>
          <w:color w:val="auto"/>
        </w:rPr>
      </w:pPr>
    </w:p>
    <w:p>
      <w:pPr>
        <w:ind w:left="660" w:hanging="652"/>
        <w:spacing w:after="0" w:line="263" w:lineRule="auto"/>
        <w:tabs>
          <w:tab w:leader="none" w:pos="471" w:val="left"/>
        </w:tabs>
        <w:numPr>
          <w:ilvl w:val="0"/>
          <w:numId w:val="506"/>
        </w:numPr>
        <w:rPr>
          <w:rFonts w:ascii="Arial" w:cs="Arial" w:eastAsia="Arial" w:hAnsi="Arial"/>
          <w:sz w:val="22"/>
          <w:szCs w:val="22"/>
          <w:b w:val="1"/>
          <w:bCs w:val="1"/>
          <w:color w:val="auto"/>
        </w:rPr>
      </w:pPr>
      <w:r>
        <w:rPr>
          <w:rFonts w:ascii="Arial" w:cs="Arial" w:eastAsia="Arial" w:hAnsi="Arial"/>
          <w:sz w:val="22"/>
          <w:szCs w:val="22"/>
          <w:color w:val="auto"/>
        </w:rPr>
        <w:t>The definition of “Agreement” in the Discovery Alliance Agreement is hereby amended and restated to mean, in full, as follows:</w:t>
      </w:r>
    </w:p>
    <w:p>
      <w:pPr>
        <w:spacing w:after="0" w:line="169" w:lineRule="exact"/>
        <w:rPr>
          <w:sz w:val="20"/>
          <w:szCs w:val="20"/>
          <w:color w:val="auto"/>
        </w:rPr>
      </w:pPr>
    </w:p>
    <w:p>
      <w:pPr>
        <w:jc w:val="both"/>
        <w:ind w:left="130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means this Discovery Alliance Agreement, dated as of August 20, 2012, by and between Molecular Partners and Allergan, as amended by that certain First Amendment, dated as of June 28, 2014, and that certain Second Amendment, dated as of September 30, 2014 (the “</w:t>
      </w:r>
      <w:r>
        <w:rPr>
          <w:rFonts w:ascii="Arial" w:cs="Arial" w:eastAsia="Arial" w:hAnsi="Arial"/>
          <w:sz w:val="19"/>
          <w:szCs w:val="19"/>
          <w:b w:val="1"/>
          <w:bCs w:val="1"/>
          <w:color w:val="auto"/>
        </w:rPr>
        <w:t>Second Amendment Effective Date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628015</wp:posOffset>
            </wp:positionV>
            <wp:extent cx="2297430" cy="2228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97430" cy="22288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0" w:name="page561"/>
    <w:bookmarkEnd w:id="560"/>
    <w:p>
      <w:pPr>
        <w:ind w:left="372" w:hanging="372"/>
        <w:spacing w:after="0"/>
        <w:tabs>
          <w:tab w:leader="none" w:pos="372" w:val="left"/>
        </w:tabs>
        <w:numPr>
          <w:ilvl w:val="0"/>
          <w:numId w:val="507"/>
        </w:numPr>
        <w:rPr>
          <w:rFonts w:ascii="Arial" w:cs="Arial" w:eastAsia="Arial" w:hAnsi="Arial"/>
          <w:sz w:val="19"/>
          <w:szCs w:val="19"/>
          <w:b w:val="1"/>
          <w:bCs w:val="1"/>
          <w:color w:val="auto"/>
        </w:rPr>
      </w:pPr>
      <w:r>
        <w:rPr>
          <w:rFonts w:ascii="Arial" w:cs="Arial" w:eastAsia="Arial" w:hAnsi="Arial"/>
          <w:sz w:val="19"/>
          <w:szCs w:val="19"/>
          <w:color w:val="auto"/>
        </w:rPr>
        <w:t>Section 2.9 of the Discovery Alliance Agreement is hereby deleted in its entirety and replaced with the following:</w:t>
      </w:r>
    </w:p>
    <w:p>
      <w:pPr>
        <w:spacing w:after="0" w:line="248" w:lineRule="exact"/>
        <w:rPr>
          <w:sz w:val="20"/>
          <w:szCs w:val="20"/>
          <w:color w:val="auto"/>
        </w:rPr>
      </w:pPr>
    </w:p>
    <w:p>
      <w:pPr>
        <w:ind w:left="1292"/>
        <w:spacing w:after="0" w:line="294"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b w:val="1"/>
          <w:bCs w:val="1"/>
          <w:color w:val="auto"/>
        </w:rPr>
        <w:t>Research Term Extension</w:t>
      </w:r>
      <w:r>
        <w:rPr>
          <w:rFonts w:ascii="Arial" w:cs="Arial" w:eastAsia="Arial" w:hAnsi="Arial"/>
          <w:sz w:val="19"/>
          <w:szCs w:val="19"/>
          <w:color w:val="auto"/>
        </w:rPr>
        <w:t>. Allergan may elect, by written notice (the “</w:t>
      </w:r>
      <w:r>
        <w:rPr>
          <w:rFonts w:ascii="Arial" w:cs="Arial" w:eastAsia="Arial" w:hAnsi="Arial"/>
          <w:sz w:val="19"/>
          <w:szCs w:val="19"/>
          <w:b w:val="1"/>
          <w:bCs w:val="1"/>
          <w:color w:val="auto"/>
        </w:rPr>
        <w:t>Research Term Extension</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to Molecular Partners delivered no later than August 20, 2015, to extend the Research Term by</w:t>
      </w:r>
    </w:p>
    <w:p>
      <w:pPr>
        <w:spacing w:after="0" w:line="2" w:lineRule="exact"/>
        <w:rPr>
          <w:sz w:val="20"/>
          <w:szCs w:val="20"/>
          <w:color w:val="auto"/>
        </w:rPr>
      </w:pPr>
    </w:p>
    <w:p>
      <w:pPr>
        <w:jc w:val="both"/>
        <w:ind w:left="1292" w:firstLine="4"/>
        <w:spacing w:after="0" w:line="263" w:lineRule="auto"/>
        <w:tabs>
          <w:tab w:leader="none" w:pos="1820" w:val="left"/>
        </w:tabs>
        <w:numPr>
          <w:ilvl w:val="1"/>
          <w:numId w:val="508"/>
        </w:numPr>
        <w:rPr>
          <w:rFonts w:ascii="Arial" w:cs="Arial" w:eastAsia="Arial" w:hAnsi="Arial"/>
          <w:sz w:val="20"/>
          <w:szCs w:val="20"/>
          <w:color w:val="auto"/>
        </w:rPr>
      </w:pPr>
      <w:r>
        <w:rPr>
          <w:rFonts w:ascii="Arial" w:cs="Arial" w:eastAsia="Arial" w:hAnsi="Arial"/>
          <w:sz w:val="20"/>
          <w:szCs w:val="20"/>
          <w:color w:val="auto"/>
        </w:rPr>
        <w:t>(i.e., to the earlier of [***] after the Effective Date and Allergan’s exercise of or the expiration of its third (3</w:t>
      </w:r>
      <w:r>
        <w:rPr>
          <w:rFonts w:ascii="Arial" w:cs="Arial" w:eastAsia="Arial" w:hAnsi="Arial"/>
          <w:sz w:val="26"/>
          <w:szCs w:val="26"/>
          <w:color w:val="auto"/>
          <w:vertAlign w:val="superscript"/>
        </w:rPr>
        <w:t>rd</w:t>
      </w:r>
      <w:r>
        <w:rPr>
          <w:rFonts w:ascii="Arial" w:cs="Arial" w:eastAsia="Arial" w:hAnsi="Arial"/>
          <w:sz w:val="20"/>
          <w:szCs w:val="20"/>
          <w:color w:val="auto"/>
        </w:rPr>
        <w:t>) Option) and to fund activity by Molecular Partners during such [***] period. If Allergan so elects to extend the Research Term, (i) Allergan will pay to Molecular Partners, within [***] of the date of the Research Term Extension Notice, a non-refundable, non-creditable (except as expressly set forth below) extension fee of [***] per unexercised Option ([***]) and (ii) in accordance with Section 9.3, Allergan will reimburse Molecular Partners’ Third Party expenses (at such Third Parties’ invoiced cost), Molecular Partners’ internal FTE expenses (at the FTE Rate), and any other expenses incurred by Molecular Partners (at the actual out-of-pocket cost to Molecular Partners), in each case, incurred in connection with the Research Program during such extension of the Research Term. Notwithstanding anything to the contrary set forth in Section 2.6, in no event will Molecular Partners be obligated to devote more than [***] FTEs per year to its activities under this Agreement and under Section 4.6(a) of the MP0260 Agreement during the extension of the Research Term contemplated by this Section 2.9. For clarity, Allegan may extend the Research Term under this Section 2.9 one (1) time only.</w:t>
      </w:r>
    </w:p>
    <w:p>
      <w:pPr>
        <w:spacing w:after="0" w:line="180" w:lineRule="exact"/>
        <w:rPr>
          <w:rFonts w:ascii="Arial" w:cs="Arial" w:eastAsia="Arial" w:hAnsi="Arial"/>
          <w:sz w:val="20"/>
          <w:szCs w:val="20"/>
          <w:color w:val="auto"/>
        </w:rPr>
      </w:pPr>
    </w:p>
    <w:p>
      <w:pPr>
        <w:ind w:left="372" w:hanging="372"/>
        <w:spacing w:after="0"/>
        <w:tabs>
          <w:tab w:leader="none" w:pos="372" w:val="left"/>
        </w:tabs>
        <w:numPr>
          <w:ilvl w:val="0"/>
          <w:numId w:val="508"/>
        </w:numPr>
        <w:rPr>
          <w:rFonts w:ascii="Arial" w:cs="Arial" w:eastAsia="Arial" w:hAnsi="Arial"/>
          <w:sz w:val="19"/>
          <w:szCs w:val="19"/>
          <w:b w:val="1"/>
          <w:bCs w:val="1"/>
          <w:color w:val="auto"/>
        </w:rPr>
      </w:pPr>
      <w:r>
        <w:rPr>
          <w:rFonts w:ascii="Arial" w:cs="Arial" w:eastAsia="Arial" w:hAnsi="Arial"/>
          <w:sz w:val="19"/>
          <w:szCs w:val="19"/>
          <w:color w:val="auto"/>
        </w:rPr>
        <w:t>Section 4.2 of the Discovery Alliance Agreement is hereby deleted in its entirety and replaced with the following:</w:t>
      </w:r>
    </w:p>
    <w:p>
      <w:pPr>
        <w:spacing w:after="0" w:line="248" w:lineRule="exact"/>
        <w:rPr>
          <w:sz w:val="20"/>
          <w:szCs w:val="20"/>
          <w:color w:val="auto"/>
        </w:rPr>
      </w:pPr>
    </w:p>
    <w:p>
      <w:pPr>
        <w:jc w:val="both"/>
        <w:ind w:left="1292"/>
        <w:spacing w:after="0" w:line="29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Options</w:t>
      </w:r>
      <w:r>
        <w:rPr>
          <w:rFonts w:ascii="Arial" w:cs="Arial" w:eastAsia="Arial" w:hAnsi="Arial"/>
          <w:sz w:val="19"/>
          <w:szCs w:val="19"/>
          <w:color w:val="auto"/>
        </w:rPr>
        <w:t>. Molecular Partners hereby grants to Allergan three (3) exclusive options, each for a different Collaboration Target Combination, to obtain the exclusive license set forth in Section 4.3 (each, an “</w:t>
      </w:r>
      <w:r>
        <w:rPr>
          <w:rFonts w:ascii="Arial" w:cs="Arial" w:eastAsia="Arial" w:hAnsi="Arial"/>
          <w:sz w:val="19"/>
          <w:szCs w:val="19"/>
          <w:b w:val="1"/>
          <w:bCs w:val="1"/>
          <w:color w:val="auto"/>
        </w:rPr>
        <w:t>Option</w:t>
      </w:r>
      <w:r>
        <w:rPr>
          <w:rFonts w:ascii="Arial" w:cs="Arial" w:eastAsia="Arial" w:hAnsi="Arial"/>
          <w:sz w:val="19"/>
          <w:szCs w:val="19"/>
          <w:color w:val="auto"/>
        </w:rPr>
        <w:t xml:space="preserve">”). Each such Option will expire, if not then exercised, at the end of the Research Term; </w:t>
      </w:r>
      <w:r>
        <w:rPr>
          <w:rFonts w:ascii="Arial" w:cs="Arial" w:eastAsia="Arial" w:hAnsi="Arial"/>
          <w:sz w:val="19"/>
          <w:szCs w:val="19"/>
          <w:u w:val="single" w:color="auto"/>
          <w:color w:val="auto"/>
        </w:rPr>
        <w:t>provided</w:t>
      </w:r>
      <w:r>
        <w:rPr>
          <w:rFonts w:ascii="Arial" w:cs="Arial" w:eastAsia="Arial" w:hAnsi="Arial"/>
          <w:sz w:val="19"/>
          <w:szCs w:val="19"/>
          <w:color w:val="auto"/>
        </w:rPr>
        <w:t>, that if Allergan has not exercised at least one (1) Option on or prior to November 20, 2015, all Options shall expire on such date. Allergan may exercise each such Option by (i) written notice to Molecular Partners prior to expiration thereof, setting forth the applicable Product Candidates and AGN DARPin Domains, and (ii) payment of the Option exercise fee under Section 9.2.</w:t>
      </w:r>
    </w:p>
    <w:p>
      <w:pPr>
        <w:spacing w:after="0" w:line="150" w:lineRule="exact"/>
        <w:rPr>
          <w:sz w:val="20"/>
          <w:szCs w:val="20"/>
          <w:color w:val="auto"/>
        </w:rPr>
      </w:pPr>
    </w:p>
    <w:p>
      <w:pPr>
        <w:ind w:left="372" w:hanging="372"/>
        <w:spacing w:after="0"/>
        <w:tabs>
          <w:tab w:leader="none" w:pos="372" w:val="left"/>
        </w:tabs>
        <w:numPr>
          <w:ilvl w:val="0"/>
          <w:numId w:val="509"/>
        </w:numPr>
        <w:rPr>
          <w:rFonts w:ascii="Arial" w:cs="Arial" w:eastAsia="Arial" w:hAnsi="Arial"/>
          <w:sz w:val="19"/>
          <w:szCs w:val="19"/>
          <w:b w:val="1"/>
          <w:bCs w:val="1"/>
          <w:color w:val="auto"/>
        </w:rPr>
      </w:pPr>
      <w:r>
        <w:rPr>
          <w:rFonts w:ascii="Arial" w:cs="Arial" w:eastAsia="Arial" w:hAnsi="Arial"/>
          <w:sz w:val="19"/>
          <w:szCs w:val="19"/>
          <w:color w:val="auto"/>
        </w:rPr>
        <w:t>Section 9.3(a) of the Discovery Alliance Agreement is hereby deleted in its entirety and replaced with the following:</w:t>
      </w:r>
    </w:p>
    <w:p>
      <w:pPr>
        <w:spacing w:after="0" w:line="248" w:lineRule="exact"/>
        <w:rPr>
          <w:rFonts w:ascii="Arial" w:cs="Arial" w:eastAsia="Arial" w:hAnsi="Arial"/>
          <w:sz w:val="19"/>
          <w:szCs w:val="19"/>
          <w:b w:val="1"/>
          <w:bCs w:val="1"/>
          <w:color w:val="auto"/>
        </w:rPr>
      </w:pPr>
    </w:p>
    <w:p>
      <w:pPr>
        <w:jc w:val="both"/>
        <w:ind w:left="1292" w:right="20" w:firstLine="4"/>
        <w:spacing w:after="0" w:line="274" w:lineRule="auto"/>
        <w:tabs>
          <w:tab w:leader="none" w:pos="1922" w:val="left"/>
        </w:tabs>
        <w:numPr>
          <w:ilvl w:val="1"/>
          <w:numId w:val="509"/>
        </w:numPr>
        <w:rPr>
          <w:rFonts w:ascii="Arial" w:cs="Arial" w:eastAsia="Arial" w:hAnsi="Arial"/>
          <w:sz w:val="21"/>
          <w:szCs w:val="21"/>
          <w:b w:val="1"/>
          <w:bCs w:val="1"/>
          <w:color w:val="auto"/>
        </w:rPr>
      </w:pPr>
      <w:r>
        <w:rPr>
          <w:rFonts w:ascii="Arial" w:cs="Arial" w:eastAsia="Arial" w:hAnsi="Arial"/>
          <w:sz w:val="21"/>
          <w:szCs w:val="21"/>
          <w:b w:val="1"/>
          <w:bCs w:val="1"/>
          <w:color w:val="auto"/>
        </w:rPr>
        <w:t>Extension of Research Term</w:t>
      </w:r>
      <w:r>
        <w:rPr>
          <w:rFonts w:ascii="Arial" w:cs="Arial" w:eastAsia="Arial" w:hAnsi="Arial"/>
          <w:sz w:val="21"/>
          <w:szCs w:val="21"/>
          <w:color w:val="auto"/>
        </w:rPr>
        <w:t>. Allergan shall reimburse Molecular Partners for all Third Party</w:t>
      </w:r>
      <w:r>
        <w:rPr>
          <w:rFonts w:ascii="Arial" w:cs="Arial" w:eastAsia="Arial" w:hAnsi="Arial"/>
          <w:sz w:val="21"/>
          <w:szCs w:val="21"/>
          <w:b w:val="1"/>
          <w:bCs w:val="1"/>
          <w:color w:val="auto"/>
        </w:rPr>
        <w:t xml:space="preserve"> </w:t>
      </w:r>
      <w:r>
        <w:rPr>
          <w:rFonts w:ascii="Arial" w:cs="Arial" w:eastAsia="Arial" w:hAnsi="Arial"/>
          <w:sz w:val="21"/>
          <w:szCs w:val="21"/>
          <w:color w:val="auto"/>
        </w:rPr>
        <w:t>expenses (at such Third Parties’ invoiced cost), internal FTE expenses (at the FTE Rate), and any other expenses (at the actual out-of-pocket cost to Molecular Partners) incurred by Molecular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7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92"/>
          </w:cols>
          <w:pgMar w:left="328" w:top="1427" w:right="979" w:bottom="1440" w:gutter="0" w:footer="0" w:header="0"/>
        </w:sectPr>
      </w:pPr>
    </w:p>
    <w:bookmarkStart w:id="561" w:name="page562"/>
    <w:bookmarkEnd w:id="561"/>
    <w:p>
      <w:pPr>
        <w:jc w:val="both"/>
        <w:ind w:left="1292" w:right="20"/>
        <w:spacing w:after="0" w:line="261" w:lineRule="auto"/>
        <w:rPr>
          <w:sz w:val="20"/>
          <w:szCs w:val="20"/>
          <w:color w:val="auto"/>
        </w:rPr>
      </w:pPr>
      <w:r>
        <w:rPr>
          <w:rFonts w:ascii="Arial" w:cs="Arial" w:eastAsia="Arial" w:hAnsi="Arial"/>
          <w:sz w:val="21"/>
          <w:szCs w:val="21"/>
          <w:color w:val="auto"/>
        </w:rPr>
        <w:t>Partners to conduct its activities under this Agreement during the extension of the Research Term under Section 2.9 (i.e., during the Research Term between August 20, 2015 and August 20, 2016), up to a maximum of [***] FTEs between August 20, 2015 and August 20, 2016. Within [***] after the end of each calendar quarter during such extension of the Research Term, Molecular Partners shall provide an invoice to Allergan specifying the actual Third Party expenses, FTE costs (at the FTE Rate) and other expenses incurred by Molecular Partners in accordance with the foregoing.</w:t>
      </w:r>
    </w:p>
    <w:p>
      <w:pPr>
        <w:spacing w:after="0" w:line="179" w:lineRule="exact"/>
        <w:rPr>
          <w:sz w:val="20"/>
          <w:szCs w:val="20"/>
          <w:color w:val="auto"/>
        </w:rPr>
      </w:pPr>
    </w:p>
    <w:p>
      <w:pPr>
        <w:ind w:left="1292" w:right="380" w:hanging="1292"/>
        <w:spacing w:after="0" w:line="445" w:lineRule="auto"/>
        <w:tabs>
          <w:tab w:leader="none" w:pos="374" w:val="left"/>
        </w:tabs>
        <w:numPr>
          <w:ilvl w:val="0"/>
          <w:numId w:val="510"/>
        </w:numPr>
        <w:rPr>
          <w:rFonts w:ascii="Arial" w:cs="Arial" w:eastAsia="Arial" w:hAnsi="Arial"/>
          <w:sz w:val="22"/>
          <w:szCs w:val="22"/>
          <w:b w:val="1"/>
          <w:bCs w:val="1"/>
          <w:color w:val="auto"/>
        </w:rPr>
      </w:pPr>
      <w:r>
        <w:rPr>
          <w:rFonts w:ascii="Arial" w:cs="Arial" w:eastAsia="Arial" w:hAnsi="Arial"/>
          <w:sz w:val="22"/>
          <w:szCs w:val="22"/>
          <w:color w:val="auto"/>
        </w:rPr>
        <w:t>Section 3.2 of the Discovery Alliance Agreement is hereby deleted in its entirety and replaced with the following: 3.2 [Intentionally omitted]</w:t>
      </w:r>
    </w:p>
    <w:p>
      <w:pPr>
        <w:spacing w:after="0" w:line="6" w:lineRule="exact"/>
        <w:rPr>
          <w:rFonts w:ascii="Arial" w:cs="Arial" w:eastAsia="Arial" w:hAnsi="Arial"/>
          <w:sz w:val="22"/>
          <w:szCs w:val="22"/>
          <w:b w:val="1"/>
          <w:bCs w:val="1"/>
          <w:color w:val="auto"/>
        </w:rPr>
      </w:pPr>
    </w:p>
    <w:p>
      <w:pPr>
        <w:ind w:left="372" w:hanging="372"/>
        <w:spacing w:after="0"/>
        <w:tabs>
          <w:tab w:leader="none" w:pos="372" w:val="left"/>
        </w:tabs>
        <w:numPr>
          <w:ilvl w:val="0"/>
          <w:numId w:val="510"/>
        </w:numPr>
        <w:rPr>
          <w:rFonts w:ascii="Arial" w:cs="Arial" w:eastAsia="Arial" w:hAnsi="Arial"/>
          <w:sz w:val="19"/>
          <w:szCs w:val="19"/>
          <w:b w:val="1"/>
          <w:bCs w:val="1"/>
          <w:color w:val="auto"/>
        </w:rPr>
      </w:pPr>
      <w:r>
        <w:rPr>
          <w:rFonts w:ascii="Arial" w:cs="Arial" w:eastAsia="Arial" w:hAnsi="Arial"/>
          <w:sz w:val="19"/>
          <w:szCs w:val="19"/>
          <w:color w:val="auto"/>
        </w:rPr>
        <w:t>Section 3.4(a) of the Discovery Alliance Agreement is hereby deleted in its entirety and replaced with the following:</w:t>
      </w:r>
    </w:p>
    <w:p>
      <w:pPr>
        <w:spacing w:after="0" w:line="254" w:lineRule="exact"/>
        <w:rPr>
          <w:sz w:val="20"/>
          <w:szCs w:val="20"/>
          <w:color w:val="auto"/>
        </w:rPr>
      </w:pPr>
    </w:p>
    <w:p>
      <w:pPr>
        <w:jc w:val="both"/>
        <w:ind w:left="1292"/>
        <w:spacing w:after="0" w:line="248" w:lineRule="auto"/>
        <w:rPr>
          <w:sz w:val="20"/>
          <w:szCs w:val="20"/>
          <w:color w:val="auto"/>
        </w:rPr>
      </w:pPr>
      <w:r>
        <w:rPr>
          <w:rFonts w:ascii="Arial" w:cs="Arial" w:eastAsia="Arial" w:hAnsi="Arial"/>
          <w:sz w:val="22"/>
          <w:szCs w:val="22"/>
          <w:color w:val="auto"/>
        </w:rPr>
        <w:t>3.4(a) Sections 3.1(b), 3.3(a)(ii) and 3.3(b) will not limit or restrict (i) Molecular Partners (itself or through an Affiliate or Third Party) in any way from conducting any research of DARPin Compounds in the Field or (ii) Molecular Partners (itself or through an Affiliate or Third Party) in any way from conducting, or granting any Third Party the right to conduct, any research, development, manufacture, or commercialization of DARPin Compounds outside the Field.</w:t>
      </w:r>
    </w:p>
    <w:p>
      <w:pPr>
        <w:spacing w:after="0" w:line="192" w:lineRule="exact"/>
        <w:rPr>
          <w:sz w:val="20"/>
          <w:szCs w:val="20"/>
          <w:color w:val="auto"/>
        </w:rPr>
      </w:pPr>
    </w:p>
    <w:p>
      <w:pPr>
        <w:ind w:left="372" w:hanging="372"/>
        <w:spacing w:after="0"/>
        <w:tabs>
          <w:tab w:leader="none" w:pos="372" w:val="left"/>
        </w:tabs>
        <w:numPr>
          <w:ilvl w:val="0"/>
          <w:numId w:val="511"/>
        </w:numPr>
        <w:rPr>
          <w:rFonts w:ascii="Arial" w:cs="Arial" w:eastAsia="Arial" w:hAnsi="Arial"/>
          <w:sz w:val="19"/>
          <w:szCs w:val="19"/>
          <w:b w:val="1"/>
          <w:bCs w:val="1"/>
          <w:color w:val="auto"/>
        </w:rPr>
      </w:pPr>
      <w:r>
        <w:rPr>
          <w:rFonts w:ascii="Arial" w:cs="Arial" w:eastAsia="Arial" w:hAnsi="Arial"/>
          <w:sz w:val="19"/>
          <w:szCs w:val="19"/>
          <w:color w:val="auto"/>
        </w:rPr>
        <w:t>Section 3.4(b) of the Discovery Alliance Agreement is hereby deleted in its entirety and replaced with the following:</w:t>
      </w:r>
    </w:p>
    <w:p>
      <w:pPr>
        <w:spacing w:after="0" w:line="254" w:lineRule="exact"/>
        <w:rPr>
          <w:sz w:val="20"/>
          <w:szCs w:val="20"/>
          <w:color w:val="auto"/>
        </w:rPr>
      </w:pPr>
    </w:p>
    <w:p>
      <w:pPr>
        <w:jc w:val="both"/>
        <w:ind w:left="1292" w:right="20"/>
        <w:spacing w:after="0" w:line="247" w:lineRule="auto"/>
        <w:rPr>
          <w:sz w:val="20"/>
          <w:szCs w:val="20"/>
          <w:color w:val="auto"/>
        </w:rPr>
      </w:pPr>
      <w:r>
        <w:rPr>
          <w:rFonts w:ascii="Arial" w:cs="Arial" w:eastAsia="Arial" w:hAnsi="Arial"/>
          <w:sz w:val="22"/>
          <w:szCs w:val="22"/>
          <w:color w:val="auto"/>
        </w:rPr>
        <w:t xml:space="preserve">3.4(b) By way of example, if a [***] consists of [***], Section 3.3(a)(ii) </w:t>
      </w:r>
      <w:r>
        <w:rPr>
          <w:rFonts w:ascii="Arial" w:cs="Arial" w:eastAsia="Arial" w:hAnsi="Arial"/>
          <w:sz w:val="22"/>
          <w:szCs w:val="22"/>
          <w:u w:val="single" w:color="auto"/>
          <w:color w:val="auto"/>
        </w:rPr>
        <w:t>will not</w:t>
      </w:r>
      <w:r>
        <w:rPr>
          <w:rFonts w:ascii="Arial" w:cs="Arial" w:eastAsia="Arial" w:hAnsi="Arial"/>
          <w:sz w:val="22"/>
          <w:szCs w:val="22"/>
          <w:color w:val="auto"/>
        </w:rPr>
        <w:t xml:space="preserve"> restrict Molecular Partners (itself or through an Affiliate or Third Party) from conducting any activities, whether in or outside the Field, with respect to a [***], but </w:t>
      </w:r>
      <w:r>
        <w:rPr>
          <w:rFonts w:ascii="Arial" w:cs="Arial" w:eastAsia="Arial" w:hAnsi="Arial"/>
          <w:sz w:val="22"/>
          <w:szCs w:val="22"/>
          <w:u w:val="single" w:color="auto"/>
          <w:color w:val="auto"/>
        </w:rPr>
        <w:t>will</w:t>
      </w:r>
      <w:r>
        <w:rPr>
          <w:rFonts w:ascii="Arial" w:cs="Arial" w:eastAsia="Arial" w:hAnsi="Arial"/>
          <w:sz w:val="22"/>
          <w:szCs w:val="22"/>
          <w:color w:val="auto"/>
        </w:rPr>
        <w:t xml:space="preserve"> restrict Molecular Partners from preclinically or clinically developing or commercializing for use in the Field a [***]. However, if a [***], Section 3.3(a)(ii) </w:t>
      </w:r>
      <w:r>
        <w:rPr>
          <w:rFonts w:ascii="Arial" w:cs="Arial" w:eastAsia="Arial" w:hAnsi="Arial"/>
          <w:sz w:val="22"/>
          <w:szCs w:val="22"/>
          <w:u w:val="single" w:color="auto"/>
          <w:color w:val="auto"/>
        </w:rPr>
        <w:t>will not</w:t>
      </w:r>
      <w:r>
        <w:rPr>
          <w:rFonts w:ascii="Arial" w:cs="Arial" w:eastAsia="Arial" w:hAnsi="Arial"/>
          <w:sz w:val="22"/>
          <w:szCs w:val="22"/>
          <w:color w:val="auto"/>
        </w:rPr>
        <w:t xml:space="preserve"> restrict Molecular Partners (itself or through an Affiliate or Third Party) from conducting any activities, whether in or outside the Field, with respect to a [***].</w:t>
      </w:r>
    </w:p>
    <w:p>
      <w:pPr>
        <w:spacing w:after="0" w:line="193" w:lineRule="exact"/>
        <w:rPr>
          <w:sz w:val="20"/>
          <w:szCs w:val="20"/>
          <w:color w:val="auto"/>
        </w:rPr>
      </w:pPr>
    </w:p>
    <w:p>
      <w:pPr>
        <w:ind w:left="372" w:hanging="372"/>
        <w:spacing w:after="0"/>
        <w:tabs>
          <w:tab w:leader="none" w:pos="372" w:val="left"/>
        </w:tabs>
        <w:numPr>
          <w:ilvl w:val="0"/>
          <w:numId w:val="512"/>
        </w:numPr>
        <w:rPr>
          <w:rFonts w:ascii="Arial" w:cs="Arial" w:eastAsia="Arial" w:hAnsi="Arial"/>
          <w:sz w:val="19"/>
          <w:szCs w:val="19"/>
          <w:b w:val="1"/>
          <w:bCs w:val="1"/>
          <w:color w:val="auto"/>
        </w:rPr>
      </w:pPr>
      <w:r>
        <w:rPr>
          <w:rFonts w:ascii="Arial" w:cs="Arial" w:eastAsia="Arial" w:hAnsi="Arial"/>
          <w:sz w:val="19"/>
          <w:szCs w:val="19"/>
          <w:color w:val="auto"/>
        </w:rPr>
        <w:t>Section 1.25 of the Discovery Alliance Agreement is hereby deleted in its entirety and replaced with the following:</w:t>
      </w:r>
    </w:p>
    <w:p>
      <w:pPr>
        <w:spacing w:after="0" w:line="248" w:lineRule="exact"/>
        <w:rPr>
          <w:sz w:val="20"/>
          <w:szCs w:val="20"/>
          <w:color w:val="auto"/>
        </w:rPr>
      </w:pPr>
    </w:p>
    <w:p>
      <w:pPr>
        <w:jc w:val="both"/>
        <w:ind w:left="1292"/>
        <w:spacing w:after="0" w:line="252"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b w:val="1"/>
          <w:bCs w:val="1"/>
          <w:color w:val="auto"/>
        </w:rPr>
        <w:t>Collaboration Target</w:t>
      </w:r>
      <w:r>
        <w:rPr>
          <w:rFonts w:ascii="Arial" w:cs="Arial" w:eastAsia="Arial" w:hAnsi="Arial"/>
          <w:sz w:val="22"/>
          <w:szCs w:val="22"/>
          <w:color w:val="auto"/>
        </w:rPr>
        <w:t xml:space="preserve">” means (a) as of the Second Amendment Effective Date, one of the [***] Targets identified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a Collaboration Target, and (b) any Target that replaces a Collaboration Target in clause (a) (other than [***], which may not be replaced) pursuant to Section 2.8; provided, that any Collaboration Target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7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92"/>
          </w:cols>
          <w:pgMar w:left="328" w:top="1427" w:right="979" w:bottom="1440" w:gutter="0" w:footer="0" w:header="0"/>
        </w:sectPr>
      </w:pPr>
    </w:p>
    <w:bookmarkStart w:id="562" w:name="page563"/>
    <w:bookmarkEnd w:id="562"/>
    <w:p>
      <w:pPr>
        <w:jc w:val="both"/>
        <w:ind w:left="1292" w:right="660"/>
        <w:spacing w:after="0" w:line="250" w:lineRule="auto"/>
        <w:rPr>
          <w:sz w:val="20"/>
          <w:szCs w:val="20"/>
          <w:color w:val="auto"/>
        </w:rPr>
      </w:pPr>
      <w:r>
        <w:rPr>
          <w:rFonts w:ascii="Arial" w:cs="Arial" w:eastAsia="Arial" w:hAnsi="Arial"/>
          <w:sz w:val="22"/>
          <w:szCs w:val="22"/>
          <w:color w:val="auto"/>
        </w:rPr>
        <w:t>replaced pursuant to Section 2.8 will no longer be deemed a Collaboration Target. In no event will there be more than [***] Collaboration Targets at any time during the Research Term. Upon the expiration of the Research Term, all Collaboration Targets that are not included in Licensed Target Combinations shall no longer be deemed Collaboration Targets.</w:t>
      </w:r>
    </w:p>
    <w:p>
      <w:pPr>
        <w:spacing w:after="0" w:line="188" w:lineRule="exact"/>
        <w:rPr>
          <w:sz w:val="20"/>
          <w:szCs w:val="20"/>
          <w:color w:val="auto"/>
        </w:rPr>
      </w:pPr>
    </w:p>
    <w:p>
      <w:pPr>
        <w:ind w:left="372" w:hanging="372"/>
        <w:spacing w:after="0"/>
        <w:tabs>
          <w:tab w:leader="none" w:pos="372" w:val="left"/>
        </w:tabs>
        <w:numPr>
          <w:ilvl w:val="0"/>
          <w:numId w:val="513"/>
        </w:numPr>
        <w:rPr>
          <w:rFonts w:ascii="Arial" w:cs="Arial" w:eastAsia="Arial" w:hAnsi="Arial"/>
          <w:sz w:val="21"/>
          <w:szCs w:val="21"/>
          <w:b w:val="1"/>
          <w:bCs w:val="1"/>
          <w:color w:val="auto"/>
        </w:rPr>
      </w:pPr>
      <w:r>
        <w:rPr>
          <w:rFonts w:ascii="Arial" w:cs="Arial" w:eastAsia="Arial" w:hAnsi="Arial"/>
          <w:sz w:val="21"/>
          <w:szCs w:val="21"/>
          <w:color w:val="auto"/>
        </w:rPr>
        <w:t>Section 1.27 of the Discovery Alliance Agreement is hereby deleted in its entirety and replaced with the following:</w:t>
      </w:r>
    </w:p>
    <w:p>
      <w:pPr>
        <w:spacing w:after="0" w:line="225" w:lineRule="exact"/>
        <w:rPr>
          <w:sz w:val="20"/>
          <w:szCs w:val="20"/>
          <w:color w:val="auto"/>
        </w:rPr>
      </w:pPr>
    </w:p>
    <w:p>
      <w:pPr>
        <w:jc w:val="both"/>
        <w:ind w:left="1292" w:right="660"/>
        <w:spacing w:after="0" w:line="247"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Collaboration Target Isoform</w:t>
      </w:r>
      <w:r>
        <w:rPr>
          <w:rFonts w:ascii="Arial" w:cs="Arial" w:eastAsia="Arial" w:hAnsi="Arial"/>
          <w:sz w:val="22"/>
          <w:szCs w:val="22"/>
          <w:color w:val="auto"/>
        </w:rPr>
        <w:t xml:space="preserve">” means, with respect to a particular Collaboration Target, the Isoforms of such Collaboration Target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amended from time to time after the Second Amendment Effective Date); provided that any Collaboration Target Isoform for a Collaboration Target that is replaced pursuant to Section 2.8 will no longer be deemed a Collaboration Target Isoform. Upon the expiration of the Research Term, all Collaboration Target Isoforms that are not Isoforms of a Collaboration Target included in a Licensed Target Combination shall no longer be deemed Collaboration Target Isoforms.</w:t>
      </w:r>
    </w:p>
    <w:p>
      <w:pPr>
        <w:spacing w:after="0" w:line="195" w:lineRule="exact"/>
        <w:rPr>
          <w:sz w:val="20"/>
          <w:szCs w:val="20"/>
          <w:color w:val="auto"/>
        </w:rPr>
      </w:pPr>
    </w:p>
    <w:p>
      <w:pPr>
        <w:ind w:left="492" w:hanging="492"/>
        <w:spacing w:after="0"/>
        <w:tabs>
          <w:tab w:leader="none" w:pos="492" w:val="left"/>
        </w:tabs>
        <w:numPr>
          <w:ilvl w:val="0"/>
          <w:numId w:val="514"/>
        </w:numPr>
        <w:rPr>
          <w:rFonts w:ascii="Arial" w:cs="Arial" w:eastAsia="Arial" w:hAnsi="Arial"/>
          <w:sz w:val="21"/>
          <w:szCs w:val="21"/>
          <w:b w:val="1"/>
          <w:bCs w:val="1"/>
          <w:color w:val="auto"/>
        </w:rPr>
      </w:pPr>
      <w:r>
        <w:rPr>
          <w:rFonts w:ascii="Arial" w:cs="Arial" w:eastAsia="Arial" w:hAnsi="Arial"/>
          <w:sz w:val="21"/>
          <w:szCs w:val="21"/>
          <w:color w:val="auto"/>
        </w:rPr>
        <w:t>Section 1.53 of the Discovery Alliance Agreement is hereby deleted in its entirety and replaced with the following:</w:t>
      </w:r>
    </w:p>
    <w:p>
      <w:pPr>
        <w:spacing w:after="0" w:line="225" w:lineRule="exact"/>
        <w:rPr>
          <w:sz w:val="20"/>
          <w:szCs w:val="20"/>
          <w:color w:val="auto"/>
        </w:rPr>
      </w:pPr>
    </w:p>
    <w:p>
      <w:pPr>
        <w:jc w:val="both"/>
        <w:ind w:left="1292" w:right="640"/>
        <w:spacing w:after="0" w:line="293" w:lineRule="auto"/>
        <w:rPr>
          <w:sz w:val="20"/>
          <w:szCs w:val="20"/>
          <w:color w:val="auto"/>
        </w:rPr>
      </w:pPr>
      <w:r>
        <w:rPr>
          <w:rFonts w:ascii="Arial" w:cs="Arial" w:eastAsia="Arial" w:hAnsi="Arial"/>
          <w:sz w:val="19"/>
          <w:szCs w:val="19"/>
          <w:color w:val="auto"/>
        </w:rPr>
        <w:t>1.53 “</w:t>
      </w:r>
      <w:r>
        <w:rPr>
          <w:rFonts w:ascii="Arial" w:cs="Arial" w:eastAsia="Arial" w:hAnsi="Arial"/>
          <w:sz w:val="19"/>
          <w:szCs w:val="19"/>
          <w:b w:val="1"/>
          <w:bCs w:val="1"/>
          <w:color w:val="auto"/>
        </w:rPr>
        <w:t>Exclusivity Target</w:t>
      </w:r>
      <w:r>
        <w:rPr>
          <w:rFonts w:ascii="Arial" w:cs="Arial" w:eastAsia="Arial" w:hAnsi="Arial"/>
          <w:sz w:val="19"/>
          <w:szCs w:val="19"/>
          <w:color w:val="auto"/>
        </w:rPr>
        <w:t xml:space="preserve">” means (a) with respect to a Collaboration Target identified as of the Second Amendment Effective Date, the corresponding protein(s)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that directly interact with such Collaboration Target and (b) with respect to a Collaboration Target that replaces a Collaboration Target in clause (a) pursuant to Section 2.8, the protein(s) that interact directly with such Collaboration Target (such as a ligand or receptor) as agreed by the Parties pursuant to Section 2.8 and reflected on an amended </w:t>
      </w:r>
      <w:r>
        <w:rPr>
          <w:rFonts w:ascii="Arial" w:cs="Arial" w:eastAsia="Arial" w:hAnsi="Arial"/>
          <w:sz w:val="19"/>
          <w:szCs w:val="19"/>
          <w:u w:val="single" w:color="auto"/>
          <w:color w:val="auto"/>
        </w:rPr>
        <w:t>Exhibit A</w:t>
      </w:r>
      <w:r>
        <w:rPr>
          <w:rFonts w:ascii="Arial" w:cs="Arial" w:eastAsia="Arial" w:hAnsi="Arial"/>
          <w:sz w:val="19"/>
          <w:szCs w:val="19"/>
          <w:color w:val="auto"/>
        </w:rPr>
        <w:t>; provided that any Exclusivity Target(s) for a Collaboration Target that is replaced pursuant to Section 2.8 will no longer be deemed an Exclusivity Target.</w:t>
      </w:r>
    </w:p>
    <w:p>
      <w:pPr>
        <w:spacing w:after="0" w:line="150" w:lineRule="exact"/>
        <w:rPr>
          <w:sz w:val="20"/>
          <w:szCs w:val="20"/>
          <w:color w:val="auto"/>
        </w:rPr>
      </w:pPr>
    </w:p>
    <w:p>
      <w:pPr>
        <w:ind w:left="472" w:hanging="472"/>
        <w:spacing w:after="0"/>
        <w:tabs>
          <w:tab w:leader="none" w:pos="472" w:val="left"/>
        </w:tabs>
        <w:numPr>
          <w:ilvl w:val="0"/>
          <w:numId w:val="515"/>
        </w:numPr>
        <w:rPr>
          <w:rFonts w:ascii="Arial" w:cs="Arial" w:eastAsia="Arial" w:hAnsi="Arial"/>
          <w:sz w:val="21"/>
          <w:szCs w:val="21"/>
          <w:b w:val="1"/>
          <w:bCs w:val="1"/>
          <w:color w:val="auto"/>
        </w:rPr>
      </w:pPr>
      <w:r>
        <w:rPr>
          <w:rFonts w:ascii="Arial" w:cs="Arial" w:eastAsia="Arial" w:hAnsi="Arial"/>
          <w:sz w:val="21"/>
          <w:szCs w:val="21"/>
          <w:color w:val="auto"/>
        </w:rPr>
        <w:t>Section 1.54 of the Discovery Alliance Agreement is hereby deleted in its entirety and replaced with the following:</w:t>
      </w:r>
    </w:p>
    <w:p>
      <w:pPr>
        <w:spacing w:after="0" w:line="225" w:lineRule="exact"/>
        <w:rPr>
          <w:sz w:val="20"/>
          <w:szCs w:val="20"/>
          <w:color w:val="auto"/>
        </w:rPr>
      </w:pPr>
    </w:p>
    <w:p>
      <w:pPr>
        <w:jc w:val="both"/>
        <w:ind w:left="1292" w:right="660"/>
        <w:spacing w:after="0" w:line="249" w:lineRule="auto"/>
        <w:rPr>
          <w:sz w:val="20"/>
          <w:szCs w:val="20"/>
          <w:color w:val="auto"/>
        </w:rPr>
      </w:pPr>
      <w:r>
        <w:rPr>
          <w:rFonts w:ascii="Arial" w:cs="Arial" w:eastAsia="Arial" w:hAnsi="Arial"/>
          <w:sz w:val="22"/>
          <w:szCs w:val="22"/>
          <w:color w:val="auto"/>
        </w:rPr>
        <w:t>1.54 “</w:t>
      </w:r>
      <w:r>
        <w:rPr>
          <w:rFonts w:ascii="Arial" w:cs="Arial" w:eastAsia="Arial" w:hAnsi="Arial"/>
          <w:sz w:val="22"/>
          <w:szCs w:val="22"/>
          <w:b w:val="1"/>
          <w:bCs w:val="1"/>
          <w:color w:val="auto"/>
        </w:rPr>
        <w:t>Exclusivity Target Isoform</w:t>
      </w:r>
      <w:r>
        <w:rPr>
          <w:rFonts w:ascii="Arial" w:cs="Arial" w:eastAsia="Arial" w:hAnsi="Arial"/>
          <w:sz w:val="22"/>
          <w:szCs w:val="22"/>
          <w:color w:val="auto"/>
        </w:rPr>
        <w:t xml:space="preserve">” means, with respect to a particular Exclusivity Target, any Isoform of such Exclusivity Target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amended from time to time after the Second Amendment Effective Date); provided that any Exclusivity Target Isoform of an Exclusivity Target of a Collaboration Target that is replaced pursuant to Section 2.8 will no longer be deemed an Exclusivity Target Isoform.</w:t>
      </w:r>
    </w:p>
    <w:p>
      <w:pPr>
        <w:spacing w:after="0" w:line="192" w:lineRule="exact"/>
        <w:rPr>
          <w:sz w:val="20"/>
          <w:szCs w:val="20"/>
          <w:color w:val="auto"/>
        </w:rPr>
      </w:pPr>
    </w:p>
    <w:p>
      <w:pPr>
        <w:ind w:left="652" w:hanging="652"/>
        <w:spacing w:after="0" w:line="263" w:lineRule="auto"/>
        <w:tabs>
          <w:tab w:leader="none" w:pos="571" w:val="left"/>
        </w:tabs>
        <w:numPr>
          <w:ilvl w:val="0"/>
          <w:numId w:val="516"/>
        </w:numPr>
        <w:rPr>
          <w:rFonts w:ascii="Arial" w:cs="Arial" w:eastAsia="Arial" w:hAnsi="Arial"/>
          <w:sz w:val="22"/>
          <w:szCs w:val="22"/>
          <w:b w:val="1"/>
          <w:bCs w:val="1"/>
          <w:color w:val="auto"/>
        </w:rPr>
      </w:pPr>
      <w:r>
        <w:rPr>
          <w:rFonts w:ascii="Arial" w:cs="Arial" w:eastAsia="Arial" w:hAnsi="Arial"/>
          <w:sz w:val="22"/>
          <w:szCs w:val="22"/>
          <w:color w:val="auto"/>
        </w:rPr>
        <w:t>Section 2.17 (“Exclusivity Target Isoform Identification”) of the Discovery Alliance Agreement is hereby deleted in its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32"/>
          </w:cols>
          <w:pgMar w:left="328" w:top="1427" w:right="339" w:bottom="1440" w:gutter="0" w:footer="0" w:header="0"/>
        </w:sectPr>
      </w:pPr>
    </w:p>
    <w:bookmarkStart w:id="563" w:name="page564"/>
    <w:bookmarkEnd w:id="563"/>
    <w:p>
      <w:pPr>
        <w:ind w:left="660" w:hanging="652"/>
        <w:spacing w:after="0" w:line="265" w:lineRule="auto"/>
        <w:tabs>
          <w:tab w:leader="none" w:pos="538" w:val="left"/>
        </w:tabs>
        <w:numPr>
          <w:ilvl w:val="0"/>
          <w:numId w:val="517"/>
        </w:numPr>
        <w:rPr>
          <w:rFonts w:ascii="Arial" w:cs="Arial" w:eastAsia="Arial" w:hAnsi="Arial"/>
          <w:sz w:val="21"/>
          <w:szCs w:val="21"/>
          <w:b w:val="1"/>
          <w:bCs w:val="1"/>
          <w:color w:val="auto"/>
        </w:rPr>
      </w:pPr>
      <w:r>
        <w:rPr>
          <w:rFonts w:ascii="Arial" w:cs="Arial" w:eastAsia="Arial" w:hAnsi="Arial"/>
          <w:sz w:val="21"/>
          <w:szCs w:val="21"/>
          <w:color w:val="auto"/>
        </w:rPr>
        <w:t xml:space="preserve">At the first JSC meeting following the Second Amendment Effective Date, the JSC will prepare an amended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Discovery Alliance Agreement, consistent with this Second Amendment (including identification of relevant Collaboration Target Isoforms, Exclusivity Targets, and Exclusivity Target Isoforms), which amended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shall automatically replace the existing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Discovery Alliance Agreement.</w:t>
      </w:r>
    </w:p>
    <w:p>
      <w:pPr>
        <w:spacing w:after="0" w:line="175" w:lineRule="exact"/>
        <w:rPr>
          <w:rFonts w:ascii="Arial" w:cs="Arial" w:eastAsia="Arial" w:hAnsi="Arial"/>
          <w:sz w:val="21"/>
          <w:szCs w:val="21"/>
          <w:b w:val="1"/>
          <w:bCs w:val="1"/>
          <w:color w:val="auto"/>
        </w:rPr>
      </w:pPr>
    </w:p>
    <w:p>
      <w:pPr>
        <w:jc w:val="both"/>
        <w:ind w:left="660" w:hanging="652"/>
        <w:spacing w:after="0" w:line="248" w:lineRule="auto"/>
        <w:tabs>
          <w:tab w:leader="none" w:pos="633" w:val="left"/>
        </w:tabs>
        <w:numPr>
          <w:ilvl w:val="0"/>
          <w:numId w:val="517"/>
        </w:numPr>
        <w:rPr>
          <w:rFonts w:ascii="Arial" w:cs="Arial" w:eastAsia="Arial" w:hAnsi="Arial"/>
          <w:sz w:val="22"/>
          <w:szCs w:val="22"/>
          <w:b w:val="1"/>
          <w:bCs w:val="1"/>
          <w:color w:val="auto"/>
        </w:rPr>
      </w:pPr>
      <w:r>
        <w:rPr>
          <w:rFonts w:ascii="Arial" w:cs="Arial" w:eastAsia="Arial" w:hAnsi="Arial"/>
          <w:sz w:val="22"/>
          <w:szCs w:val="22"/>
          <w:color w:val="auto"/>
        </w:rPr>
        <w:t>The Parties expressly agree that (a) each of [***] is hereby added as a Collaboration Target, (b) the combination of Collaboration Targets [***] is hereby designated as a Collaboration Target Combination, and Allergan’s exercise of an Option with respect to each such Collaboration Target Combination will convert such Collaboration Target Combination to a Licensed Target Combination, and (c) the Collaboration Targets [***] may not be included in any Collaboration Target Combination that includes [***].</w:t>
      </w:r>
    </w:p>
    <w:p>
      <w:pPr>
        <w:spacing w:after="0" w:line="191" w:lineRule="exact"/>
        <w:rPr>
          <w:rFonts w:ascii="Arial" w:cs="Arial" w:eastAsia="Arial" w:hAnsi="Arial"/>
          <w:sz w:val="22"/>
          <w:szCs w:val="22"/>
          <w:b w:val="1"/>
          <w:bCs w:val="1"/>
          <w:color w:val="auto"/>
        </w:rPr>
      </w:pPr>
    </w:p>
    <w:p>
      <w:pPr>
        <w:ind w:left="500" w:hanging="492"/>
        <w:spacing w:after="0"/>
        <w:tabs>
          <w:tab w:leader="none" w:pos="500" w:val="left"/>
        </w:tabs>
        <w:numPr>
          <w:ilvl w:val="0"/>
          <w:numId w:val="517"/>
        </w:numPr>
        <w:rPr>
          <w:rFonts w:ascii="Arial" w:cs="Arial" w:eastAsia="Arial" w:hAnsi="Arial"/>
          <w:sz w:val="21"/>
          <w:szCs w:val="21"/>
          <w:b w:val="1"/>
          <w:bCs w:val="1"/>
          <w:color w:val="auto"/>
        </w:rPr>
      </w:pPr>
      <w:r>
        <w:rPr>
          <w:rFonts w:ascii="Arial" w:cs="Arial" w:eastAsia="Arial" w:hAnsi="Arial"/>
          <w:sz w:val="21"/>
          <w:szCs w:val="21"/>
          <w:color w:val="auto"/>
        </w:rPr>
        <w:t>Section 1.134 of the Discovery Alliance Agreement is hereby deleted in its entirety and replaced with the following:</w:t>
      </w:r>
    </w:p>
    <w:p>
      <w:pPr>
        <w:spacing w:after="0" w:line="225" w:lineRule="exact"/>
        <w:rPr>
          <w:sz w:val="20"/>
          <w:szCs w:val="20"/>
          <w:color w:val="auto"/>
        </w:rPr>
      </w:pPr>
    </w:p>
    <w:p>
      <w:pPr>
        <w:jc w:val="both"/>
        <w:ind w:left="1300" w:right="660"/>
        <w:spacing w:after="0" w:line="290" w:lineRule="auto"/>
        <w:rPr>
          <w:sz w:val="20"/>
          <w:szCs w:val="20"/>
          <w:color w:val="auto"/>
        </w:rPr>
      </w:pPr>
      <w:r>
        <w:rPr>
          <w:rFonts w:ascii="Arial" w:cs="Arial" w:eastAsia="Arial" w:hAnsi="Arial"/>
          <w:sz w:val="19"/>
          <w:szCs w:val="19"/>
          <w:color w:val="auto"/>
        </w:rPr>
        <w:t>1.134 “</w:t>
      </w:r>
      <w:r>
        <w:rPr>
          <w:rFonts w:ascii="Arial" w:cs="Arial" w:eastAsia="Arial" w:hAnsi="Arial"/>
          <w:sz w:val="19"/>
          <w:szCs w:val="19"/>
          <w:b w:val="1"/>
          <w:bCs w:val="1"/>
          <w:color w:val="auto"/>
        </w:rPr>
        <w:t>Research Term</w:t>
      </w:r>
      <w:r>
        <w:rPr>
          <w:rFonts w:ascii="Arial" w:cs="Arial" w:eastAsia="Arial" w:hAnsi="Arial"/>
          <w:sz w:val="19"/>
          <w:szCs w:val="19"/>
          <w:color w:val="auto"/>
        </w:rPr>
        <w:t>” means the period commencing on the Effective Date and ending on the earliest of (a) either (i) [***] thereafter or (ii) if extended pursuant to Section 2.9, [***] thereafter, (b) Allergan’s exercise of or the expiration of its third Option, or (c) termination thereof pursuant to Section 14.8(a)(ii)</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w:t>
      </w:r>
    </w:p>
    <w:p>
      <w:pPr>
        <w:spacing w:after="0" w:line="202" w:lineRule="exact"/>
        <w:rPr>
          <w:sz w:val="20"/>
          <w:szCs w:val="20"/>
          <w:color w:val="auto"/>
        </w:rPr>
      </w:pPr>
    </w:p>
    <w:p>
      <w:pPr>
        <w:ind w:left="1300" w:right="700" w:hanging="1292"/>
        <w:spacing w:after="0" w:line="445" w:lineRule="auto"/>
        <w:tabs>
          <w:tab w:leader="none" w:pos="490" w:val="left"/>
        </w:tabs>
        <w:numPr>
          <w:ilvl w:val="0"/>
          <w:numId w:val="518"/>
        </w:numPr>
        <w:rPr>
          <w:rFonts w:ascii="Arial" w:cs="Arial" w:eastAsia="Arial" w:hAnsi="Arial"/>
          <w:sz w:val="22"/>
          <w:szCs w:val="22"/>
          <w:b w:val="1"/>
          <w:bCs w:val="1"/>
          <w:color w:val="auto"/>
        </w:rPr>
      </w:pPr>
      <w:r>
        <w:rPr>
          <w:rFonts w:ascii="Arial" w:cs="Arial" w:eastAsia="Arial" w:hAnsi="Arial"/>
          <w:sz w:val="22"/>
          <w:szCs w:val="22"/>
          <w:color w:val="auto"/>
        </w:rPr>
        <w:t>Section 1.135 of the Discovery Alliance Agreement is hereby deleted in its entirety and replaced with the following: 1.135 [Intentionally omitted]</w:t>
      </w:r>
    </w:p>
    <w:p>
      <w:pPr>
        <w:spacing w:after="0" w:line="6" w:lineRule="exact"/>
        <w:rPr>
          <w:rFonts w:ascii="Arial" w:cs="Arial" w:eastAsia="Arial" w:hAnsi="Arial"/>
          <w:sz w:val="22"/>
          <w:szCs w:val="22"/>
          <w:b w:val="1"/>
          <w:bCs w:val="1"/>
          <w:color w:val="auto"/>
        </w:rPr>
      </w:pPr>
    </w:p>
    <w:p>
      <w:pPr>
        <w:jc w:val="both"/>
        <w:ind w:left="660" w:hanging="652"/>
        <w:spacing w:after="0" w:line="253" w:lineRule="auto"/>
        <w:tabs>
          <w:tab w:leader="none" w:pos="633" w:val="left"/>
        </w:tabs>
        <w:numPr>
          <w:ilvl w:val="0"/>
          <w:numId w:val="518"/>
        </w:numPr>
        <w:rPr>
          <w:rFonts w:ascii="Arial" w:cs="Arial" w:eastAsia="Arial" w:hAnsi="Arial"/>
          <w:sz w:val="22"/>
          <w:szCs w:val="22"/>
          <w:b w:val="1"/>
          <w:bCs w:val="1"/>
          <w:color w:val="auto"/>
        </w:rPr>
      </w:pPr>
      <w:r>
        <w:rPr>
          <w:rFonts w:ascii="Arial" w:cs="Arial" w:eastAsia="Arial" w:hAnsi="Arial"/>
          <w:sz w:val="22"/>
          <w:szCs w:val="22"/>
          <w:color w:val="auto"/>
        </w:rPr>
        <w:t>The Parties agree that from and after the Second Amendment Effective Date, the Parties will not have any rights or obligations under the Discovery Alliance Agreement that are applicable solely to the Research Term Extension (including with respect to RTE Compounds and RTE Target Combinations).</w:t>
      </w:r>
    </w:p>
    <w:p>
      <w:pPr>
        <w:spacing w:after="0" w:line="185" w:lineRule="exact"/>
        <w:rPr>
          <w:rFonts w:ascii="Arial" w:cs="Arial" w:eastAsia="Arial" w:hAnsi="Arial"/>
          <w:sz w:val="22"/>
          <w:szCs w:val="22"/>
          <w:b w:val="1"/>
          <w:bCs w:val="1"/>
          <w:color w:val="auto"/>
        </w:rPr>
      </w:pPr>
    </w:p>
    <w:p>
      <w:pPr>
        <w:ind w:left="500" w:hanging="492"/>
        <w:spacing w:after="0"/>
        <w:tabs>
          <w:tab w:leader="none" w:pos="500" w:val="left"/>
        </w:tabs>
        <w:numPr>
          <w:ilvl w:val="0"/>
          <w:numId w:val="518"/>
        </w:numPr>
        <w:rPr>
          <w:rFonts w:ascii="Arial" w:cs="Arial" w:eastAsia="Arial" w:hAnsi="Arial"/>
          <w:sz w:val="22"/>
          <w:szCs w:val="22"/>
          <w:b w:val="1"/>
          <w:bCs w:val="1"/>
          <w:color w:val="auto"/>
        </w:rPr>
      </w:pPr>
      <w:r>
        <w:rPr>
          <w:rFonts w:ascii="Arial" w:cs="Arial" w:eastAsia="Arial" w:hAnsi="Arial"/>
          <w:sz w:val="22"/>
          <w:szCs w:val="22"/>
          <w:color w:val="auto"/>
        </w:rPr>
        <w:t>The following new Section 14.8 is hereby added to the Discovery Alliance Agreement: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14.8 </w:t>
      </w:r>
      <w:r>
        <w:rPr>
          <w:rFonts w:ascii="Arial" w:cs="Arial" w:eastAsia="Arial" w:hAnsi="Arial"/>
          <w:sz w:val="22"/>
          <w:szCs w:val="22"/>
          <w:b w:val="1"/>
          <w:bCs w:val="1"/>
          <w:color w:val="auto"/>
        </w:rPr>
        <w:t>Termination Rights Following Change of Control of [***]</w:t>
      </w:r>
      <w:r>
        <w:rPr>
          <w:rFonts w:ascii="Arial" w:cs="Arial" w:eastAsia="Arial" w:hAnsi="Arial"/>
          <w:sz w:val="22"/>
          <w:szCs w:val="22"/>
          <w:color w:val="auto"/>
        </w:rPr>
        <w:t>.</w:t>
      </w:r>
    </w:p>
    <w:p>
      <w:pPr>
        <w:spacing w:after="0" w:line="22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right="800" w:hanging="1292"/>
        <w:spacing w:after="0" w:line="445" w:lineRule="auto"/>
        <w:tabs>
          <w:tab w:leader="none" w:pos="490" w:val="left"/>
        </w:tabs>
        <w:numPr>
          <w:ilvl w:val="0"/>
          <w:numId w:val="519"/>
        </w:numPr>
        <w:rPr>
          <w:rFonts w:ascii="Arial" w:cs="Arial" w:eastAsia="Arial" w:hAnsi="Arial"/>
          <w:sz w:val="22"/>
          <w:szCs w:val="22"/>
          <w:b w:val="1"/>
          <w:bCs w:val="1"/>
          <w:color w:val="auto"/>
        </w:rPr>
      </w:pPr>
      <w:r>
        <w:rPr>
          <w:rFonts w:ascii="Arial" w:cs="Arial" w:eastAsia="Arial" w:hAnsi="Arial"/>
          <w:sz w:val="22"/>
          <w:szCs w:val="22"/>
          <w:color w:val="auto"/>
        </w:rPr>
        <w:t xml:space="preserve">Section 14.5 of the Discovery Alliance Agreement is hereby deleted in its entirety and replaced with the following: </w:t>
      </w:r>
      <w:r>
        <w:rPr>
          <w:rFonts w:ascii="Arial" w:cs="Arial" w:eastAsia="Arial" w:hAnsi="Arial"/>
          <w:sz w:val="22"/>
          <w:szCs w:val="22"/>
          <w:b w:val="1"/>
          <w:bCs w:val="1"/>
          <w:color w:val="auto"/>
        </w:rPr>
        <w:t>14.5 Consequences of Termination</w:t>
      </w:r>
      <w:r>
        <w:rPr>
          <w:rFonts w:ascii="Arial" w:cs="Arial" w:eastAsia="Arial" w:hAnsi="Arial"/>
          <w:sz w:val="22"/>
          <w:szCs w:val="22"/>
          <w:color w:val="auto"/>
        </w:rPr>
        <w:t>.</w:t>
      </w:r>
    </w:p>
    <w:p>
      <w:pPr>
        <w:spacing w:after="0" w:line="6" w:lineRule="exact"/>
        <w:rPr>
          <w:rFonts w:ascii="Arial" w:cs="Arial" w:eastAsia="Arial" w:hAnsi="Arial"/>
          <w:sz w:val="22"/>
          <w:szCs w:val="22"/>
          <w:b w:val="1"/>
          <w:bCs w:val="1"/>
          <w:color w:val="auto"/>
        </w:rPr>
      </w:pPr>
    </w:p>
    <w:p>
      <w:pPr>
        <w:jc w:val="both"/>
        <w:ind w:left="1300" w:right="660" w:firstLine="260"/>
        <w:spacing w:after="0" w:line="253" w:lineRule="auto"/>
        <w:tabs>
          <w:tab w:leader="none" w:pos="1862" w:val="left"/>
        </w:tabs>
        <w:numPr>
          <w:ilvl w:val="1"/>
          <w:numId w:val="519"/>
        </w:numPr>
        <w:rPr>
          <w:rFonts w:ascii="Arial" w:cs="Arial" w:eastAsia="Arial" w:hAnsi="Arial"/>
          <w:sz w:val="22"/>
          <w:szCs w:val="22"/>
          <w:b w:val="1"/>
          <w:bCs w:val="1"/>
          <w:color w:val="auto"/>
        </w:rPr>
      </w:pPr>
      <w:r>
        <w:rPr>
          <w:rFonts w:ascii="Arial" w:cs="Arial" w:eastAsia="Arial" w:hAnsi="Arial"/>
          <w:sz w:val="22"/>
          <w:szCs w:val="22"/>
          <w:color w:val="auto"/>
        </w:rPr>
        <w:t>Upon any termination of this Agreement in its entirety pursuant to Section 14.2, 14.3, 14.4, 14.8(a) (i), or 14.8(a)(ii)(1) except as otherwise set forth in Section 14.6, all licenses and rights granted by either Party under this Agreement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7" w:right="339" w:bottom="1440" w:gutter="0" w:footer="0" w:header="0"/>
        </w:sectPr>
      </w:pPr>
    </w:p>
    <w:bookmarkStart w:id="564" w:name="page565"/>
    <w:bookmarkEnd w:id="564"/>
    <w:p>
      <w:pPr>
        <w:jc w:val="both"/>
        <w:ind w:left="1292" w:right="20" w:firstLine="242"/>
        <w:spacing w:after="0" w:line="297" w:lineRule="auto"/>
        <w:tabs>
          <w:tab w:leader="none" w:pos="1853" w:val="left"/>
        </w:tabs>
        <w:numPr>
          <w:ilvl w:val="0"/>
          <w:numId w:val="520"/>
        </w:numPr>
        <w:rPr>
          <w:rFonts w:ascii="Arial" w:cs="Arial" w:eastAsia="Arial" w:hAnsi="Arial"/>
          <w:sz w:val="19"/>
          <w:szCs w:val="19"/>
          <w:b w:val="1"/>
          <w:bCs w:val="1"/>
          <w:color w:val="auto"/>
        </w:rPr>
      </w:pPr>
      <w:r>
        <w:rPr>
          <w:rFonts w:ascii="Arial" w:cs="Arial" w:eastAsia="Arial" w:hAnsi="Arial"/>
          <w:sz w:val="19"/>
          <w:szCs w:val="19"/>
          <w:color w:val="auto"/>
        </w:rPr>
        <w:t>Upon any termination of this Agreement pursuant to Section 14.8(a)(ii)(1) or by Molecular Partners pursuant to Section 14.3 in the event an arbitrator determines pursuant to Section 14.3 that Allergan has materially breached its obligations under Section 5.3 or 7.2 or asserts a patent challenge pursuant to Section 14.4 that is not permitted under Section 14.4, the provisions of Sections 4.10(b)(i) and (ii) shall apply with respect to each Licensed Product at the time of such termination.</w:t>
      </w:r>
    </w:p>
    <w:p>
      <w:pPr>
        <w:spacing w:after="0" w:line="147" w:lineRule="exact"/>
        <w:rPr>
          <w:sz w:val="20"/>
          <w:szCs w:val="20"/>
          <w:color w:val="auto"/>
        </w:rPr>
      </w:pPr>
    </w:p>
    <w:p>
      <w:pPr>
        <w:jc w:val="both"/>
        <w:ind w:left="1292" w:right="20" w:firstLine="252"/>
        <w:spacing w:after="0" w:line="291" w:lineRule="auto"/>
        <w:tabs>
          <w:tab w:leader="none" w:pos="1842" w:val="left"/>
        </w:tabs>
        <w:numPr>
          <w:ilvl w:val="1"/>
          <w:numId w:val="521"/>
        </w:numPr>
        <w:rPr>
          <w:rFonts w:ascii="Arial" w:cs="Arial" w:eastAsia="Arial" w:hAnsi="Arial"/>
          <w:sz w:val="19"/>
          <w:szCs w:val="19"/>
          <w:b w:val="1"/>
          <w:bCs w:val="1"/>
          <w:color w:val="auto"/>
        </w:rPr>
      </w:pPr>
      <w:r>
        <w:rPr>
          <w:rFonts w:ascii="Arial" w:cs="Arial" w:eastAsia="Arial" w:hAnsi="Arial"/>
          <w:sz w:val="19"/>
          <w:szCs w:val="19"/>
          <w:color w:val="auto"/>
        </w:rPr>
        <w:t>Upon any termination of this Agreement during the Research Term by Allergan pursuant to Section 14.2, 14.8(a)(i), or 14.8(a)(ii)(1) or upon termination of the Research Term pursuant to Section 14.8(a)(ii)</w:t>
      </w:r>
    </w:p>
    <w:p>
      <w:pPr>
        <w:spacing w:after="0" w:line="1" w:lineRule="exact"/>
        <w:rPr>
          <w:rFonts w:ascii="Arial" w:cs="Arial" w:eastAsia="Arial" w:hAnsi="Arial"/>
          <w:sz w:val="19"/>
          <w:szCs w:val="19"/>
          <w:b w:val="1"/>
          <w:bCs w:val="1"/>
          <w:color w:val="auto"/>
        </w:rPr>
      </w:pPr>
    </w:p>
    <w:p>
      <w:pPr>
        <w:jc w:val="both"/>
        <w:ind w:left="1292" w:right="20"/>
        <w:spacing w:after="0" w:line="295" w:lineRule="auto"/>
        <w:rPr>
          <w:rFonts w:ascii="Arial" w:cs="Arial" w:eastAsia="Arial" w:hAnsi="Arial"/>
          <w:sz w:val="19"/>
          <w:szCs w:val="19"/>
          <w:b w:val="1"/>
          <w:bCs w:val="1"/>
          <w:color w:val="auto"/>
        </w:rPr>
      </w:pPr>
      <w:r>
        <w:rPr>
          <w:rFonts w:ascii="Arial" w:cs="Arial" w:eastAsia="Arial" w:hAnsi="Arial"/>
          <w:sz w:val="19"/>
          <w:szCs w:val="19"/>
          <w:color w:val="auto"/>
        </w:rPr>
        <w:t>(2), in addition to the consequences provided elsewhere in this Agreement, the provisions of Section 4.9 shall apply as if such termination was the expiration of the Research Term. Upon any termination of this Agreement during the Research Term by Allergan pursuant to and in accordance with Section 14.3 for breach by Molecular Partners, the provisions of Section 4.9 following such termination shall not apply.</w:t>
      </w:r>
    </w:p>
    <w:p>
      <w:pPr>
        <w:spacing w:after="0" w:line="149" w:lineRule="exact"/>
        <w:rPr>
          <w:rFonts w:ascii="Arial" w:cs="Arial" w:eastAsia="Arial" w:hAnsi="Arial"/>
          <w:sz w:val="19"/>
          <w:szCs w:val="19"/>
          <w:b w:val="1"/>
          <w:bCs w:val="1"/>
          <w:color w:val="auto"/>
        </w:rPr>
      </w:pPr>
    </w:p>
    <w:p>
      <w:pPr>
        <w:ind w:left="492" w:hanging="492"/>
        <w:spacing w:after="0"/>
        <w:tabs>
          <w:tab w:leader="none" w:pos="492" w:val="left"/>
        </w:tabs>
        <w:numPr>
          <w:ilvl w:val="0"/>
          <w:numId w:val="522"/>
        </w:numPr>
        <w:rPr>
          <w:rFonts w:ascii="Arial" w:cs="Arial" w:eastAsia="Arial" w:hAnsi="Arial"/>
          <w:sz w:val="19"/>
          <w:szCs w:val="19"/>
          <w:b w:val="1"/>
          <w:bCs w:val="1"/>
          <w:color w:val="auto"/>
        </w:rPr>
      </w:pPr>
      <w:r>
        <w:rPr>
          <w:rFonts w:ascii="Arial" w:cs="Arial" w:eastAsia="Arial" w:hAnsi="Arial"/>
          <w:sz w:val="19"/>
          <w:szCs w:val="19"/>
          <w:color w:val="auto"/>
        </w:rPr>
        <w:t>The Discovery Alliance Agreement is hereby amended by adding the following definition as new Section 1.155:</w:t>
      </w:r>
    </w:p>
    <w:p>
      <w:pPr>
        <w:spacing w:after="0" w:line="248" w:lineRule="exact"/>
        <w:rPr>
          <w:sz w:val="20"/>
          <w:szCs w:val="20"/>
          <w:color w:val="auto"/>
        </w:rPr>
      </w:pPr>
    </w:p>
    <w:p>
      <w:pPr>
        <w:jc w:val="both"/>
        <w:ind w:left="1292"/>
        <w:spacing w:after="0" w:line="264" w:lineRule="auto"/>
        <w:rPr>
          <w:sz w:val="20"/>
          <w:szCs w:val="20"/>
          <w:color w:val="auto"/>
        </w:rPr>
      </w:pPr>
      <w:r>
        <w:rPr>
          <w:rFonts w:ascii="Arial" w:cs="Arial" w:eastAsia="Arial" w:hAnsi="Arial"/>
          <w:sz w:val="21"/>
          <w:szCs w:val="21"/>
          <w:color w:val="auto"/>
        </w:rPr>
        <w:t>1.155 “</w:t>
      </w:r>
      <w:r>
        <w:rPr>
          <w:rFonts w:ascii="Arial" w:cs="Arial" w:eastAsia="Arial" w:hAnsi="Arial"/>
          <w:sz w:val="21"/>
          <w:szCs w:val="21"/>
          <w:b w:val="1"/>
          <w:bCs w:val="1"/>
          <w:color w:val="auto"/>
        </w:rPr>
        <w:t>MP Manufacturing Plan”</w:t>
      </w:r>
      <w:r>
        <w:rPr>
          <w:rFonts w:ascii="Arial" w:cs="Arial" w:eastAsia="Arial" w:hAnsi="Arial"/>
          <w:sz w:val="21"/>
          <w:szCs w:val="21"/>
          <w:color w:val="auto"/>
        </w:rPr>
        <w:t xml:space="preserve"> means the written plan, as it may be amended by the Parties from time to time, setting forth in reasonable detail Molecular Partners’ role in the Manufacture of Licensed Products pursuant to this Agreement and of Licensed Products (as defined in the MP0260 Agreement) pursuant to the MP0260 Agreement. A copy of the MP Manufacturing Plan as of the Second Amendment Effective Date is attached to the MP0260 Agreement as </w:t>
      </w:r>
      <w:r>
        <w:rPr>
          <w:rFonts w:ascii="Arial" w:cs="Arial" w:eastAsia="Arial" w:hAnsi="Arial"/>
          <w:sz w:val="21"/>
          <w:szCs w:val="21"/>
          <w:u w:val="single" w:color="auto"/>
          <w:color w:val="auto"/>
        </w:rPr>
        <w:t>Exhibit H</w:t>
      </w:r>
      <w:r>
        <w:rPr>
          <w:rFonts w:ascii="Arial" w:cs="Arial" w:eastAsia="Arial" w:hAnsi="Arial"/>
          <w:sz w:val="21"/>
          <w:szCs w:val="21"/>
          <w:color w:val="auto"/>
        </w:rPr>
        <w:t>.</w:t>
      </w:r>
    </w:p>
    <w:p>
      <w:pPr>
        <w:spacing w:after="0" w:line="176" w:lineRule="exact"/>
        <w:rPr>
          <w:sz w:val="20"/>
          <w:szCs w:val="20"/>
          <w:color w:val="auto"/>
        </w:rPr>
      </w:pPr>
    </w:p>
    <w:p>
      <w:pPr>
        <w:ind w:left="492" w:hanging="492"/>
        <w:spacing w:after="0"/>
        <w:tabs>
          <w:tab w:leader="none" w:pos="492" w:val="left"/>
        </w:tabs>
        <w:numPr>
          <w:ilvl w:val="0"/>
          <w:numId w:val="523"/>
        </w:numPr>
        <w:rPr>
          <w:rFonts w:ascii="Arial" w:cs="Arial" w:eastAsia="Arial" w:hAnsi="Arial"/>
          <w:sz w:val="19"/>
          <w:szCs w:val="19"/>
          <w:b w:val="1"/>
          <w:bCs w:val="1"/>
          <w:color w:val="auto"/>
        </w:rPr>
      </w:pPr>
      <w:r>
        <w:rPr>
          <w:rFonts w:ascii="Arial" w:cs="Arial" w:eastAsia="Arial" w:hAnsi="Arial"/>
          <w:sz w:val="19"/>
          <w:szCs w:val="19"/>
          <w:color w:val="auto"/>
        </w:rPr>
        <w:t>Section 8.1 of the Discovery Alliance Agreement is hereby deleted in its entirety and replaced with the following:</w:t>
      </w:r>
    </w:p>
    <w:p>
      <w:pPr>
        <w:spacing w:after="0" w:line="248" w:lineRule="exact"/>
        <w:rPr>
          <w:sz w:val="20"/>
          <w:szCs w:val="20"/>
          <w:color w:val="auto"/>
        </w:rPr>
      </w:pPr>
    </w:p>
    <w:p>
      <w:pPr>
        <w:jc w:val="both"/>
        <w:ind w:left="1292"/>
        <w:spacing w:after="0" w:line="28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Responsibilities</w:t>
      </w:r>
      <w:r>
        <w:rPr>
          <w:rFonts w:ascii="Arial" w:cs="Arial" w:eastAsia="Arial" w:hAnsi="Arial"/>
          <w:sz w:val="19"/>
          <w:szCs w:val="19"/>
          <w:color w:val="auto"/>
        </w:rPr>
        <w:t>. Except as otherwise expressly provided in this Article 8, as the Parties may otherwise agree, or as set forth in the MP Manufacturing Plan, as between the Parties and following exercise of an Option for a Collaboration Target Combination, Allergan will be solely responsible for the Manufacture of Licensed Products for such Collaboration Target Combination, at its expense, for Development and Commercialization purposes in the Field in the Territory. Molecular Partners shall use Commercially Reasonable Efforts to conduct the activities allocated to it in the MP Manufacturing Plan in accordance with such plan during the one (1) year period commencing on its initiation of such activities; provided that Molecular Partners shall not be obligated to devote more than [***] FTEs, in the aggregate, to conduct the activities allocated to it in the MP Manufacturing Plan in accordance with this Section 8.1 and Section 8.1 of the MP0260 Agreement.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7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92"/>
          </w:cols>
          <w:pgMar w:left="328" w:top="1427" w:right="979" w:bottom="1440" w:gutter="0" w:footer="0" w:header="0"/>
        </w:sectPr>
      </w:pPr>
    </w:p>
    <w:bookmarkStart w:id="565" w:name="page566"/>
    <w:bookmarkEnd w:id="565"/>
    <w:p>
      <w:pPr>
        <w:jc w:val="both"/>
        <w:ind w:left="1300" w:right="640"/>
        <w:spacing w:after="0" w:line="250" w:lineRule="auto"/>
        <w:rPr>
          <w:sz w:val="20"/>
          <w:szCs w:val="20"/>
          <w:color w:val="auto"/>
        </w:rPr>
      </w:pPr>
      <w:r>
        <w:rPr>
          <w:rFonts w:ascii="Arial" w:cs="Arial" w:eastAsia="Arial" w:hAnsi="Arial"/>
          <w:sz w:val="22"/>
          <w:szCs w:val="22"/>
          <w:color w:val="auto"/>
        </w:rPr>
        <w:t>anything in this Agreement to the contrary, any and all Inventions that are invented by one or more employees, agents, consultants, subcontractors or independent contractors of MP in performing the MP Manufacturing Plan or as a result of performing the MP Manufacturing Plan, other than MP Core Inventions, will be deemed Joint Inventions.</w:t>
      </w:r>
    </w:p>
    <w:p>
      <w:pPr>
        <w:spacing w:after="0" w:line="188" w:lineRule="exact"/>
        <w:rPr>
          <w:sz w:val="20"/>
          <w:szCs w:val="20"/>
          <w:color w:val="auto"/>
        </w:rPr>
      </w:pPr>
    </w:p>
    <w:p>
      <w:pPr>
        <w:ind w:left="660" w:hanging="652"/>
        <w:spacing w:after="0" w:line="250" w:lineRule="auto"/>
        <w:tabs>
          <w:tab w:leader="none" w:pos="498" w:val="left"/>
        </w:tabs>
        <w:numPr>
          <w:ilvl w:val="0"/>
          <w:numId w:val="524"/>
        </w:numPr>
        <w:rPr>
          <w:rFonts w:ascii="Arial" w:cs="Arial" w:eastAsia="Arial" w:hAnsi="Arial"/>
          <w:sz w:val="22"/>
          <w:szCs w:val="22"/>
          <w:b w:val="1"/>
          <w:bCs w:val="1"/>
          <w:color w:val="auto"/>
        </w:rPr>
      </w:pPr>
      <w:r>
        <w:rPr>
          <w:rFonts w:ascii="Arial" w:cs="Arial" w:eastAsia="Arial" w:hAnsi="Arial"/>
          <w:sz w:val="22"/>
          <w:szCs w:val="22"/>
          <w:color w:val="auto"/>
        </w:rPr>
        <w:t>As consideration for the execution and delivery of this Second Amendment by Molecular Partners (including the extensions contemplated hereby) and within [***] after the Second Amendment Effective Date, Allergan shall pay to Molecular Partners a one-time, non-refundable and non-creditable payment of one million five hundred thousand Dollars ($1,500,000).</w:t>
      </w:r>
    </w:p>
    <w:p>
      <w:pPr>
        <w:spacing w:after="0" w:line="187" w:lineRule="exact"/>
        <w:rPr>
          <w:rFonts w:ascii="Arial" w:cs="Arial" w:eastAsia="Arial" w:hAnsi="Arial"/>
          <w:sz w:val="22"/>
          <w:szCs w:val="22"/>
          <w:b w:val="1"/>
          <w:bCs w:val="1"/>
          <w:color w:val="auto"/>
        </w:rPr>
      </w:pPr>
    </w:p>
    <w:p>
      <w:pPr>
        <w:ind w:left="660" w:right="20" w:hanging="652"/>
        <w:spacing w:after="0" w:line="253" w:lineRule="auto"/>
        <w:tabs>
          <w:tab w:leader="none" w:pos="511" w:val="left"/>
        </w:tabs>
        <w:numPr>
          <w:ilvl w:val="0"/>
          <w:numId w:val="524"/>
        </w:numPr>
        <w:rPr>
          <w:rFonts w:ascii="Arial" w:cs="Arial" w:eastAsia="Arial" w:hAnsi="Arial"/>
          <w:sz w:val="22"/>
          <w:szCs w:val="22"/>
          <w:b w:val="1"/>
          <w:bCs w:val="1"/>
          <w:color w:val="auto"/>
        </w:rPr>
      </w:pPr>
      <w:r>
        <w:rPr>
          <w:rFonts w:ascii="Arial" w:cs="Arial" w:eastAsia="Arial" w:hAnsi="Arial"/>
          <w:sz w:val="22"/>
          <w:szCs w:val="22"/>
          <w:color w:val="auto"/>
        </w:rPr>
        <w:t>The Parties agree that each of them has used, at all times between the Effective Date and the Second Amendment Effective Date, the Commercially Reasonable Efforts required to be used by the Parties pursuant to Sections 2.6 and 2.7 of the Discovery Alliance Agreement.</w:t>
      </w:r>
    </w:p>
    <w:p>
      <w:pPr>
        <w:spacing w:after="0" w:line="185" w:lineRule="exact"/>
        <w:rPr>
          <w:rFonts w:ascii="Arial" w:cs="Arial" w:eastAsia="Arial" w:hAnsi="Arial"/>
          <w:sz w:val="22"/>
          <w:szCs w:val="22"/>
          <w:b w:val="1"/>
          <w:bCs w:val="1"/>
          <w:color w:val="auto"/>
        </w:rPr>
      </w:pPr>
    </w:p>
    <w:p>
      <w:pPr>
        <w:ind w:left="660" w:hanging="652"/>
        <w:spacing w:after="0" w:line="263" w:lineRule="auto"/>
        <w:tabs>
          <w:tab w:leader="none" w:pos="498" w:val="left"/>
        </w:tabs>
        <w:numPr>
          <w:ilvl w:val="0"/>
          <w:numId w:val="524"/>
        </w:numPr>
        <w:rPr>
          <w:rFonts w:ascii="Arial" w:cs="Arial" w:eastAsia="Arial" w:hAnsi="Arial"/>
          <w:sz w:val="22"/>
          <w:szCs w:val="22"/>
          <w:b w:val="1"/>
          <w:bCs w:val="1"/>
          <w:color w:val="auto"/>
        </w:rPr>
      </w:pPr>
      <w:r>
        <w:rPr>
          <w:rFonts w:ascii="Arial" w:cs="Arial" w:eastAsia="Arial" w:hAnsi="Arial"/>
          <w:sz w:val="22"/>
          <w:szCs w:val="22"/>
          <w:color w:val="auto"/>
        </w:rPr>
        <w:t>Any capitalized term used but not defined in this Second Amendment shall have the meaning ascribed to it in the Discovery Alliance Agreement.</w:t>
      </w:r>
    </w:p>
    <w:p>
      <w:pPr>
        <w:spacing w:after="0" w:line="174" w:lineRule="exact"/>
        <w:rPr>
          <w:rFonts w:ascii="Arial" w:cs="Arial" w:eastAsia="Arial" w:hAnsi="Arial"/>
          <w:sz w:val="22"/>
          <w:szCs w:val="22"/>
          <w:b w:val="1"/>
          <w:bCs w:val="1"/>
          <w:color w:val="auto"/>
        </w:rPr>
      </w:pPr>
    </w:p>
    <w:p>
      <w:pPr>
        <w:ind w:left="660" w:hanging="652"/>
        <w:spacing w:after="0" w:line="247" w:lineRule="auto"/>
        <w:tabs>
          <w:tab w:leader="none" w:pos="511" w:val="left"/>
        </w:tabs>
        <w:numPr>
          <w:ilvl w:val="0"/>
          <w:numId w:val="524"/>
        </w:numPr>
        <w:rPr>
          <w:rFonts w:ascii="Arial" w:cs="Arial" w:eastAsia="Arial" w:hAnsi="Arial"/>
          <w:sz w:val="22"/>
          <w:szCs w:val="22"/>
          <w:b w:val="1"/>
          <w:bCs w:val="1"/>
          <w:color w:val="auto"/>
        </w:rPr>
      </w:pPr>
      <w:r>
        <w:rPr>
          <w:rFonts w:ascii="Arial" w:cs="Arial" w:eastAsia="Arial" w:hAnsi="Arial"/>
          <w:sz w:val="22"/>
          <w:szCs w:val="22"/>
          <w:color w:val="auto"/>
        </w:rPr>
        <w:t>This Second Amendment was prepared in the English language, which language shall govern the interpretation of, and any dispute regarding, the terms of this Second Amendment. This Second Amendment and all disputes arising out of or related to this Second Amendment or any breach hereof shall be governed by and construed under the laws of the State of New York, USA (as permitted by Section 5-1401 of the New York General Obligations Law, or any similar successor provision), without giving effect to any choice of law principles that would require the application of the laws of a different jurisdiction.</w:t>
      </w:r>
    </w:p>
    <w:p>
      <w:pPr>
        <w:spacing w:after="0" w:line="192" w:lineRule="exact"/>
        <w:rPr>
          <w:rFonts w:ascii="Arial" w:cs="Arial" w:eastAsia="Arial" w:hAnsi="Arial"/>
          <w:sz w:val="22"/>
          <w:szCs w:val="22"/>
          <w:b w:val="1"/>
          <w:bCs w:val="1"/>
          <w:color w:val="auto"/>
        </w:rPr>
      </w:pPr>
    </w:p>
    <w:p>
      <w:pPr>
        <w:jc w:val="both"/>
        <w:ind w:left="660" w:hanging="652"/>
        <w:spacing w:after="0" w:line="250" w:lineRule="auto"/>
        <w:tabs>
          <w:tab w:leader="none" w:pos="646" w:val="left"/>
        </w:tabs>
        <w:numPr>
          <w:ilvl w:val="0"/>
          <w:numId w:val="524"/>
        </w:numPr>
        <w:rPr>
          <w:rFonts w:ascii="Arial" w:cs="Arial" w:eastAsia="Arial" w:hAnsi="Arial"/>
          <w:sz w:val="22"/>
          <w:szCs w:val="22"/>
          <w:b w:val="1"/>
          <w:bCs w:val="1"/>
          <w:color w:val="auto"/>
        </w:rPr>
      </w:pPr>
      <w:r>
        <w:rPr>
          <w:rFonts w:ascii="Arial" w:cs="Arial" w:eastAsia="Arial" w:hAnsi="Arial"/>
          <w:sz w:val="22"/>
          <w:szCs w:val="22"/>
          <w:color w:val="auto"/>
        </w:rPr>
        <w:t>Where there is any conflict between the terms of this Second Amendment and the terms of the Discovery Alliance Agreement or any other agreement between the Parties (or their respective Affiliates), the terms of this Second Amendment shall prevail. Except as expressly set forth in this Second Amendment, all other terms of the Discovery Alliance Agreement shall apply and remain in full force and effect.</w:t>
      </w:r>
    </w:p>
    <w:p>
      <w:pPr>
        <w:spacing w:after="0" w:line="187" w:lineRule="exact"/>
        <w:rPr>
          <w:rFonts w:ascii="Arial" w:cs="Arial" w:eastAsia="Arial" w:hAnsi="Arial"/>
          <w:sz w:val="22"/>
          <w:szCs w:val="22"/>
          <w:b w:val="1"/>
          <w:bCs w:val="1"/>
          <w:color w:val="auto"/>
        </w:rPr>
      </w:pPr>
    </w:p>
    <w:p>
      <w:pPr>
        <w:ind w:left="660" w:hanging="652"/>
        <w:spacing w:after="0" w:line="263" w:lineRule="auto"/>
        <w:tabs>
          <w:tab w:leader="none" w:pos="511" w:val="left"/>
        </w:tabs>
        <w:numPr>
          <w:ilvl w:val="0"/>
          <w:numId w:val="524"/>
        </w:numPr>
        <w:rPr>
          <w:rFonts w:ascii="Arial" w:cs="Arial" w:eastAsia="Arial" w:hAnsi="Arial"/>
          <w:sz w:val="21"/>
          <w:szCs w:val="21"/>
          <w:b w:val="1"/>
          <w:bCs w:val="1"/>
          <w:color w:val="auto"/>
        </w:rPr>
      </w:pPr>
      <w:r>
        <w:rPr>
          <w:rFonts w:ascii="Arial" w:cs="Arial" w:eastAsia="Arial" w:hAnsi="Arial"/>
          <w:sz w:val="21"/>
          <w:szCs w:val="21"/>
          <w:color w:val="auto"/>
        </w:rPr>
        <w:t>This Second Amendment may be executed in one (1) or more counterparts, by original, facsimile or PDF signature, each of which shall be deemed an original, but all of which together shall constitute one and the same instrument. Signatures to this Second Amendment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566" w:name="page567"/>
    <w:bookmarkEnd w:id="566"/>
    <w:p>
      <w:pPr>
        <w:ind w:right="580"/>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executed this Second Amendment by their duly authorized officers as of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Effective Date.</w:t>
      </w:r>
    </w:p>
    <w:p>
      <w:pPr>
        <w:spacing w:after="0" w:line="234"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b w:val="1"/>
          <w:bCs w:val="1"/>
          <w:color w:val="auto"/>
        </w:rPr>
        <w:t>Allergan, Inc.</w:t>
      </w:r>
      <w:r>
        <w:rPr>
          <w:sz w:val="20"/>
          <w:szCs w:val="20"/>
          <w:color w:val="auto"/>
        </w:rPr>
        <w:tab/>
      </w:r>
      <w:r>
        <w:rPr>
          <w:rFonts w:ascii="Arial" w:cs="Arial" w:eastAsia="Arial" w:hAnsi="Arial"/>
          <w:sz w:val="18"/>
          <w:szCs w:val="18"/>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4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auto"/>
              </w:rPr>
              <w:t>By:</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400" w:type="dxa"/>
            <w:vAlign w:val="bottom"/>
            <w:tcBorders>
              <w:bottom w:val="single" w:sz="8" w:color="auto"/>
            </w:tcBorders>
          </w:tcPr>
          <w:p>
            <w:pPr>
              <w:spacing w:after="0"/>
              <w:rPr>
                <w:sz w:val="2"/>
                <w:szCs w:val="2"/>
                <w:color w:val="auto"/>
              </w:rPr>
            </w:pPr>
          </w:p>
        </w:tc>
        <w:tc>
          <w:tcPr>
            <w:tcW w:w="1480" w:type="dxa"/>
            <w:vAlign w:val="bottom"/>
            <w:vMerge w:val="restart"/>
          </w:tcPr>
          <w:p>
            <w:pPr>
              <w:ind w:left="580"/>
              <w:spacing w:after="0"/>
              <w:rPr>
                <w:sz w:val="20"/>
                <w:szCs w:val="20"/>
                <w:color w:val="auto"/>
              </w:rPr>
            </w:pPr>
            <w:r>
              <w:rPr>
                <w:rFonts w:ascii="Arial" w:cs="Arial" w:eastAsia="Arial" w:hAnsi="Arial"/>
                <w:sz w:val="20"/>
                <w:szCs w:val="20"/>
                <w:color w:val="auto"/>
              </w:rPr>
              <w:t>Name:</w:t>
            </w: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00" w:type="dxa"/>
            <w:vAlign w:val="bottom"/>
            <w:vMerge w:val="continue"/>
          </w:tcPr>
          <w:p>
            <w:pPr>
              <w:spacing w:after="0"/>
              <w:rPr>
                <w:sz w:val="22"/>
                <w:szCs w:val="22"/>
                <w:color w:val="auto"/>
              </w:rPr>
            </w:pPr>
          </w:p>
        </w:tc>
        <w:tc>
          <w:tcPr>
            <w:tcW w:w="4400" w:type="dxa"/>
            <w:vAlign w:val="bottom"/>
          </w:tcPr>
          <w:p>
            <w:pPr>
              <w:ind w:left="20"/>
              <w:spacing w:after="0"/>
              <w:rPr>
                <w:sz w:val="20"/>
                <w:szCs w:val="20"/>
                <w:color w:val="auto"/>
              </w:rPr>
            </w:pPr>
            <w:r>
              <w:rPr>
                <w:rFonts w:ascii="Arial" w:cs="Arial" w:eastAsia="Arial" w:hAnsi="Arial"/>
                <w:sz w:val="20"/>
                <w:szCs w:val="20"/>
                <w:color w:val="auto"/>
              </w:rPr>
              <w:t>Scott M. Whitcup, M.D.</w:t>
            </w:r>
          </w:p>
        </w:tc>
        <w:tc>
          <w:tcPr>
            <w:tcW w:w="1480" w:type="dxa"/>
            <w:vAlign w:val="bottom"/>
            <w:vMerge w:val="continue"/>
          </w:tcPr>
          <w:p>
            <w:pPr>
              <w:spacing w:after="0"/>
              <w:rPr>
                <w:sz w:val="22"/>
                <w:szCs w:val="22"/>
                <w:color w:val="auto"/>
              </w:rPr>
            </w:pPr>
          </w:p>
        </w:tc>
        <w:tc>
          <w:tcPr>
            <w:tcW w:w="4420" w:type="dxa"/>
            <w:vAlign w:val="bottom"/>
          </w:tcPr>
          <w:p>
            <w:pPr>
              <w:ind w:left="20"/>
              <w:spacing w:after="0"/>
              <w:rPr>
                <w:sz w:val="20"/>
                <w:szCs w:val="20"/>
                <w:color w:val="auto"/>
              </w:rPr>
            </w:pPr>
            <w:r>
              <w:rPr>
                <w:rFonts w:ascii="Arial" w:cs="Arial" w:eastAsia="Arial" w:hAnsi="Arial"/>
                <w:sz w:val="20"/>
                <w:szCs w:val="20"/>
                <w:color w:val="auto"/>
              </w:rPr>
              <w:t>Christian Zahnd</w:t>
            </w:r>
          </w:p>
        </w:tc>
        <w:tc>
          <w:tcPr>
            <w:tcW w:w="0" w:type="dxa"/>
            <w:vAlign w:val="bottom"/>
          </w:tcPr>
          <w:p>
            <w:pPr>
              <w:spacing w:after="0"/>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400" w:type="dxa"/>
            <w:vAlign w:val="bottom"/>
          </w:tcPr>
          <w:p>
            <w:pPr>
              <w:ind w:left="20"/>
              <w:spacing w:after="0"/>
              <w:rPr>
                <w:sz w:val="20"/>
                <w:szCs w:val="20"/>
                <w:color w:val="auto"/>
              </w:rPr>
            </w:pPr>
            <w:r>
              <w:rPr>
                <w:rFonts w:ascii="Arial" w:cs="Arial" w:eastAsia="Arial" w:hAnsi="Arial"/>
                <w:sz w:val="20"/>
                <w:szCs w:val="20"/>
                <w:color w:val="auto"/>
                <w:w w:val="93"/>
              </w:rPr>
              <w:t>Executive Vice President, Research &amp; Development,</w:t>
            </w:r>
          </w:p>
        </w:tc>
        <w:tc>
          <w:tcPr>
            <w:tcW w:w="1480" w:type="dxa"/>
            <w:vAlign w:val="bottom"/>
          </w:tcPr>
          <w:p>
            <w:pPr>
              <w:ind w:left="580"/>
              <w:spacing w:after="0"/>
              <w:rPr>
                <w:sz w:val="20"/>
                <w:szCs w:val="20"/>
                <w:color w:val="auto"/>
              </w:rPr>
            </w:pPr>
            <w:r>
              <w:rPr>
                <w:rFonts w:ascii="Arial" w:cs="Arial" w:eastAsia="Arial" w:hAnsi="Arial"/>
                <w:sz w:val="20"/>
                <w:szCs w:val="20"/>
                <w:color w:val="auto"/>
              </w:rPr>
              <w:t>Title:</w:t>
            </w:r>
          </w:p>
        </w:tc>
        <w:tc>
          <w:tcPr>
            <w:tcW w:w="442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250"/>
        </w:trPr>
        <w:tc>
          <w:tcPr>
            <w:tcW w:w="90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Arial" w:cs="Arial" w:eastAsia="Arial" w:hAnsi="Arial"/>
                <w:sz w:val="20"/>
                <w:szCs w:val="20"/>
                <w:color w:val="auto"/>
              </w:rPr>
              <w:t>Chief Scientific Officer</w:t>
            </w:r>
          </w:p>
        </w:tc>
        <w:tc>
          <w:tcPr>
            <w:tcW w:w="148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3"/>
        </w:trPr>
        <w:tc>
          <w:tcPr>
            <w:tcW w:w="5300" w:type="dxa"/>
            <w:vAlign w:val="bottom"/>
            <w:gridSpan w:val="2"/>
          </w:tcPr>
          <w:p>
            <w:pPr>
              <w:spacing w:after="0"/>
              <w:rPr>
                <w:sz w:val="20"/>
                <w:szCs w:val="20"/>
                <w:color w:val="auto"/>
              </w:rPr>
            </w:pPr>
            <w:r>
              <w:rPr>
                <w:rFonts w:ascii="Arial" w:cs="Arial" w:eastAsia="Arial" w:hAnsi="Arial"/>
                <w:sz w:val="20"/>
                <w:szCs w:val="20"/>
                <w:b w:val="1"/>
                <w:bCs w:val="1"/>
                <w:color w:val="auto"/>
              </w:rPr>
              <w:t>Allergan Sales, LLC.</w:t>
            </w:r>
          </w:p>
        </w:tc>
        <w:tc>
          <w:tcPr>
            <w:tcW w:w="5900" w:type="dxa"/>
            <w:vAlign w:val="bottom"/>
            <w:gridSpan w:val="2"/>
          </w:tcPr>
          <w:p>
            <w:pPr>
              <w:ind w:left="580"/>
              <w:spacing w:after="0"/>
              <w:rPr>
                <w:sz w:val="20"/>
                <w:szCs w:val="20"/>
                <w:color w:val="auto"/>
              </w:rPr>
            </w:pPr>
            <w:r>
              <w:rPr>
                <w:rFonts w:ascii="Arial" w:cs="Arial" w:eastAsia="Arial" w:hAnsi="Arial"/>
                <w:sz w:val="20"/>
                <w:szCs w:val="20"/>
                <w:b w:val="1"/>
                <w:bCs w:val="1"/>
                <w:color w:val="auto"/>
              </w:rPr>
              <w:t>Molecular Partners AG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4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auto"/>
              </w:rPr>
              <w:t>By:</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400" w:type="dxa"/>
            <w:vAlign w:val="bottom"/>
            <w:tcBorders>
              <w:bottom w:val="single" w:sz="8" w:color="auto"/>
            </w:tcBorders>
          </w:tcPr>
          <w:p>
            <w:pPr>
              <w:spacing w:after="0"/>
              <w:rPr>
                <w:sz w:val="2"/>
                <w:szCs w:val="2"/>
                <w:color w:val="auto"/>
              </w:rPr>
            </w:pPr>
          </w:p>
        </w:tc>
        <w:tc>
          <w:tcPr>
            <w:tcW w:w="1480" w:type="dxa"/>
            <w:vAlign w:val="bottom"/>
            <w:vMerge w:val="restart"/>
          </w:tcPr>
          <w:p>
            <w:pPr>
              <w:ind w:left="580"/>
              <w:spacing w:after="0"/>
              <w:rPr>
                <w:sz w:val="20"/>
                <w:szCs w:val="20"/>
                <w:color w:val="auto"/>
              </w:rPr>
            </w:pPr>
            <w:r>
              <w:rPr>
                <w:rFonts w:ascii="Arial" w:cs="Arial" w:eastAsia="Arial" w:hAnsi="Arial"/>
                <w:sz w:val="20"/>
                <w:szCs w:val="20"/>
                <w:color w:val="auto"/>
              </w:rPr>
              <w:t>Name:</w:t>
            </w: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00" w:type="dxa"/>
            <w:vAlign w:val="bottom"/>
            <w:vMerge w:val="continue"/>
          </w:tcPr>
          <w:p>
            <w:pPr>
              <w:spacing w:after="0"/>
              <w:rPr>
                <w:sz w:val="22"/>
                <w:szCs w:val="22"/>
                <w:color w:val="auto"/>
              </w:rPr>
            </w:pPr>
          </w:p>
        </w:tc>
        <w:tc>
          <w:tcPr>
            <w:tcW w:w="4400" w:type="dxa"/>
            <w:vAlign w:val="bottom"/>
          </w:tcPr>
          <w:p>
            <w:pPr>
              <w:ind w:left="20"/>
              <w:spacing w:after="0"/>
              <w:rPr>
                <w:sz w:val="20"/>
                <w:szCs w:val="20"/>
                <w:color w:val="auto"/>
              </w:rPr>
            </w:pPr>
            <w:r>
              <w:rPr>
                <w:rFonts w:ascii="Arial" w:cs="Arial" w:eastAsia="Arial" w:hAnsi="Arial"/>
                <w:sz w:val="20"/>
                <w:szCs w:val="20"/>
                <w:color w:val="auto"/>
              </w:rPr>
              <w:t>Scott M. Whitcup, M.D.</w:t>
            </w:r>
          </w:p>
        </w:tc>
        <w:tc>
          <w:tcPr>
            <w:tcW w:w="1480" w:type="dxa"/>
            <w:vAlign w:val="bottom"/>
            <w:vMerge w:val="continue"/>
          </w:tcPr>
          <w:p>
            <w:pPr>
              <w:spacing w:after="0"/>
              <w:rPr>
                <w:sz w:val="22"/>
                <w:szCs w:val="22"/>
                <w:color w:val="auto"/>
              </w:rPr>
            </w:pPr>
          </w:p>
        </w:tc>
        <w:tc>
          <w:tcPr>
            <w:tcW w:w="4420" w:type="dxa"/>
            <w:vAlign w:val="bottom"/>
          </w:tcPr>
          <w:p>
            <w:pPr>
              <w:ind w:left="20"/>
              <w:spacing w:after="0"/>
              <w:rPr>
                <w:sz w:val="20"/>
                <w:szCs w:val="20"/>
                <w:color w:val="auto"/>
              </w:rPr>
            </w:pPr>
            <w:r>
              <w:rPr>
                <w:rFonts w:ascii="Arial" w:cs="Arial" w:eastAsia="Arial" w:hAnsi="Arial"/>
                <w:sz w:val="20"/>
                <w:szCs w:val="20"/>
                <w:color w:val="auto"/>
              </w:rPr>
              <w:t>Patrick Amstutz</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400" w:type="dxa"/>
            <w:vAlign w:val="bottom"/>
          </w:tcPr>
          <w:p>
            <w:pPr>
              <w:ind w:left="20"/>
              <w:spacing w:after="0"/>
              <w:rPr>
                <w:sz w:val="20"/>
                <w:szCs w:val="20"/>
                <w:color w:val="auto"/>
              </w:rPr>
            </w:pPr>
            <w:r>
              <w:rPr>
                <w:rFonts w:ascii="Arial" w:cs="Arial" w:eastAsia="Arial" w:hAnsi="Arial"/>
                <w:sz w:val="20"/>
                <w:szCs w:val="20"/>
                <w:color w:val="auto"/>
              </w:rPr>
              <w:t>Vice President</w:t>
            </w:r>
          </w:p>
        </w:tc>
        <w:tc>
          <w:tcPr>
            <w:tcW w:w="1480" w:type="dxa"/>
            <w:vAlign w:val="bottom"/>
          </w:tcPr>
          <w:p>
            <w:pPr>
              <w:ind w:left="580"/>
              <w:spacing w:after="0"/>
              <w:rPr>
                <w:sz w:val="20"/>
                <w:szCs w:val="20"/>
                <w:color w:val="auto"/>
              </w:rPr>
            </w:pPr>
            <w:r>
              <w:rPr>
                <w:rFonts w:ascii="Arial" w:cs="Arial" w:eastAsia="Arial" w:hAnsi="Arial"/>
                <w:sz w:val="20"/>
                <w:szCs w:val="20"/>
                <w:color w:val="auto"/>
              </w:rPr>
              <w:t>Title:</w:t>
            </w:r>
          </w:p>
        </w:tc>
        <w:tc>
          <w:tcPr>
            <w:tcW w:w="4420" w:type="dxa"/>
            <w:vAlign w:val="bottom"/>
          </w:tcPr>
          <w:p>
            <w:pPr>
              <w:ind w:left="20"/>
              <w:spacing w:after="0"/>
              <w:rPr>
                <w:sz w:val="20"/>
                <w:szCs w:val="20"/>
                <w:color w:val="auto"/>
              </w:rPr>
            </w:pPr>
            <w:r>
              <w:rPr>
                <w:rFonts w:ascii="Arial" w:cs="Arial" w:eastAsia="Arial" w:hAnsi="Arial"/>
                <w:sz w:val="20"/>
                <w:szCs w:val="20"/>
                <w:color w:val="auto"/>
              </w:rPr>
              <w:t>Chief Operating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Second Amendment to Discovery Alliance Agreement</w:t>
      </w:r>
      <w:r>
        <w:rPr>
          <w:rFonts w:ascii="Arial" w:cs="Arial" w:eastAsia="Arial" w:hAnsi="Arial"/>
          <w:sz w:val="22"/>
          <w:szCs w:val="22"/>
          <w:color w:val="auto"/>
        </w:rPr>
        <w:t>]</w:t>
      </w:r>
    </w:p>
    <w:p>
      <w:pPr>
        <w:sectPr>
          <w:pgSz w:w="11900" w:h="16838" w:orient="portrait"/>
          <w:cols w:equalWidth="0" w:num="1">
            <w:col w:w="11220"/>
          </w:cols>
          <w:pgMar w:left="320" w:top="1421" w:right="359" w:bottom="1440" w:gutter="0" w:footer="0" w:header="0"/>
        </w:sectPr>
      </w:pPr>
    </w:p>
    <w:bookmarkStart w:id="567" w:name="page568"/>
    <w:bookmarkEnd w:id="567"/>
    <w:p>
      <w:pPr>
        <w:ind w:left="440" w:hanging="432"/>
        <w:spacing w:after="0"/>
        <w:tabs>
          <w:tab w:leader="none" w:pos="44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27" w:lineRule="exact"/>
        <w:rPr>
          <w:rFonts w:ascii="Arial" w:cs="Arial" w:eastAsia="Arial" w:hAnsi="Arial"/>
          <w:sz w:val="18"/>
          <w:szCs w:val="18"/>
          <w:color w:val="auto"/>
        </w:rPr>
      </w:pPr>
    </w:p>
    <w:p>
      <w:pPr>
        <w:ind w:right="142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DISCOVERY ALLIANCE AGREEMENT</w:t>
      </w:r>
    </w:p>
    <w:p>
      <w:pPr>
        <w:spacing w:after="0" w:line="200" w:lineRule="exact"/>
        <w:rPr>
          <w:sz w:val="20"/>
          <w:szCs w:val="20"/>
          <w:color w:val="auto"/>
        </w:rPr>
      </w:pPr>
    </w:p>
    <w:p>
      <w:pPr>
        <w:spacing w:after="0" w:line="23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Third Amendment to Discovery Alliance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Third Amendment</w:t>
      </w:r>
      <w:r>
        <w:rPr>
          <w:rFonts w:ascii="Arial" w:cs="Arial" w:eastAsia="Arial" w:hAnsi="Arial"/>
          <w:sz w:val="19"/>
          <w:szCs w:val="19"/>
          <w:color w:val="auto"/>
        </w:rPr>
        <w:t>”), is entered into as of August 19, 2016 (the “</w:t>
      </w:r>
      <w:r>
        <w:rPr>
          <w:rFonts w:ascii="Arial" w:cs="Arial" w:eastAsia="Arial" w:hAnsi="Arial"/>
          <w:sz w:val="19"/>
          <w:szCs w:val="19"/>
          <w:b w:val="1"/>
          <w:bCs w:val="1"/>
          <w:color w:val="auto"/>
        </w:rPr>
        <w:t>Third Amendment Effective Date</w:t>
      </w:r>
      <w:r>
        <w:rPr>
          <w:rFonts w:ascii="Arial" w:cs="Arial" w:eastAsia="Arial" w:hAnsi="Arial"/>
          <w:sz w:val="19"/>
          <w:szCs w:val="19"/>
          <w:color w:val="auto"/>
        </w:rPr>
        <w:t xml:space="preserve">”), by and between (a) </w:t>
      </w:r>
      <w:r>
        <w:rPr>
          <w:rFonts w:ascii="Arial" w:cs="Arial" w:eastAsia="Arial" w:hAnsi="Arial"/>
          <w:sz w:val="19"/>
          <w:szCs w:val="19"/>
          <w:b w:val="1"/>
          <w:bCs w:val="1"/>
          <w:color w:val="auto"/>
        </w:rPr>
        <w:t>M</w:t>
      </w:r>
      <w:r>
        <w:rPr>
          <w:rFonts w:ascii="Arial" w:cs="Arial" w:eastAsia="Arial" w:hAnsi="Arial"/>
          <w:sz w:val="14"/>
          <w:szCs w:val="14"/>
          <w:b w:val="1"/>
          <w:bCs w:val="1"/>
          <w:color w:val="auto"/>
        </w:rPr>
        <w:t>OLECULAR</w:t>
      </w:r>
      <w:r>
        <w:rPr>
          <w:rFonts w:ascii="Arial" w:cs="Arial" w:eastAsia="Arial" w:hAnsi="Arial"/>
          <w:sz w:val="19"/>
          <w:szCs w:val="19"/>
          <w:color w:val="auto"/>
        </w:rPr>
        <w:t xml:space="preserve"> </w:t>
      </w:r>
      <w:r>
        <w:rPr>
          <w:rFonts w:ascii="Arial" w:cs="Arial" w:eastAsia="Arial" w:hAnsi="Arial"/>
          <w:sz w:val="19"/>
          <w:szCs w:val="19"/>
          <w:b w:val="1"/>
          <w:bCs w:val="1"/>
          <w:color w:val="auto"/>
        </w:rPr>
        <w:t>P</w:t>
      </w:r>
      <w:r>
        <w:rPr>
          <w:rFonts w:ascii="Arial" w:cs="Arial" w:eastAsia="Arial" w:hAnsi="Arial"/>
          <w:sz w:val="14"/>
          <w:szCs w:val="14"/>
          <w:b w:val="1"/>
          <w:bCs w:val="1"/>
          <w:color w:val="auto"/>
        </w:rPr>
        <w:t>ARTNERS</w:t>
      </w:r>
      <w:r>
        <w:rPr>
          <w:rFonts w:ascii="Arial" w:cs="Arial" w:eastAsia="Arial" w:hAnsi="Arial"/>
          <w:sz w:val="19"/>
          <w:szCs w:val="19"/>
          <w:color w:val="auto"/>
        </w:rPr>
        <w:t xml:space="preserve"> </w:t>
      </w:r>
      <w:r>
        <w:rPr>
          <w:rFonts w:ascii="Arial" w:cs="Arial" w:eastAsia="Arial" w:hAnsi="Arial"/>
          <w:sz w:val="19"/>
          <w:szCs w:val="19"/>
          <w:b w:val="1"/>
          <w:bCs w:val="1"/>
          <w:color w:val="auto"/>
        </w:rPr>
        <w:t>AG</w:t>
      </w:r>
      <w:r>
        <w:rPr>
          <w:rFonts w:ascii="Arial" w:cs="Arial" w:eastAsia="Arial" w:hAnsi="Arial"/>
          <w:sz w:val="19"/>
          <w:szCs w:val="19"/>
          <w:color w:val="auto"/>
        </w:rPr>
        <w:t>, a corporation organized and existing under the laws of Switzerland, having its principal place of business at Wagistrasse 14, 8952 Zürich-Schlieren, Switzerland (“</w:t>
      </w:r>
      <w:r>
        <w:rPr>
          <w:rFonts w:ascii="Arial" w:cs="Arial" w:eastAsia="Arial" w:hAnsi="Arial"/>
          <w:sz w:val="19"/>
          <w:szCs w:val="19"/>
          <w:b w:val="1"/>
          <w:bCs w:val="1"/>
          <w:color w:val="auto"/>
        </w:rPr>
        <w:t>Molecular Partners</w:t>
      </w:r>
      <w:r>
        <w:rPr>
          <w:rFonts w:ascii="Arial" w:cs="Arial" w:eastAsia="Arial" w:hAnsi="Arial"/>
          <w:sz w:val="19"/>
          <w:szCs w:val="19"/>
          <w:color w:val="auto"/>
        </w:rPr>
        <w:t xml:space="preserve">”) and (b) </w:t>
      </w:r>
      <w:r>
        <w:rPr>
          <w:rFonts w:ascii="Arial" w:cs="Arial" w:eastAsia="Arial" w:hAnsi="Arial"/>
          <w:sz w:val="19"/>
          <w:szCs w:val="19"/>
          <w:b w:val="1"/>
          <w:bCs w:val="1"/>
          <w:color w:val="auto"/>
        </w:rPr>
        <w:t>A</w:t>
      </w:r>
      <w:r>
        <w:rPr>
          <w:rFonts w:ascii="Arial" w:cs="Arial" w:eastAsia="Arial" w:hAnsi="Arial"/>
          <w:sz w:val="14"/>
          <w:szCs w:val="14"/>
          <w:b w:val="1"/>
          <w:bCs w:val="1"/>
          <w:color w:val="auto"/>
        </w:rPr>
        <w:t>LLERGAN</w:t>
      </w:r>
      <w:r>
        <w:rPr>
          <w:rFonts w:ascii="Arial" w:cs="Arial" w:eastAsia="Arial" w:hAnsi="Arial"/>
          <w:sz w:val="19"/>
          <w:szCs w:val="19"/>
          <w:b w:val="1"/>
          <w:bCs w:val="1"/>
          <w:color w:val="auto"/>
        </w:rPr>
        <w:t>, I</w:t>
      </w:r>
      <w:r>
        <w:rPr>
          <w:rFonts w:ascii="Arial" w:cs="Arial" w:eastAsia="Arial" w:hAnsi="Arial"/>
          <w:sz w:val="14"/>
          <w:szCs w:val="14"/>
          <w:b w:val="1"/>
          <w:bCs w:val="1"/>
          <w:color w:val="auto"/>
        </w:rPr>
        <w:t>NC</w:t>
      </w:r>
      <w:r>
        <w:rPr>
          <w:rFonts w:ascii="Arial" w:cs="Arial" w:eastAsia="Arial" w:hAnsi="Arial"/>
          <w:sz w:val="19"/>
          <w:szCs w:val="19"/>
          <w:b w:val="1"/>
          <w:bCs w:val="1"/>
          <w:color w:val="auto"/>
        </w:rPr>
        <w:t>.</w:t>
      </w:r>
      <w:r>
        <w:rPr>
          <w:rFonts w:ascii="Arial" w:cs="Arial" w:eastAsia="Arial" w:hAnsi="Arial"/>
          <w:sz w:val="19"/>
          <w:szCs w:val="19"/>
          <w:color w:val="auto"/>
        </w:rPr>
        <w:t xml:space="preserve">, a Delaware corporation having a place of business at 2525 Dupont Drive, Irvine, California 92612 USA, and </w:t>
      </w:r>
      <w:r>
        <w:rPr>
          <w:rFonts w:ascii="Arial" w:cs="Arial" w:eastAsia="Arial" w:hAnsi="Arial"/>
          <w:sz w:val="19"/>
          <w:szCs w:val="19"/>
          <w:b w:val="1"/>
          <w:bCs w:val="1"/>
          <w:color w:val="auto"/>
        </w:rPr>
        <w:t>A</w:t>
      </w:r>
      <w:r>
        <w:rPr>
          <w:rFonts w:ascii="Arial" w:cs="Arial" w:eastAsia="Arial" w:hAnsi="Arial"/>
          <w:sz w:val="14"/>
          <w:szCs w:val="14"/>
          <w:b w:val="1"/>
          <w:bCs w:val="1"/>
          <w:color w:val="auto"/>
        </w:rPr>
        <w:t>LLERGAN</w:t>
      </w:r>
      <w:r>
        <w:rPr>
          <w:rFonts w:ascii="Arial" w:cs="Arial" w:eastAsia="Arial" w:hAnsi="Arial"/>
          <w:sz w:val="19"/>
          <w:szCs w:val="19"/>
          <w:color w:val="auto"/>
        </w:rPr>
        <w:t xml:space="preserve"> </w:t>
      </w:r>
      <w:r>
        <w:rPr>
          <w:rFonts w:ascii="Arial" w:cs="Arial" w:eastAsia="Arial" w:hAnsi="Arial"/>
          <w:sz w:val="19"/>
          <w:szCs w:val="19"/>
          <w:b w:val="1"/>
          <w:bCs w:val="1"/>
          <w:color w:val="auto"/>
        </w:rPr>
        <w:t>S</w:t>
      </w:r>
      <w:r>
        <w:rPr>
          <w:rFonts w:ascii="Arial" w:cs="Arial" w:eastAsia="Arial" w:hAnsi="Arial"/>
          <w:sz w:val="14"/>
          <w:szCs w:val="14"/>
          <w:b w:val="1"/>
          <w:bCs w:val="1"/>
          <w:color w:val="auto"/>
        </w:rPr>
        <w:t>ALES</w:t>
      </w:r>
      <w:r>
        <w:rPr>
          <w:rFonts w:ascii="Arial" w:cs="Arial" w:eastAsia="Arial" w:hAnsi="Arial"/>
          <w:sz w:val="19"/>
          <w:szCs w:val="19"/>
          <w:b w:val="1"/>
          <w:bCs w:val="1"/>
          <w:color w:val="auto"/>
        </w:rPr>
        <w:t>, LLC</w:t>
      </w:r>
      <w:r>
        <w:rPr>
          <w:rFonts w:ascii="Arial" w:cs="Arial" w:eastAsia="Arial" w:hAnsi="Arial"/>
          <w:sz w:val="19"/>
          <w:szCs w:val="19"/>
          <w:color w:val="auto"/>
        </w:rPr>
        <w:t>, a Delaware limited liability company having a place of business at 2525 Dupont Drive, Irvine, California 92612 USA (Allergan, Inc. and Allergan Sales, LLC, together “</w:t>
      </w:r>
      <w:r>
        <w:rPr>
          <w:rFonts w:ascii="Arial" w:cs="Arial" w:eastAsia="Arial" w:hAnsi="Arial"/>
          <w:sz w:val="19"/>
          <w:szCs w:val="19"/>
          <w:b w:val="1"/>
          <w:bCs w:val="1"/>
          <w:color w:val="auto"/>
        </w:rPr>
        <w:t>Allergan</w:t>
      </w:r>
      <w:r>
        <w:rPr>
          <w:rFonts w:ascii="Arial" w:cs="Arial" w:eastAsia="Arial" w:hAnsi="Arial"/>
          <w:sz w:val="19"/>
          <w:szCs w:val="19"/>
          <w:color w:val="auto"/>
        </w:rPr>
        <w:t>”). Molecular Partners and Allergan are sometimes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3"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RECITALS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6"/>
          <w:szCs w:val="16"/>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entered into a Discovery Alliance Agreement, dated as of August</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20, 2012, as amended by a First Amendment, dated as of June 28, 2013 (the “</w:t>
      </w:r>
      <w:r>
        <w:rPr>
          <w:rFonts w:ascii="Arial" w:cs="Arial" w:eastAsia="Arial" w:hAnsi="Arial"/>
          <w:sz w:val="19"/>
          <w:szCs w:val="19"/>
          <w:b w:val="1"/>
          <w:bCs w:val="1"/>
          <w:color w:val="auto"/>
        </w:rPr>
        <w:t>First Amendment</w:t>
      </w:r>
      <w:r>
        <w:rPr>
          <w:rFonts w:ascii="Arial" w:cs="Arial" w:eastAsia="Arial" w:hAnsi="Arial"/>
          <w:sz w:val="19"/>
          <w:szCs w:val="19"/>
          <w:color w:val="auto"/>
        </w:rPr>
        <w:t>”) and as further amended by a Second Amendment, dated September 30, 2014 (the “</w:t>
      </w:r>
      <w:r>
        <w:rPr>
          <w:rFonts w:ascii="Arial" w:cs="Arial" w:eastAsia="Arial" w:hAnsi="Arial"/>
          <w:sz w:val="19"/>
          <w:szCs w:val="19"/>
          <w:b w:val="1"/>
          <w:bCs w:val="1"/>
          <w:color w:val="auto"/>
        </w:rPr>
        <w:t>Second Amendment</w:t>
      </w:r>
      <w:r>
        <w:rPr>
          <w:rFonts w:ascii="Arial" w:cs="Arial" w:eastAsia="Arial" w:hAnsi="Arial"/>
          <w:sz w:val="19"/>
          <w:szCs w:val="19"/>
          <w:color w:val="auto"/>
        </w:rPr>
        <w:t>”) (together, the “</w:t>
      </w:r>
      <w:r>
        <w:rPr>
          <w:rFonts w:ascii="Arial" w:cs="Arial" w:eastAsia="Arial" w:hAnsi="Arial"/>
          <w:sz w:val="19"/>
          <w:szCs w:val="19"/>
          <w:b w:val="1"/>
          <w:bCs w:val="1"/>
          <w:color w:val="auto"/>
        </w:rPr>
        <w:t>Discovery Alliance Agreement</w:t>
      </w:r>
      <w:r>
        <w:rPr>
          <w:rFonts w:ascii="Arial" w:cs="Arial" w:eastAsia="Arial" w:hAnsi="Arial"/>
          <w:sz w:val="19"/>
          <w:szCs w:val="19"/>
          <w:color w:val="auto"/>
        </w:rPr>
        <w:t>”);</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6"/>
          <w:szCs w:val="16"/>
          <w:b w:val="1"/>
          <w:bCs w:val="1"/>
          <w:color w:val="auto"/>
        </w:rPr>
        <w:t>HEREAS</w:t>
      </w:r>
      <w:r>
        <w:rPr>
          <w:rFonts w:ascii="Arial" w:cs="Arial" w:eastAsia="Arial" w:hAnsi="Arial"/>
          <w:sz w:val="22"/>
          <w:szCs w:val="22"/>
          <w:color w:val="auto"/>
        </w:rPr>
        <w:t>, reference is hereby made to that certain letter agreement, dated June 10, 2015, by and among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AG, Allergan, Inc., Allergan Sales, LLC and Allergan Development II (the “</w:t>
      </w:r>
      <w:r>
        <w:rPr>
          <w:rFonts w:ascii="Arial" w:cs="Arial" w:eastAsia="Arial" w:hAnsi="Arial"/>
          <w:sz w:val="22"/>
          <w:szCs w:val="22"/>
          <w:b w:val="1"/>
          <w:bCs w:val="1"/>
          <w:color w:val="auto"/>
        </w:rPr>
        <w:t>Letter</w:t>
      </w:r>
      <w:r>
        <w:rPr>
          <w:rFonts w:ascii="Arial" w:cs="Arial" w:eastAsia="Arial" w:hAnsi="Arial"/>
          <w:sz w:val="22"/>
          <w:szCs w:val="22"/>
          <w:color w:val="auto"/>
        </w:rPr>
        <w:t>”);</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6"/>
          <w:szCs w:val="16"/>
          <w:b w:val="1"/>
          <w:bCs w:val="1"/>
          <w:color w:val="auto"/>
        </w:rPr>
        <w:t>HEREAS</w:t>
      </w:r>
      <w:r>
        <w:rPr>
          <w:rFonts w:ascii="Arial" w:cs="Arial" w:eastAsia="Arial" w:hAnsi="Arial"/>
          <w:sz w:val="22"/>
          <w:szCs w:val="22"/>
          <w:color w:val="auto"/>
        </w:rPr>
        <w:t>, pursuant to a letter dated July 17, 2015, Allergan has elected to exercise the option set forth under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14.8(b) of the Discovery Alliance Agreement (the “</w:t>
      </w:r>
      <w:r>
        <w:rPr>
          <w:rFonts w:ascii="Arial" w:cs="Arial" w:eastAsia="Arial" w:hAnsi="Arial"/>
          <w:sz w:val="22"/>
          <w:szCs w:val="22"/>
          <w:b w:val="1"/>
          <w:bCs w:val="1"/>
          <w:color w:val="auto"/>
        </w:rPr>
        <w:t>Election Notice</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6"/>
          <w:szCs w:val="16"/>
          <w:b w:val="1"/>
          <w:bCs w:val="1"/>
          <w:color w:val="auto"/>
        </w:rPr>
        <w:t>HEREAS</w:t>
      </w:r>
      <w:r>
        <w:rPr>
          <w:rFonts w:ascii="Arial" w:cs="Arial" w:eastAsia="Arial" w:hAnsi="Arial"/>
          <w:sz w:val="22"/>
          <w:szCs w:val="22"/>
          <w:color w:val="auto"/>
        </w:rPr>
        <w:t>, the Parties desire to expand and amend in certain other respects their collaboration.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4"/>
          <w:szCs w:val="14"/>
          <w:b w:val="1"/>
          <w:bCs w:val="1"/>
          <w:color w:val="auto"/>
        </w:rPr>
        <w:t>OW</w:t>
      </w:r>
      <w:r>
        <w:rPr>
          <w:rFonts w:ascii="Arial" w:cs="Arial" w:eastAsia="Arial" w:hAnsi="Arial"/>
          <w:sz w:val="19"/>
          <w:szCs w:val="19"/>
          <w:b w:val="1"/>
          <w:bCs w:val="1"/>
          <w:color w:val="auto"/>
        </w:rPr>
        <w:t>, T</w:t>
      </w:r>
      <w:r>
        <w:rPr>
          <w:rFonts w:ascii="Arial" w:cs="Arial" w:eastAsia="Arial" w:hAnsi="Arial"/>
          <w:sz w:val="14"/>
          <w:szCs w:val="14"/>
          <w:b w:val="1"/>
          <w:bCs w:val="1"/>
          <w:color w:val="auto"/>
        </w:rPr>
        <w:t>HEREFORE</w:t>
      </w:r>
      <w:r>
        <w:rPr>
          <w:rFonts w:ascii="Arial" w:cs="Arial" w:eastAsia="Arial" w:hAnsi="Arial"/>
          <w:sz w:val="19"/>
          <w:szCs w:val="19"/>
          <w:color w:val="auto"/>
        </w:rPr>
        <w:t>, in consideration of the foregoing premises and the mutual covenants and conditions contained in this</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Third Amendment, the Parties agree as follows as to the following amendment only of the Discovery Alliance Agreement:</w:t>
      </w:r>
    </w:p>
    <w:p>
      <w:pPr>
        <w:spacing w:after="0" w:line="213" w:lineRule="exact"/>
        <w:rPr>
          <w:sz w:val="20"/>
          <w:szCs w:val="20"/>
          <w:color w:val="auto"/>
        </w:rPr>
      </w:pPr>
    </w:p>
    <w:p>
      <w:pPr>
        <w:ind w:left="660" w:right="480" w:hanging="652"/>
        <w:spacing w:after="0" w:line="263" w:lineRule="auto"/>
        <w:tabs>
          <w:tab w:leader="none" w:pos="386" w:val="left"/>
        </w:tabs>
        <w:numPr>
          <w:ilvl w:val="0"/>
          <w:numId w:val="526"/>
        </w:numPr>
        <w:rPr>
          <w:rFonts w:ascii="Arial" w:cs="Arial" w:eastAsia="Arial" w:hAnsi="Arial"/>
          <w:sz w:val="22"/>
          <w:szCs w:val="22"/>
          <w:color w:val="auto"/>
        </w:rPr>
      </w:pPr>
      <w:r>
        <w:rPr>
          <w:rFonts w:ascii="Arial" w:cs="Arial" w:eastAsia="Arial" w:hAnsi="Arial"/>
          <w:sz w:val="22"/>
          <w:szCs w:val="22"/>
          <w:color w:val="auto"/>
        </w:rPr>
        <w:t>The definition of “Agreement” in the Discovery Alliance Agreement is hereby amended and restated to mean, in full, as follows:</w:t>
      </w:r>
    </w:p>
    <w:p>
      <w:pPr>
        <w:spacing w:after="0" w:line="169"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Discovery Alliance Agreement, dated as of August 20, 2012, by and between Molecular Partners and Allergan, as amended by that certain First Amendment, dated as of June 28, 2014, that certain Second Amendment, dated as of September 30, 2014, and that certain Third Amendment, dated as of August 19, 2016 (the “</w:t>
      </w:r>
      <w:r>
        <w:rPr>
          <w:rFonts w:ascii="Arial" w:cs="Arial" w:eastAsia="Arial" w:hAnsi="Arial"/>
          <w:sz w:val="22"/>
          <w:szCs w:val="22"/>
          <w:b w:val="1"/>
          <w:bCs w:val="1"/>
          <w:color w:val="auto"/>
        </w:rPr>
        <w:t>Third Amendment Effective Date</w:t>
      </w:r>
      <w:r>
        <w:rPr>
          <w:rFonts w:ascii="Arial" w:cs="Arial" w:eastAsia="Arial" w:hAnsi="Arial"/>
          <w:sz w:val="22"/>
          <w:szCs w:val="22"/>
          <w:color w:val="auto"/>
        </w:rPr>
        <w:t>”).</w:t>
      </w:r>
    </w:p>
    <w:p>
      <w:pPr>
        <w:sectPr>
          <w:pgSz w:w="11900" w:h="16838" w:orient="portrait"/>
          <w:cols w:equalWidth="0" w:num="1">
            <w:col w:w="11240"/>
          </w:cols>
          <w:pgMar w:left="320" w:top="364" w:right="339" w:bottom="1440" w:gutter="0" w:footer="0" w:header="0"/>
        </w:sectPr>
      </w:pPr>
    </w:p>
    <w:bookmarkStart w:id="568" w:name="page569"/>
    <w:bookmarkEnd w:id="568"/>
    <w:p>
      <w:pPr>
        <w:ind w:left="380" w:hanging="372"/>
        <w:spacing w:after="0"/>
        <w:tabs>
          <w:tab w:leader="none" w:pos="380" w:val="left"/>
        </w:tabs>
        <w:numPr>
          <w:ilvl w:val="0"/>
          <w:numId w:val="527"/>
        </w:numPr>
        <w:rPr>
          <w:rFonts w:ascii="Arial" w:cs="Arial" w:eastAsia="Arial" w:hAnsi="Arial"/>
          <w:sz w:val="22"/>
          <w:szCs w:val="22"/>
          <w:color w:val="auto"/>
        </w:rPr>
      </w:pPr>
      <w:r>
        <w:rPr>
          <w:rFonts w:ascii="Arial" w:cs="Arial" w:eastAsia="Arial" w:hAnsi="Arial"/>
          <w:sz w:val="22"/>
          <w:szCs w:val="22"/>
          <w:color w:val="auto"/>
        </w:rPr>
        <w:t>Section 1.134 in the Discovery Alliance Agreement is hereby amended and restated to mean, in full, as follows:</w:t>
      </w:r>
    </w:p>
    <w:p>
      <w:pPr>
        <w:spacing w:after="0" w:line="214"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Research Term</w:t>
      </w:r>
      <w:r>
        <w:rPr>
          <w:rFonts w:ascii="Arial" w:cs="Arial" w:eastAsia="Arial" w:hAnsi="Arial"/>
          <w:sz w:val="22"/>
          <w:szCs w:val="22"/>
          <w:color w:val="auto"/>
        </w:rPr>
        <w:t>” means the period commencing on the Effective Date and ending on [***] (i.e. the expiration of the Research Term has been extended by the Third Amendment to this Agreement from [***]). For clarity, the Research Term shall not be subject to any further extension or amendment.</w:t>
      </w:r>
    </w:p>
    <w:p>
      <w:pPr>
        <w:spacing w:after="0" w:line="182" w:lineRule="exact"/>
        <w:rPr>
          <w:sz w:val="20"/>
          <w:szCs w:val="20"/>
          <w:color w:val="auto"/>
        </w:rPr>
      </w:pPr>
    </w:p>
    <w:p>
      <w:pPr>
        <w:ind w:left="660" w:hanging="652"/>
        <w:spacing w:after="0" w:line="292" w:lineRule="auto"/>
        <w:tabs>
          <w:tab w:leader="none" w:pos="406" w:val="left"/>
        </w:tabs>
        <w:numPr>
          <w:ilvl w:val="0"/>
          <w:numId w:val="528"/>
        </w:numPr>
        <w:rPr>
          <w:rFonts w:ascii="Arial" w:cs="Arial" w:eastAsia="Arial" w:hAnsi="Arial"/>
          <w:sz w:val="19"/>
          <w:szCs w:val="19"/>
          <w:color w:val="auto"/>
        </w:rPr>
      </w:pPr>
      <w:r>
        <w:rPr>
          <w:rFonts w:ascii="Arial" w:cs="Arial" w:eastAsia="Arial" w:hAnsi="Arial"/>
          <w:sz w:val="19"/>
          <w:szCs w:val="19"/>
          <w:color w:val="auto"/>
        </w:rPr>
        <w:t>Allergan agrees that from and after the date of the Election Notice, Allergan shall not directly cause the work required to be performed by Molecular Partners under the Discovery Alliance Agreement to Materially Increase, as compared to the work contemplated to be performed by Molecular Partners for the remainder of the Research Term as of the date of the Election Notice. For purposes of this Paragraph 3, “Materially Increase” shall be defined as requiring the expenditure of greater than [***] FTEs per year. For clarity, in no event will Molecular Partners be obligated to devote more than [***] FTEs per year to its activities under this Agreement and under Section 4.6(a) of the MP0260 Agreement during the extension of the Research Term as set forth in the Paragraph 2 above.</w:t>
      </w:r>
    </w:p>
    <w:p>
      <w:pPr>
        <w:spacing w:after="0" w:line="150" w:lineRule="exact"/>
        <w:rPr>
          <w:rFonts w:ascii="Arial" w:cs="Arial" w:eastAsia="Arial" w:hAnsi="Arial"/>
          <w:sz w:val="19"/>
          <w:szCs w:val="19"/>
          <w:color w:val="auto"/>
        </w:rPr>
      </w:pPr>
    </w:p>
    <w:p>
      <w:pPr>
        <w:ind w:left="380" w:hanging="372"/>
        <w:spacing w:after="0"/>
        <w:tabs>
          <w:tab w:leader="none" w:pos="380" w:val="left"/>
        </w:tabs>
        <w:numPr>
          <w:ilvl w:val="0"/>
          <w:numId w:val="528"/>
        </w:numPr>
        <w:rPr>
          <w:rFonts w:ascii="Arial" w:cs="Arial" w:eastAsia="Arial" w:hAnsi="Arial"/>
          <w:sz w:val="22"/>
          <w:szCs w:val="22"/>
          <w:color w:val="auto"/>
        </w:rPr>
      </w:pPr>
      <w:r>
        <w:rPr>
          <w:rFonts w:ascii="Arial" w:cs="Arial" w:eastAsia="Arial" w:hAnsi="Arial"/>
          <w:sz w:val="22"/>
          <w:szCs w:val="22"/>
          <w:color w:val="auto"/>
        </w:rPr>
        <w:t>Section 9.3(a) of the Discovery Alliance Agreement is hereby amended and restated as follows:</w:t>
      </w:r>
    </w:p>
    <w:p>
      <w:pPr>
        <w:spacing w:after="0" w:line="213" w:lineRule="exact"/>
        <w:rPr>
          <w:rFonts w:ascii="Arial" w:cs="Arial" w:eastAsia="Arial" w:hAnsi="Arial"/>
          <w:sz w:val="22"/>
          <w:szCs w:val="22"/>
          <w:color w:val="auto"/>
        </w:rPr>
      </w:pPr>
    </w:p>
    <w:p>
      <w:pPr>
        <w:jc w:val="both"/>
        <w:ind w:left="660"/>
        <w:spacing w:after="0" w:line="293" w:lineRule="auto"/>
        <w:rPr>
          <w:rFonts w:ascii="Arial" w:cs="Arial" w:eastAsia="Arial" w:hAnsi="Arial"/>
          <w:sz w:val="22"/>
          <w:szCs w:val="22"/>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Extension of Research Term</w:t>
      </w:r>
      <w:r>
        <w:rPr>
          <w:rFonts w:ascii="Arial" w:cs="Arial" w:eastAsia="Arial" w:hAnsi="Arial"/>
          <w:sz w:val="19"/>
          <w:szCs w:val="19"/>
          <w:color w:val="auto"/>
        </w:rPr>
        <w:t>. Allergan shall reimburse Molecular Partners for all Third Party expenses (at such Third Parties’ invoiced cost), internal FTE expenses (at the FTE Rate), and any other expenses (at the actual out-of-pocket cost to Molecular Partners) incurred by Molecular Partners to conduct its activities under this Agreement during the extension of the Research Term (i.e., during the Research Term between [***] and [***]), up to a maximum of [***] FTEs per year. Within [***] after the end of each calendar quarter during such extension of the Research Term, Molecular Partners shall provide an invoice to Allergan specifying the actual Third Party expenses, FTE costs (at the FTE Rate) and other expenses incurred by Molecular Partners in accordance with the foregoing.</w:t>
      </w:r>
    </w:p>
    <w:p>
      <w:pPr>
        <w:spacing w:after="0" w:line="150" w:lineRule="exact"/>
        <w:rPr>
          <w:rFonts w:ascii="Arial" w:cs="Arial" w:eastAsia="Arial" w:hAnsi="Arial"/>
          <w:sz w:val="22"/>
          <w:szCs w:val="22"/>
          <w:color w:val="auto"/>
        </w:rPr>
      </w:pPr>
    </w:p>
    <w:p>
      <w:pPr>
        <w:ind w:left="660" w:right="20" w:hanging="652"/>
        <w:spacing w:after="0" w:line="263" w:lineRule="auto"/>
        <w:tabs>
          <w:tab w:leader="none" w:pos="428" w:val="left"/>
        </w:tabs>
        <w:numPr>
          <w:ilvl w:val="0"/>
          <w:numId w:val="528"/>
        </w:numPr>
        <w:rPr>
          <w:rFonts w:ascii="Arial" w:cs="Arial" w:eastAsia="Arial" w:hAnsi="Arial"/>
          <w:sz w:val="22"/>
          <w:szCs w:val="22"/>
          <w:color w:val="auto"/>
        </w:rPr>
      </w:pPr>
      <w:r>
        <w:rPr>
          <w:rFonts w:ascii="Arial" w:cs="Arial" w:eastAsia="Arial" w:hAnsi="Arial"/>
          <w:sz w:val="22"/>
          <w:szCs w:val="22"/>
          <w:color w:val="auto"/>
        </w:rPr>
        <w:t>Any capitalized term used but not defined in this Third Amendment shall have the meaning ascribed to it in the Discovery Alliance Agreement.</w:t>
      </w:r>
    </w:p>
    <w:p>
      <w:pPr>
        <w:spacing w:after="0" w:line="174" w:lineRule="exact"/>
        <w:rPr>
          <w:rFonts w:ascii="Arial" w:cs="Arial" w:eastAsia="Arial" w:hAnsi="Arial"/>
          <w:sz w:val="22"/>
          <w:szCs w:val="22"/>
          <w:color w:val="auto"/>
        </w:rPr>
      </w:pPr>
    </w:p>
    <w:p>
      <w:pPr>
        <w:ind w:left="660" w:hanging="652"/>
        <w:spacing w:after="0" w:line="247" w:lineRule="auto"/>
        <w:tabs>
          <w:tab w:leader="none" w:pos="458" w:val="left"/>
        </w:tabs>
        <w:numPr>
          <w:ilvl w:val="0"/>
          <w:numId w:val="528"/>
        </w:numPr>
        <w:rPr>
          <w:rFonts w:ascii="Arial" w:cs="Arial" w:eastAsia="Arial" w:hAnsi="Arial"/>
          <w:sz w:val="22"/>
          <w:szCs w:val="22"/>
          <w:color w:val="auto"/>
        </w:rPr>
      </w:pPr>
      <w:r>
        <w:rPr>
          <w:rFonts w:ascii="Arial" w:cs="Arial" w:eastAsia="Arial" w:hAnsi="Arial"/>
          <w:sz w:val="22"/>
          <w:szCs w:val="22"/>
          <w:color w:val="auto"/>
        </w:rPr>
        <w:t>This Third Amendment was prepared in the English language, which language shall govern the interpretation of, and any dispute regarding, the terms of this Third Amendment. This Third Amendment and all disputes arising out of or related to this Third Amendment or any breach hereof shall be governed by and construed under the laws of the State of New York, USA (as permitted by Section 5-1401 of the New York General Obligations Law, or any similar successor provision), without giving effect to any choice of law principles that would require the application of the laws of a different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569" w:name="page570"/>
    <w:bookmarkEnd w:id="569"/>
    <w:p>
      <w:pPr>
        <w:ind w:left="652" w:hanging="652"/>
        <w:spacing w:after="0" w:line="250" w:lineRule="auto"/>
        <w:tabs>
          <w:tab w:leader="none" w:pos="399" w:val="left"/>
        </w:tabs>
        <w:numPr>
          <w:ilvl w:val="0"/>
          <w:numId w:val="529"/>
        </w:numPr>
        <w:rPr>
          <w:rFonts w:ascii="Arial" w:cs="Arial" w:eastAsia="Arial" w:hAnsi="Arial"/>
          <w:sz w:val="22"/>
          <w:szCs w:val="22"/>
          <w:color w:val="auto"/>
        </w:rPr>
      </w:pPr>
      <w:r>
        <w:rPr>
          <w:rFonts w:ascii="Arial" w:cs="Arial" w:eastAsia="Arial" w:hAnsi="Arial"/>
          <w:sz w:val="22"/>
          <w:szCs w:val="22"/>
          <w:color w:val="auto"/>
        </w:rPr>
        <w:t>Where there is any conflict between the terms of this Third Amendment and the terms of the Discovery Alliance Agreement or any other agreement between the Parties (or their respective Affiliates), the terms of this Third Amendment shall prevail. Except as expressly set forth in this Third Amendment, all other terms of the Discovery Alliance Agreement shall apply and remain in full force and effect.</w:t>
      </w:r>
    </w:p>
    <w:p>
      <w:pPr>
        <w:spacing w:after="0" w:line="187" w:lineRule="exact"/>
        <w:rPr>
          <w:rFonts w:ascii="Arial" w:cs="Arial" w:eastAsia="Arial" w:hAnsi="Arial"/>
          <w:sz w:val="22"/>
          <w:szCs w:val="22"/>
          <w:color w:val="auto"/>
        </w:rPr>
      </w:pPr>
    </w:p>
    <w:p>
      <w:pPr>
        <w:ind w:left="652" w:hanging="652"/>
        <w:spacing w:after="0" w:line="263" w:lineRule="auto"/>
        <w:tabs>
          <w:tab w:leader="none" w:pos="437" w:val="left"/>
        </w:tabs>
        <w:numPr>
          <w:ilvl w:val="0"/>
          <w:numId w:val="529"/>
        </w:numPr>
        <w:rPr>
          <w:rFonts w:ascii="Arial" w:cs="Arial" w:eastAsia="Arial" w:hAnsi="Arial"/>
          <w:sz w:val="21"/>
          <w:szCs w:val="21"/>
          <w:color w:val="auto"/>
        </w:rPr>
      </w:pPr>
      <w:r>
        <w:rPr>
          <w:rFonts w:ascii="Arial" w:cs="Arial" w:eastAsia="Arial" w:hAnsi="Arial"/>
          <w:sz w:val="21"/>
          <w:szCs w:val="21"/>
          <w:color w:val="auto"/>
        </w:rPr>
        <w:t>This Third Amendment may be executed in one (1) or more counterparts, by original, facsimile or PDF signature, each of which shall be deemed an original, but all of which together shall constitute one and the same instrument. Signatures to this Third Amendment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[R</w:t>
      </w:r>
      <w:r>
        <w:rPr>
          <w:rFonts w:ascii="Arial" w:cs="Arial" w:eastAsia="Arial" w:hAnsi="Arial"/>
          <w:sz w:val="16"/>
          <w:szCs w:val="16"/>
          <w:color w:val="auto"/>
        </w:rPr>
        <w:t>EMAINDER OF</w:t>
      </w:r>
      <w:r>
        <w:rPr>
          <w:rFonts w:ascii="Arial" w:cs="Arial" w:eastAsia="Arial" w:hAnsi="Arial"/>
          <w:sz w:val="22"/>
          <w:szCs w:val="22"/>
          <w:color w:val="auto"/>
        </w:rPr>
        <w:t xml:space="preserve"> P</w:t>
      </w:r>
      <w:r>
        <w:rPr>
          <w:rFonts w:ascii="Arial" w:cs="Arial" w:eastAsia="Arial" w:hAnsi="Arial"/>
          <w:sz w:val="16"/>
          <w:szCs w:val="16"/>
          <w:color w:val="auto"/>
        </w:rPr>
        <w:t>AGE</w:t>
      </w:r>
      <w:r>
        <w:rPr>
          <w:rFonts w:ascii="Arial" w:cs="Arial" w:eastAsia="Arial" w:hAnsi="Arial"/>
          <w:sz w:val="22"/>
          <w:szCs w:val="22"/>
          <w:color w:val="auto"/>
        </w:rPr>
        <w:t xml:space="preserve"> I</w:t>
      </w:r>
      <w:r>
        <w:rPr>
          <w:rFonts w:ascii="Arial" w:cs="Arial" w:eastAsia="Arial" w:hAnsi="Arial"/>
          <w:sz w:val="16"/>
          <w:szCs w:val="16"/>
          <w:color w:val="auto"/>
        </w:rPr>
        <w:t>NTENTIONALLY</w:t>
      </w:r>
      <w:r>
        <w:rPr>
          <w:rFonts w:ascii="Arial" w:cs="Arial" w:eastAsia="Arial" w:hAnsi="Arial"/>
          <w:sz w:val="22"/>
          <w:szCs w:val="22"/>
          <w:color w:val="auto"/>
        </w:rPr>
        <w:t xml:space="preserve"> L</w:t>
      </w:r>
      <w:r>
        <w:rPr>
          <w:rFonts w:ascii="Arial" w:cs="Arial" w:eastAsia="Arial" w:hAnsi="Arial"/>
          <w:sz w:val="16"/>
          <w:szCs w:val="16"/>
          <w:color w:val="auto"/>
        </w:rPr>
        <w:t>EFT</w:t>
      </w:r>
      <w:r>
        <w:rPr>
          <w:rFonts w:ascii="Arial" w:cs="Arial" w:eastAsia="Arial" w:hAnsi="Arial"/>
          <w:sz w:val="22"/>
          <w:szCs w:val="22"/>
          <w:color w:val="auto"/>
        </w:rPr>
        <w:t xml:space="preserve"> B</w:t>
      </w:r>
      <w:r>
        <w:rPr>
          <w:rFonts w:ascii="Arial" w:cs="Arial" w:eastAsia="Arial" w:hAnsi="Arial"/>
          <w:sz w:val="16"/>
          <w:szCs w:val="16"/>
          <w:color w:val="auto"/>
        </w:rPr>
        <w:t>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32"/>
          </w:cols>
          <w:pgMar w:left="328" w:top="1427" w:right="339" w:bottom="1440" w:gutter="0" w:footer="0" w:header="0"/>
        </w:sectPr>
      </w:pPr>
    </w:p>
    <w:bookmarkStart w:id="570" w:name="page571"/>
    <w:bookmarkEnd w:id="570"/>
    <w:p>
      <w:pPr>
        <w:spacing w:after="0" w:line="287"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9"/>
          <w:szCs w:val="19"/>
          <w:color w:val="auto"/>
        </w:rPr>
        <w:t>the Parties have executed this Third Amendment by their duly authorized officers as of the Third Amendment</w:t>
      </w:r>
      <w:r>
        <w:rPr>
          <w:rFonts w:ascii="Arial" w:cs="Arial" w:eastAsia="Arial" w:hAnsi="Arial"/>
          <w:sz w:val="16"/>
          <w:szCs w:val="16"/>
          <w:b w:val="1"/>
          <w:bCs w:val="1"/>
          <w:color w:val="auto"/>
        </w:rPr>
        <w:t xml:space="preserve"> </w:t>
      </w:r>
      <w:r>
        <w:rPr>
          <w:rFonts w:ascii="Arial" w:cs="Arial" w:eastAsia="Arial" w:hAnsi="Arial"/>
          <w:sz w:val="19"/>
          <w:szCs w:val="19"/>
          <w:color w:val="auto"/>
        </w:rPr>
        <w:t>Effective Date.</w:t>
      </w:r>
    </w:p>
    <w:p>
      <w:pPr>
        <w:spacing w:after="0" w:line="227"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b w:val="1"/>
          <w:bCs w:val="1"/>
          <w:color w:val="auto"/>
        </w:rPr>
        <w:t>Allergan, Inc.</w:t>
      </w:r>
      <w:r>
        <w:rPr>
          <w:sz w:val="20"/>
          <w:szCs w:val="20"/>
          <w:color w:val="auto"/>
        </w:rPr>
        <w:tab/>
      </w:r>
      <w:r>
        <w:rPr>
          <w:rFonts w:ascii="Arial" w:cs="Arial" w:eastAsia="Arial" w:hAnsi="Arial"/>
          <w:sz w:val="18"/>
          <w:szCs w:val="18"/>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300" w:type="dxa"/>
            <w:vAlign w:val="bottom"/>
            <w:gridSpan w:val="2"/>
          </w:tcPr>
          <w:p>
            <w:pPr>
              <w:spacing w:after="0"/>
              <w:rPr>
                <w:sz w:val="20"/>
                <w:szCs w:val="20"/>
                <w:color w:val="auto"/>
              </w:rPr>
            </w:pPr>
            <w:r>
              <w:rPr>
                <w:rFonts w:ascii="Arial" w:cs="Arial" w:eastAsia="Arial" w:hAnsi="Arial"/>
                <w:sz w:val="20"/>
                <w:szCs w:val="20"/>
                <w:color w:val="auto"/>
              </w:rPr>
              <w:t>By:</w:t>
            </w:r>
          </w:p>
        </w:tc>
        <w:tc>
          <w:tcPr>
            <w:tcW w:w="1480" w:type="dxa"/>
            <w:vAlign w:val="bottom"/>
          </w:tcPr>
          <w:p>
            <w:pPr>
              <w:ind w:left="580"/>
              <w:spacing w:after="0"/>
              <w:rPr>
                <w:sz w:val="20"/>
                <w:szCs w:val="20"/>
                <w:color w:val="auto"/>
              </w:rPr>
            </w:pPr>
            <w:r>
              <w:rPr>
                <w:rFonts w:ascii="Arial" w:cs="Arial" w:eastAsia="Arial" w:hAnsi="Arial"/>
                <w:sz w:val="20"/>
                <w:szCs w:val="20"/>
                <w:color w:val="auto"/>
              </w:rPr>
              <w:t>By:</w:t>
            </w:r>
          </w:p>
        </w:tc>
        <w:tc>
          <w:tcPr>
            <w:tcW w:w="4420" w:type="dxa"/>
            <w:vAlign w:val="bottom"/>
          </w:tcPr>
          <w:p>
            <w:pPr>
              <w:spacing w:after="0"/>
              <w:rPr>
                <w:sz w:val="21"/>
                <w:szCs w:val="21"/>
                <w:color w:val="auto"/>
              </w:rPr>
            </w:pPr>
          </w:p>
        </w:tc>
      </w:tr>
      <w:tr>
        <w:trPr>
          <w:trHeight w:val="23"/>
        </w:trPr>
        <w:tc>
          <w:tcPr>
            <w:tcW w:w="9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511"/>
        </w:trPr>
        <w:tc>
          <w:tcPr>
            <w:tcW w:w="5300" w:type="dxa"/>
            <w:vAlign w:val="bottom"/>
            <w:gridSpan w:val="2"/>
          </w:tcPr>
          <w:p>
            <w:pPr>
              <w:spacing w:after="0"/>
              <w:rPr>
                <w:sz w:val="20"/>
                <w:szCs w:val="20"/>
                <w:color w:val="auto"/>
              </w:rPr>
            </w:pPr>
            <w:r>
              <w:rPr>
                <w:rFonts w:ascii="Arial" w:cs="Arial" w:eastAsia="Arial" w:hAnsi="Arial"/>
                <w:sz w:val="20"/>
                <w:szCs w:val="20"/>
                <w:color w:val="auto"/>
              </w:rPr>
              <w:t>Name:</w:t>
            </w:r>
          </w:p>
        </w:tc>
        <w:tc>
          <w:tcPr>
            <w:tcW w:w="1480" w:type="dxa"/>
            <w:vAlign w:val="bottom"/>
          </w:tcPr>
          <w:p>
            <w:pPr>
              <w:ind w:left="580"/>
              <w:spacing w:after="0"/>
              <w:rPr>
                <w:sz w:val="20"/>
                <w:szCs w:val="20"/>
                <w:color w:val="auto"/>
              </w:rPr>
            </w:pPr>
            <w:r>
              <w:rPr>
                <w:rFonts w:ascii="Arial" w:cs="Arial" w:eastAsia="Arial" w:hAnsi="Arial"/>
                <w:sz w:val="20"/>
                <w:szCs w:val="20"/>
                <w:color w:val="auto"/>
              </w:rPr>
              <w:t>Name:</w:t>
            </w:r>
          </w:p>
        </w:tc>
        <w:tc>
          <w:tcPr>
            <w:tcW w:w="4420" w:type="dxa"/>
            <w:vAlign w:val="bottom"/>
          </w:tcPr>
          <w:p>
            <w:pPr>
              <w:ind w:left="20"/>
              <w:spacing w:after="0"/>
              <w:rPr>
                <w:sz w:val="20"/>
                <w:szCs w:val="20"/>
                <w:color w:val="auto"/>
              </w:rPr>
            </w:pPr>
            <w:r>
              <w:rPr>
                <w:rFonts w:ascii="Arial" w:cs="Arial" w:eastAsia="Arial" w:hAnsi="Arial"/>
                <w:sz w:val="20"/>
                <w:szCs w:val="20"/>
                <w:color w:val="auto"/>
              </w:rPr>
              <w:t>Christian Zahnd</w:t>
            </w:r>
          </w:p>
        </w:tc>
      </w:tr>
      <w:tr>
        <w:trPr>
          <w:trHeight w:val="540"/>
        </w:trPr>
        <w:tc>
          <w:tcPr>
            <w:tcW w:w="5300" w:type="dxa"/>
            <w:vAlign w:val="bottom"/>
            <w:gridSpan w:val="2"/>
          </w:tcPr>
          <w:p>
            <w:pPr>
              <w:spacing w:after="0"/>
              <w:rPr>
                <w:sz w:val="20"/>
                <w:szCs w:val="20"/>
                <w:color w:val="auto"/>
              </w:rPr>
            </w:pPr>
            <w:r>
              <w:rPr>
                <w:rFonts w:ascii="Arial" w:cs="Arial" w:eastAsia="Arial" w:hAnsi="Arial"/>
                <w:sz w:val="20"/>
                <w:szCs w:val="20"/>
                <w:color w:val="auto"/>
              </w:rPr>
              <w:t>Title:</w:t>
            </w:r>
          </w:p>
        </w:tc>
        <w:tc>
          <w:tcPr>
            <w:tcW w:w="1480" w:type="dxa"/>
            <w:vAlign w:val="bottom"/>
          </w:tcPr>
          <w:p>
            <w:pPr>
              <w:ind w:left="580"/>
              <w:spacing w:after="0"/>
              <w:rPr>
                <w:sz w:val="20"/>
                <w:szCs w:val="20"/>
                <w:color w:val="auto"/>
              </w:rPr>
            </w:pPr>
            <w:r>
              <w:rPr>
                <w:rFonts w:ascii="Arial" w:cs="Arial" w:eastAsia="Arial" w:hAnsi="Arial"/>
                <w:sz w:val="20"/>
                <w:szCs w:val="20"/>
                <w:color w:val="auto"/>
              </w:rPr>
              <w:t>Title:</w:t>
            </w:r>
          </w:p>
        </w:tc>
        <w:tc>
          <w:tcPr>
            <w:tcW w:w="442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r>
        <w:trPr>
          <w:trHeight w:val="553"/>
        </w:trPr>
        <w:tc>
          <w:tcPr>
            <w:tcW w:w="5300" w:type="dxa"/>
            <w:vAlign w:val="bottom"/>
            <w:gridSpan w:val="2"/>
          </w:tcPr>
          <w:p>
            <w:pPr>
              <w:spacing w:after="0"/>
              <w:rPr>
                <w:sz w:val="20"/>
                <w:szCs w:val="20"/>
                <w:color w:val="auto"/>
              </w:rPr>
            </w:pPr>
            <w:r>
              <w:rPr>
                <w:rFonts w:ascii="Arial" w:cs="Arial" w:eastAsia="Arial" w:hAnsi="Arial"/>
                <w:sz w:val="20"/>
                <w:szCs w:val="20"/>
                <w:b w:val="1"/>
                <w:bCs w:val="1"/>
                <w:color w:val="auto"/>
              </w:rPr>
              <w:t>Allergan Sales, LLC.</w:t>
            </w:r>
          </w:p>
        </w:tc>
        <w:tc>
          <w:tcPr>
            <w:tcW w:w="5900" w:type="dxa"/>
            <w:vAlign w:val="bottom"/>
            <w:gridSpan w:val="2"/>
          </w:tcPr>
          <w:p>
            <w:pPr>
              <w:ind w:left="580"/>
              <w:spacing w:after="0"/>
              <w:rPr>
                <w:sz w:val="20"/>
                <w:szCs w:val="20"/>
                <w:color w:val="auto"/>
              </w:rPr>
            </w:pPr>
            <w:r>
              <w:rPr>
                <w:rFonts w:ascii="Arial" w:cs="Arial" w:eastAsia="Arial" w:hAnsi="Arial"/>
                <w:sz w:val="20"/>
                <w:szCs w:val="20"/>
                <w:b w:val="1"/>
                <w:bCs w:val="1"/>
                <w:color w:val="auto"/>
              </w:rPr>
              <w:t>Molecular Partners AG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4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auto"/>
              </w:rPr>
              <w:t>By:</w:t>
            </w:r>
          </w:p>
        </w:tc>
        <w:tc>
          <w:tcPr>
            <w:tcW w:w="4420" w:type="dxa"/>
            <w:vAlign w:val="bottom"/>
          </w:tcPr>
          <w:p>
            <w:pPr>
              <w:spacing w:after="0"/>
              <w:rPr>
                <w:sz w:val="21"/>
                <w:szCs w:val="21"/>
                <w:color w:val="auto"/>
              </w:rPr>
            </w:pPr>
          </w:p>
        </w:tc>
      </w:tr>
      <w:tr>
        <w:trPr>
          <w:trHeight w:val="23"/>
        </w:trPr>
        <w:tc>
          <w:tcPr>
            <w:tcW w:w="9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510"/>
        </w:trPr>
        <w:tc>
          <w:tcPr>
            <w:tcW w:w="900" w:type="dxa"/>
            <w:vAlign w:val="bottom"/>
          </w:tcPr>
          <w:p>
            <w:pPr>
              <w:spacing w:after="0"/>
              <w:rPr>
                <w:sz w:val="20"/>
                <w:szCs w:val="20"/>
                <w:color w:val="auto"/>
              </w:rPr>
            </w:pPr>
            <w:r>
              <w:rPr>
                <w:rFonts w:ascii="Arial" w:cs="Arial" w:eastAsia="Arial" w:hAnsi="Arial"/>
                <w:sz w:val="20"/>
                <w:szCs w:val="20"/>
                <w:color w:val="auto"/>
              </w:rPr>
              <w:t>Name:</w:t>
            </w:r>
          </w:p>
        </w:tc>
        <w:tc>
          <w:tcPr>
            <w:tcW w:w="4400" w:type="dxa"/>
            <w:vAlign w:val="bottom"/>
          </w:tcPr>
          <w:p>
            <w:pPr>
              <w:spacing w:after="0"/>
              <w:rPr>
                <w:sz w:val="24"/>
                <w:szCs w:val="24"/>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auto"/>
              </w:rPr>
              <w:t>Name:</w:t>
            </w:r>
          </w:p>
        </w:tc>
        <w:tc>
          <w:tcPr>
            <w:tcW w:w="4420" w:type="dxa"/>
            <w:vAlign w:val="bottom"/>
          </w:tcPr>
          <w:p>
            <w:pPr>
              <w:ind w:left="20"/>
              <w:spacing w:after="0"/>
              <w:rPr>
                <w:sz w:val="20"/>
                <w:szCs w:val="20"/>
                <w:color w:val="auto"/>
              </w:rPr>
            </w:pPr>
            <w:r>
              <w:rPr>
                <w:rFonts w:ascii="Arial" w:cs="Arial" w:eastAsia="Arial" w:hAnsi="Arial"/>
                <w:sz w:val="20"/>
                <w:szCs w:val="20"/>
                <w:color w:val="auto"/>
              </w:rPr>
              <w:t>Patrick Amstutz</w:t>
            </w:r>
          </w:p>
        </w:tc>
      </w:tr>
      <w:tr>
        <w:trPr>
          <w:trHeight w:val="554"/>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400" w:type="dxa"/>
            <w:vAlign w:val="bottom"/>
          </w:tcPr>
          <w:p>
            <w:pPr>
              <w:spacing w:after="0"/>
              <w:rPr>
                <w:sz w:val="24"/>
                <w:szCs w:val="24"/>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auto"/>
              </w:rPr>
              <w:t>Title:</w:t>
            </w:r>
          </w:p>
        </w:tc>
        <w:tc>
          <w:tcPr>
            <w:tcW w:w="4420" w:type="dxa"/>
            <w:vAlign w:val="bottom"/>
          </w:tcPr>
          <w:p>
            <w:pPr>
              <w:ind w:left="20"/>
              <w:spacing w:after="0"/>
              <w:rPr>
                <w:sz w:val="20"/>
                <w:szCs w:val="20"/>
                <w:color w:val="auto"/>
              </w:rPr>
            </w:pPr>
            <w:r>
              <w:rPr>
                <w:rFonts w:ascii="Arial" w:cs="Arial" w:eastAsia="Arial" w:hAnsi="Arial"/>
                <w:sz w:val="20"/>
                <w:szCs w:val="20"/>
                <w:color w:val="auto"/>
              </w:rPr>
              <w:t>Chief Operating Officer</w:t>
            </w:r>
          </w:p>
        </w:tc>
      </w:tr>
    </w:tbl>
    <w:p>
      <w:pPr>
        <w:sectPr>
          <w:pgSz w:w="11900" w:h="16838" w:orient="portrait"/>
          <w:cols w:equalWidth="0" w:num="1">
            <w:col w:w="11240"/>
          </w:cols>
          <w:pgMar w:left="320" w:top="1418" w:right="339" w:bottom="1440" w:gutter="0" w:footer="0" w:header="0"/>
        </w:sectPr>
      </w:pPr>
    </w:p>
    <w:bookmarkStart w:id="571" w:name="page572"/>
    <w:bookmarkEnd w:id="571"/>
    <w:p>
      <w:pPr>
        <w:jc w:val="center"/>
        <w:spacing w:after="0"/>
        <w:rPr>
          <w:sz w:val="20"/>
          <w:szCs w:val="20"/>
          <w:color w:val="auto"/>
        </w:rPr>
      </w:pPr>
      <w:r>
        <w:rPr>
          <w:rFonts w:ascii="Arial" w:cs="Arial" w:eastAsia="Arial" w:hAnsi="Arial"/>
          <w:sz w:val="22"/>
          <w:szCs w:val="22"/>
          <w:b w:val="1"/>
          <w:bCs w:val="1"/>
          <w:color w:val="auto"/>
        </w:rPr>
        <w:t>FOURTH AMENDMENT TO DISCOVERY ALLIANCE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Fourth Amendment to Discovery Alliance Agreement</w:t>
      </w:r>
      <w:r>
        <w:rPr>
          <w:rFonts w:ascii="Arial" w:cs="Arial" w:eastAsia="Arial" w:hAnsi="Arial"/>
          <w:sz w:val="22"/>
          <w:szCs w:val="22"/>
          <w:color w:val="auto"/>
        </w:rPr>
        <w:t xml:space="preserve"> (this “</w:t>
      </w:r>
      <w:r>
        <w:rPr>
          <w:rFonts w:ascii="Arial" w:cs="Arial" w:eastAsia="Arial" w:hAnsi="Arial"/>
          <w:sz w:val="22"/>
          <w:szCs w:val="22"/>
          <w:b w:val="1"/>
          <w:bCs w:val="1"/>
          <w:color w:val="auto"/>
        </w:rPr>
        <w:t>Fourth Amendment</w:t>
      </w:r>
      <w:r>
        <w:rPr>
          <w:rFonts w:ascii="Arial" w:cs="Arial" w:eastAsia="Arial" w:hAnsi="Arial"/>
          <w:sz w:val="22"/>
          <w:szCs w:val="22"/>
          <w:color w:val="auto"/>
        </w:rPr>
        <w:t>”), is entered into as of December 22, 2017 (the “</w:t>
      </w:r>
      <w:r>
        <w:rPr>
          <w:rFonts w:ascii="Arial" w:cs="Arial" w:eastAsia="Arial" w:hAnsi="Arial"/>
          <w:sz w:val="22"/>
          <w:szCs w:val="22"/>
          <w:b w:val="1"/>
          <w:bCs w:val="1"/>
          <w:color w:val="auto"/>
        </w:rPr>
        <w:t>Fourth Amendment Effective Date</w:t>
      </w:r>
      <w:r>
        <w:rPr>
          <w:rFonts w:ascii="Arial" w:cs="Arial" w:eastAsia="Arial" w:hAnsi="Arial"/>
          <w:sz w:val="22"/>
          <w:szCs w:val="22"/>
          <w:color w:val="auto"/>
        </w:rPr>
        <w:t xml:space="preserve">”), by and between (a) </w:t>
      </w:r>
      <w:r>
        <w:rPr>
          <w:rFonts w:ascii="Arial" w:cs="Arial" w:eastAsia="Arial" w:hAnsi="Arial"/>
          <w:sz w:val="22"/>
          <w:szCs w:val="22"/>
          <w:b w:val="1"/>
          <w:bCs w:val="1"/>
          <w:color w:val="auto"/>
        </w:rPr>
        <w:t>MOLECULAR PARTNERS AG</w:t>
      </w:r>
      <w:r>
        <w:rPr>
          <w:rFonts w:ascii="Arial" w:cs="Arial" w:eastAsia="Arial" w:hAnsi="Arial"/>
          <w:sz w:val="22"/>
          <w:szCs w:val="22"/>
          <w:color w:val="auto"/>
        </w:rPr>
        <w:t>, a corporation organized and existing under the laws of Switzerland, having its principal place of business at Wagistrasse 14, 8952 Zürich-Schlieren, Switzerland (“</w:t>
      </w:r>
      <w:r>
        <w:rPr>
          <w:rFonts w:ascii="Arial" w:cs="Arial" w:eastAsia="Arial" w:hAnsi="Arial"/>
          <w:sz w:val="22"/>
          <w:szCs w:val="22"/>
          <w:b w:val="1"/>
          <w:bCs w:val="1"/>
          <w:color w:val="auto"/>
        </w:rPr>
        <w:t>Molecular Partners</w:t>
      </w:r>
      <w:r>
        <w:rPr>
          <w:rFonts w:ascii="Arial" w:cs="Arial" w:eastAsia="Arial" w:hAnsi="Arial"/>
          <w:sz w:val="22"/>
          <w:szCs w:val="22"/>
          <w:color w:val="auto"/>
        </w:rPr>
        <w:t xml:space="preserve">”) and (b) </w:t>
      </w:r>
      <w:r>
        <w:rPr>
          <w:rFonts w:ascii="Arial" w:cs="Arial" w:eastAsia="Arial" w:hAnsi="Arial"/>
          <w:sz w:val="22"/>
          <w:szCs w:val="22"/>
          <w:b w:val="1"/>
          <w:bCs w:val="1"/>
          <w:color w:val="auto"/>
        </w:rPr>
        <w:t>ALLERGAN, INC.</w:t>
      </w:r>
      <w:r>
        <w:rPr>
          <w:rFonts w:ascii="Arial" w:cs="Arial" w:eastAsia="Arial" w:hAnsi="Arial"/>
          <w:sz w:val="22"/>
          <w:szCs w:val="22"/>
          <w:color w:val="auto"/>
        </w:rPr>
        <w:t xml:space="preserve">, a Delaware corporation having a place of business at 2525 Dupont Drive, Irvine, California 92612 USA, and </w:t>
      </w:r>
      <w:r>
        <w:rPr>
          <w:rFonts w:ascii="Arial" w:cs="Arial" w:eastAsia="Arial" w:hAnsi="Arial"/>
          <w:sz w:val="22"/>
          <w:szCs w:val="22"/>
          <w:b w:val="1"/>
          <w:bCs w:val="1"/>
          <w:color w:val="auto"/>
        </w:rPr>
        <w:t>ALLERGAN SALES, LLC</w:t>
      </w:r>
      <w:r>
        <w:rPr>
          <w:rFonts w:ascii="Arial" w:cs="Arial" w:eastAsia="Arial" w:hAnsi="Arial"/>
          <w:sz w:val="22"/>
          <w:szCs w:val="22"/>
          <w:color w:val="auto"/>
        </w:rPr>
        <w:t>, a Delaware limited liability company having a place of business at 2525 Dupont Drive, Irvine, California 92612 USA (Allergan, Inc. and Allergan Sales, LLC, together “</w:t>
      </w:r>
      <w:r>
        <w:rPr>
          <w:rFonts w:ascii="Arial" w:cs="Arial" w:eastAsia="Arial" w:hAnsi="Arial"/>
          <w:sz w:val="22"/>
          <w:szCs w:val="22"/>
          <w:b w:val="1"/>
          <w:bCs w:val="1"/>
          <w:color w:val="auto"/>
        </w:rPr>
        <w:t>Allergan</w:t>
      </w:r>
      <w:r>
        <w:rPr>
          <w:rFonts w:ascii="Arial" w:cs="Arial" w:eastAsia="Arial" w:hAnsi="Arial"/>
          <w:sz w:val="22"/>
          <w:szCs w:val="22"/>
          <w:color w:val="auto"/>
        </w:rPr>
        <w:t>”). Molecular Partners and Allergan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entered into a Discovery Alliance Agreement, dated as of August 20, 2012, as amended by a</w:t>
      </w:r>
      <w:r>
        <w:rPr>
          <w:rFonts w:ascii="Arial" w:cs="Arial" w:eastAsia="Arial" w:hAnsi="Arial"/>
          <w:sz w:val="22"/>
          <w:szCs w:val="22"/>
          <w:b w:val="1"/>
          <w:bCs w:val="1"/>
          <w:color w:val="auto"/>
        </w:rPr>
        <w:t xml:space="preserve"> </w:t>
      </w:r>
      <w:r>
        <w:rPr>
          <w:rFonts w:ascii="Arial" w:cs="Arial" w:eastAsia="Arial" w:hAnsi="Arial"/>
          <w:sz w:val="22"/>
          <w:szCs w:val="22"/>
          <w:color w:val="auto"/>
        </w:rPr>
        <w:t>First Amendment, dated as of June 28, 2013, as further amended by a Second Amendment, dated September 30, 2014, as further amended by a Third Amendment, dated August 19, 2016 and as further amended by that certain letter agreement dated December 19, 2017 (together, the “</w:t>
      </w:r>
      <w:r>
        <w:rPr>
          <w:rFonts w:ascii="Arial" w:cs="Arial" w:eastAsia="Arial" w:hAnsi="Arial"/>
          <w:sz w:val="22"/>
          <w:szCs w:val="22"/>
          <w:b w:val="1"/>
          <w:bCs w:val="1"/>
          <w:color w:val="auto"/>
        </w:rPr>
        <w:t>Discovery Alliance Agreement</w:t>
      </w:r>
      <w:r>
        <w:rPr>
          <w:rFonts w:ascii="Arial" w:cs="Arial" w:eastAsia="Arial" w:hAnsi="Arial"/>
          <w:sz w:val="22"/>
          <w:szCs w:val="22"/>
          <w:color w:val="auto"/>
        </w:rPr>
        <w:t>”);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further amend the Discovery Alliance Agreement.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and conditions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Fourth Amendment, the Parties agree to amend the Discovery Alliance Agreement as follows:</w:t>
      </w:r>
    </w:p>
    <w:p>
      <w:pPr>
        <w:spacing w:after="0" w:line="168" w:lineRule="exact"/>
        <w:rPr>
          <w:sz w:val="20"/>
          <w:szCs w:val="20"/>
          <w:color w:val="auto"/>
        </w:rPr>
      </w:pPr>
    </w:p>
    <w:p>
      <w:pPr>
        <w:ind w:left="380" w:hanging="372"/>
        <w:spacing w:after="0"/>
        <w:tabs>
          <w:tab w:leader="none" w:pos="380" w:val="left"/>
        </w:tabs>
        <w:numPr>
          <w:ilvl w:val="0"/>
          <w:numId w:val="530"/>
        </w:numPr>
        <w:rPr>
          <w:rFonts w:ascii="Arial" w:cs="Arial" w:eastAsia="Arial" w:hAnsi="Arial"/>
          <w:sz w:val="22"/>
          <w:szCs w:val="22"/>
          <w:color w:val="auto"/>
        </w:rPr>
      </w:pPr>
      <w:r>
        <w:rPr>
          <w:rFonts w:ascii="Arial" w:cs="Arial" w:eastAsia="Arial" w:hAnsi="Arial"/>
          <w:sz w:val="22"/>
          <w:szCs w:val="22"/>
          <w:color w:val="auto"/>
        </w:rPr>
        <w:t>Section 4.3 in the Discovery Alliance Agreement is hereby amended and restated to mean, in full, as follows:</w:t>
      </w:r>
    </w:p>
    <w:p>
      <w:pPr>
        <w:spacing w:after="0" w:line="214"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 to Allergan</w:t>
      </w:r>
      <w:r>
        <w:rPr>
          <w:rFonts w:ascii="Arial" w:cs="Arial" w:eastAsia="Arial" w:hAnsi="Arial"/>
          <w:sz w:val="19"/>
          <w:szCs w:val="19"/>
          <w:color w:val="auto"/>
        </w:rPr>
        <w:t>. Subject to the terms and conditions of this Agreement, upon Allergan’s exercise of an Option for a Collaboration Target Combination in accordance with Section 4.2 and Molecular Partners’ receipt of the applicable Option exercise fee, Molecular Partners shall grant and does hereby grant to Allergan an exclusive (even as to Molecular Partners except as provided in Section 4.4), royalty-bearing license, with the right to sublicense solely as provided in Section 4.5, under the Molecular Partners Licensed Technology with respect to the Licensed Products for the applicable Licensed Target Combination, to make, use, sell, offer for sale and import such Licensed Products in the Field in the Territory. The foregoing license includes the right to have any of the foregoing performed pursuant to Section 4.5(b).</w:t>
      </w:r>
    </w:p>
    <w:p>
      <w:pPr>
        <w:spacing w:after="0" w:line="150" w:lineRule="exact"/>
        <w:rPr>
          <w:sz w:val="20"/>
          <w:szCs w:val="20"/>
          <w:color w:val="auto"/>
        </w:rPr>
      </w:pPr>
    </w:p>
    <w:p>
      <w:pPr>
        <w:ind w:left="660" w:hanging="652"/>
        <w:spacing w:after="0" w:line="263" w:lineRule="auto"/>
        <w:tabs>
          <w:tab w:leader="none" w:pos="412" w:val="left"/>
        </w:tabs>
        <w:numPr>
          <w:ilvl w:val="0"/>
          <w:numId w:val="531"/>
        </w:numPr>
        <w:rPr>
          <w:rFonts w:ascii="Arial" w:cs="Arial" w:eastAsia="Arial" w:hAnsi="Arial"/>
          <w:sz w:val="22"/>
          <w:szCs w:val="22"/>
          <w:color w:val="auto"/>
        </w:rPr>
      </w:pPr>
      <w:r>
        <w:rPr>
          <w:rFonts w:ascii="Arial" w:cs="Arial" w:eastAsia="Arial" w:hAnsi="Arial"/>
          <w:sz w:val="22"/>
          <w:szCs w:val="22"/>
          <w:color w:val="auto"/>
        </w:rPr>
        <w:t>Any capitalized term used but not defined in this Fourth Amendment shall have the meaning ascribed to it in the Discovery Alliance Agreement.</w:t>
      </w:r>
    </w:p>
    <w:p>
      <w:pPr>
        <w:sectPr>
          <w:pgSz w:w="11900" w:h="16838" w:orient="portrait"/>
          <w:cols w:equalWidth="0" w:num="1">
            <w:col w:w="11240"/>
          </w:cols>
          <w:pgMar w:left="320" w:top="1421" w:right="339" w:bottom="1440" w:gutter="0" w:footer="0" w:header="0"/>
        </w:sectPr>
      </w:pPr>
    </w:p>
    <w:bookmarkStart w:id="572" w:name="page573"/>
    <w:bookmarkEnd w:id="572"/>
    <w:p>
      <w:pPr>
        <w:ind w:left="652" w:hanging="652"/>
        <w:spacing w:after="0" w:line="247" w:lineRule="auto"/>
        <w:tabs>
          <w:tab w:leader="none" w:pos="432" w:val="left"/>
        </w:tabs>
        <w:numPr>
          <w:ilvl w:val="0"/>
          <w:numId w:val="532"/>
        </w:numPr>
        <w:rPr>
          <w:rFonts w:ascii="Arial" w:cs="Arial" w:eastAsia="Arial" w:hAnsi="Arial"/>
          <w:sz w:val="22"/>
          <w:szCs w:val="22"/>
          <w:color w:val="auto"/>
        </w:rPr>
      </w:pPr>
      <w:r>
        <w:rPr>
          <w:rFonts w:ascii="Arial" w:cs="Arial" w:eastAsia="Arial" w:hAnsi="Arial"/>
          <w:sz w:val="22"/>
          <w:szCs w:val="22"/>
          <w:color w:val="auto"/>
        </w:rPr>
        <w:t>This Fourth Amendment was prepared in the English language, which language shall govern the interpretation of, and any dispute regarding, the terms of this Fourth Amendment. This Fourth Amendment and all disputes arising out of or related to this Fourth Amendment or any breach hereof shall be governed by and construed under the laws of the State of New York, USA (as permitted by Section 5-1401 of the New York General Obligations Law, or any similar successor provision), without giving effect to any choice of law principles that would require the application of the laws of a different jurisdiction.</w:t>
      </w:r>
    </w:p>
    <w:p>
      <w:pPr>
        <w:spacing w:after="0" w:line="192" w:lineRule="exact"/>
        <w:rPr>
          <w:rFonts w:ascii="Arial" w:cs="Arial" w:eastAsia="Arial" w:hAnsi="Arial"/>
          <w:sz w:val="22"/>
          <w:szCs w:val="22"/>
          <w:color w:val="auto"/>
        </w:rPr>
      </w:pPr>
    </w:p>
    <w:p>
      <w:pPr>
        <w:ind w:left="652" w:hanging="652"/>
        <w:spacing w:after="0" w:line="250" w:lineRule="auto"/>
        <w:tabs>
          <w:tab w:leader="none" w:pos="383" w:val="left"/>
        </w:tabs>
        <w:numPr>
          <w:ilvl w:val="0"/>
          <w:numId w:val="532"/>
        </w:numPr>
        <w:rPr>
          <w:rFonts w:ascii="Arial" w:cs="Arial" w:eastAsia="Arial" w:hAnsi="Arial"/>
          <w:sz w:val="22"/>
          <w:szCs w:val="22"/>
          <w:color w:val="auto"/>
        </w:rPr>
      </w:pPr>
      <w:r>
        <w:rPr>
          <w:rFonts w:ascii="Arial" w:cs="Arial" w:eastAsia="Arial" w:hAnsi="Arial"/>
          <w:sz w:val="22"/>
          <w:szCs w:val="22"/>
          <w:color w:val="auto"/>
        </w:rPr>
        <w:t>Where there is any conflict between the terms of this Fourth Amendment and the terms of the Discovery Alliance Agreement or any other agreement between the Parties (or their respective Affiliates), the terms of this Fourth Amendment shall prevail. Except as expressly set forth in this Fourth Amendment, all other terms of the Discovery Alliance Agreement shall apply and remain in full force and effect.</w:t>
      </w:r>
    </w:p>
    <w:p>
      <w:pPr>
        <w:spacing w:after="0" w:line="187" w:lineRule="exact"/>
        <w:rPr>
          <w:rFonts w:ascii="Arial" w:cs="Arial" w:eastAsia="Arial" w:hAnsi="Arial"/>
          <w:sz w:val="22"/>
          <w:szCs w:val="22"/>
          <w:color w:val="auto"/>
        </w:rPr>
      </w:pPr>
    </w:p>
    <w:p>
      <w:pPr>
        <w:ind w:left="652" w:hanging="652"/>
        <w:spacing w:after="0" w:line="263" w:lineRule="auto"/>
        <w:tabs>
          <w:tab w:leader="none" w:pos="420" w:val="left"/>
        </w:tabs>
        <w:numPr>
          <w:ilvl w:val="0"/>
          <w:numId w:val="532"/>
        </w:numPr>
        <w:rPr>
          <w:rFonts w:ascii="Arial" w:cs="Arial" w:eastAsia="Arial" w:hAnsi="Arial"/>
          <w:sz w:val="21"/>
          <w:szCs w:val="21"/>
          <w:color w:val="auto"/>
        </w:rPr>
      </w:pPr>
      <w:r>
        <w:rPr>
          <w:rFonts w:ascii="Arial" w:cs="Arial" w:eastAsia="Arial" w:hAnsi="Arial"/>
          <w:sz w:val="21"/>
          <w:szCs w:val="21"/>
          <w:color w:val="auto"/>
        </w:rPr>
        <w:t>This Fourth Amendment may be executed in one (1) or more counterparts, by original, facsimile or PDF signature, each of which shall be deemed an original, but all of which together shall constitute one and the same instrument. Signatures to this Fourth Amendment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32"/>
          </w:cols>
          <w:pgMar w:left="328" w:top="1427" w:right="339" w:bottom="1440" w:gutter="0" w:footer="0" w:header="0"/>
        </w:sectPr>
      </w:pPr>
    </w:p>
    <w:bookmarkStart w:id="573" w:name="page574"/>
    <w:bookmarkEnd w:id="573"/>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w:t>
      </w:r>
      <w:r>
        <w:rPr>
          <w:rFonts w:ascii="Arial" w:cs="Arial" w:eastAsia="Arial" w:hAnsi="Arial"/>
          <w:sz w:val="22"/>
          <w:szCs w:val="22"/>
          <w:b w:val="1"/>
          <w:bCs w:val="1"/>
          <w:color w:val="auto"/>
        </w:rPr>
        <w:t xml:space="preserve"> </w:t>
      </w:r>
      <w:r>
        <w:rPr>
          <w:rFonts w:ascii="Arial" w:cs="Arial" w:eastAsia="Arial" w:hAnsi="Arial"/>
          <w:sz w:val="19"/>
          <w:szCs w:val="19"/>
          <w:color w:val="auto"/>
        </w:rPr>
        <w:t>Fourth</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by their duly authorized officers as of the</w:t>
      </w:r>
      <w:r>
        <w:rPr>
          <w:rFonts w:ascii="Arial" w:cs="Arial" w:eastAsia="Arial" w:hAnsi="Arial"/>
          <w:sz w:val="22"/>
          <w:szCs w:val="22"/>
          <w:b w:val="1"/>
          <w:bCs w:val="1"/>
          <w:color w:val="auto"/>
        </w:rPr>
        <w:t xml:space="preserve"> </w:t>
      </w:r>
      <w:r>
        <w:rPr>
          <w:rFonts w:ascii="Arial" w:cs="Arial" w:eastAsia="Arial" w:hAnsi="Arial"/>
          <w:sz w:val="19"/>
          <w:szCs w:val="19"/>
          <w:color w:val="auto"/>
        </w:rPr>
        <w:t xml:space="preserve">Fourth </w:t>
      </w:r>
      <w:r>
        <w:rPr>
          <w:rFonts w:ascii="Arial" w:cs="Arial" w:eastAsia="Arial" w:hAnsi="Arial"/>
          <w:sz w:val="21"/>
          <w:szCs w:val="21"/>
          <w:color w:val="auto"/>
        </w:rPr>
        <w:t>Amendment Effective Date.</w:t>
      </w:r>
    </w:p>
    <w:p>
      <w:pPr>
        <w:spacing w:after="0" w:line="234"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b w:val="1"/>
          <w:bCs w:val="1"/>
          <w:color w:val="auto"/>
        </w:rPr>
        <w:t>Allergan, Inc.</w:t>
      </w:r>
      <w:r>
        <w:rPr>
          <w:sz w:val="20"/>
          <w:szCs w:val="20"/>
          <w:color w:val="auto"/>
        </w:rPr>
        <w:tab/>
      </w:r>
      <w:r>
        <w:rPr>
          <w:rFonts w:ascii="Arial" w:cs="Arial" w:eastAsia="Arial" w:hAnsi="Arial"/>
          <w:sz w:val="18"/>
          <w:szCs w:val="18"/>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300" w:type="dxa"/>
            <w:vAlign w:val="bottom"/>
            <w:gridSpan w:val="2"/>
          </w:tcPr>
          <w:p>
            <w:pPr>
              <w:spacing w:after="0"/>
              <w:rPr>
                <w:sz w:val="20"/>
                <w:szCs w:val="20"/>
                <w:color w:val="auto"/>
              </w:rPr>
            </w:pPr>
            <w:r>
              <w:rPr>
                <w:rFonts w:ascii="Arial" w:cs="Arial" w:eastAsia="Arial" w:hAnsi="Arial"/>
                <w:sz w:val="20"/>
                <w:szCs w:val="20"/>
                <w:color w:val="auto"/>
              </w:rPr>
              <w:t>By:</w:t>
            </w:r>
          </w:p>
        </w:tc>
        <w:tc>
          <w:tcPr>
            <w:tcW w:w="5900" w:type="dxa"/>
            <w:vAlign w:val="bottom"/>
            <w:gridSpan w:val="2"/>
          </w:tcPr>
          <w:p>
            <w:pPr>
              <w:ind w:left="580"/>
              <w:spacing w:after="0"/>
              <w:rPr>
                <w:sz w:val="20"/>
                <w:szCs w:val="20"/>
                <w:color w:val="auto"/>
              </w:rPr>
            </w:pPr>
            <w:r>
              <w:rPr>
                <w:rFonts w:ascii="Arial" w:cs="Arial" w:eastAsia="Arial" w:hAnsi="Arial"/>
                <w:sz w:val="20"/>
                <w:szCs w:val="20"/>
                <w:color w:val="auto"/>
              </w:rPr>
              <w:t>By:</w:t>
            </w:r>
          </w:p>
        </w:tc>
      </w:tr>
      <w:tr>
        <w:trPr>
          <w:trHeight w:val="23"/>
        </w:trPr>
        <w:tc>
          <w:tcPr>
            <w:tcW w:w="9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511"/>
        </w:trPr>
        <w:tc>
          <w:tcPr>
            <w:tcW w:w="5300" w:type="dxa"/>
            <w:vAlign w:val="bottom"/>
            <w:gridSpan w:val="2"/>
          </w:tcPr>
          <w:p>
            <w:pPr>
              <w:spacing w:after="0"/>
              <w:rPr>
                <w:sz w:val="20"/>
                <w:szCs w:val="20"/>
                <w:color w:val="auto"/>
              </w:rPr>
            </w:pPr>
            <w:r>
              <w:rPr>
                <w:rFonts w:ascii="Arial" w:cs="Arial" w:eastAsia="Arial" w:hAnsi="Arial"/>
                <w:sz w:val="20"/>
                <w:szCs w:val="20"/>
                <w:color w:val="auto"/>
              </w:rPr>
              <w:t>Name:</w:t>
            </w:r>
          </w:p>
        </w:tc>
        <w:tc>
          <w:tcPr>
            <w:tcW w:w="5900" w:type="dxa"/>
            <w:vAlign w:val="bottom"/>
            <w:gridSpan w:val="2"/>
          </w:tcPr>
          <w:p>
            <w:pPr>
              <w:ind w:left="580"/>
              <w:spacing w:after="0"/>
              <w:rPr>
                <w:sz w:val="20"/>
                <w:szCs w:val="20"/>
                <w:color w:val="auto"/>
              </w:rPr>
            </w:pPr>
            <w:r>
              <w:rPr>
                <w:rFonts w:ascii="Arial" w:cs="Arial" w:eastAsia="Arial" w:hAnsi="Arial"/>
                <w:sz w:val="20"/>
                <w:szCs w:val="20"/>
                <w:color w:val="auto"/>
              </w:rPr>
              <w:t>Name:</w:t>
            </w:r>
          </w:p>
        </w:tc>
      </w:tr>
      <w:tr>
        <w:trPr>
          <w:trHeight w:val="553"/>
        </w:trPr>
        <w:tc>
          <w:tcPr>
            <w:tcW w:w="53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900" w:type="dxa"/>
            <w:vAlign w:val="bottom"/>
            <w:gridSpan w:val="2"/>
          </w:tcPr>
          <w:p>
            <w:pPr>
              <w:ind w:left="580"/>
              <w:spacing w:after="0"/>
              <w:rPr>
                <w:sz w:val="20"/>
                <w:szCs w:val="20"/>
                <w:color w:val="auto"/>
              </w:rPr>
            </w:pPr>
            <w:r>
              <w:rPr>
                <w:rFonts w:ascii="Arial" w:cs="Arial" w:eastAsia="Arial" w:hAnsi="Arial"/>
                <w:sz w:val="20"/>
                <w:szCs w:val="20"/>
                <w:color w:val="auto"/>
              </w:rPr>
              <w:t>Title:</w:t>
            </w:r>
          </w:p>
        </w:tc>
      </w:tr>
      <w:tr>
        <w:trPr>
          <w:trHeight w:val="823"/>
        </w:trPr>
        <w:tc>
          <w:tcPr>
            <w:tcW w:w="5300" w:type="dxa"/>
            <w:vAlign w:val="bottom"/>
            <w:gridSpan w:val="2"/>
          </w:tcPr>
          <w:p>
            <w:pPr>
              <w:spacing w:after="0"/>
              <w:rPr>
                <w:sz w:val="20"/>
                <w:szCs w:val="20"/>
                <w:color w:val="auto"/>
              </w:rPr>
            </w:pPr>
            <w:r>
              <w:rPr>
                <w:rFonts w:ascii="Arial" w:cs="Arial" w:eastAsia="Arial" w:hAnsi="Arial"/>
                <w:sz w:val="20"/>
                <w:szCs w:val="20"/>
                <w:b w:val="1"/>
                <w:bCs w:val="1"/>
                <w:color w:val="auto"/>
              </w:rPr>
              <w:t>Allergan Sales, LLC.</w:t>
            </w:r>
          </w:p>
        </w:tc>
        <w:tc>
          <w:tcPr>
            <w:tcW w:w="5900" w:type="dxa"/>
            <w:vAlign w:val="bottom"/>
            <w:gridSpan w:val="2"/>
          </w:tcPr>
          <w:p>
            <w:pPr>
              <w:ind w:left="580"/>
              <w:spacing w:after="0"/>
              <w:rPr>
                <w:sz w:val="20"/>
                <w:szCs w:val="20"/>
                <w:color w:val="auto"/>
              </w:rPr>
            </w:pPr>
            <w:r>
              <w:rPr>
                <w:rFonts w:ascii="Arial" w:cs="Arial" w:eastAsia="Arial" w:hAnsi="Arial"/>
                <w:sz w:val="20"/>
                <w:szCs w:val="20"/>
                <w:b w:val="1"/>
                <w:bCs w:val="1"/>
                <w:color w:val="auto"/>
              </w:rPr>
              <w:t>Molecular Partners AG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400" w:type="dxa"/>
            <w:vAlign w:val="bottom"/>
          </w:tcPr>
          <w:p>
            <w:pPr>
              <w:spacing w:after="0"/>
              <w:rPr>
                <w:sz w:val="21"/>
                <w:szCs w:val="21"/>
                <w:color w:val="auto"/>
              </w:rPr>
            </w:pPr>
          </w:p>
        </w:tc>
        <w:tc>
          <w:tcPr>
            <w:tcW w:w="1100" w:type="dxa"/>
            <w:vAlign w:val="bottom"/>
          </w:tcPr>
          <w:p>
            <w:pPr>
              <w:ind w:left="58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400" w:type="dxa"/>
            <w:vAlign w:val="bottom"/>
            <w:tcBorders>
              <w:bottom w:val="single" w:sz="8" w:color="auto"/>
            </w:tcBorders>
          </w:tcPr>
          <w:p>
            <w:pPr>
              <w:spacing w:after="0"/>
              <w:rPr>
                <w:sz w:val="2"/>
                <w:szCs w:val="2"/>
                <w:color w:val="auto"/>
              </w:rPr>
            </w:pPr>
          </w:p>
        </w:tc>
        <w:tc>
          <w:tcPr>
            <w:tcW w:w="1100" w:type="dxa"/>
            <w:vAlign w:val="bottom"/>
            <w:vMerge w:val="restart"/>
          </w:tcPr>
          <w:p>
            <w:pPr>
              <w:ind w:left="580"/>
              <w:spacing w:after="0"/>
              <w:rPr>
                <w:sz w:val="20"/>
                <w:szCs w:val="20"/>
                <w:color w:val="auto"/>
              </w:rPr>
            </w:pPr>
            <w:r>
              <w:rPr>
                <w:rFonts w:ascii="Arial" w:cs="Arial" w:eastAsia="Arial" w:hAnsi="Arial"/>
                <w:sz w:val="20"/>
                <w:szCs w:val="20"/>
                <w:color w:val="auto"/>
                <w:w w:val="84"/>
              </w:rPr>
              <w:t>Name:</w:t>
            </w:r>
          </w:p>
        </w:tc>
        <w:tc>
          <w:tcPr>
            <w:tcW w:w="0" w:type="dxa"/>
            <w:vAlign w:val="bottom"/>
          </w:tcPr>
          <w:p>
            <w:pPr>
              <w:spacing w:after="0"/>
              <w:rPr>
                <w:sz w:val="1"/>
                <w:szCs w:val="1"/>
                <w:color w:val="auto"/>
              </w:rPr>
            </w:pPr>
          </w:p>
        </w:tc>
      </w:tr>
      <w:tr>
        <w:trPr>
          <w:trHeight w:val="510"/>
        </w:trPr>
        <w:tc>
          <w:tcPr>
            <w:tcW w:w="900" w:type="dxa"/>
            <w:vAlign w:val="bottom"/>
            <w:vMerge w:val="continue"/>
          </w:tcPr>
          <w:p>
            <w:pPr>
              <w:spacing w:after="0"/>
              <w:rPr>
                <w:sz w:val="24"/>
                <w:szCs w:val="24"/>
                <w:color w:val="auto"/>
              </w:rPr>
            </w:pPr>
          </w:p>
        </w:tc>
        <w:tc>
          <w:tcPr>
            <w:tcW w:w="44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400" w:type="dxa"/>
            <w:vAlign w:val="bottom"/>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-687705</wp:posOffset>
            </wp:positionV>
            <wp:extent cx="2803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4" w:name="page575"/>
    <w:bookmarkEnd w:id="574"/>
    <w:p>
      <w:pPr>
        <w:ind w:left="440" w:hanging="432"/>
        <w:spacing w:after="0"/>
        <w:tabs>
          <w:tab w:leader="none" w:pos="440" w:val="left"/>
        </w:tabs>
        <w:numPr>
          <w:ilvl w:val="0"/>
          <w:numId w:val="533"/>
        </w:numPr>
        <w:rPr>
          <w:rFonts w:ascii="Arial" w:cs="Arial" w:eastAsia="Arial" w:hAnsi="Arial"/>
          <w:sz w:val="18"/>
          <w:szCs w:val="18"/>
          <w:b w:val="1"/>
          <w:bCs w:val="1"/>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CERTAIN CONFIDENTIAL INFORMATION CONTAINED IN THIS DOCUMENT, MARKED BY [***], HAS BEEN OMITTED</w:t>
      </w:r>
    </w:p>
    <w:p>
      <w:pPr>
        <w:spacing w:after="0" w:line="27" w:lineRule="exact"/>
        <w:rPr>
          <w:rFonts w:ascii="Arial" w:cs="Arial" w:eastAsia="Arial" w:hAnsi="Arial"/>
          <w:sz w:val="18"/>
          <w:szCs w:val="18"/>
          <w:b w:val="1"/>
          <w:bCs w:val="1"/>
          <w:color w:val="auto"/>
        </w:rPr>
      </w:pPr>
    </w:p>
    <w:p>
      <w:pPr>
        <w:ind w:right="1420"/>
        <w:spacing w:after="0" w:line="260" w:lineRule="auto"/>
        <w:rPr>
          <w:rFonts w:ascii="Arial" w:cs="Arial" w:eastAsia="Arial" w:hAnsi="Arial"/>
          <w:sz w:val="18"/>
          <w:szCs w:val="18"/>
          <w:b w:val="1"/>
          <w:bCs w:val="1"/>
          <w:color w:val="auto"/>
        </w:rPr>
      </w:pPr>
      <w:r>
        <w:rPr>
          <w:rFonts w:ascii="Arial" w:cs="Arial" w:eastAsia="Arial" w:hAnsi="Arial"/>
          <w:sz w:val="18"/>
          <w:szCs w:val="18"/>
          <w:b w:val="1"/>
          <w:bCs w:val="1"/>
          <w:color w:val="auto"/>
        </w:rPr>
        <w:t>BECAUSE IT IS BOTH (I) NOT MATERIAL AND (II) IS THE TYPE THAT THE REGISTRANT TREATS AS PRIVATE OR CONFIDENTIAL.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 TO DISCOVERY ALLIANCE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Fifth Amendment to Discovery Alliance Agreement</w:t>
      </w:r>
      <w:r>
        <w:rPr>
          <w:rFonts w:ascii="Arial" w:cs="Arial" w:eastAsia="Arial" w:hAnsi="Arial"/>
          <w:sz w:val="22"/>
          <w:szCs w:val="22"/>
          <w:color w:val="auto"/>
        </w:rPr>
        <w:t xml:space="preserve"> (this “</w:t>
      </w:r>
      <w:r>
        <w:rPr>
          <w:rFonts w:ascii="Arial" w:cs="Arial" w:eastAsia="Arial" w:hAnsi="Arial"/>
          <w:sz w:val="22"/>
          <w:szCs w:val="22"/>
          <w:b w:val="1"/>
          <w:bCs w:val="1"/>
          <w:color w:val="auto"/>
        </w:rPr>
        <w:t>Fifth Amendment</w:t>
      </w:r>
      <w:r>
        <w:rPr>
          <w:rFonts w:ascii="Arial" w:cs="Arial" w:eastAsia="Arial" w:hAnsi="Arial"/>
          <w:sz w:val="22"/>
          <w:szCs w:val="22"/>
          <w:color w:val="auto"/>
        </w:rPr>
        <w:t>”), is entered into as of December 26, 2017 (the “</w:t>
      </w:r>
      <w:r>
        <w:rPr>
          <w:rFonts w:ascii="Arial" w:cs="Arial" w:eastAsia="Arial" w:hAnsi="Arial"/>
          <w:sz w:val="22"/>
          <w:szCs w:val="22"/>
          <w:b w:val="1"/>
          <w:bCs w:val="1"/>
          <w:color w:val="auto"/>
        </w:rPr>
        <w:t>Fifth Amendment Effective Date</w:t>
      </w:r>
      <w:r>
        <w:rPr>
          <w:rFonts w:ascii="Arial" w:cs="Arial" w:eastAsia="Arial" w:hAnsi="Arial"/>
          <w:sz w:val="22"/>
          <w:szCs w:val="22"/>
          <w:color w:val="auto"/>
        </w:rPr>
        <w:t xml:space="preserve">”), by and between (a) </w:t>
      </w:r>
      <w:r>
        <w:rPr>
          <w:rFonts w:ascii="Arial" w:cs="Arial" w:eastAsia="Arial" w:hAnsi="Arial"/>
          <w:sz w:val="22"/>
          <w:szCs w:val="22"/>
          <w:b w:val="1"/>
          <w:bCs w:val="1"/>
          <w:color w:val="auto"/>
        </w:rPr>
        <w:t>MOLECULAR PARTNERS AG</w:t>
      </w:r>
      <w:r>
        <w:rPr>
          <w:rFonts w:ascii="Arial" w:cs="Arial" w:eastAsia="Arial" w:hAnsi="Arial"/>
          <w:sz w:val="22"/>
          <w:szCs w:val="22"/>
          <w:color w:val="auto"/>
        </w:rPr>
        <w:t>, a corporation organized and existing under the laws of Switzerland, having its principal place of business at Wagistrasse 14, 8952 Zürich-Schlieren, Switzerland (“</w:t>
      </w:r>
      <w:r>
        <w:rPr>
          <w:rFonts w:ascii="Arial" w:cs="Arial" w:eastAsia="Arial" w:hAnsi="Arial"/>
          <w:sz w:val="22"/>
          <w:szCs w:val="22"/>
          <w:b w:val="1"/>
          <w:bCs w:val="1"/>
          <w:color w:val="auto"/>
        </w:rPr>
        <w:t>Molecular Partners</w:t>
      </w:r>
      <w:r>
        <w:rPr>
          <w:rFonts w:ascii="Arial" w:cs="Arial" w:eastAsia="Arial" w:hAnsi="Arial"/>
          <w:sz w:val="22"/>
          <w:szCs w:val="22"/>
          <w:color w:val="auto"/>
        </w:rPr>
        <w:t xml:space="preserve">”) and (b) </w:t>
      </w:r>
      <w:r>
        <w:rPr>
          <w:rFonts w:ascii="Arial" w:cs="Arial" w:eastAsia="Arial" w:hAnsi="Arial"/>
          <w:sz w:val="22"/>
          <w:szCs w:val="22"/>
          <w:b w:val="1"/>
          <w:bCs w:val="1"/>
          <w:color w:val="auto"/>
        </w:rPr>
        <w:t>ALLERGAN, INC.</w:t>
      </w:r>
      <w:r>
        <w:rPr>
          <w:rFonts w:ascii="Arial" w:cs="Arial" w:eastAsia="Arial" w:hAnsi="Arial"/>
          <w:sz w:val="22"/>
          <w:szCs w:val="22"/>
          <w:color w:val="auto"/>
        </w:rPr>
        <w:t xml:space="preserve">, a Delaware corporation having a place of business at 2525 Dupont Drive, Irvine, California 92612 USA, and </w:t>
      </w:r>
      <w:r>
        <w:rPr>
          <w:rFonts w:ascii="Arial" w:cs="Arial" w:eastAsia="Arial" w:hAnsi="Arial"/>
          <w:sz w:val="22"/>
          <w:szCs w:val="22"/>
          <w:b w:val="1"/>
          <w:bCs w:val="1"/>
          <w:color w:val="auto"/>
        </w:rPr>
        <w:t>ALLERGAN SALES, LLC</w:t>
      </w:r>
      <w:r>
        <w:rPr>
          <w:rFonts w:ascii="Arial" w:cs="Arial" w:eastAsia="Arial" w:hAnsi="Arial"/>
          <w:sz w:val="22"/>
          <w:szCs w:val="22"/>
          <w:color w:val="auto"/>
        </w:rPr>
        <w:t>, a Delaware limited liability company having a place of business at 2525 Dupont Drive, Irvine, California 92612 USA (Allergan, Inc. and Allergan Sales, LLC, together “</w:t>
      </w:r>
      <w:r>
        <w:rPr>
          <w:rFonts w:ascii="Arial" w:cs="Arial" w:eastAsia="Arial" w:hAnsi="Arial"/>
          <w:sz w:val="22"/>
          <w:szCs w:val="22"/>
          <w:b w:val="1"/>
          <w:bCs w:val="1"/>
          <w:color w:val="auto"/>
        </w:rPr>
        <w:t>Allergan</w:t>
      </w:r>
      <w:r>
        <w:rPr>
          <w:rFonts w:ascii="Arial" w:cs="Arial" w:eastAsia="Arial" w:hAnsi="Arial"/>
          <w:sz w:val="22"/>
          <w:szCs w:val="22"/>
          <w:color w:val="auto"/>
        </w:rPr>
        <w:t>”). Molecular Partners and Allergan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entered into a Discovery Alliance Agreement, dated as of August 20, 2012, as amended by a</w:t>
      </w:r>
      <w:r>
        <w:rPr>
          <w:rFonts w:ascii="Arial" w:cs="Arial" w:eastAsia="Arial" w:hAnsi="Arial"/>
          <w:sz w:val="22"/>
          <w:szCs w:val="22"/>
          <w:b w:val="1"/>
          <w:bCs w:val="1"/>
          <w:color w:val="auto"/>
        </w:rPr>
        <w:t xml:space="preserve"> </w:t>
      </w:r>
      <w:r>
        <w:rPr>
          <w:rFonts w:ascii="Arial" w:cs="Arial" w:eastAsia="Arial" w:hAnsi="Arial"/>
          <w:sz w:val="22"/>
          <w:szCs w:val="22"/>
          <w:color w:val="auto"/>
        </w:rPr>
        <w:t>First Amendment, dated as of June 28, 2013, as further amended by a Second Amendment, dated September 30, 2014, as further amended by a Third Amendment, dated August 19, 2016, as further amended by that certain letter agreement dated December 19, 2017 and as further amended by a Fourth Amendment, dated December 22, 2017 (together, the “</w:t>
      </w:r>
      <w:r>
        <w:rPr>
          <w:rFonts w:ascii="Arial" w:cs="Arial" w:eastAsia="Arial" w:hAnsi="Arial"/>
          <w:sz w:val="22"/>
          <w:szCs w:val="22"/>
          <w:b w:val="1"/>
          <w:bCs w:val="1"/>
          <w:color w:val="auto"/>
        </w:rPr>
        <w:t>Discovery Alliance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further amend the Discovery Alliance Agreement.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covenants and conditions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Fifth Amendment, the Parties agree to amend the Discovery Alliance Agreement as follows:</w:t>
      </w:r>
    </w:p>
    <w:p>
      <w:pPr>
        <w:spacing w:after="0" w:line="168" w:lineRule="exact"/>
        <w:rPr>
          <w:sz w:val="20"/>
          <w:szCs w:val="20"/>
          <w:color w:val="auto"/>
        </w:rPr>
      </w:pPr>
    </w:p>
    <w:p>
      <w:pPr>
        <w:ind w:left="380" w:hanging="372"/>
        <w:spacing w:after="0"/>
        <w:tabs>
          <w:tab w:leader="none" w:pos="380" w:val="left"/>
        </w:tabs>
        <w:numPr>
          <w:ilvl w:val="0"/>
          <w:numId w:val="534"/>
        </w:numPr>
        <w:rPr>
          <w:rFonts w:ascii="Arial" w:cs="Arial" w:eastAsia="Arial" w:hAnsi="Arial"/>
          <w:sz w:val="19"/>
          <w:szCs w:val="19"/>
          <w:color w:val="auto"/>
        </w:rPr>
      </w:pPr>
      <w:r>
        <w:rPr>
          <w:rFonts w:ascii="Arial" w:cs="Arial" w:eastAsia="Arial" w:hAnsi="Arial"/>
          <w:sz w:val="19"/>
          <w:szCs w:val="19"/>
          <w:color w:val="auto"/>
        </w:rPr>
        <w:t>Article 1 in the Discovery Alliance Agreement is hereby amended by adding the following new Sections 1.153, 1.154 and</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1.155 immediately following Section 1.152:</w:t>
      </w:r>
    </w:p>
    <w:p>
      <w:pPr>
        <w:spacing w:after="0" w:line="196" w:lineRule="exact"/>
        <w:rPr>
          <w:sz w:val="20"/>
          <w:szCs w:val="20"/>
          <w:color w:val="auto"/>
        </w:rPr>
      </w:pPr>
    </w:p>
    <w:p>
      <w:pPr>
        <w:ind w:left="660" w:right="260"/>
        <w:spacing w:after="0" w:line="269" w:lineRule="auto"/>
        <w:rPr>
          <w:sz w:val="20"/>
          <w:szCs w:val="20"/>
          <w:color w:val="auto"/>
        </w:rPr>
      </w:pPr>
      <w:r>
        <w:rPr>
          <w:rFonts w:ascii="Arial" w:cs="Arial" w:eastAsia="Arial" w:hAnsi="Arial"/>
          <w:sz w:val="22"/>
          <w:szCs w:val="22"/>
          <w:color w:val="auto"/>
        </w:rPr>
        <w:t>“1.153 “</w:t>
      </w:r>
      <w:r>
        <w:rPr>
          <w:rFonts w:ascii="Arial" w:cs="Arial" w:eastAsia="Arial" w:hAnsi="Arial"/>
          <w:sz w:val="22"/>
          <w:szCs w:val="22"/>
          <w:b w:val="1"/>
          <w:bCs w:val="1"/>
          <w:color w:val="auto"/>
        </w:rPr>
        <w:t>HSR Act</w:t>
      </w:r>
      <w:r>
        <w:rPr>
          <w:rFonts w:ascii="Arial" w:cs="Arial" w:eastAsia="Arial" w:hAnsi="Arial"/>
          <w:sz w:val="22"/>
          <w:szCs w:val="22"/>
          <w:color w:val="auto"/>
        </w:rPr>
        <w:t>” shall mean the Hart-Scott-Rodino Antitrust Improvements Act of 1976, as amended, and the rules and regulations promulgated thereunder.</w:t>
      </w:r>
    </w:p>
    <w:p>
      <w:pPr>
        <w:spacing w:after="0" w:line="162" w:lineRule="exact"/>
        <w:rPr>
          <w:sz w:val="20"/>
          <w:szCs w:val="20"/>
          <w:color w:val="auto"/>
        </w:rPr>
      </w:pPr>
    </w:p>
    <w:p>
      <w:pPr>
        <w:ind w:left="660" w:right="100"/>
        <w:spacing w:after="0" w:line="256" w:lineRule="auto"/>
        <w:rPr>
          <w:sz w:val="20"/>
          <w:szCs w:val="20"/>
          <w:color w:val="auto"/>
        </w:rPr>
      </w:pPr>
      <w:r>
        <w:rPr>
          <w:rFonts w:ascii="Arial" w:cs="Arial" w:eastAsia="Arial" w:hAnsi="Arial"/>
          <w:sz w:val="22"/>
          <w:szCs w:val="22"/>
          <w:color w:val="auto"/>
        </w:rPr>
        <w:t>“1.154 “</w:t>
      </w:r>
      <w:r>
        <w:rPr>
          <w:rFonts w:ascii="Arial" w:cs="Arial" w:eastAsia="Arial" w:hAnsi="Arial"/>
          <w:sz w:val="22"/>
          <w:szCs w:val="22"/>
          <w:b w:val="1"/>
          <w:bCs w:val="1"/>
          <w:color w:val="auto"/>
        </w:rPr>
        <w:t>HSR Clearance</w:t>
      </w:r>
      <w:r>
        <w:rPr>
          <w:rFonts w:ascii="Arial" w:cs="Arial" w:eastAsia="Arial" w:hAnsi="Arial"/>
          <w:sz w:val="22"/>
          <w:szCs w:val="22"/>
          <w:color w:val="auto"/>
        </w:rPr>
        <w:t>” shall mean, with respect to the exercise of an Option under this Agreement, the expiration or termination of all applicable waiting periods (and any extensions thereof) under the HSR Act for the HSR Filing with respect to such Option exercise.</w:t>
      </w:r>
    </w:p>
    <w:p>
      <w:pPr>
        <w:spacing w:after="0" w:line="176" w:lineRule="exact"/>
        <w:rPr>
          <w:sz w:val="20"/>
          <w:szCs w:val="20"/>
          <w:color w:val="auto"/>
        </w:rPr>
      </w:pPr>
    </w:p>
    <w:p>
      <w:pPr>
        <w:ind w:left="660" w:right="80"/>
        <w:spacing w:after="0" w:line="267" w:lineRule="auto"/>
        <w:rPr>
          <w:sz w:val="20"/>
          <w:szCs w:val="20"/>
          <w:color w:val="auto"/>
        </w:rPr>
      </w:pPr>
      <w:r>
        <w:rPr>
          <w:rFonts w:ascii="Arial" w:cs="Arial" w:eastAsia="Arial" w:hAnsi="Arial"/>
          <w:sz w:val="21"/>
          <w:szCs w:val="21"/>
          <w:color w:val="auto"/>
        </w:rPr>
        <w:t>1.155 “</w:t>
      </w:r>
      <w:r>
        <w:rPr>
          <w:rFonts w:ascii="Arial" w:cs="Arial" w:eastAsia="Arial" w:hAnsi="Arial"/>
          <w:sz w:val="21"/>
          <w:szCs w:val="21"/>
          <w:b w:val="1"/>
          <w:bCs w:val="1"/>
          <w:color w:val="auto"/>
        </w:rPr>
        <w:t>HSR Filing</w:t>
      </w:r>
      <w:r>
        <w:rPr>
          <w:rFonts w:ascii="Arial" w:cs="Arial" w:eastAsia="Arial" w:hAnsi="Arial"/>
          <w:sz w:val="21"/>
          <w:szCs w:val="21"/>
          <w:color w:val="auto"/>
        </w:rPr>
        <w:t>” shall mean filings by Allergan and Molecular Partners with the United States Federal Trade Commission and the Antitrust Division of the United States Department of Justice of a Notification and Report Form for Certain Mergers and Acquisitions (as that term is defined in the HSR Act) with respect to the exercise of an Option under this Agreement, together with all required documentary attachments thereto.”</w:t>
      </w:r>
    </w:p>
    <w:p>
      <w:pPr>
        <w:sectPr>
          <w:pgSz w:w="11900" w:h="16838" w:orient="portrait"/>
          <w:cols w:equalWidth="0" w:num="1">
            <w:col w:w="11240"/>
          </w:cols>
          <w:pgMar w:left="320" w:top="364" w:right="339" w:bottom="1440" w:gutter="0" w:footer="0" w:header="0"/>
        </w:sectPr>
      </w:pPr>
    </w:p>
    <w:bookmarkStart w:id="575" w:name="page576"/>
    <w:bookmarkEnd w:id="575"/>
    <w:p>
      <w:pPr>
        <w:ind w:left="660" w:right="340" w:hanging="652"/>
        <w:spacing w:after="0" w:line="263" w:lineRule="auto"/>
        <w:tabs>
          <w:tab w:leader="none" w:pos="390" w:val="left"/>
        </w:tabs>
        <w:numPr>
          <w:ilvl w:val="0"/>
          <w:numId w:val="535"/>
        </w:numPr>
        <w:rPr>
          <w:rFonts w:ascii="Arial" w:cs="Arial" w:eastAsia="Arial" w:hAnsi="Arial"/>
          <w:sz w:val="22"/>
          <w:szCs w:val="22"/>
          <w:color w:val="auto"/>
        </w:rPr>
      </w:pPr>
      <w:r>
        <w:rPr>
          <w:rFonts w:ascii="Arial" w:cs="Arial" w:eastAsia="Arial" w:hAnsi="Arial"/>
          <w:sz w:val="22"/>
          <w:szCs w:val="22"/>
          <w:color w:val="auto"/>
        </w:rPr>
        <w:t>Section 4.2 in the Discovery Alliance Agreement is hereby amended by adding the following sentences at the end of such section:</w:t>
      </w:r>
    </w:p>
    <w:p>
      <w:pPr>
        <w:spacing w:after="0" w:line="175" w:lineRule="exact"/>
        <w:rPr>
          <w:sz w:val="20"/>
          <w:szCs w:val="20"/>
          <w:color w:val="auto"/>
        </w:rPr>
      </w:pPr>
    </w:p>
    <w:p>
      <w:pPr>
        <w:jc w:val="both"/>
        <w:ind w:left="660"/>
        <w:spacing w:after="0" w:line="278" w:lineRule="auto"/>
        <w:rPr>
          <w:sz w:val="20"/>
          <w:szCs w:val="20"/>
          <w:color w:val="auto"/>
        </w:rPr>
      </w:pPr>
      <w:r>
        <w:rPr>
          <w:rFonts w:ascii="Arial" w:cs="Arial" w:eastAsia="Arial" w:hAnsi="Arial"/>
          <w:sz w:val="20"/>
          <w:szCs w:val="20"/>
          <w:color w:val="auto"/>
        </w:rPr>
        <w:t xml:space="preserve">“With respect to the Collaboration Target Combination, the Product Candidates and AGN DARPin Domains that are the subject of each Option exercise notice that is delivered pursuant to this Section 4.2 and for which an HSR Filing is required, the “Research Term” shall be extended until the earliest of (i) the expiration or termination of all applicable waiting periods (and any extensions thereof) under the HSR Act for the HSR Filing, (ii) the withdrawal of the applicable HSR Filing by Allergan, and (iii) [***] after the date of the applicable Option exercise notice; provided, however that such [***] period shall be extended for additional [***] periods so long as Allergan is continuing to use good faith to obtain HSR Clearance, in each case, with respect to such Option exercise. Promptly following the exercise of such Option, if Allergan notifies Molecular Partners that an HSR Filing is required, each of Allergan and Molecular Partners shall make an HSR Filing as soon as reasonably practicable and advisable after delivery of such notice by Allergan. The Parties and their counsel shall cooperate with one another in the preparation of any such filings and </w:t>
      </w:r>
      <w:r>
        <w:rPr>
          <w:rFonts w:ascii="Arial" w:cs="Arial" w:eastAsia="Arial" w:hAnsi="Arial"/>
          <w:sz w:val="17"/>
          <w:szCs w:val="17"/>
          <w:color w:val="auto"/>
        </w:rPr>
        <w:t>in connection with any</w:t>
      </w:r>
      <w:r>
        <w:rPr>
          <w:rFonts w:ascii="Arial" w:cs="Arial" w:eastAsia="Arial" w:hAnsi="Arial"/>
          <w:sz w:val="20"/>
          <w:szCs w:val="20"/>
          <w:color w:val="auto"/>
        </w:rPr>
        <w:t xml:space="preserve"> </w:t>
      </w:r>
      <w:r>
        <w:rPr>
          <w:rFonts w:ascii="Arial" w:cs="Arial" w:eastAsia="Arial" w:hAnsi="Arial"/>
          <w:sz w:val="17"/>
          <w:szCs w:val="17"/>
          <w:color w:val="auto"/>
        </w:rPr>
        <w:t xml:space="preserve">investigation or other inquiry </w:t>
      </w:r>
      <w:r>
        <w:rPr>
          <w:rFonts w:ascii="Arial" w:cs="Arial" w:eastAsia="Arial" w:hAnsi="Arial"/>
          <w:sz w:val="19"/>
          <w:szCs w:val="19"/>
          <w:color w:val="auto"/>
        </w:rPr>
        <w:t>by the United States Federal Trade Commission or the Antitrust Division of the United States</w:t>
      </w:r>
      <w:r>
        <w:rPr>
          <w:rFonts w:ascii="Arial" w:cs="Arial" w:eastAsia="Arial" w:hAnsi="Arial"/>
          <w:sz w:val="17"/>
          <w:szCs w:val="17"/>
          <w:color w:val="auto"/>
        </w:rPr>
        <w:t xml:space="preserve"> </w:t>
      </w:r>
      <w:r>
        <w:rPr>
          <w:rFonts w:ascii="Arial" w:cs="Arial" w:eastAsia="Arial" w:hAnsi="Arial"/>
          <w:sz w:val="19"/>
          <w:szCs w:val="19"/>
          <w:color w:val="auto"/>
        </w:rPr>
        <w:t xml:space="preserve">Department of Justice </w:t>
      </w:r>
      <w:r>
        <w:rPr>
          <w:rFonts w:ascii="Arial" w:cs="Arial" w:eastAsia="Arial" w:hAnsi="Arial"/>
          <w:sz w:val="17"/>
          <w:szCs w:val="17"/>
          <w:color w:val="auto"/>
        </w:rPr>
        <w:t>relating to such HSR Filing.</w:t>
      </w:r>
      <w:r>
        <w:rPr>
          <w:rFonts w:ascii="Arial" w:cs="Arial" w:eastAsia="Arial" w:hAnsi="Arial"/>
          <w:sz w:val="19"/>
          <w:szCs w:val="19"/>
          <w:color w:val="auto"/>
        </w:rPr>
        <w:t xml:space="preserve"> The Parties agree to use commercially reasonable efforts to promptly obtain HSR Clearance. The Parties shall specifically request early termination of the initial HSR Act waiting period. The Parties shall keep each other and their respective counsel apprised of the status of any material communications with, and any inquiries or requests for additional information from, the United States Federal Trade Commission and the Antitrust Division of the United States Department of Justice relating to such HSR Filing (and provide a copy to the other Party if such material communication is in writing). Each Party agrees to permit the other Party or its counsel to review in advance, and in good faith consider the views of the other Party or its counsel concerning, any written submission or filing (and documents submitted therewith) intended to be given to the United States Federal Trade Commission or the Antitrust Division of the United States Department of Justice, provided that, after good faith consideration of any input from [***] shall make the final determination as to the appropriate strategy relating to any filing or submission that is necessary under the HSR Act, including with respect to any filings, notifications, submissions and communications with or to United States Federal Trade Commission or the Antitrust Division of the United States Department of Justice. The term “commercially reasonable efforts” as used in this Section 4.2 shall not require Allergan to (a) sell, divest (including through a license or a reversion of licensed or assigned rights), hold separate, transfer, or dispose of any portion of the assets, operations, rights, product lines, or businesses, or interests therein, of itself or any of its Affiliates (or consent to any of the foregoing actions), (b) restrain, restrict, prohibit or limit the ability of Allergan to conduct its business or own its assets (or consent to any of the foregoing actions) or (c) litigate or otherwise formally oppose any determination (whether judicial or administrative in nature) by a Governmental Authority seeking to challenge the transactions contemplated by this Agreement or impose any of the restrictions referenced in clause (a) or (b) above, provided that (i) Allergan shall not be required to agree to or effectuate any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7" w:right="339" w:bottom="1440" w:gutter="0" w:footer="0" w:header="0"/>
        </w:sectPr>
      </w:pPr>
    </w:p>
    <w:bookmarkStart w:id="576" w:name="page577"/>
    <w:bookmarkEnd w:id="576"/>
    <w:p>
      <w:pPr>
        <w:ind w:left="660"/>
        <w:spacing w:after="0" w:line="343" w:lineRule="auto"/>
        <w:rPr>
          <w:sz w:val="20"/>
          <w:szCs w:val="20"/>
          <w:color w:val="auto"/>
        </w:rPr>
      </w:pPr>
      <w:r>
        <w:rPr>
          <w:rFonts w:ascii="Arial" w:cs="Arial" w:eastAsia="Arial" w:hAnsi="Arial"/>
          <w:sz w:val="19"/>
          <w:szCs w:val="19"/>
          <w:color w:val="auto"/>
        </w:rPr>
        <w:t>related to any Molecular Partners assets and (ii) [***]. [***] shall be responsible for the HSR Filings fees and each Party shall be responsible for the costs and expenses of its own legal and other advice associated with any such HSR Filing.”</w:t>
      </w:r>
    </w:p>
    <w:p>
      <w:pPr>
        <w:spacing w:after="0" w:line="104" w:lineRule="exact"/>
        <w:rPr>
          <w:sz w:val="20"/>
          <w:szCs w:val="20"/>
          <w:color w:val="auto"/>
        </w:rPr>
      </w:pPr>
    </w:p>
    <w:p>
      <w:pPr>
        <w:ind w:left="380" w:hanging="372"/>
        <w:spacing w:after="0"/>
        <w:tabs>
          <w:tab w:leader="none" w:pos="380" w:val="left"/>
        </w:tabs>
        <w:numPr>
          <w:ilvl w:val="0"/>
          <w:numId w:val="536"/>
        </w:numPr>
        <w:rPr>
          <w:rFonts w:ascii="Arial" w:cs="Arial" w:eastAsia="Arial" w:hAnsi="Arial"/>
          <w:sz w:val="22"/>
          <w:szCs w:val="22"/>
          <w:color w:val="auto"/>
        </w:rPr>
      </w:pPr>
      <w:r>
        <w:rPr>
          <w:rFonts w:ascii="Arial" w:cs="Arial" w:eastAsia="Arial" w:hAnsi="Arial"/>
          <w:sz w:val="22"/>
          <w:szCs w:val="22"/>
          <w:color w:val="auto"/>
        </w:rPr>
        <w:t>Section 4.3 in the Discovery Alliance Agreement is hereby amended and restated to mean, in full, as follows:</w:t>
      </w:r>
    </w:p>
    <w:p>
      <w:pPr>
        <w:spacing w:after="0" w:line="214"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License to Allergan</w:t>
      </w:r>
      <w:r>
        <w:rPr>
          <w:rFonts w:ascii="Arial" w:cs="Arial" w:eastAsia="Arial" w:hAnsi="Arial"/>
          <w:sz w:val="19"/>
          <w:szCs w:val="19"/>
          <w:color w:val="auto"/>
        </w:rPr>
        <w:t>. Subject to the terms and conditions of this Agreement, upon the last to occur of (i) Allergan’s exercise of an Option for a Collaboration Target Combination in accordance with Section 4.2, (ii) Molecular Partners’ receipt of the applicable Option exercise fee and (iii) if required, the expiration or termination of all applicable waiting periods (and any extensions thereof) under the HSR Act for any HSR Filing with respect to such Option exercise, Molecular Partners shall grant and does hereby grant to Allergan an exclusive (even as to Molecular Partners except as provided in Section 4.4), royalty-bearing license, with the right to sublicense solely as provided in Section 4.5, under the Molecular Partners Licensed Technology with respect to the Licensed Products for the applicable Licensed Target Combination to make, use, sell, offer for sale and import such Licensed Products in the Field in the Territory. The foregoing license includes the right to have any of the foregoing performed pursuant to Section 4.5(b).</w:t>
      </w:r>
    </w:p>
    <w:p>
      <w:pPr>
        <w:spacing w:after="0" w:line="154" w:lineRule="exact"/>
        <w:rPr>
          <w:sz w:val="20"/>
          <w:szCs w:val="20"/>
          <w:color w:val="auto"/>
        </w:rPr>
      </w:pPr>
    </w:p>
    <w:p>
      <w:pPr>
        <w:ind w:left="660" w:hanging="652"/>
        <w:spacing w:after="0" w:line="263" w:lineRule="auto"/>
        <w:tabs>
          <w:tab w:leader="none" w:pos="439" w:val="left"/>
        </w:tabs>
        <w:numPr>
          <w:ilvl w:val="0"/>
          <w:numId w:val="537"/>
        </w:numPr>
        <w:rPr>
          <w:rFonts w:ascii="Arial" w:cs="Arial" w:eastAsia="Arial" w:hAnsi="Arial"/>
          <w:sz w:val="22"/>
          <w:szCs w:val="22"/>
          <w:color w:val="auto"/>
        </w:rPr>
      </w:pPr>
      <w:r>
        <w:rPr>
          <w:rFonts w:ascii="Arial" w:cs="Arial" w:eastAsia="Arial" w:hAnsi="Arial"/>
          <w:sz w:val="22"/>
          <w:szCs w:val="22"/>
          <w:color w:val="auto"/>
        </w:rPr>
        <w:t>Any capitalized term used but not defined in this Fifth Amendment shall have the meaning ascribed to it in the Discovery Alliance Agreement.</w:t>
      </w:r>
    </w:p>
    <w:p>
      <w:pPr>
        <w:spacing w:after="0" w:line="174" w:lineRule="exact"/>
        <w:rPr>
          <w:rFonts w:ascii="Arial" w:cs="Arial" w:eastAsia="Arial" w:hAnsi="Arial"/>
          <w:sz w:val="22"/>
          <w:szCs w:val="22"/>
          <w:color w:val="auto"/>
        </w:rPr>
      </w:pPr>
    </w:p>
    <w:p>
      <w:pPr>
        <w:ind w:left="660" w:hanging="652"/>
        <w:spacing w:after="0" w:line="247" w:lineRule="auto"/>
        <w:tabs>
          <w:tab w:leader="none" w:pos="471" w:val="left"/>
        </w:tabs>
        <w:numPr>
          <w:ilvl w:val="0"/>
          <w:numId w:val="537"/>
        </w:numPr>
        <w:rPr>
          <w:rFonts w:ascii="Arial" w:cs="Arial" w:eastAsia="Arial" w:hAnsi="Arial"/>
          <w:sz w:val="22"/>
          <w:szCs w:val="22"/>
          <w:color w:val="auto"/>
        </w:rPr>
      </w:pPr>
      <w:r>
        <w:rPr>
          <w:rFonts w:ascii="Arial" w:cs="Arial" w:eastAsia="Arial" w:hAnsi="Arial"/>
          <w:sz w:val="22"/>
          <w:szCs w:val="22"/>
          <w:color w:val="auto"/>
        </w:rPr>
        <w:t>This Fifth Amendment was prepared in the English language, which language shall govern the interpretation of, and any dispute regarding, the terms of this Fifth Amendment. This Fifth Amendment and all disputes arising out of or related to this Fifth Amendment or any breach hereof shall be governed by and construed under the laws of the State of New York, USA (as permitted by Section 5-1401 of the New York General Obligations Law, or any similar successor provision), without giving effect to any choice of law principles that would require the application of the laws of a different jurisdiction.</w:t>
      </w:r>
    </w:p>
    <w:p>
      <w:pPr>
        <w:spacing w:after="0" w:line="192" w:lineRule="exact"/>
        <w:rPr>
          <w:rFonts w:ascii="Arial" w:cs="Arial" w:eastAsia="Arial" w:hAnsi="Arial"/>
          <w:sz w:val="22"/>
          <w:szCs w:val="22"/>
          <w:color w:val="auto"/>
        </w:rPr>
      </w:pPr>
    </w:p>
    <w:p>
      <w:pPr>
        <w:ind w:left="660" w:hanging="652"/>
        <w:spacing w:after="0" w:line="250" w:lineRule="auto"/>
        <w:tabs>
          <w:tab w:leader="none" w:pos="417" w:val="left"/>
        </w:tabs>
        <w:numPr>
          <w:ilvl w:val="0"/>
          <w:numId w:val="537"/>
        </w:numPr>
        <w:rPr>
          <w:rFonts w:ascii="Arial" w:cs="Arial" w:eastAsia="Arial" w:hAnsi="Arial"/>
          <w:sz w:val="22"/>
          <w:szCs w:val="22"/>
          <w:color w:val="auto"/>
        </w:rPr>
      </w:pPr>
      <w:r>
        <w:rPr>
          <w:rFonts w:ascii="Arial" w:cs="Arial" w:eastAsia="Arial" w:hAnsi="Arial"/>
          <w:sz w:val="22"/>
          <w:szCs w:val="22"/>
          <w:color w:val="auto"/>
        </w:rPr>
        <w:t>Where there is any conflict between the terms of this Fifth Amendment and the terms of the Discovery Alliance Agreement or any other agreement between the Parties (or their respective Affiliates), the terms of this Fifth Amendment shall prevail. Except as expressly set forth in this Fifth Amendment, all other terms of the Discovery Alliance Agreement shall apply and remain in full force and effect.</w:t>
      </w:r>
    </w:p>
    <w:p>
      <w:pPr>
        <w:spacing w:after="0" w:line="187" w:lineRule="exact"/>
        <w:rPr>
          <w:rFonts w:ascii="Arial" w:cs="Arial" w:eastAsia="Arial" w:hAnsi="Arial"/>
          <w:sz w:val="22"/>
          <w:szCs w:val="22"/>
          <w:color w:val="auto"/>
        </w:rPr>
      </w:pPr>
    </w:p>
    <w:p>
      <w:pPr>
        <w:ind w:left="660" w:hanging="652"/>
        <w:spacing w:after="0" w:line="263" w:lineRule="auto"/>
        <w:tabs>
          <w:tab w:leader="none" w:pos="457" w:val="left"/>
        </w:tabs>
        <w:numPr>
          <w:ilvl w:val="0"/>
          <w:numId w:val="537"/>
        </w:numPr>
        <w:rPr>
          <w:rFonts w:ascii="Arial" w:cs="Arial" w:eastAsia="Arial" w:hAnsi="Arial"/>
          <w:sz w:val="21"/>
          <w:szCs w:val="21"/>
          <w:color w:val="auto"/>
        </w:rPr>
      </w:pPr>
      <w:r>
        <w:rPr>
          <w:rFonts w:ascii="Arial" w:cs="Arial" w:eastAsia="Arial" w:hAnsi="Arial"/>
          <w:sz w:val="21"/>
          <w:szCs w:val="21"/>
          <w:color w:val="auto"/>
        </w:rPr>
        <w:t>This Fifth Amendment may be executed in one (1) or more counterparts, by original, facsimile or PDF signature, each of which shall be deemed an original, but all of which together shall constitute one and the same instrument. Signatures to this Fifth Amendment transmitted by facsimile,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577" w:name="page578"/>
    <w:bookmarkEnd w:id="577"/>
    <w:p>
      <w:pPr>
        <w:ind w:left="2080"/>
        <w:spacing w:after="0"/>
        <w:rPr>
          <w:sz w:val="20"/>
          <w:szCs w:val="20"/>
          <w:color w:val="auto"/>
        </w:rPr>
      </w:pPr>
      <w:r>
        <w:rPr>
          <w:rFonts w:ascii="Arial" w:cs="Arial" w:eastAsia="Arial" w:hAnsi="Arial"/>
          <w:sz w:val="21"/>
          <w:szCs w:val="21"/>
          <w:color w:val="auto"/>
        </w:rPr>
        <w:t>[REMAINDER OF PAGE INTENTIONALLY LEFT BLANK]</w:t>
      </w:r>
    </w:p>
    <w:p>
      <w:pPr>
        <w:sectPr>
          <w:pgSz w:w="11900" w:h="16838" w:orient="portrait"/>
          <w:cols w:equalWidth="0" w:num="1">
            <w:col w:w="9019"/>
          </w:cols>
          <w:pgMar w:left="1440" w:top="14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9019"/>
          </w:cols>
          <w:pgMar w:left="1440" w:top="1427" w:right="1440" w:bottom="1440" w:gutter="0" w:footer="0" w:header="0"/>
          <w:type w:val="continuous"/>
        </w:sectPr>
      </w:pPr>
    </w:p>
    <w:bookmarkStart w:id="578" w:name="page579"/>
    <w:bookmarkEnd w:id="578"/>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Fifth Amendment by their duly authorized officers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Fifth Amendment Effective Date.</w:t>
      </w:r>
    </w:p>
    <w:p>
      <w:pPr>
        <w:spacing w:after="0" w:line="234" w:lineRule="exact"/>
        <w:rPr>
          <w:sz w:val="20"/>
          <w:szCs w:val="20"/>
          <w:color w:val="auto"/>
        </w:rPr>
      </w:pPr>
    </w:p>
    <w:p>
      <w:pPr>
        <w:ind w:left="20"/>
        <w:spacing w:after="0"/>
        <w:tabs>
          <w:tab w:leader="none" w:pos="5880" w:val="left"/>
        </w:tabs>
        <w:rPr>
          <w:sz w:val="20"/>
          <w:szCs w:val="20"/>
          <w:color w:val="auto"/>
        </w:rPr>
      </w:pPr>
      <w:r>
        <w:rPr>
          <w:rFonts w:ascii="Arial" w:cs="Arial" w:eastAsia="Arial" w:hAnsi="Arial"/>
          <w:sz w:val="20"/>
          <w:szCs w:val="20"/>
          <w:b w:val="1"/>
          <w:bCs w:val="1"/>
          <w:color w:val="auto"/>
        </w:rPr>
        <w:t>Allergan, Inc.</w:t>
      </w:r>
      <w:r>
        <w:rPr>
          <w:sz w:val="20"/>
          <w:szCs w:val="20"/>
          <w:color w:val="auto"/>
        </w:rPr>
        <w:tab/>
      </w:r>
      <w:r>
        <w:rPr>
          <w:rFonts w:ascii="Arial" w:cs="Arial" w:eastAsia="Arial" w:hAnsi="Arial"/>
          <w:sz w:val="18"/>
          <w:szCs w:val="18"/>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5300" w:type="dxa"/>
            <w:vAlign w:val="bottom"/>
            <w:gridSpan w:val="2"/>
          </w:tcPr>
          <w:p>
            <w:pPr>
              <w:spacing w:after="0"/>
              <w:rPr>
                <w:sz w:val="20"/>
                <w:szCs w:val="20"/>
                <w:color w:val="auto"/>
              </w:rPr>
            </w:pPr>
            <w:r>
              <w:rPr>
                <w:rFonts w:ascii="Arial" w:cs="Arial" w:eastAsia="Arial" w:hAnsi="Arial"/>
                <w:sz w:val="20"/>
                <w:szCs w:val="20"/>
                <w:color w:val="auto"/>
              </w:rPr>
              <w:t>By:</w:t>
            </w:r>
          </w:p>
        </w:tc>
        <w:tc>
          <w:tcPr>
            <w:tcW w:w="5900" w:type="dxa"/>
            <w:vAlign w:val="bottom"/>
            <w:gridSpan w:val="2"/>
          </w:tcPr>
          <w:p>
            <w:pPr>
              <w:ind w:left="580"/>
              <w:spacing w:after="0"/>
              <w:rPr>
                <w:sz w:val="20"/>
                <w:szCs w:val="20"/>
                <w:color w:val="auto"/>
              </w:rPr>
            </w:pPr>
            <w:r>
              <w:rPr>
                <w:rFonts w:ascii="Arial" w:cs="Arial" w:eastAsia="Arial" w:hAnsi="Arial"/>
                <w:sz w:val="20"/>
                <w:szCs w:val="20"/>
                <w:color w:val="auto"/>
              </w:rPr>
              <w:t>By:</w:t>
            </w:r>
          </w:p>
        </w:tc>
      </w:tr>
      <w:tr>
        <w:trPr>
          <w:trHeight w:val="23"/>
        </w:trPr>
        <w:tc>
          <w:tcPr>
            <w:tcW w:w="9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511"/>
        </w:trPr>
        <w:tc>
          <w:tcPr>
            <w:tcW w:w="5300" w:type="dxa"/>
            <w:vAlign w:val="bottom"/>
            <w:gridSpan w:val="2"/>
          </w:tcPr>
          <w:p>
            <w:pPr>
              <w:spacing w:after="0"/>
              <w:rPr>
                <w:sz w:val="20"/>
                <w:szCs w:val="20"/>
                <w:color w:val="auto"/>
              </w:rPr>
            </w:pPr>
            <w:r>
              <w:rPr>
                <w:rFonts w:ascii="Arial" w:cs="Arial" w:eastAsia="Arial" w:hAnsi="Arial"/>
                <w:sz w:val="20"/>
                <w:szCs w:val="20"/>
                <w:color w:val="auto"/>
              </w:rPr>
              <w:t>Name:</w:t>
            </w:r>
          </w:p>
        </w:tc>
        <w:tc>
          <w:tcPr>
            <w:tcW w:w="5900" w:type="dxa"/>
            <w:vAlign w:val="bottom"/>
            <w:gridSpan w:val="2"/>
          </w:tcPr>
          <w:p>
            <w:pPr>
              <w:ind w:left="580"/>
              <w:spacing w:after="0"/>
              <w:rPr>
                <w:sz w:val="20"/>
                <w:szCs w:val="20"/>
                <w:color w:val="auto"/>
              </w:rPr>
            </w:pPr>
            <w:r>
              <w:rPr>
                <w:rFonts w:ascii="Arial" w:cs="Arial" w:eastAsia="Arial" w:hAnsi="Arial"/>
                <w:sz w:val="20"/>
                <w:szCs w:val="20"/>
                <w:color w:val="auto"/>
              </w:rPr>
              <w:t>Name:</w:t>
            </w:r>
          </w:p>
        </w:tc>
      </w:tr>
      <w:tr>
        <w:trPr>
          <w:trHeight w:val="553"/>
        </w:trPr>
        <w:tc>
          <w:tcPr>
            <w:tcW w:w="5300" w:type="dxa"/>
            <w:vAlign w:val="bottom"/>
            <w:gridSpan w:val="2"/>
          </w:tcPr>
          <w:p>
            <w:pPr>
              <w:spacing w:after="0"/>
              <w:rPr>
                <w:sz w:val="20"/>
                <w:szCs w:val="20"/>
                <w:color w:val="auto"/>
              </w:rPr>
            </w:pPr>
            <w:r>
              <w:rPr>
                <w:rFonts w:ascii="Arial" w:cs="Arial" w:eastAsia="Arial" w:hAnsi="Arial"/>
                <w:sz w:val="20"/>
                <w:szCs w:val="20"/>
                <w:color w:val="auto"/>
              </w:rPr>
              <w:t>Title:</w:t>
            </w:r>
          </w:p>
        </w:tc>
        <w:tc>
          <w:tcPr>
            <w:tcW w:w="5900" w:type="dxa"/>
            <w:vAlign w:val="bottom"/>
            <w:gridSpan w:val="2"/>
          </w:tcPr>
          <w:p>
            <w:pPr>
              <w:ind w:left="580"/>
              <w:spacing w:after="0"/>
              <w:rPr>
                <w:sz w:val="20"/>
                <w:szCs w:val="20"/>
                <w:color w:val="auto"/>
              </w:rPr>
            </w:pPr>
            <w:r>
              <w:rPr>
                <w:rFonts w:ascii="Arial" w:cs="Arial" w:eastAsia="Arial" w:hAnsi="Arial"/>
                <w:sz w:val="20"/>
                <w:szCs w:val="20"/>
                <w:color w:val="auto"/>
              </w:rPr>
              <w:t>Title:</w:t>
            </w:r>
          </w:p>
        </w:tc>
      </w:tr>
      <w:tr>
        <w:trPr>
          <w:trHeight w:val="824"/>
        </w:trPr>
        <w:tc>
          <w:tcPr>
            <w:tcW w:w="5300" w:type="dxa"/>
            <w:vAlign w:val="bottom"/>
            <w:gridSpan w:val="2"/>
          </w:tcPr>
          <w:p>
            <w:pPr>
              <w:spacing w:after="0"/>
              <w:rPr>
                <w:sz w:val="20"/>
                <w:szCs w:val="20"/>
                <w:color w:val="auto"/>
              </w:rPr>
            </w:pPr>
            <w:r>
              <w:rPr>
                <w:rFonts w:ascii="Arial" w:cs="Arial" w:eastAsia="Arial" w:hAnsi="Arial"/>
                <w:sz w:val="20"/>
                <w:szCs w:val="20"/>
                <w:b w:val="1"/>
                <w:bCs w:val="1"/>
                <w:color w:val="auto"/>
              </w:rPr>
              <w:t>Allergan Sales, LLC.</w:t>
            </w:r>
          </w:p>
        </w:tc>
        <w:tc>
          <w:tcPr>
            <w:tcW w:w="5900" w:type="dxa"/>
            <w:vAlign w:val="bottom"/>
            <w:gridSpan w:val="2"/>
          </w:tcPr>
          <w:p>
            <w:pPr>
              <w:ind w:left="580"/>
              <w:spacing w:after="0"/>
              <w:rPr>
                <w:sz w:val="20"/>
                <w:szCs w:val="20"/>
                <w:color w:val="auto"/>
              </w:rPr>
            </w:pPr>
            <w:r>
              <w:rPr>
                <w:rFonts w:ascii="Arial" w:cs="Arial" w:eastAsia="Arial" w:hAnsi="Arial"/>
                <w:sz w:val="20"/>
                <w:szCs w:val="20"/>
                <w:b w:val="1"/>
                <w:bCs w:val="1"/>
                <w:color w:val="auto"/>
              </w:rPr>
              <w:t>Molecular Partners AG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400" w:type="dxa"/>
            <w:vAlign w:val="bottom"/>
          </w:tcPr>
          <w:p>
            <w:pPr>
              <w:spacing w:after="0"/>
              <w:rPr>
                <w:sz w:val="21"/>
                <w:szCs w:val="21"/>
                <w:color w:val="auto"/>
              </w:rPr>
            </w:pPr>
          </w:p>
        </w:tc>
        <w:tc>
          <w:tcPr>
            <w:tcW w:w="1100" w:type="dxa"/>
            <w:vAlign w:val="bottom"/>
          </w:tcPr>
          <w:p>
            <w:pPr>
              <w:ind w:left="58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400" w:type="dxa"/>
            <w:vAlign w:val="bottom"/>
            <w:tcBorders>
              <w:bottom w:val="single" w:sz="8" w:color="auto"/>
            </w:tcBorders>
          </w:tcPr>
          <w:p>
            <w:pPr>
              <w:spacing w:after="0"/>
              <w:rPr>
                <w:sz w:val="2"/>
                <w:szCs w:val="2"/>
                <w:color w:val="auto"/>
              </w:rPr>
            </w:pPr>
          </w:p>
        </w:tc>
        <w:tc>
          <w:tcPr>
            <w:tcW w:w="1100" w:type="dxa"/>
            <w:vAlign w:val="bottom"/>
            <w:vMerge w:val="restart"/>
          </w:tcPr>
          <w:p>
            <w:pPr>
              <w:ind w:left="580"/>
              <w:spacing w:after="0"/>
              <w:rPr>
                <w:sz w:val="20"/>
                <w:szCs w:val="20"/>
                <w:color w:val="auto"/>
              </w:rPr>
            </w:pPr>
            <w:r>
              <w:rPr>
                <w:rFonts w:ascii="Arial" w:cs="Arial" w:eastAsia="Arial" w:hAnsi="Arial"/>
                <w:sz w:val="20"/>
                <w:szCs w:val="20"/>
                <w:color w:val="auto"/>
                <w:w w:val="84"/>
              </w:rPr>
              <w:t>Name:</w:t>
            </w:r>
          </w:p>
        </w:tc>
        <w:tc>
          <w:tcPr>
            <w:tcW w:w="0" w:type="dxa"/>
            <w:vAlign w:val="bottom"/>
          </w:tcPr>
          <w:p>
            <w:pPr>
              <w:spacing w:after="0"/>
              <w:rPr>
                <w:sz w:val="1"/>
                <w:szCs w:val="1"/>
                <w:color w:val="auto"/>
              </w:rPr>
            </w:pPr>
          </w:p>
        </w:tc>
      </w:tr>
      <w:tr>
        <w:trPr>
          <w:trHeight w:val="510"/>
        </w:trPr>
        <w:tc>
          <w:tcPr>
            <w:tcW w:w="900" w:type="dxa"/>
            <w:vAlign w:val="bottom"/>
            <w:vMerge w:val="continue"/>
          </w:tcPr>
          <w:p>
            <w:pPr>
              <w:spacing w:after="0"/>
              <w:rPr>
                <w:sz w:val="24"/>
                <w:szCs w:val="24"/>
                <w:color w:val="auto"/>
              </w:rPr>
            </w:pPr>
          </w:p>
        </w:tc>
        <w:tc>
          <w:tcPr>
            <w:tcW w:w="44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400" w:type="dxa"/>
            <w:vAlign w:val="bottom"/>
          </w:tcPr>
          <w:p>
            <w:pPr>
              <w:spacing w:after="0"/>
              <w:rPr>
                <w:sz w:val="24"/>
                <w:szCs w:val="24"/>
                <w:color w:val="auto"/>
              </w:rPr>
            </w:pPr>
          </w:p>
        </w:tc>
        <w:tc>
          <w:tcPr>
            <w:tcW w:w="1100" w:type="dxa"/>
            <w:vAlign w:val="bottom"/>
          </w:tcPr>
          <w:p>
            <w:pPr>
              <w:ind w:left="580"/>
              <w:spacing w:after="0"/>
              <w:rPr>
                <w:sz w:val="20"/>
                <w:szCs w:val="20"/>
                <w:color w:val="auto"/>
              </w:rPr>
            </w:pPr>
            <w:r>
              <w:rPr>
                <w:rFonts w:ascii="Arial" w:cs="Arial" w:eastAsia="Arial" w:hAnsi="Arial"/>
                <w:sz w:val="20"/>
                <w:szCs w:val="20"/>
                <w:color w:val="auto"/>
              </w:rPr>
              <w:t>Title: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-687705</wp:posOffset>
            </wp:positionV>
            <wp:extent cx="2803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03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579" w:name="page580"/>
    <w:bookmarkEnd w:id="579"/>
    <w:p>
      <w:pPr>
        <w:jc w:val="right"/>
        <w:spacing w:after="0"/>
        <w:rPr>
          <w:sz w:val="20"/>
          <w:szCs w:val="20"/>
          <w:color w:val="auto"/>
        </w:rPr>
      </w:pPr>
      <w:r>
        <w:rPr>
          <w:rFonts w:ascii="Arial" w:cs="Arial" w:eastAsia="Arial" w:hAnsi="Arial"/>
          <w:sz w:val="18"/>
          <w:szCs w:val="18"/>
          <w:b w:val="1"/>
          <w:bCs w:val="1"/>
          <w:color w:val="auto"/>
        </w:rPr>
        <w:t>Exhibit 10.5</w:t>
      </w:r>
    </w:p>
    <w:p>
      <w:pPr>
        <w:spacing w:after="0" w:line="121" w:lineRule="exact"/>
        <w:rPr>
          <w:sz w:val="20"/>
          <w:szCs w:val="20"/>
          <w:color w:val="auto"/>
        </w:rPr>
      </w:pPr>
    </w:p>
    <w:p>
      <w:pPr>
        <w:ind w:right="160" w:firstLine="8"/>
        <w:spacing w:after="0" w:line="277" w:lineRule="auto"/>
        <w:tabs>
          <w:tab w:leader="none" w:pos="435" w:val="left"/>
        </w:tabs>
        <w:numPr>
          <w:ilvl w:val="0"/>
          <w:numId w:val="5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COLLABORATION AND LICENSE AGREEMENT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MOLECULAR PARTNERS AG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18, 2018</w:t>
      </w:r>
    </w:p>
    <w:p>
      <w:pPr>
        <w:sectPr>
          <w:pgSz w:w="11900" w:h="16838" w:orient="portrait"/>
          <w:cols w:equalWidth="0" w:num="1">
            <w:col w:w="11240"/>
          </w:cols>
          <w:pgMar w:left="320" w:top="121" w:right="339" w:bottom="1440" w:gutter="0" w:footer="0" w:header="0"/>
        </w:sectPr>
      </w:pPr>
    </w:p>
    <w:bookmarkStart w:id="580" w:name="page581"/>
    <w:bookmarkEnd w:id="580"/>
    <w:p>
      <w:pPr>
        <w:jc w:val="center"/>
        <w:ind w:left="4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5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140" w:type="dxa"/>
            <w:vAlign w:val="bottom"/>
          </w:tcPr>
          <w:p>
            <w:pPr>
              <w:jc w:val="right"/>
              <w:ind w:right="52"/>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AGE</w:t>
            </w:r>
          </w:p>
        </w:tc>
      </w:tr>
      <w:tr>
        <w:trPr>
          <w:trHeight w:val="783"/>
        </w:trPr>
        <w:tc>
          <w:tcPr>
            <w:tcW w:w="1520" w:type="dxa"/>
            <w:vAlign w:val="bottom"/>
          </w:tcPr>
          <w:p>
            <w:pPr>
              <w:jc w:val="right"/>
              <w:ind w:right="352"/>
              <w:spacing w:after="0"/>
              <w:rPr>
                <w:sz w:val="20"/>
                <w:szCs w:val="20"/>
                <w:color w:val="auto"/>
              </w:rPr>
            </w:pPr>
            <w:r>
              <w:rPr>
                <w:rFonts w:ascii="Arial" w:cs="Arial" w:eastAsia="Arial" w:hAnsi="Arial"/>
                <w:sz w:val="22"/>
                <w:szCs w:val="22"/>
                <w:color w:val="auto"/>
                <w:w w:val="93"/>
              </w:rPr>
              <w:t>ARTICLE 1</w:t>
            </w:r>
          </w:p>
        </w:tc>
        <w:tc>
          <w:tcPr>
            <w:tcW w:w="6540" w:type="dxa"/>
            <w:vAlign w:val="bottom"/>
          </w:tcPr>
          <w:p>
            <w:pPr>
              <w:ind w:left="220"/>
              <w:spacing w:after="0"/>
              <w:rPr>
                <w:sz w:val="20"/>
                <w:szCs w:val="20"/>
                <w:color w:val="auto"/>
              </w:rPr>
            </w:pPr>
            <w:r>
              <w:rPr>
                <w:rFonts w:ascii="Arial" w:cs="Arial" w:eastAsia="Arial" w:hAnsi="Arial"/>
                <w:sz w:val="22"/>
                <w:szCs w:val="22"/>
                <w:color w:val="auto"/>
              </w:rPr>
              <w:t>DEFINITIONS</w:t>
            </w:r>
          </w:p>
        </w:tc>
        <w:tc>
          <w:tcPr>
            <w:tcW w:w="31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1520" w:type="dxa"/>
            <w:vAlign w:val="bottom"/>
          </w:tcPr>
          <w:p>
            <w:pPr>
              <w:jc w:val="right"/>
              <w:ind w:right="352"/>
              <w:spacing w:after="0"/>
              <w:rPr>
                <w:sz w:val="20"/>
                <w:szCs w:val="20"/>
                <w:color w:val="auto"/>
              </w:rPr>
            </w:pPr>
            <w:r>
              <w:rPr>
                <w:rFonts w:ascii="Arial" w:cs="Arial" w:eastAsia="Arial" w:hAnsi="Arial"/>
                <w:sz w:val="22"/>
                <w:szCs w:val="22"/>
                <w:color w:val="auto"/>
                <w:w w:val="93"/>
              </w:rPr>
              <w:t>ARTICLE 2</w:t>
            </w:r>
          </w:p>
        </w:tc>
        <w:tc>
          <w:tcPr>
            <w:tcW w:w="6540" w:type="dxa"/>
            <w:vAlign w:val="bottom"/>
          </w:tcPr>
          <w:p>
            <w:pPr>
              <w:ind w:left="220"/>
              <w:spacing w:after="0"/>
              <w:rPr>
                <w:sz w:val="20"/>
                <w:szCs w:val="20"/>
                <w:color w:val="auto"/>
              </w:rPr>
            </w:pPr>
            <w:r>
              <w:rPr>
                <w:rFonts w:ascii="Arial" w:cs="Arial" w:eastAsia="Arial" w:hAnsi="Arial"/>
                <w:sz w:val="22"/>
                <w:szCs w:val="22"/>
                <w:color w:val="auto"/>
              </w:rPr>
              <w:t>COLLABORATION; GOVERNANCE</w:t>
            </w:r>
          </w:p>
        </w:tc>
        <w:tc>
          <w:tcPr>
            <w:tcW w:w="31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2.1</w:t>
            </w:r>
          </w:p>
        </w:tc>
        <w:tc>
          <w:tcPr>
            <w:tcW w:w="6540" w:type="dxa"/>
            <w:vAlign w:val="bottom"/>
          </w:tcPr>
          <w:p>
            <w:pPr>
              <w:ind w:left="220"/>
              <w:spacing w:after="0"/>
              <w:rPr>
                <w:sz w:val="20"/>
                <w:szCs w:val="20"/>
                <w:color w:val="auto"/>
              </w:rPr>
            </w:pPr>
            <w:r>
              <w:rPr>
                <w:rFonts w:ascii="Arial" w:cs="Arial" w:eastAsia="Arial" w:hAnsi="Arial"/>
                <w:sz w:val="22"/>
                <w:szCs w:val="22"/>
                <w:color w:val="auto"/>
              </w:rPr>
              <w:t>Collaboration Overview</w:t>
            </w:r>
          </w:p>
        </w:tc>
        <w:tc>
          <w:tcPr>
            <w:tcW w:w="31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2.2</w:t>
            </w:r>
          </w:p>
        </w:tc>
        <w:tc>
          <w:tcPr>
            <w:tcW w:w="6540" w:type="dxa"/>
            <w:vAlign w:val="bottom"/>
          </w:tcPr>
          <w:p>
            <w:pPr>
              <w:ind w:left="220"/>
              <w:spacing w:after="0"/>
              <w:rPr>
                <w:sz w:val="20"/>
                <w:szCs w:val="20"/>
                <w:color w:val="auto"/>
              </w:rPr>
            </w:pPr>
            <w:r>
              <w:rPr>
                <w:rFonts w:ascii="Arial" w:cs="Arial" w:eastAsia="Arial" w:hAnsi="Arial"/>
                <w:sz w:val="22"/>
                <w:szCs w:val="22"/>
                <w:color w:val="auto"/>
              </w:rPr>
              <w:t>Joint Steering Committee</w:t>
            </w:r>
          </w:p>
        </w:tc>
        <w:tc>
          <w:tcPr>
            <w:tcW w:w="31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2.3</w:t>
            </w:r>
          </w:p>
        </w:tc>
        <w:tc>
          <w:tcPr>
            <w:tcW w:w="6540" w:type="dxa"/>
            <w:vAlign w:val="bottom"/>
          </w:tcPr>
          <w:p>
            <w:pPr>
              <w:ind w:left="220"/>
              <w:spacing w:after="0"/>
              <w:rPr>
                <w:sz w:val="20"/>
                <w:szCs w:val="20"/>
                <w:color w:val="auto"/>
              </w:rPr>
            </w:pPr>
            <w:r>
              <w:rPr>
                <w:rFonts w:ascii="Arial" w:cs="Arial" w:eastAsia="Arial" w:hAnsi="Arial"/>
                <w:sz w:val="22"/>
                <w:szCs w:val="22"/>
                <w:color w:val="auto"/>
              </w:rPr>
              <w:t>Alliance Managers</w:t>
            </w:r>
          </w:p>
        </w:tc>
        <w:tc>
          <w:tcPr>
            <w:tcW w:w="3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520" w:type="dxa"/>
            <w:vAlign w:val="bottom"/>
          </w:tcPr>
          <w:p>
            <w:pPr>
              <w:jc w:val="right"/>
              <w:ind w:right="352"/>
              <w:spacing w:after="0"/>
              <w:rPr>
                <w:sz w:val="20"/>
                <w:szCs w:val="20"/>
                <w:color w:val="auto"/>
              </w:rPr>
            </w:pPr>
            <w:r>
              <w:rPr>
                <w:rFonts w:ascii="Arial" w:cs="Arial" w:eastAsia="Arial" w:hAnsi="Arial"/>
                <w:sz w:val="22"/>
                <w:szCs w:val="22"/>
                <w:color w:val="auto"/>
                <w:w w:val="93"/>
              </w:rPr>
              <w:t>ARTICLE 3</w:t>
            </w:r>
          </w:p>
        </w:tc>
        <w:tc>
          <w:tcPr>
            <w:tcW w:w="6540" w:type="dxa"/>
            <w:vAlign w:val="bottom"/>
          </w:tcPr>
          <w:p>
            <w:pPr>
              <w:ind w:left="220"/>
              <w:spacing w:after="0"/>
              <w:rPr>
                <w:sz w:val="20"/>
                <w:szCs w:val="20"/>
                <w:color w:val="auto"/>
              </w:rPr>
            </w:pPr>
            <w:r>
              <w:rPr>
                <w:rFonts w:ascii="Arial" w:cs="Arial" w:eastAsia="Arial" w:hAnsi="Arial"/>
                <w:sz w:val="22"/>
                <w:szCs w:val="22"/>
                <w:color w:val="auto"/>
              </w:rPr>
              <w:t>LICENSES</w:t>
            </w:r>
          </w:p>
        </w:tc>
        <w:tc>
          <w:tcPr>
            <w:tcW w:w="3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3.1</w:t>
            </w:r>
          </w:p>
        </w:tc>
        <w:tc>
          <w:tcPr>
            <w:tcW w:w="6540" w:type="dxa"/>
            <w:vAlign w:val="bottom"/>
          </w:tcPr>
          <w:p>
            <w:pPr>
              <w:ind w:left="220"/>
              <w:spacing w:after="0"/>
              <w:rPr>
                <w:sz w:val="20"/>
                <w:szCs w:val="20"/>
                <w:color w:val="auto"/>
              </w:rPr>
            </w:pPr>
            <w:r>
              <w:rPr>
                <w:rFonts w:ascii="Arial" w:cs="Arial" w:eastAsia="Arial" w:hAnsi="Arial"/>
                <w:sz w:val="22"/>
                <w:szCs w:val="22"/>
                <w:color w:val="auto"/>
              </w:rPr>
              <w:t>Licenses to Amgen</w:t>
            </w:r>
          </w:p>
        </w:tc>
        <w:tc>
          <w:tcPr>
            <w:tcW w:w="3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3.2</w:t>
            </w:r>
          </w:p>
        </w:tc>
        <w:tc>
          <w:tcPr>
            <w:tcW w:w="6540" w:type="dxa"/>
            <w:vAlign w:val="bottom"/>
          </w:tcPr>
          <w:p>
            <w:pPr>
              <w:ind w:left="220"/>
              <w:spacing w:after="0"/>
              <w:rPr>
                <w:sz w:val="20"/>
                <w:szCs w:val="20"/>
                <w:color w:val="auto"/>
              </w:rPr>
            </w:pPr>
            <w:r>
              <w:rPr>
                <w:rFonts w:ascii="Arial" w:cs="Arial" w:eastAsia="Arial" w:hAnsi="Arial"/>
                <w:sz w:val="22"/>
                <w:szCs w:val="22"/>
                <w:color w:val="auto"/>
              </w:rPr>
              <w:t>Licenses to Molecular Partners</w:t>
            </w:r>
          </w:p>
        </w:tc>
        <w:tc>
          <w:tcPr>
            <w:tcW w:w="3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3.3</w:t>
            </w:r>
          </w:p>
        </w:tc>
        <w:tc>
          <w:tcPr>
            <w:tcW w:w="6540" w:type="dxa"/>
            <w:vAlign w:val="bottom"/>
          </w:tcPr>
          <w:p>
            <w:pPr>
              <w:ind w:left="220"/>
              <w:spacing w:after="0"/>
              <w:rPr>
                <w:rFonts w:ascii="Arial" w:cs="Arial" w:eastAsia="Arial" w:hAnsi="Arial"/>
                <w:sz w:val="22"/>
                <w:szCs w:val="22"/>
                <w:color w:val="auto"/>
              </w:rPr>
            </w:pPr>
            <w:hyperlink w:anchor="page580">
              <w:r>
                <w:rPr>
                  <w:rFonts w:ascii="Arial" w:cs="Arial" w:eastAsia="Arial" w:hAnsi="Arial"/>
                  <w:sz w:val="22"/>
                  <w:szCs w:val="22"/>
                  <w:color w:val="auto"/>
                </w:rPr>
                <w:t>Sublicensing</w:t>
              </w:r>
            </w:hyperlink>
          </w:p>
        </w:tc>
        <w:tc>
          <w:tcPr>
            <w:tcW w:w="3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3.4</w:t>
            </w:r>
          </w:p>
        </w:tc>
        <w:tc>
          <w:tcPr>
            <w:tcW w:w="6540" w:type="dxa"/>
            <w:vAlign w:val="bottom"/>
          </w:tcPr>
          <w:p>
            <w:pPr>
              <w:ind w:left="220"/>
              <w:spacing w:after="0"/>
              <w:rPr>
                <w:sz w:val="20"/>
                <w:szCs w:val="20"/>
                <w:color w:val="auto"/>
              </w:rPr>
            </w:pPr>
            <w:r>
              <w:rPr>
                <w:rFonts w:ascii="Arial" w:cs="Arial" w:eastAsia="Arial" w:hAnsi="Arial"/>
                <w:sz w:val="22"/>
                <w:szCs w:val="22"/>
                <w:color w:val="auto"/>
              </w:rPr>
              <w:t>Subcontracting</w:t>
            </w:r>
          </w:p>
        </w:tc>
        <w:tc>
          <w:tcPr>
            <w:tcW w:w="3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3.5</w:t>
            </w:r>
          </w:p>
        </w:tc>
        <w:tc>
          <w:tcPr>
            <w:tcW w:w="6540" w:type="dxa"/>
            <w:vAlign w:val="bottom"/>
          </w:tcPr>
          <w:p>
            <w:pPr>
              <w:ind w:left="220"/>
              <w:spacing w:after="0"/>
              <w:rPr>
                <w:sz w:val="20"/>
                <w:szCs w:val="20"/>
                <w:color w:val="auto"/>
              </w:rPr>
            </w:pPr>
            <w:r>
              <w:rPr>
                <w:rFonts w:ascii="Arial" w:cs="Arial" w:eastAsia="Arial" w:hAnsi="Arial"/>
                <w:sz w:val="22"/>
                <w:szCs w:val="22"/>
                <w:color w:val="auto"/>
              </w:rPr>
              <w:t>Technology Transfer</w:t>
            </w:r>
          </w:p>
        </w:tc>
        <w:tc>
          <w:tcPr>
            <w:tcW w:w="31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3.6</w:t>
            </w:r>
          </w:p>
        </w:tc>
        <w:tc>
          <w:tcPr>
            <w:tcW w:w="6540" w:type="dxa"/>
            <w:vAlign w:val="bottom"/>
          </w:tcPr>
          <w:p>
            <w:pPr>
              <w:ind w:left="220"/>
              <w:spacing w:after="0"/>
              <w:rPr>
                <w:sz w:val="20"/>
                <w:szCs w:val="20"/>
                <w:color w:val="auto"/>
              </w:rPr>
            </w:pPr>
            <w:r>
              <w:rPr>
                <w:rFonts w:ascii="Arial" w:cs="Arial" w:eastAsia="Arial" w:hAnsi="Arial"/>
                <w:sz w:val="22"/>
                <w:szCs w:val="22"/>
                <w:color w:val="auto"/>
              </w:rPr>
              <w:t>No Implied Licenses; Negative Covenant</w:t>
            </w:r>
          </w:p>
        </w:tc>
        <w:tc>
          <w:tcPr>
            <w:tcW w:w="31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3.7</w:t>
            </w:r>
          </w:p>
        </w:tc>
        <w:tc>
          <w:tcPr>
            <w:tcW w:w="6540" w:type="dxa"/>
            <w:vAlign w:val="bottom"/>
          </w:tcPr>
          <w:p>
            <w:pPr>
              <w:ind w:left="220"/>
              <w:spacing w:after="0"/>
              <w:rPr>
                <w:sz w:val="20"/>
                <w:szCs w:val="20"/>
                <w:color w:val="auto"/>
              </w:rPr>
            </w:pPr>
            <w:r>
              <w:rPr>
                <w:rFonts w:ascii="Arial" w:cs="Arial" w:eastAsia="Arial" w:hAnsi="Arial"/>
                <w:sz w:val="22"/>
                <w:szCs w:val="22"/>
                <w:color w:val="auto"/>
              </w:rPr>
              <w:t>Retained Rights</w:t>
            </w:r>
          </w:p>
        </w:tc>
        <w:tc>
          <w:tcPr>
            <w:tcW w:w="31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3.8</w:t>
            </w:r>
          </w:p>
        </w:tc>
        <w:tc>
          <w:tcPr>
            <w:tcW w:w="6540" w:type="dxa"/>
            <w:vAlign w:val="bottom"/>
          </w:tcPr>
          <w:p>
            <w:pPr>
              <w:ind w:left="220"/>
              <w:spacing w:after="0"/>
              <w:rPr>
                <w:sz w:val="20"/>
                <w:szCs w:val="20"/>
                <w:color w:val="auto"/>
              </w:rPr>
            </w:pPr>
            <w:r>
              <w:rPr>
                <w:rFonts w:ascii="Arial" w:cs="Arial" w:eastAsia="Arial" w:hAnsi="Arial"/>
                <w:sz w:val="22"/>
                <w:szCs w:val="22"/>
                <w:color w:val="auto"/>
              </w:rPr>
              <w:t>Exclusivity.</w:t>
            </w:r>
          </w:p>
        </w:tc>
        <w:tc>
          <w:tcPr>
            <w:tcW w:w="31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1520" w:type="dxa"/>
            <w:vAlign w:val="bottom"/>
          </w:tcPr>
          <w:p>
            <w:pPr>
              <w:jc w:val="right"/>
              <w:ind w:right="352"/>
              <w:spacing w:after="0"/>
              <w:rPr>
                <w:sz w:val="20"/>
                <w:szCs w:val="20"/>
                <w:color w:val="auto"/>
              </w:rPr>
            </w:pPr>
            <w:r>
              <w:rPr>
                <w:rFonts w:ascii="Arial" w:cs="Arial" w:eastAsia="Arial" w:hAnsi="Arial"/>
                <w:sz w:val="22"/>
                <w:szCs w:val="22"/>
                <w:color w:val="auto"/>
                <w:w w:val="93"/>
              </w:rPr>
              <w:t>ARTICLE 4</w:t>
            </w:r>
          </w:p>
        </w:tc>
        <w:tc>
          <w:tcPr>
            <w:tcW w:w="6540" w:type="dxa"/>
            <w:vAlign w:val="bottom"/>
          </w:tcPr>
          <w:p>
            <w:pPr>
              <w:ind w:left="220"/>
              <w:spacing w:after="0"/>
              <w:rPr>
                <w:sz w:val="20"/>
                <w:szCs w:val="20"/>
                <w:color w:val="auto"/>
              </w:rPr>
            </w:pPr>
            <w:r>
              <w:rPr>
                <w:rFonts w:ascii="Arial" w:cs="Arial" w:eastAsia="Arial" w:hAnsi="Arial"/>
                <w:sz w:val="22"/>
                <w:szCs w:val="22"/>
                <w:color w:val="auto"/>
              </w:rPr>
              <w:t>DEVELOPMENT</w:t>
            </w:r>
          </w:p>
        </w:tc>
        <w:tc>
          <w:tcPr>
            <w:tcW w:w="31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4.1</w:t>
            </w:r>
          </w:p>
        </w:tc>
        <w:tc>
          <w:tcPr>
            <w:tcW w:w="6540" w:type="dxa"/>
            <w:vAlign w:val="bottom"/>
          </w:tcPr>
          <w:p>
            <w:pPr>
              <w:ind w:left="220"/>
              <w:spacing w:after="0"/>
              <w:rPr>
                <w:sz w:val="20"/>
                <w:szCs w:val="20"/>
                <w:color w:val="auto"/>
              </w:rPr>
            </w:pPr>
            <w:r>
              <w:rPr>
                <w:rFonts w:ascii="Arial" w:cs="Arial" w:eastAsia="Arial" w:hAnsi="Arial"/>
                <w:sz w:val="22"/>
                <w:szCs w:val="22"/>
                <w:color w:val="auto"/>
              </w:rPr>
              <w:t>Development Program</w:t>
            </w:r>
          </w:p>
        </w:tc>
        <w:tc>
          <w:tcPr>
            <w:tcW w:w="31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4.2</w:t>
            </w:r>
          </w:p>
        </w:tc>
        <w:tc>
          <w:tcPr>
            <w:tcW w:w="6540" w:type="dxa"/>
            <w:vAlign w:val="bottom"/>
          </w:tcPr>
          <w:p>
            <w:pPr>
              <w:ind w:left="220"/>
              <w:spacing w:after="0"/>
              <w:rPr>
                <w:sz w:val="20"/>
                <w:szCs w:val="20"/>
                <w:color w:val="auto"/>
              </w:rPr>
            </w:pPr>
            <w:r>
              <w:rPr>
                <w:rFonts w:ascii="Arial" w:cs="Arial" w:eastAsia="Arial" w:hAnsi="Arial"/>
                <w:sz w:val="22"/>
                <w:szCs w:val="22"/>
                <w:color w:val="auto"/>
              </w:rPr>
              <w:t>Development Plan</w:t>
            </w:r>
          </w:p>
        </w:tc>
        <w:tc>
          <w:tcPr>
            <w:tcW w:w="31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4.3</w:t>
            </w:r>
          </w:p>
        </w:tc>
        <w:tc>
          <w:tcPr>
            <w:tcW w:w="6540" w:type="dxa"/>
            <w:vAlign w:val="bottom"/>
          </w:tcPr>
          <w:p>
            <w:pPr>
              <w:ind w:left="220"/>
              <w:spacing w:after="0"/>
              <w:rPr>
                <w:sz w:val="20"/>
                <w:szCs w:val="20"/>
                <w:color w:val="auto"/>
              </w:rPr>
            </w:pPr>
            <w:r>
              <w:rPr>
                <w:rFonts w:ascii="Arial" w:cs="Arial" w:eastAsia="Arial" w:hAnsi="Arial"/>
                <w:sz w:val="22"/>
                <w:szCs w:val="22"/>
                <w:color w:val="auto"/>
              </w:rPr>
              <w:t>Development Costs</w:t>
            </w:r>
          </w:p>
        </w:tc>
        <w:tc>
          <w:tcPr>
            <w:tcW w:w="31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4.4</w:t>
            </w:r>
          </w:p>
        </w:tc>
        <w:tc>
          <w:tcPr>
            <w:tcW w:w="6540" w:type="dxa"/>
            <w:vAlign w:val="bottom"/>
          </w:tcPr>
          <w:p>
            <w:pPr>
              <w:ind w:left="220"/>
              <w:spacing w:after="0"/>
              <w:rPr>
                <w:sz w:val="20"/>
                <w:szCs w:val="20"/>
                <w:color w:val="auto"/>
              </w:rPr>
            </w:pPr>
            <w:r>
              <w:rPr>
                <w:rFonts w:ascii="Arial" w:cs="Arial" w:eastAsia="Arial" w:hAnsi="Arial"/>
                <w:sz w:val="22"/>
                <w:szCs w:val="22"/>
                <w:color w:val="auto"/>
              </w:rPr>
              <w:t>Development Cost Deferral and Termination</w:t>
            </w:r>
          </w:p>
        </w:tc>
        <w:tc>
          <w:tcPr>
            <w:tcW w:w="31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4.5</w:t>
            </w:r>
          </w:p>
        </w:tc>
        <w:tc>
          <w:tcPr>
            <w:tcW w:w="6540" w:type="dxa"/>
            <w:vAlign w:val="bottom"/>
          </w:tcPr>
          <w:p>
            <w:pPr>
              <w:ind w:left="220"/>
              <w:spacing w:after="0"/>
              <w:rPr>
                <w:sz w:val="20"/>
                <w:szCs w:val="20"/>
                <w:color w:val="auto"/>
              </w:rPr>
            </w:pPr>
            <w:r>
              <w:rPr>
                <w:rFonts w:ascii="Arial" w:cs="Arial" w:eastAsia="Arial" w:hAnsi="Arial"/>
                <w:sz w:val="22"/>
                <w:szCs w:val="22"/>
                <w:color w:val="auto"/>
              </w:rPr>
              <w:t>Development Diligence</w:t>
            </w:r>
          </w:p>
        </w:tc>
        <w:tc>
          <w:tcPr>
            <w:tcW w:w="31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4.6</w:t>
            </w:r>
          </w:p>
        </w:tc>
        <w:tc>
          <w:tcPr>
            <w:tcW w:w="6540" w:type="dxa"/>
            <w:vAlign w:val="bottom"/>
          </w:tcPr>
          <w:p>
            <w:pPr>
              <w:ind w:left="220"/>
              <w:spacing w:after="0"/>
              <w:rPr>
                <w:sz w:val="20"/>
                <w:szCs w:val="20"/>
                <w:color w:val="auto"/>
              </w:rPr>
            </w:pPr>
            <w:r>
              <w:rPr>
                <w:rFonts w:ascii="Arial" w:cs="Arial" w:eastAsia="Arial" w:hAnsi="Arial"/>
                <w:sz w:val="22"/>
                <w:szCs w:val="22"/>
                <w:color w:val="auto"/>
              </w:rPr>
              <w:t>Development Records</w:t>
            </w:r>
          </w:p>
        </w:tc>
        <w:tc>
          <w:tcPr>
            <w:tcW w:w="31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4.7</w:t>
            </w:r>
          </w:p>
        </w:tc>
        <w:tc>
          <w:tcPr>
            <w:tcW w:w="6540" w:type="dxa"/>
            <w:vAlign w:val="bottom"/>
          </w:tcPr>
          <w:p>
            <w:pPr>
              <w:ind w:left="220"/>
              <w:spacing w:after="0"/>
              <w:rPr>
                <w:sz w:val="20"/>
                <w:szCs w:val="20"/>
                <w:color w:val="auto"/>
              </w:rPr>
            </w:pPr>
            <w:r>
              <w:rPr>
                <w:rFonts w:ascii="Arial" w:cs="Arial" w:eastAsia="Arial" w:hAnsi="Arial"/>
                <w:sz w:val="22"/>
                <w:szCs w:val="22"/>
                <w:color w:val="auto"/>
              </w:rPr>
              <w:t>Development Reports and Updates</w:t>
            </w:r>
          </w:p>
        </w:tc>
        <w:tc>
          <w:tcPr>
            <w:tcW w:w="31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4.8</w:t>
            </w:r>
          </w:p>
        </w:tc>
        <w:tc>
          <w:tcPr>
            <w:tcW w:w="6540" w:type="dxa"/>
            <w:vAlign w:val="bottom"/>
          </w:tcPr>
          <w:p>
            <w:pPr>
              <w:ind w:left="220"/>
              <w:spacing w:after="0"/>
              <w:rPr>
                <w:sz w:val="20"/>
                <w:szCs w:val="20"/>
                <w:color w:val="auto"/>
              </w:rPr>
            </w:pPr>
            <w:r>
              <w:rPr>
                <w:rFonts w:ascii="Arial" w:cs="Arial" w:eastAsia="Arial" w:hAnsi="Arial"/>
                <w:sz w:val="22"/>
                <w:szCs w:val="22"/>
                <w:color w:val="auto"/>
              </w:rPr>
              <w:t>Data Exchange</w:t>
            </w:r>
          </w:p>
        </w:tc>
        <w:tc>
          <w:tcPr>
            <w:tcW w:w="31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4.9</w:t>
            </w:r>
          </w:p>
        </w:tc>
        <w:tc>
          <w:tcPr>
            <w:tcW w:w="6540" w:type="dxa"/>
            <w:vAlign w:val="bottom"/>
          </w:tcPr>
          <w:p>
            <w:pPr>
              <w:ind w:left="220"/>
              <w:spacing w:after="0"/>
              <w:rPr>
                <w:sz w:val="20"/>
                <w:szCs w:val="20"/>
                <w:color w:val="auto"/>
              </w:rPr>
            </w:pPr>
            <w:r>
              <w:rPr>
                <w:rFonts w:ascii="Arial" w:cs="Arial" w:eastAsia="Arial" w:hAnsi="Arial"/>
                <w:sz w:val="22"/>
                <w:szCs w:val="22"/>
                <w:color w:val="auto"/>
              </w:rPr>
              <w:t>Materials Transfer</w:t>
            </w:r>
          </w:p>
        </w:tc>
        <w:tc>
          <w:tcPr>
            <w:tcW w:w="31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1520" w:type="dxa"/>
            <w:vAlign w:val="bottom"/>
          </w:tcPr>
          <w:p>
            <w:pPr>
              <w:jc w:val="right"/>
              <w:ind w:right="352"/>
              <w:spacing w:after="0"/>
              <w:rPr>
                <w:sz w:val="20"/>
                <w:szCs w:val="20"/>
                <w:color w:val="auto"/>
              </w:rPr>
            </w:pPr>
            <w:r>
              <w:rPr>
                <w:rFonts w:ascii="Arial" w:cs="Arial" w:eastAsia="Arial" w:hAnsi="Arial"/>
                <w:sz w:val="22"/>
                <w:szCs w:val="22"/>
                <w:color w:val="auto"/>
                <w:w w:val="93"/>
              </w:rPr>
              <w:t>ARTICLE 5</w:t>
            </w:r>
          </w:p>
        </w:tc>
        <w:tc>
          <w:tcPr>
            <w:tcW w:w="6540" w:type="dxa"/>
            <w:vAlign w:val="bottom"/>
          </w:tcPr>
          <w:p>
            <w:pPr>
              <w:ind w:left="220"/>
              <w:spacing w:after="0"/>
              <w:rPr>
                <w:sz w:val="20"/>
                <w:szCs w:val="20"/>
                <w:color w:val="auto"/>
              </w:rPr>
            </w:pPr>
            <w:r>
              <w:rPr>
                <w:rFonts w:ascii="Arial" w:cs="Arial" w:eastAsia="Arial" w:hAnsi="Arial"/>
                <w:sz w:val="22"/>
                <w:szCs w:val="22"/>
                <w:color w:val="auto"/>
              </w:rPr>
              <w:t>REGULATORY MATTERS</w:t>
            </w:r>
          </w:p>
        </w:tc>
        <w:tc>
          <w:tcPr>
            <w:tcW w:w="31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5.1</w:t>
            </w:r>
          </w:p>
        </w:tc>
        <w:tc>
          <w:tcPr>
            <w:tcW w:w="6540" w:type="dxa"/>
            <w:vAlign w:val="bottom"/>
          </w:tcPr>
          <w:p>
            <w:pPr>
              <w:ind w:left="220"/>
              <w:spacing w:after="0"/>
              <w:rPr>
                <w:sz w:val="20"/>
                <w:szCs w:val="20"/>
                <w:color w:val="auto"/>
              </w:rPr>
            </w:pPr>
            <w:r>
              <w:rPr>
                <w:rFonts w:ascii="Arial" w:cs="Arial" w:eastAsia="Arial" w:hAnsi="Arial"/>
                <w:sz w:val="22"/>
                <w:szCs w:val="22"/>
                <w:color w:val="auto"/>
              </w:rPr>
              <w:t>Regulatory Materials and Approvals.</w:t>
            </w:r>
          </w:p>
        </w:tc>
        <w:tc>
          <w:tcPr>
            <w:tcW w:w="31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5.2</w:t>
            </w:r>
          </w:p>
        </w:tc>
        <w:tc>
          <w:tcPr>
            <w:tcW w:w="6540" w:type="dxa"/>
            <w:vAlign w:val="bottom"/>
          </w:tcPr>
          <w:p>
            <w:pPr>
              <w:ind w:left="220"/>
              <w:spacing w:after="0"/>
              <w:rPr>
                <w:sz w:val="20"/>
                <w:szCs w:val="20"/>
                <w:color w:val="auto"/>
              </w:rPr>
            </w:pPr>
            <w:r>
              <w:rPr>
                <w:rFonts w:ascii="Arial" w:cs="Arial" w:eastAsia="Arial" w:hAnsi="Arial"/>
                <w:sz w:val="22"/>
                <w:szCs w:val="22"/>
                <w:color w:val="auto"/>
              </w:rPr>
              <w:t>Regulatory Costs</w:t>
            </w:r>
          </w:p>
        </w:tc>
        <w:tc>
          <w:tcPr>
            <w:tcW w:w="3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5.3</w:t>
            </w:r>
          </w:p>
        </w:tc>
        <w:tc>
          <w:tcPr>
            <w:tcW w:w="6540" w:type="dxa"/>
            <w:vAlign w:val="bottom"/>
          </w:tcPr>
          <w:p>
            <w:pPr>
              <w:ind w:left="220"/>
              <w:spacing w:after="0"/>
              <w:rPr>
                <w:sz w:val="20"/>
                <w:szCs w:val="20"/>
                <w:color w:val="auto"/>
              </w:rPr>
            </w:pPr>
            <w:r>
              <w:rPr>
                <w:rFonts w:ascii="Arial" w:cs="Arial" w:eastAsia="Arial" w:hAnsi="Arial"/>
                <w:sz w:val="22"/>
                <w:szCs w:val="22"/>
                <w:color w:val="auto"/>
              </w:rPr>
              <w:t>Safety Database; Pharmacovigilance</w:t>
            </w:r>
          </w:p>
        </w:tc>
        <w:tc>
          <w:tcPr>
            <w:tcW w:w="3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520" w:type="dxa"/>
            <w:vAlign w:val="bottom"/>
          </w:tcPr>
          <w:p>
            <w:pPr>
              <w:jc w:val="right"/>
              <w:ind w:right="352"/>
              <w:spacing w:after="0"/>
              <w:rPr>
                <w:sz w:val="20"/>
                <w:szCs w:val="20"/>
                <w:color w:val="auto"/>
              </w:rPr>
            </w:pPr>
            <w:r>
              <w:rPr>
                <w:rFonts w:ascii="Arial" w:cs="Arial" w:eastAsia="Arial" w:hAnsi="Arial"/>
                <w:sz w:val="22"/>
                <w:szCs w:val="22"/>
                <w:color w:val="auto"/>
                <w:w w:val="93"/>
              </w:rPr>
              <w:t>ARTICLE 6</w:t>
            </w:r>
          </w:p>
        </w:tc>
        <w:tc>
          <w:tcPr>
            <w:tcW w:w="6540" w:type="dxa"/>
            <w:vAlign w:val="bottom"/>
          </w:tcPr>
          <w:p>
            <w:pPr>
              <w:ind w:left="220"/>
              <w:spacing w:after="0"/>
              <w:rPr>
                <w:sz w:val="20"/>
                <w:szCs w:val="20"/>
                <w:color w:val="auto"/>
              </w:rPr>
            </w:pPr>
            <w:r>
              <w:rPr>
                <w:rFonts w:ascii="Arial" w:cs="Arial" w:eastAsia="Arial" w:hAnsi="Arial"/>
                <w:sz w:val="22"/>
                <w:szCs w:val="22"/>
                <w:color w:val="auto"/>
              </w:rPr>
              <w:t>COMMERCIALIZATION</w:t>
            </w:r>
          </w:p>
        </w:tc>
        <w:tc>
          <w:tcPr>
            <w:tcW w:w="3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6.1</w:t>
            </w:r>
          </w:p>
        </w:tc>
        <w:tc>
          <w:tcPr>
            <w:tcW w:w="6540" w:type="dxa"/>
            <w:vAlign w:val="bottom"/>
          </w:tcPr>
          <w:p>
            <w:pPr>
              <w:ind w:left="220"/>
              <w:spacing w:after="0"/>
              <w:rPr>
                <w:sz w:val="20"/>
                <w:szCs w:val="20"/>
                <w:color w:val="auto"/>
              </w:rPr>
            </w:pPr>
            <w:r>
              <w:rPr>
                <w:rFonts w:ascii="Arial" w:cs="Arial" w:eastAsia="Arial" w:hAnsi="Arial"/>
                <w:sz w:val="22"/>
                <w:szCs w:val="22"/>
                <w:color w:val="auto"/>
              </w:rPr>
              <w:t>Overview</w:t>
            </w:r>
          </w:p>
        </w:tc>
        <w:tc>
          <w:tcPr>
            <w:tcW w:w="31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6.2</w:t>
            </w:r>
          </w:p>
        </w:tc>
        <w:tc>
          <w:tcPr>
            <w:tcW w:w="6540" w:type="dxa"/>
            <w:vAlign w:val="bottom"/>
          </w:tcPr>
          <w:p>
            <w:pPr>
              <w:ind w:left="220"/>
              <w:spacing w:after="0"/>
              <w:rPr>
                <w:sz w:val="20"/>
                <w:szCs w:val="20"/>
                <w:color w:val="auto"/>
              </w:rPr>
            </w:pPr>
            <w:r>
              <w:rPr>
                <w:rFonts w:ascii="Arial" w:cs="Arial" w:eastAsia="Arial" w:hAnsi="Arial"/>
                <w:sz w:val="22"/>
                <w:szCs w:val="22"/>
                <w:color w:val="auto"/>
              </w:rPr>
              <w:t>Commercialization Plans</w:t>
            </w:r>
          </w:p>
        </w:tc>
        <w:tc>
          <w:tcPr>
            <w:tcW w:w="3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6.3</w:t>
            </w:r>
          </w:p>
        </w:tc>
        <w:tc>
          <w:tcPr>
            <w:tcW w:w="6540" w:type="dxa"/>
            <w:vAlign w:val="bottom"/>
          </w:tcPr>
          <w:p>
            <w:pPr>
              <w:ind w:left="220"/>
              <w:spacing w:after="0"/>
              <w:rPr>
                <w:sz w:val="20"/>
                <w:szCs w:val="20"/>
                <w:color w:val="auto"/>
              </w:rPr>
            </w:pPr>
            <w:r>
              <w:rPr>
                <w:rFonts w:ascii="Arial" w:cs="Arial" w:eastAsia="Arial" w:hAnsi="Arial"/>
                <w:sz w:val="22"/>
                <w:szCs w:val="22"/>
                <w:color w:val="auto"/>
              </w:rPr>
              <w:t>Commercialization Diligence</w:t>
            </w:r>
          </w:p>
        </w:tc>
        <w:tc>
          <w:tcPr>
            <w:tcW w:w="3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6.4</w:t>
            </w:r>
          </w:p>
        </w:tc>
        <w:tc>
          <w:tcPr>
            <w:tcW w:w="6540" w:type="dxa"/>
            <w:vAlign w:val="bottom"/>
          </w:tcPr>
          <w:p>
            <w:pPr>
              <w:ind w:left="220"/>
              <w:spacing w:after="0"/>
              <w:rPr>
                <w:sz w:val="20"/>
                <w:szCs w:val="20"/>
                <w:color w:val="auto"/>
              </w:rPr>
            </w:pPr>
            <w:r>
              <w:rPr>
                <w:rFonts w:ascii="Arial" w:cs="Arial" w:eastAsia="Arial" w:hAnsi="Arial"/>
                <w:sz w:val="22"/>
                <w:szCs w:val="22"/>
                <w:color w:val="auto"/>
              </w:rPr>
              <w:t>Commercialization Progress Updates</w:t>
            </w:r>
          </w:p>
        </w:tc>
        <w:tc>
          <w:tcPr>
            <w:tcW w:w="3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6.5</w:t>
            </w:r>
          </w:p>
        </w:tc>
        <w:tc>
          <w:tcPr>
            <w:tcW w:w="6540" w:type="dxa"/>
            <w:vAlign w:val="bottom"/>
          </w:tcPr>
          <w:p>
            <w:pPr>
              <w:ind w:left="220"/>
              <w:spacing w:after="0"/>
              <w:rPr>
                <w:sz w:val="20"/>
                <w:szCs w:val="20"/>
                <w:color w:val="auto"/>
              </w:rPr>
            </w:pPr>
            <w:r>
              <w:rPr>
                <w:rFonts w:ascii="Arial" w:cs="Arial" w:eastAsia="Arial" w:hAnsi="Arial"/>
                <w:sz w:val="22"/>
                <w:szCs w:val="22"/>
                <w:color w:val="auto"/>
              </w:rPr>
              <w:t>Licensed Bispecific Pricing</w:t>
            </w:r>
          </w:p>
        </w:tc>
        <w:tc>
          <w:tcPr>
            <w:tcW w:w="3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520" w:type="dxa"/>
            <w:vAlign w:val="bottom"/>
          </w:tcPr>
          <w:p>
            <w:pPr>
              <w:jc w:val="right"/>
              <w:ind w:right="352"/>
              <w:spacing w:after="0"/>
              <w:rPr>
                <w:sz w:val="20"/>
                <w:szCs w:val="20"/>
                <w:color w:val="auto"/>
              </w:rPr>
            </w:pPr>
            <w:r>
              <w:rPr>
                <w:rFonts w:ascii="Arial" w:cs="Arial" w:eastAsia="Arial" w:hAnsi="Arial"/>
                <w:sz w:val="22"/>
                <w:szCs w:val="22"/>
                <w:color w:val="auto"/>
                <w:w w:val="93"/>
              </w:rPr>
              <w:t>ARTICLE 7</w:t>
            </w:r>
          </w:p>
        </w:tc>
        <w:tc>
          <w:tcPr>
            <w:tcW w:w="6540" w:type="dxa"/>
            <w:vAlign w:val="bottom"/>
          </w:tcPr>
          <w:p>
            <w:pPr>
              <w:ind w:left="220"/>
              <w:spacing w:after="0"/>
              <w:rPr>
                <w:sz w:val="20"/>
                <w:szCs w:val="20"/>
                <w:color w:val="auto"/>
              </w:rPr>
            </w:pPr>
            <w:r>
              <w:rPr>
                <w:rFonts w:ascii="Arial" w:cs="Arial" w:eastAsia="Arial" w:hAnsi="Arial"/>
                <w:sz w:val="22"/>
                <w:szCs w:val="22"/>
                <w:color w:val="auto"/>
              </w:rPr>
              <w:t>MANUFACTURE AND SUPPLY</w:t>
            </w:r>
          </w:p>
        </w:tc>
        <w:tc>
          <w:tcPr>
            <w:tcW w:w="31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7.1</w:t>
            </w:r>
          </w:p>
        </w:tc>
        <w:tc>
          <w:tcPr>
            <w:tcW w:w="6540" w:type="dxa"/>
            <w:vAlign w:val="bottom"/>
          </w:tcPr>
          <w:p>
            <w:pPr>
              <w:ind w:left="220"/>
              <w:spacing w:after="0"/>
              <w:rPr>
                <w:sz w:val="20"/>
                <w:szCs w:val="20"/>
                <w:color w:val="auto"/>
              </w:rPr>
            </w:pPr>
            <w:r>
              <w:rPr>
                <w:rFonts w:ascii="Arial" w:cs="Arial" w:eastAsia="Arial" w:hAnsi="Arial"/>
                <w:sz w:val="22"/>
                <w:szCs w:val="22"/>
                <w:color w:val="auto"/>
              </w:rPr>
              <w:t>CMC Development; Supply</w:t>
            </w:r>
          </w:p>
        </w:tc>
        <w:tc>
          <w:tcPr>
            <w:tcW w:w="3140" w:type="dxa"/>
            <w:vAlign w:val="bottom"/>
          </w:tcPr>
          <w:p>
            <w:pPr>
              <w:jc w:val="right"/>
              <w:spacing w:after="0"/>
              <w:rPr>
                <w:sz w:val="20"/>
                <w:szCs w:val="20"/>
                <w:color w:val="auto"/>
              </w:rPr>
            </w:pPr>
            <w:r>
              <w:rPr>
                <w:rFonts w:ascii="Arial" w:cs="Arial" w:eastAsia="Arial" w:hAnsi="Arial"/>
                <w:sz w:val="22"/>
                <w:szCs w:val="22"/>
                <w:color w:val="auto"/>
              </w:rPr>
              <w:t>32</w:t>
            </w:r>
          </w:p>
        </w:tc>
      </w:tr>
    </w:tbl>
    <w:p>
      <w:pPr>
        <w:spacing w:after="0" w:line="200" w:lineRule="exact"/>
        <w:rPr>
          <w:sz w:val="20"/>
          <w:szCs w:val="20"/>
          <w:color w:val="auto"/>
        </w:rPr>
      </w:pPr>
    </w:p>
    <w:p>
      <w:pPr>
        <w:sectPr>
          <w:pgSz w:w="11900" w:h="16838" w:orient="portrait"/>
          <w:cols w:equalWidth="0" w:num="1">
            <w:col w:w="11200"/>
          </w:cols>
          <w:pgMar w:left="34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79" w:right="359" w:bottom="1440" w:gutter="0" w:footer="0" w:header="0"/>
          <w:type w:val="continuous"/>
        </w:sectPr>
      </w:pPr>
    </w:p>
    <w:bookmarkStart w:id="581" w:name="page582"/>
    <w:bookmarkEnd w:id="581"/>
    <w:p>
      <w:pPr>
        <w:jc w:val="center"/>
        <w:ind w:left="4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ONTENT</w:t>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(CONTINUED)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5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120" w:type="dxa"/>
            <w:vAlign w:val="bottom"/>
          </w:tcPr>
          <w:p>
            <w:pPr>
              <w:jc w:val="right"/>
              <w:ind w:right="52"/>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AGE</w:t>
            </w:r>
          </w:p>
        </w:tc>
      </w:tr>
      <w:tr>
        <w:trPr>
          <w:trHeight w:val="715"/>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7.2</w:t>
            </w:r>
          </w:p>
        </w:tc>
        <w:tc>
          <w:tcPr>
            <w:tcW w:w="7560" w:type="dxa"/>
            <w:vAlign w:val="bottom"/>
          </w:tcPr>
          <w:p>
            <w:pPr>
              <w:ind w:left="220"/>
              <w:spacing w:after="0"/>
              <w:rPr>
                <w:sz w:val="20"/>
                <w:szCs w:val="20"/>
                <w:color w:val="auto"/>
              </w:rPr>
            </w:pPr>
            <w:r>
              <w:rPr>
                <w:rFonts w:ascii="Arial" w:cs="Arial" w:eastAsia="Arial" w:hAnsi="Arial"/>
                <w:sz w:val="22"/>
                <w:szCs w:val="22"/>
                <w:color w:val="auto"/>
              </w:rPr>
              <w:t>Transfer of Manufacturing Technology</w:t>
            </w:r>
          </w:p>
        </w:tc>
        <w:tc>
          <w:tcPr>
            <w:tcW w:w="21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7,3</w:t>
            </w:r>
          </w:p>
        </w:tc>
        <w:tc>
          <w:tcPr>
            <w:tcW w:w="7560" w:type="dxa"/>
            <w:vAlign w:val="bottom"/>
          </w:tcPr>
          <w:p>
            <w:pPr>
              <w:ind w:left="220"/>
              <w:spacing w:after="0"/>
              <w:rPr>
                <w:sz w:val="20"/>
                <w:szCs w:val="20"/>
                <w:color w:val="auto"/>
              </w:rPr>
            </w:pPr>
            <w:r>
              <w:rPr>
                <w:rFonts w:ascii="Arial" w:cs="Arial" w:eastAsia="Arial" w:hAnsi="Arial"/>
                <w:sz w:val="22"/>
                <w:szCs w:val="22"/>
                <w:color w:val="auto"/>
              </w:rPr>
              <w:t>Manufacturing Records and Reports</w:t>
            </w:r>
          </w:p>
        </w:tc>
        <w:tc>
          <w:tcPr>
            <w:tcW w:w="21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7.4</w:t>
            </w:r>
          </w:p>
        </w:tc>
        <w:tc>
          <w:tcPr>
            <w:tcW w:w="7560" w:type="dxa"/>
            <w:vAlign w:val="bottom"/>
          </w:tcPr>
          <w:p>
            <w:pPr>
              <w:ind w:left="220"/>
              <w:spacing w:after="0"/>
              <w:rPr>
                <w:sz w:val="20"/>
                <w:szCs w:val="20"/>
                <w:color w:val="auto"/>
              </w:rPr>
            </w:pPr>
            <w:r>
              <w:rPr>
                <w:rFonts w:ascii="Arial" w:cs="Arial" w:eastAsia="Arial" w:hAnsi="Arial"/>
                <w:sz w:val="22"/>
                <w:szCs w:val="22"/>
                <w:color w:val="auto"/>
              </w:rPr>
              <w:t>Clinical Supply Agreements and Quality Agreements</w:t>
            </w:r>
          </w:p>
        </w:tc>
        <w:tc>
          <w:tcPr>
            <w:tcW w:w="21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1520" w:type="dxa"/>
            <w:vAlign w:val="bottom"/>
          </w:tcPr>
          <w:p>
            <w:pPr>
              <w:spacing w:after="0"/>
              <w:rPr>
                <w:sz w:val="20"/>
                <w:szCs w:val="20"/>
                <w:color w:val="auto"/>
              </w:rPr>
            </w:pPr>
            <w:r>
              <w:rPr>
                <w:rFonts w:ascii="Arial" w:cs="Arial" w:eastAsia="Arial" w:hAnsi="Arial"/>
                <w:sz w:val="22"/>
                <w:szCs w:val="22"/>
                <w:color w:val="auto"/>
              </w:rPr>
              <w:t>ARTICLE 8</w:t>
            </w:r>
          </w:p>
        </w:tc>
        <w:tc>
          <w:tcPr>
            <w:tcW w:w="7560" w:type="dxa"/>
            <w:vAlign w:val="bottom"/>
          </w:tcPr>
          <w:p>
            <w:pPr>
              <w:ind w:left="220"/>
              <w:spacing w:after="0"/>
              <w:rPr>
                <w:sz w:val="20"/>
                <w:szCs w:val="20"/>
                <w:color w:val="auto"/>
              </w:rPr>
            </w:pPr>
            <w:r>
              <w:rPr>
                <w:rFonts w:ascii="Arial" w:cs="Arial" w:eastAsia="Arial" w:hAnsi="Arial"/>
                <w:sz w:val="22"/>
                <w:szCs w:val="22"/>
                <w:color w:val="auto"/>
              </w:rPr>
              <w:t>MP COMBINATION THERAPIES</w:t>
            </w:r>
          </w:p>
        </w:tc>
        <w:tc>
          <w:tcPr>
            <w:tcW w:w="21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8.1</w:t>
            </w:r>
          </w:p>
        </w:tc>
        <w:tc>
          <w:tcPr>
            <w:tcW w:w="7560" w:type="dxa"/>
            <w:vAlign w:val="bottom"/>
          </w:tcPr>
          <w:p>
            <w:pPr>
              <w:ind w:left="220"/>
              <w:spacing w:after="0"/>
              <w:rPr>
                <w:sz w:val="20"/>
                <w:szCs w:val="20"/>
                <w:color w:val="auto"/>
              </w:rPr>
            </w:pPr>
            <w:r>
              <w:rPr>
                <w:rFonts w:ascii="Arial" w:cs="Arial" w:eastAsia="Arial" w:hAnsi="Arial"/>
                <w:sz w:val="22"/>
                <w:szCs w:val="22"/>
                <w:color w:val="auto"/>
              </w:rPr>
              <w:t>General</w:t>
            </w:r>
          </w:p>
        </w:tc>
        <w:tc>
          <w:tcPr>
            <w:tcW w:w="21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8.2</w:t>
            </w:r>
          </w:p>
        </w:tc>
        <w:tc>
          <w:tcPr>
            <w:tcW w:w="7560" w:type="dxa"/>
            <w:vAlign w:val="bottom"/>
          </w:tcPr>
          <w:p>
            <w:pPr>
              <w:ind w:left="220"/>
              <w:spacing w:after="0"/>
              <w:rPr>
                <w:sz w:val="20"/>
                <w:szCs w:val="20"/>
                <w:color w:val="auto"/>
              </w:rPr>
            </w:pPr>
            <w:r>
              <w:rPr>
                <w:rFonts w:ascii="Arial" w:cs="Arial" w:eastAsia="Arial" w:hAnsi="Arial"/>
                <w:sz w:val="22"/>
                <w:szCs w:val="22"/>
                <w:color w:val="auto"/>
              </w:rPr>
              <w:t>Restrictions</w:t>
            </w:r>
          </w:p>
        </w:tc>
        <w:tc>
          <w:tcPr>
            <w:tcW w:w="21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8.3</w:t>
            </w:r>
          </w:p>
        </w:tc>
        <w:tc>
          <w:tcPr>
            <w:tcW w:w="7560" w:type="dxa"/>
            <w:vAlign w:val="bottom"/>
          </w:tcPr>
          <w:p>
            <w:pPr>
              <w:ind w:left="220"/>
              <w:spacing w:after="0"/>
              <w:rPr>
                <w:sz w:val="20"/>
                <w:szCs w:val="20"/>
                <w:color w:val="auto"/>
              </w:rPr>
            </w:pPr>
            <w:r>
              <w:rPr>
                <w:rFonts w:ascii="Arial" w:cs="Arial" w:eastAsia="Arial" w:hAnsi="Arial"/>
                <w:sz w:val="22"/>
                <w:szCs w:val="22"/>
                <w:color w:val="auto"/>
              </w:rPr>
              <w:t>Supply</w:t>
            </w:r>
          </w:p>
        </w:tc>
        <w:tc>
          <w:tcPr>
            <w:tcW w:w="21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8.4</w:t>
            </w:r>
          </w:p>
        </w:tc>
        <w:tc>
          <w:tcPr>
            <w:tcW w:w="7560" w:type="dxa"/>
            <w:vAlign w:val="bottom"/>
          </w:tcPr>
          <w:p>
            <w:pPr>
              <w:ind w:left="220"/>
              <w:spacing w:after="0"/>
              <w:rPr>
                <w:sz w:val="20"/>
                <w:szCs w:val="20"/>
                <w:color w:val="auto"/>
              </w:rPr>
            </w:pPr>
            <w:r>
              <w:rPr>
                <w:rFonts w:ascii="Arial" w:cs="Arial" w:eastAsia="Arial" w:hAnsi="Arial"/>
                <w:sz w:val="22"/>
                <w:szCs w:val="22"/>
                <w:color w:val="auto"/>
              </w:rPr>
              <w:t>JSC Update</w:t>
            </w:r>
          </w:p>
        </w:tc>
        <w:tc>
          <w:tcPr>
            <w:tcW w:w="21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8.5</w:t>
            </w:r>
          </w:p>
        </w:tc>
        <w:tc>
          <w:tcPr>
            <w:tcW w:w="7560" w:type="dxa"/>
            <w:vAlign w:val="bottom"/>
          </w:tcPr>
          <w:p>
            <w:pPr>
              <w:ind w:left="220"/>
              <w:spacing w:after="0"/>
              <w:rPr>
                <w:sz w:val="20"/>
                <w:szCs w:val="20"/>
                <w:color w:val="auto"/>
              </w:rPr>
            </w:pPr>
            <w:r>
              <w:rPr>
                <w:rFonts w:ascii="Arial" w:cs="Arial" w:eastAsia="Arial" w:hAnsi="Arial"/>
                <w:sz w:val="22"/>
                <w:szCs w:val="22"/>
                <w:color w:val="auto"/>
              </w:rPr>
              <w:t>Regulatory Matters for MP Combination Therapies.</w:t>
            </w:r>
          </w:p>
        </w:tc>
        <w:tc>
          <w:tcPr>
            <w:tcW w:w="21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8.6</w:t>
            </w:r>
          </w:p>
        </w:tc>
        <w:tc>
          <w:tcPr>
            <w:tcW w:w="7560" w:type="dxa"/>
            <w:vAlign w:val="bottom"/>
          </w:tcPr>
          <w:p>
            <w:pPr>
              <w:ind w:left="220"/>
              <w:spacing w:after="0"/>
              <w:rPr>
                <w:sz w:val="20"/>
                <w:szCs w:val="20"/>
                <w:color w:val="auto"/>
              </w:rPr>
            </w:pPr>
            <w:r>
              <w:rPr>
                <w:rFonts w:ascii="Arial" w:cs="Arial" w:eastAsia="Arial" w:hAnsi="Arial"/>
                <w:sz w:val="22"/>
                <w:szCs w:val="22"/>
                <w:color w:val="auto"/>
              </w:rPr>
              <w:t>Commercialization of MP Combination Therapies</w:t>
            </w:r>
          </w:p>
        </w:tc>
        <w:tc>
          <w:tcPr>
            <w:tcW w:w="21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1520" w:type="dxa"/>
            <w:vAlign w:val="bottom"/>
          </w:tcPr>
          <w:p>
            <w:pPr>
              <w:spacing w:after="0"/>
              <w:rPr>
                <w:sz w:val="20"/>
                <w:szCs w:val="20"/>
                <w:color w:val="auto"/>
              </w:rPr>
            </w:pPr>
            <w:r>
              <w:rPr>
                <w:rFonts w:ascii="Arial" w:cs="Arial" w:eastAsia="Arial" w:hAnsi="Arial"/>
                <w:sz w:val="22"/>
                <w:szCs w:val="22"/>
                <w:color w:val="auto"/>
              </w:rPr>
              <w:t>ARTICLE 9</w:t>
            </w:r>
          </w:p>
        </w:tc>
        <w:tc>
          <w:tcPr>
            <w:tcW w:w="7560" w:type="dxa"/>
            <w:vAlign w:val="bottom"/>
          </w:tcPr>
          <w:p>
            <w:pPr>
              <w:ind w:left="220"/>
              <w:spacing w:after="0"/>
              <w:rPr>
                <w:sz w:val="20"/>
                <w:szCs w:val="20"/>
                <w:color w:val="auto"/>
              </w:rPr>
            </w:pPr>
            <w:r>
              <w:rPr>
                <w:rFonts w:ascii="Arial" w:cs="Arial" w:eastAsia="Arial" w:hAnsi="Arial"/>
                <w:sz w:val="22"/>
                <w:szCs w:val="22"/>
                <w:color w:val="auto"/>
              </w:rPr>
              <w:t>FINANCIALS</w:t>
            </w:r>
          </w:p>
        </w:tc>
        <w:tc>
          <w:tcPr>
            <w:tcW w:w="21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9.1</w:t>
            </w:r>
          </w:p>
        </w:tc>
        <w:tc>
          <w:tcPr>
            <w:tcW w:w="7560" w:type="dxa"/>
            <w:vAlign w:val="bottom"/>
          </w:tcPr>
          <w:p>
            <w:pPr>
              <w:ind w:left="220"/>
              <w:spacing w:after="0"/>
              <w:rPr>
                <w:sz w:val="20"/>
                <w:szCs w:val="20"/>
                <w:color w:val="auto"/>
              </w:rPr>
            </w:pPr>
            <w:r>
              <w:rPr>
                <w:rFonts w:ascii="Arial" w:cs="Arial" w:eastAsia="Arial" w:hAnsi="Arial"/>
                <w:sz w:val="22"/>
                <w:szCs w:val="22"/>
                <w:color w:val="auto"/>
              </w:rPr>
              <w:t>Upfront Fee</w:t>
            </w:r>
          </w:p>
        </w:tc>
        <w:tc>
          <w:tcPr>
            <w:tcW w:w="21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9.2</w:t>
            </w:r>
          </w:p>
        </w:tc>
        <w:tc>
          <w:tcPr>
            <w:tcW w:w="7560" w:type="dxa"/>
            <w:vAlign w:val="bottom"/>
          </w:tcPr>
          <w:p>
            <w:pPr>
              <w:ind w:left="220"/>
              <w:spacing w:after="0"/>
              <w:rPr>
                <w:sz w:val="20"/>
                <w:szCs w:val="20"/>
                <w:color w:val="auto"/>
              </w:rPr>
            </w:pPr>
            <w:r>
              <w:rPr>
                <w:rFonts w:ascii="Arial" w:cs="Arial" w:eastAsia="Arial" w:hAnsi="Arial"/>
                <w:sz w:val="22"/>
                <w:szCs w:val="22"/>
                <w:color w:val="auto"/>
              </w:rPr>
              <w:t>Development Costs</w:t>
            </w:r>
          </w:p>
        </w:tc>
        <w:tc>
          <w:tcPr>
            <w:tcW w:w="21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9.3</w:t>
            </w:r>
          </w:p>
        </w:tc>
        <w:tc>
          <w:tcPr>
            <w:tcW w:w="7560" w:type="dxa"/>
            <w:vAlign w:val="bottom"/>
          </w:tcPr>
          <w:p>
            <w:pPr>
              <w:ind w:left="220"/>
              <w:spacing w:after="0"/>
              <w:rPr>
                <w:sz w:val="20"/>
                <w:szCs w:val="20"/>
                <w:color w:val="auto"/>
              </w:rPr>
            </w:pPr>
            <w:r>
              <w:rPr>
                <w:rFonts w:ascii="Arial" w:cs="Arial" w:eastAsia="Arial" w:hAnsi="Arial"/>
                <w:sz w:val="22"/>
                <w:szCs w:val="22"/>
                <w:color w:val="auto"/>
              </w:rPr>
              <w:t>Development Milestone Payments</w:t>
            </w:r>
          </w:p>
        </w:tc>
        <w:tc>
          <w:tcPr>
            <w:tcW w:w="21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9.4</w:t>
            </w:r>
          </w:p>
        </w:tc>
        <w:tc>
          <w:tcPr>
            <w:tcW w:w="7560" w:type="dxa"/>
            <w:vAlign w:val="bottom"/>
          </w:tcPr>
          <w:p>
            <w:pPr>
              <w:ind w:left="220"/>
              <w:spacing w:after="0"/>
              <w:rPr>
                <w:sz w:val="20"/>
                <w:szCs w:val="20"/>
                <w:color w:val="auto"/>
              </w:rPr>
            </w:pPr>
            <w:r>
              <w:rPr>
                <w:rFonts w:ascii="Arial" w:cs="Arial" w:eastAsia="Arial" w:hAnsi="Arial"/>
                <w:sz w:val="22"/>
                <w:szCs w:val="22"/>
                <w:color w:val="auto"/>
              </w:rPr>
              <w:t>Sales Milestone Payments</w:t>
            </w:r>
          </w:p>
        </w:tc>
        <w:tc>
          <w:tcPr>
            <w:tcW w:w="21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9.5</w:t>
            </w:r>
          </w:p>
        </w:tc>
        <w:tc>
          <w:tcPr>
            <w:tcW w:w="7560" w:type="dxa"/>
            <w:vAlign w:val="bottom"/>
          </w:tcPr>
          <w:p>
            <w:pPr>
              <w:ind w:left="220"/>
              <w:spacing w:after="0"/>
              <w:rPr>
                <w:sz w:val="20"/>
                <w:szCs w:val="20"/>
                <w:color w:val="auto"/>
              </w:rPr>
            </w:pPr>
            <w:r>
              <w:rPr>
                <w:rFonts w:ascii="Arial" w:cs="Arial" w:eastAsia="Arial" w:hAnsi="Arial"/>
                <w:sz w:val="22"/>
                <w:szCs w:val="22"/>
                <w:color w:val="auto"/>
              </w:rPr>
              <w:t>Royalties</w:t>
            </w:r>
          </w:p>
        </w:tc>
        <w:tc>
          <w:tcPr>
            <w:tcW w:w="21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9.6</w:t>
            </w:r>
          </w:p>
        </w:tc>
        <w:tc>
          <w:tcPr>
            <w:tcW w:w="7560" w:type="dxa"/>
            <w:vAlign w:val="bottom"/>
          </w:tcPr>
          <w:p>
            <w:pPr>
              <w:ind w:left="220"/>
              <w:spacing w:after="0"/>
              <w:rPr>
                <w:sz w:val="20"/>
                <w:szCs w:val="20"/>
                <w:color w:val="auto"/>
              </w:rPr>
            </w:pPr>
            <w:r>
              <w:rPr>
                <w:rFonts w:ascii="Arial" w:cs="Arial" w:eastAsia="Arial" w:hAnsi="Arial"/>
                <w:sz w:val="22"/>
                <w:szCs w:val="22"/>
                <w:color w:val="auto"/>
              </w:rPr>
              <w:t>Third Party Intellectual Property</w:t>
            </w:r>
          </w:p>
        </w:tc>
        <w:tc>
          <w:tcPr>
            <w:tcW w:w="21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9.7</w:t>
            </w:r>
          </w:p>
        </w:tc>
        <w:tc>
          <w:tcPr>
            <w:tcW w:w="7560" w:type="dxa"/>
            <w:vAlign w:val="bottom"/>
          </w:tcPr>
          <w:p>
            <w:pPr>
              <w:ind w:left="220"/>
              <w:spacing w:after="0"/>
              <w:rPr>
                <w:sz w:val="20"/>
                <w:szCs w:val="20"/>
                <w:color w:val="auto"/>
              </w:rPr>
            </w:pPr>
            <w:r>
              <w:rPr>
                <w:rFonts w:ascii="Arial" w:cs="Arial" w:eastAsia="Arial" w:hAnsi="Arial"/>
                <w:sz w:val="22"/>
                <w:szCs w:val="22"/>
                <w:color w:val="auto"/>
              </w:rPr>
              <w:t>Method of Payment; Currency Conversion</w:t>
            </w:r>
          </w:p>
        </w:tc>
        <w:tc>
          <w:tcPr>
            <w:tcW w:w="21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9.8</w:t>
            </w:r>
          </w:p>
        </w:tc>
        <w:tc>
          <w:tcPr>
            <w:tcW w:w="7560" w:type="dxa"/>
            <w:vAlign w:val="bottom"/>
          </w:tcPr>
          <w:p>
            <w:pPr>
              <w:ind w:left="220"/>
              <w:spacing w:after="0"/>
              <w:rPr>
                <w:sz w:val="20"/>
                <w:szCs w:val="20"/>
                <w:color w:val="auto"/>
              </w:rPr>
            </w:pPr>
            <w:r>
              <w:rPr>
                <w:rFonts w:ascii="Arial" w:cs="Arial" w:eastAsia="Arial" w:hAnsi="Arial"/>
                <w:sz w:val="22"/>
                <w:szCs w:val="22"/>
                <w:color w:val="auto"/>
              </w:rPr>
              <w:t>Blocked Currency</w:t>
            </w:r>
          </w:p>
        </w:tc>
        <w:tc>
          <w:tcPr>
            <w:tcW w:w="21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9.9</w:t>
            </w:r>
          </w:p>
        </w:tc>
        <w:tc>
          <w:tcPr>
            <w:tcW w:w="7560" w:type="dxa"/>
            <w:vAlign w:val="bottom"/>
          </w:tcPr>
          <w:p>
            <w:pPr>
              <w:ind w:left="220"/>
              <w:spacing w:after="0"/>
              <w:rPr>
                <w:sz w:val="20"/>
                <w:szCs w:val="20"/>
                <w:color w:val="auto"/>
              </w:rPr>
            </w:pPr>
            <w:r>
              <w:rPr>
                <w:rFonts w:ascii="Arial" w:cs="Arial" w:eastAsia="Arial" w:hAnsi="Arial"/>
                <w:sz w:val="22"/>
                <w:szCs w:val="22"/>
                <w:color w:val="auto"/>
              </w:rPr>
              <w:t>Late Payments</w:t>
            </w:r>
          </w:p>
        </w:tc>
        <w:tc>
          <w:tcPr>
            <w:tcW w:w="21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9.10</w:t>
            </w:r>
          </w:p>
        </w:tc>
        <w:tc>
          <w:tcPr>
            <w:tcW w:w="7560" w:type="dxa"/>
            <w:vAlign w:val="bottom"/>
          </w:tcPr>
          <w:p>
            <w:pPr>
              <w:ind w:left="220"/>
              <w:spacing w:after="0"/>
              <w:rPr>
                <w:sz w:val="20"/>
                <w:szCs w:val="20"/>
                <w:color w:val="auto"/>
              </w:rPr>
            </w:pPr>
            <w:r>
              <w:rPr>
                <w:rFonts w:ascii="Arial" w:cs="Arial" w:eastAsia="Arial" w:hAnsi="Arial"/>
                <w:sz w:val="22"/>
                <w:szCs w:val="22"/>
                <w:color w:val="auto"/>
              </w:rPr>
              <w:t>Financial Records; Audits</w:t>
            </w:r>
          </w:p>
        </w:tc>
        <w:tc>
          <w:tcPr>
            <w:tcW w:w="21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9.11</w:t>
            </w:r>
          </w:p>
        </w:tc>
        <w:tc>
          <w:tcPr>
            <w:tcW w:w="7560" w:type="dxa"/>
            <w:vAlign w:val="bottom"/>
          </w:tcPr>
          <w:p>
            <w:pPr>
              <w:ind w:left="220"/>
              <w:spacing w:after="0"/>
              <w:rPr>
                <w:sz w:val="20"/>
                <w:szCs w:val="20"/>
                <w:color w:val="auto"/>
              </w:rPr>
            </w:pPr>
            <w:r>
              <w:rPr>
                <w:rFonts w:ascii="Arial" w:cs="Arial" w:eastAsia="Arial" w:hAnsi="Arial"/>
                <w:sz w:val="22"/>
                <w:szCs w:val="22"/>
                <w:color w:val="auto"/>
              </w:rPr>
              <w:t>Taxes</w:t>
            </w:r>
          </w:p>
        </w:tc>
        <w:tc>
          <w:tcPr>
            <w:tcW w:w="21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10"/>
        </w:trPr>
        <w:tc>
          <w:tcPr>
            <w:tcW w:w="1520" w:type="dxa"/>
            <w:vAlign w:val="bottom"/>
          </w:tcPr>
          <w:p>
            <w:pPr>
              <w:spacing w:after="0"/>
              <w:rPr>
                <w:sz w:val="20"/>
                <w:szCs w:val="20"/>
                <w:color w:val="auto"/>
              </w:rPr>
            </w:pPr>
            <w:r>
              <w:rPr>
                <w:rFonts w:ascii="Arial" w:cs="Arial" w:eastAsia="Arial" w:hAnsi="Arial"/>
                <w:sz w:val="22"/>
                <w:szCs w:val="22"/>
                <w:color w:val="auto"/>
              </w:rPr>
              <w:t>ARTICLE 10</w:t>
            </w:r>
          </w:p>
        </w:tc>
        <w:tc>
          <w:tcPr>
            <w:tcW w:w="7560" w:type="dxa"/>
            <w:vAlign w:val="bottom"/>
          </w:tcPr>
          <w:p>
            <w:pPr>
              <w:ind w:left="220"/>
              <w:spacing w:after="0"/>
              <w:rPr>
                <w:sz w:val="20"/>
                <w:szCs w:val="20"/>
                <w:color w:val="auto"/>
              </w:rPr>
            </w:pPr>
            <w:r>
              <w:rPr>
                <w:rFonts w:ascii="Arial" w:cs="Arial" w:eastAsia="Arial" w:hAnsi="Arial"/>
                <w:sz w:val="22"/>
                <w:szCs w:val="22"/>
                <w:color w:val="auto"/>
              </w:rPr>
              <w:t>INTELLECTUAL PROPERTY</w:t>
            </w:r>
          </w:p>
        </w:tc>
        <w:tc>
          <w:tcPr>
            <w:tcW w:w="21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10.1</w:t>
            </w:r>
          </w:p>
        </w:tc>
        <w:tc>
          <w:tcPr>
            <w:tcW w:w="7560" w:type="dxa"/>
            <w:vAlign w:val="bottom"/>
          </w:tcPr>
          <w:p>
            <w:pPr>
              <w:ind w:left="220"/>
              <w:spacing w:after="0"/>
              <w:rPr>
                <w:sz w:val="20"/>
                <w:szCs w:val="20"/>
                <w:color w:val="auto"/>
              </w:rPr>
            </w:pPr>
            <w:r>
              <w:rPr>
                <w:rFonts w:ascii="Arial" w:cs="Arial" w:eastAsia="Arial" w:hAnsi="Arial"/>
                <w:sz w:val="22"/>
                <w:szCs w:val="22"/>
                <w:color w:val="auto"/>
              </w:rPr>
              <w:t>Ownership of Inventions</w:t>
            </w:r>
          </w:p>
        </w:tc>
        <w:tc>
          <w:tcPr>
            <w:tcW w:w="21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10.2</w:t>
            </w:r>
          </w:p>
        </w:tc>
        <w:tc>
          <w:tcPr>
            <w:tcW w:w="7560" w:type="dxa"/>
            <w:vAlign w:val="bottom"/>
          </w:tcPr>
          <w:p>
            <w:pPr>
              <w:ind w:left="220"/>
              <w:spacing w:after="0"/>
              <w:rPr>
                <w:sz w:val="20"/>
                <w:szCs w:val="20"/>
                <w:color w:val="auto"/>
              </w:rPr>
            </w:pPr>
            <w:r>
              <w:rPr>
                <w:rFonts w:ascii="Arial" w:cs="Arial" w:eastAsia="Arial" w:hAnsi="Arial"/>
                <w:sz w:val="22"/>
                <w:szCs w:val="22"/>
                <w:color w:val="auto"/>
              </w:rPr>
              <w:t>Prosecution of Patents.</w:t>
            </w:r>
          </w:p>
        </w:tc>
        <w:tc>
          <w:tcPr>
            <w:tcW w:w="21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10.3</w:t>
            </w:r>
          </w:p>
        </w:tc>
        <w:tc>
          <w:tcPr>
            <w:tcW w:w="7560" w:type="dxa"/>
            <w:vAlign w:val="bottom"/>
          </w:tcPr>
          <w:p>
            <w:pPr>
              <w:ind w:left="220"/>
              <w:spacing w:after="0"/>
              <w:rPr>
                <w:sz w:val="20"/>
                <w:szCs w:val="20"/>
                <w:color w:val="auto"/>
              </w:rPr>
            </w:pPr>
            <w:r>
              <w:rPr>
                <w:rFonts w:ascii="Arial" w:cs="Arial" w:eastAsia="Arial" w:hAnsi="Arial"/>
                <w:sz w:val="22"/>
                <w:szCs w:val="22"/>
                <w:color w:val="auto"/>
              </w:rPr>
              <w:t>Enforcement of Molecular Partners Patents and Joint Patents.</w:t>
            </w:r>
          </w:p>
        </w:tc>
        <w:tc>
          <w:tcPr>
            <w:tcW w:w="21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10.4</w:t>
            </w:r>
          </w:p>
        </w:tc>
        <w:tc>
          <w:tcPr>
            <w:tcW w:w="7560" w:type="dxa"/>
            <w:vAlign w:val="bottom"/>
          </w:tcPr>
          <w:p>
            <w:pPr>
              <w:ind w:left="220"/>
              <w:spacing w:after="0"/>
              <w:rPr>
                <w:sz w:val="20"/>
                <w:szCs w:val="20"/>
                <w:color w:val="auto"/>
              </w:rPr>
            </w:pPr>
            <w:r>
              <w:rPr>
                <w:rFonts w:ascii="Arial" w:cs="Arial" w:eastAsia="Arial" w:hAnsi="Arial"/>
                <w:sz w:val="22"/>
                <w:szCs w:val="22"/>
                <w:color w:val="auto"/>
              </w:rPr>
              <w:t>Patents Licensed from Third Parties</w:t>
            </w:r>
          </w:p>
        </w:tc>
        <w:tc>
          <w:tcPr>
            <w:tcW w:w="21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10.5</w:t>
            </w:r>
          </w:p>
        </w:tc>
        <w:tc>
          <w:tcPr>
            <w:tcW w:w="7560" w:type="dxa"/>
            <w:vAlign w:val="bottom"/>
          </w:tcPr>
          <w:p>
            <w:pPr>
              <w:ind w:left="220"/>
              <w:spacing w:after="0"/>
              <w:rPr>
                <w:sz w:val="20"/>
                <w:szCs w:val="20"/>
                <w:color w:val="auto"/>
              </w:rPr>
            </w:pPr>
            <w:r>
              <w:rPr>
                <w:rFonts w:ascii="Arial" w:cs="Arial" w:eastAsia="Arial" w:hAnsi="Arial"/>
                <w:sz w:val="22"/>
                <w:szCs w:val="22"/>
                <w:color w:val="auto"/>
              </w:rPr>
              <w:t>Infringement of Third Party Rights in the Territory</w:t>
            </w:r>
          </w:p>
        </w:tc>
        <w:tc>
          <w:tcPr>
            <w:tcW w:w="212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10.6</w:t>
            </w:r>
          </w:p>
        </w:tc>
        <w:tc>
          <w:tcPr>
            <w:tcW w:w="7560" w:type="dxa"/>
            <w:vAlign w:val="bottom"/>
          </w:tcPr>
          <w:p>
            <w:pPr>
              <w:ind w:left="220"/>
              <w:spacing w:after="0"/>
              <w:rPr>
                <w:sz w:val="20"/>
                <w:szCs w:val="20"/>
                <w:color w:val="auto"/>
              </w:rPr>
            </w:pPr>
            <w:r>
              <w:rPr>
                <w:rFonts w:ascii="Arial" w:cs="Arial" w:eastAsia="Arial" w:hAnsi="Arial"/>
                <w:sz w:val="22"/>
                <w:szCs w:val="22"/>
                <w:color w:val="auto"/>
              </w:rPr>
              <w:t>Defense of Patents</w:t>
            </w:r>
          </w:p>
        </w:tc>
        <w:tc>
          <w:tcPr>
            <w:tcW w:w="2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10.7</w:t>
            </w:r>
          </w:p>
        </w:tc>
        <w:tc>
          <w:tcPr>
            <w:tcW w:w="7560" w:type="dxa"/>
            <w:vAlign w:val="bottom"/>
          </w:tcPr>
          <w:p>
            <w:pPr>
              <w:ind w:left="220"/>
              <w:spacing w:after="0"/>
              <w:rPr>
                <w:sz w:val="20"/>
                <w:szCs w:val="20"/>
                <w:color w:val="auto"/>
              </w:rPr>
            </w:pPr>
            <w:r>
              <w:rPr>
                <w:rFonts w:ascii="Arial" w:cs="Arial" w:eastAsia="Arial" w:hAnsi="Arial"/>
                <w:sz w:val="22"/>
                <w:szCs w:val="22"/>
                <w:color w:val="auto"/>
              </w:rPr>
              <w:t>Patent Term Extension</w:t>
            </w:r>
          </w:p>
        </w:tc>
        <w:tc>
          <w:tcPr>
            <w:tcW w:w="2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10.8</w:t>
            </w:r>
          </w:p>
        </w:tc>
        <w:tc>
          <w:tcPr>
            <w:tcW w:w="7560" w:type="dxa"/>
            <w:vAlign w:val="bottom"/>
          </w:tcPr>
          <w:p>
            <w:pPr>
              <w:ind w:left="220"/>
              <w:spacing w:after="0"/>
              <w:rPr>
                <w:sz w:val="20"/>
                <w:szCs w:val="20"/>
                <w:color w:val="auto"/>
              </w:rPr>
            </w:pPr>
            <w:r>
              <w:rPr>
                <w:rFonts w:ascii="Arial" w:cs="Arial" w:eastAsia="Arial" w:hAnsi="Arial"/>
                <w:sz w:val="22"/>
                <w:szCs w:val="22"/>
                <w:color w:val="auto"/>
              </w:rPr>
              <w:t>Patent Marking</w:t>
            </w:r>
          </w:p>
        </w:tc>
        <w:tc>
          <w:tcPr>
            <w:tcW w:w="21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10.9</w:t>
            </w:r>
          </w:p>
        </w:tc>
        <w:tc>
          <w:tcPr>
            <w:tcW w:w="7560" w:type="dxa"/>
            <w:vAlign w:val="bottom"/>
          </w:tcPr>
          <w:p>
            <w:pPr>
              <w:ind w:left="220"/>
              <w:spacing w:after="0"/>
              <w:rPr>
                <w:sz w:val="20"/>
                <w:szCs w:val="20"/>
                <w:color w:val="auto"/>
              </w:rPr>
            </w:pPr>
            <w:r>
              <w:rPr>
                <w:rFonts w:ascii="Arial" w:cs="Arial" w:eastAsia="Arial" w:hAnsi="Arial"/>
                <w:sz w:val="22"/>
                <w:szCs w:val="22"/>
                <w:color w:val="auto"/>
              </w:rPr>
              <w:t>Personnel Obligations</w:t>
            </w:r>
          </w:p>
        </w:tc>
        <w:tc>
          <w:tcPr>
            <w:tcW w:w="21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10.10</w:t>
            </w:r>
          </w:p>
        </w:tc>
        <w:tc>
          <w:tcPr>
            <w:tcW w:w="7560" w:type="dxa"/>
            <w:vAlign w:val="bottom"/>
          </w:tcPr>
          <w:p>
            <w:pPr>
              <w:ind w:left="220"/>
              <w:spacing w:after="0"/>
              <w:rPr>
                <w:sz w:val="20"/>
                <w:szCs w:val="20"/>
                <w:color w:val="auto"/>
              </w:rPr>
            </w:pPr>
            <w:r>
              <w:rPr>
                <w:rFonts w:ascii="Arial" w:cs="Arial" w:eastAsia="Arial" w:hAnsi="Arial"/>
                <w:sz w:val="22"/>
                <w:szCs w:val="22"/>
                <w:color w:val="auto"/>
              </w:rPr>
              <w:t>Trademarks, Corporate Logos and other Intellectual Property Rights</w:t>
            </w:r>
          </w:p>
        </w:tc>
        <w:tc>
          <w:tcPr>
            <w:tcW w:w="21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1520" w:type="dxa"/>
            <w:vAlign w:val="bottom"/>
          </w:tcPr>
          <w:p>
            <w:pPr>
              <w:spacing w:after="0"/>
              <w:rPr>
                <w:sz w:val="20"/>
                <w:szCs w:val="20"/>
                <w:color w:val="auto"/>
              </w:rPr>
            </w:pPr>
            <w:r>
              <w:rPr>
                <w:rFonts w:ascii="Arial" w:cs="Arial" w:eastAsia="Arial" w:hAnsi="Arial"/>
                <w:sz w:val="22"/>
                <w:szCs w:val="22"/>
                <w:color w:val="auto"/>
              </w:rPr>
              <w:t>ARTICLE 11</w:t>
            </w:r>
          </w:p>
        </w:tc>
        <w:tc>
          <w:tcPr>
            <w:tcW w:w="7560" w:type="dxa"/>
            <w:vAlign w:val="bottom"/>
          </w:tcPr>
          <w:p>
            <w:pPr>
              <w:ind w:left="220"/>
              <w:spacing w:after="0"/>
              <w:rPr>
                <w:sz w:val="20"/>
                <w:szCs w:val="20"/>
                <w:color w:val="auto"/>
              </w:rPr>
            </w:pPr>
            <w:r>
              <w:rPr>
                <w:rFonts w:ascii="Arial" w:cs="Arial" w:eastAsia="Arial" w:hAnsi="Arial"/>
                <w:sz w:val="22"/>
                <w:szCs w:val="22"/>
                <w:color w:val="auto"/>
              </w:rPr>
              <w:t>REPRESENTATIONS AND WARRANTIES; COVENANTS</w:t>
            </w:r>
          </w:p>
        </w:tc>
        <w:tc>
          <w:tcPr>
            <w:tcW w:w="21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11.1</w:t>
            </w:r>
          </w:p>
        </w:tc>
        <w:tc>
          <w:tcPr>
            <w:tcW w:w="7560" w:type="dxa"/>
            <w:vAlign w:val="bottom"/>
          </w:tcPr>
          <w:p>
            <w:pPr>
              <w:ind w:left="220"/>
              <w:spacing w:after="0"/>
              <w:rPr>
                <w:sz w:val="20"/>
                <w:szCs w:val="20"/>
                <w:color w:val="auto"/>
              </w:rPr>
            </w:pPr>
            <w:r>
              <w:rPr>
                <w:rFonts w:ascii="Arial" w:cs="Arial" w:eastAsia="Arial" w:hAnsi="Arial"/>
                <w:sz w:val="22"/>
                <w:szCs w:val="22"/>
                <w:color w:val="auto"/>
              </w:rPr>
              <w:t>Mutual Representations and Warranties</w:t>
            </w:r>
          </w:p>
        </w:tc>
        <w:tc>
          <w:tcPr>
            <w:tcW w:w="21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11.2</w:t>
            </w:r>
          </w:p>
        </w:tc>
        <w:tc>
          <w:tcPr>
            <w:tcW w:w="7560" w:type="dxa"/>
            <w:vAlign w:val="bottom"/>
          </w:tcPr>
          <w:p>
            <w:pPr>
              <w:ind w:left="220"/>
              <w:spacing w:after="0"/>
              <w:rPr>
                <w:sz w:val="20"/>
                <w:szCs w:val="20"/>
                <w:color w:val="auto"/>
              </w:rPr>
            </w:pPr>
            <w:r>
              <w:rPr>
                <w:rFonts w:ascii="Arial" w:cs="Arial" w:eastAsia="Arial" w:hAnsi="Arial"/>
                <w:sz w:val="22"/>
                <w:szCs w:val="22"/>
                <w:color w:val="auto"/>
              </w:rPr>
              <w:t>Representations and Warranties by Molecular Partners</w:t>
            </w:r>
          </w:p>
        </w:tc>
        <w:tc>
          <w:tcPr>
            <w:tcW w:w="2120" w:type="dxa"/>
            <w:vAlign w:val="bottom"/>
          </w:tcPr>
          <w:p>
            <w:pPr>
              <w:jc w:val="right"/>
              <w:spacing w:after="0"/>
              <w:rPr>
                <w:sz w:val="20"/>
                <w:szCs w:val="20"/>
                <w:color w:val="auto"/>
              </w:rPr>
            </w:pPr>
            <w:r>
              <w:rPr>
                <w:rFonts w:ascii="Arial" w:cs="Arial" w:eastAsia="Arial" w:hAnsi="Arial"/>
                <w:sz w:val="22"/>
                <w:szCs w:val="22"/>
                <w:color w:val="auto"/>
              </w:rPr>
              <w:t>54</w:t>
            </w:r>
          </w:p>
        </w:tc>
      </w:tr>
    </w:tbl>
    <w:p>
      <w:pPr>
        <w:spacing w:after="0" w:line="200" w:lineRule="exact"/>
        <w:rPr>
          <w:sz w:val="20"/>
          <w:szCs w:val="20"/>
          <w:color w:val="auto"/>
        </w:rPr>
      </w:pPr>
    </w:p>
    <w:p>
      <w:pPr>
        <w:sectPr>
          <w:pgSz w:w="11900" w:h="16838" w:orient="portrait"/>
          <w:cols w:equalWidth="0" w:num="1">
            <w:col w:w="11200"/>
          </w:cols>
          <w:pgMar w:left="34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79" w:right="359" w:bottom="1440" w:gutter="0" w:footer="0" w:header="0"/>
          <w:type w:val="continuous"/>
        </w:sectPr>
      </w:pPr>
    </w:p>
    <w:bookmarkStart w:id="582" w:name="page583"/>
    <w:bookmarkEnd w:id="582"/>
    <w:p>
      <w:pPr>
        <w:jc w:val="center"/>
        <w:ind w:left="4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ONTENT</w:t>
      </w:r>
    </w:p>
    <w:p>
      <w:pPr>
        <w:spacing w:after="0" w:line="5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(CONTINUED)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5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280" w:type="dxa"/>
            <w:vAlign w:val="bottom"/>
          </w:tcPr>
          <w:p>
            <w:pPr>
              <w:jc w:val="right"/>
              <w:ind w:right="52"/>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AGE</w:t>
            </w:r>
          </w:p>
        </w:tc>
      </w:tr>
      <w:tr>
        <w:trPr>
          <w:trHeight w:val="716"/>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11.3</w:t>
            </w:r>
          </w:p>
        </w:tc>
        <w:tc>
          <w:tcPr>
            <w:tcW w:w="6400" w:type="dxa"/>
            <w:vAlign w:val="bottom"/>
          </w:tcPr>
          <w:p>
            <w:pPr>
              <w:ind w:left="220"/>
              <w:spacing w:after="0"/>
              <w:rPr>
                <w:sz w:val="20"/>
                <w:szCs w:val="20"/>
                <w:color w:val="auto"/>
              </w:rPr>
            </w:pPr>
            <w:r>
              <w:rPr>
                <w:rFonts w:ascii="Arial" w:cs="Arial" w:eastAsia="Arial" w:hAnsi="Arial"/>
                <w:sz w:val="22"/>
                <w:szCs w:val="22"/>
                <w:color w:val="auto"/>
              </w:rPr>
              <w:t>Covenants.</w:t>
            </w:r>
          </w:p>
        </w:tc>
        <w:tc>
          <w:tcPr>
            <w:tcW w:w="32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11.4</w:t>
            </w:r>
          </w:p>
        </w:tc>
        <w:tc>
          <w:tcPr>
            <w:tcW w:w="6400" w:type="dxa"/>
            <w:vAlign w:val="bottom"/>
          </w:tcPr>
          <w:p>
            <w:pPr>
              <w:ind w:left="220"/>
              <w:spacing w:after="0"/>
              <w:rPr>
                <w:sz w:val="20"/>
                <w:szCs w:val="20"/>
                <w:color w:val="auto"/>
              </w:rPr>
            </w:pPr>
            <w:r>
              <w:rPr>
                <w:rFonts w:ascii="Arial" w:cs="Arial" w:eastAsia="Arial" w:hAnsi="Arial"/>
                <w:sz w:val="22"/>
                <w:szCs w:val="22"/>
                <w:color w:val="auto"/>
              </w:rPr>
              <w:t>Disclaimer</w:t>
            </w:r>
          </w:p>
        </w:tc>
        <w:tc>
          <w:tcPr>
            <w:tcW w:w="32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11.5</w:t>
            </w:r>
          </w:p>
        </w:tc>
        <w:tc>
          <w:tcPr>
            <w:tcW w:w="6400" w:type="dxa"/>
            <w:vAlign w:val="bottom"/>
          </w:tcPr>
          <w:p>
            <w:pPr>
              <w:ind w:left="220"/>
              <w:spacing w:after="0"/>
              <w:rPr>
                <w:sz w:val="20"/>
                <w:szCs w:val="20"/>
                <w:color w:val="auto"/>
              </w:rPr>
            </w:pPr>
            <w:r>
              <w:rPr>
                <w:rFonts w:ascii="Arial" w:cs="Arial" w:eastAsia="Arial" w:hAnsi="Arial"/>
                <w:sz w:val="22"/>
                <w:szCs w:val="22"/>
                <w:color w:val="auto"/>
              </w:rPr>
              <w:t>No Other Representations or Warranties</w:t>
            </w:r>
          </w:p>
        </w:tc>
        <w:tc>
          <w:tcPr>
            <w:tcW w:w="32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1"/>
        </w:trPr>
        <w:tc>
          <w:tcPr>
            <w:tcW w:w="1520" w:type="dxa"/>
            <w:vAlign w:val="bottom"/>
          </w:tcPr>
          <w:p>
            <w:pPr>
              <w:jc w:val="right"/>
              <w:ind w:right="232"/>
              <w:spacing w:after="0"/>
              <w:rPr>
                <w:sz w:val="20"/>
                <w:szCs w:val="20"/>
                <w:color w:val="auto"/>
              </w:rPr>
            </w:pPr>
            <w:r>
              <w:rPr>
                <w:rFonts w:ascii="Arial" w:cs="Arial" w:eastAsia="Arial" w:hAnsi="Arial"/>
                <w:sz w:val="22"/>
                <w:szCs w:val="22"/>
                <w:color w:val="auto"/>
                <w:w w:val="93"/>
              </w:rPr>
              <w:t>ARTICLE 12</w:t>
            </w:r>
          </w:p>
        </w:tc>
        <w:tc>
          <w:tcPr>
            <w:tcW w:w="6400" w:type="dxa"/>
            <w:vAlign w:val="bottom"/>
          </w:tcPr>
          <w:p>
            <w:pPr>
              <w:ind w:left="220"/>
              <w:spacing w:after="0"/>
              <w:rPr>
                <w:sz w:val="20"/>
                <w:szCs w:val="20"/>
                <w:color w:val="auto"/>
              </w:rPr>
            </w:pPr>
            <w:r>
              <w:rPr>
                <w:rFonts w:ascii="Arial" w:cs="Arial" w:eastAsia="Arial" w:hAnsi="Arial"/>
                <w:sz w:val="22"/>
                <w:szCs w:val="22"/>
                <w:color w:val="auto"/>
              </w:rPr>
              <w:t>INDEMNIFICATION</w:t>
            </w:r>
          </w:p>
        </w:tc>
        <w:tc>
          <w:tcPr>
            <w:tcW w:w="32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12.1</w:t>
            </w:r>
          </w:p>
        </w:tc>
        <w:tc>
          <w:tcPr>
            <w:tcW w:w="6400" w:type="dxa"/>
            <w:vAlign w:val="bottom"/>
          </w:tcPr>
          <w:p>
            <w:pPr>
              <w:ind w:left="220"/>
              <w:spacing w:after="0"/>
              <w:rPr>
                <w:sz w:val="20"/>
                <w:szCs w:val="20"/>
                <w:color w:val="auto"/>
              </w:rPr>
            </w:pPr>
            <w:r>
              <w:rPr>
                <w:rFonts w:ascii="Arial" w:cs="Arial" w:eastAsia="Arial" w:hAnsi="Arial"/>
                <w:sz w:val="22"/>
                <w:szCs w:val="22"/>
                <w:color w:val="auto"/>
              </w:rPr>
              <w:t>Indemnification by Molecular Partners</w:t>
            </w:r>
          </w:p>
        </w:tc>
        <w:tc>
          <w:tcPr>
            <w:tcW w:w="328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12.2</w:t>
            </w:r>
          </w:p>
        </w:tc>
        <w:tc>
          <w:tcPr>
            <w:tcW w:w="6400" w:type="dxa"/>
            <w:vAlign w:val="bottom"/>
          </w:tcPr>
          <w:p>
            <w:pPr>
              <w:ind w:left="220"/>
              <w:spacing w:after="0"/>
              <w:rPr>
                <w:sz w:val="20"/>
                <w:szCs w:val="20"/>
                <w:color w:val="auto"/>
              </w:rPr>
            </w:pPr>
            <w:r>
              <w:rPr>
                <w:rFonts w:ascii="Arial" w:cs="Arial" w:eastAsia="Arial" w:hAnsi="Arial"/>
                <w:sz w:val="22"/>
                <w:szCs w:val="22"/>
                <w:color w:val="auto"/>
              </w:rPr>
              <w:t>Indemnification by Amgen</w:t>
            </w:r>
          </w:p>
        </w:tc>
        <w:tc>
          <w:tcPr>
            <w:tcW w:w="32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12.3</w:t>
            </w:r>
          </w:p>
        </w:tc>
        <w:tc>
          <w:tcPr>
            <w:tcW w:w="6400" w:type="dxa"/>
            <w:vAlign w:val="bottom"/>
          </w:tcPr>
          <w:p>
            <w:pPr>
              <w:ind w:left="220"/>
              <w:spacing w:after="0"/>
              <w:rPr>
                <w:sz w:val="20"/>
                <w:szCs w:val="20"/>
                <w:color w:val="auto"/>
              </w:rPr>
            </w:pPr>
            <w:r>
              <w:rPr>
                <w:rFonts w:ascii="Arial" w:cs="Arial" w:eastAsia="Arial" w:hAnsi="Arial"/>
                <w:sz w:val="22"/>
                <w:szCs w:val="22"/>
                <w:color w:val="auto"/>
              </w:rPr>
              <w:t>Indemnification Procedures</w:t>
            </w:r>
          </w:p>
        </w:tc>
        <w:tc>
          <w:tcPr>
            <w:tcW w:w="32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12.4</w:t>
            </w:r>
          </w:p>
        </w:tc>
        <w:tc>
          <w:tcPr>
            <w:tcW w:w="6400" w:type="dxa"/>
            <w:vAlign w:val="bottom"/>
          </w:tcPr>
          <w:p>
            <w:pPr>
              <w:ind w:left="220"/>
              <w:spacing w:after="0"/>
              <w:rPr>
                <w:sz w:val="20"/>
                <w:szCs w:val="20"/>
                <w:color w:val="auto"/>
              </w:rPr>
            </w:pPr>
            <w:r>
              <w:rPr>
                <w:rFonts w:ascii="Arial" w:cs="Arial" w:eastAsia="Arial" w:hAnsi="Arial"/>
                <w:sz w:val="22"/>
                <w:szCs w:val="22"/>
                <w:color w:val="auto"/>
              </w:rPr>
              <w:t>Insurance</w:t>
            </w:r>
          </w:p>
        </w:tc>
        <w:tc>
          <w:tcPr>
            <w:tcW w:w="32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0"/>
        </w:trPr>
        <w:tc>
          <w:tcPr>
            <w:tcW w:w="1520" w:type="dxa"/>
            <w:vAlign w:val="bottom"/>
          </w:tcPr>
          <w:p>
            <w:pPr>
              <w:jc w:val="right"/>
              <w:ind w:right="232"/>
              <w:spacing w:after="0"/>
              <w:rPr>
                <w:sz w:val="20"/>
                <w:szCs w:val="20"/>
                <w:color w:val="auto"/>
              </w:rPr>
            </w:pPr>
            <w:r>
              <w:rPr>
                <w:rFonts w:ascii="Arial" w:cs="Arial" w:eastAsia="Arial" w:hAnsi="Arial"/>
                <w:sz w:val="22"/>
                <w:szCs w:val="22"/>
                <w:color w:val="auto"/>
                <w:w w:val="93"/>
              </w:rPr>
              <w:t>ARTICLE 13</w:t>
            </w:r>
          </w:p>
        </w:tc>
        <w:tc>
          <w:tcPr>
            <w:tcW w:w="6400" w:type="dxa"/>
            <w:vAlign w:val="bottom"/>
          </w:tcPr>
          <w:p>
            <w:pPr>
              <w:ind w:left="220"/>
              <w:spacing w:after="0"/>
              <w:rPr>
                <w:sz w:val="20"/>
                <w:szCs w:val="20"/>
                <w:color w:val="auto"/>
              </w:rPr>
            </w:pPr>
            <w:r>
              <w:rPr>
                <w:rFonts w:ascii="Arial" w:cs="Arial" w:eastAsia="Arial" w:hAnsi="Arial"/>
                <w:sz w:val="22"/>
                <w:szCs w:val="22"/>
                <w:color w:val="auto"/>
              </w:rPr>
              <w:t>CONFIDENTIALITY</w:t>
            </w:r>
          </w:p>
        </w:tc>
        <w:tc>
          <w:tcPr>
            <w:tcW w:w="32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13.1</w:t>
            </w:r>
          </w:p>
        </w:tc>
        <w:tc>
          <w:tcPr>
            <w:tcW w:w="6400" w:type="dxa"/>
            <w:vAlign w:val="bottom"/>
          </w:tcPr>
          <w:p>
            <w:pPr>
              <w:ind w:left="220"/>
              <w:spacing w:after="0"/>
              <w:rPr>
                <w:sz w:val="20"/>
                <w:szCs w:val="20"/>
                <w:color w:val="auto"/>
              </w:rPr>
            </w:pPr>
            <w:r>
              <w:rPr>
                <w:rFonts w:ascii="Arial" w:cs="Arial" w:eastAsia="Arial" w:hAnsi="Arial"/>
                <w:sz w:val="22"/>
                <w:szCs w:val="22"/>
                <w:color w:val="auto"/>
              </w:rPr>
              <w:t>Confidentiality</w:t>
            </w:r>
          </w:p>
        </w:tc>
        <w:tc>
          <w:tcPr>
            <w:tcW w:w="32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13.2</w:t>
            </w:r>
          </w:p>
        </w:tc>
        <w:tc>
          <w:tcPr>
            <w:tcW w:w="6400" w:type="dxa"/>
            <w:vAlign w:val="bottom"/>
          </w:tcPr>
          <w:p>
            <w:pPr>
              <w:ind w:left="220"/>
              <w:spacing w:after="0"/>
              <w:rPr>
                <w:sz w:val="20"/>
                <w:szCs w:val="20"/>
                <w:color w:val="auto"/>
              </w:rPr>
            </w:pPr>
            <w:r>
              <w:rPr>
                <w:rFonts w:ascii="Arial" w:cs="Arial" w:eastAsia="Arial" w:hAnsi="Arial"/>
                <w:sz w:val="22"/>
                <w:szCs w:val="22"/>
                <w:color w:val="auto"/>
              </w:rPr>
              <w:t>Restrictions</w:t>
            </w:r>
          </w:p>
        </w:tc>
        <w:tc>
          <w:tcPr>
            <w:tcW w:w="32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13.3</w:t>
            </w:r>
          </w:p>
        </w:tc>
        <w:tc>
          <w:tcPr>
            <w:tcW w:w="6400" w:type="dxa"/>
            <w:vAlign w:val="bottom"/>
          </w:tcPr>
          <w:p>
            <w:pPr>
              <w:ind w:left="220"/>
              <w:spacing w:after="0"/>
              <w:rPr>
                <w:sz w:val="20"/>
                <w:szCs w:val="20"/>
                <w:color w:val="auto"/>
              </w:rPr>
            </w:pPr>
            <w:r>
              <w:rPr>
                <w:rFonts w:ascii="Arial" w:cs="Arial" w:eastAsia="Arial" w:hAnsi="Arial"/>
                <w:sz w:val="22"/>
                <w:szCs w:val="22"/>
                <w:color w:val="auto"/>
              </w:rPr>
              <w:t>Authorized Disclosure</w:t>
            </w:r>
          </w:p>
        </w:tc>
        <w:tc>
          <w:tcPr>
            <w:tcW w:w="32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13.4</w:t>
            </w:r>
          </w:p>
        </w:tc>
        <w:tc>
          <w:tcPr>
            <w:tcW w:w="6400" w:type="dxa"/>
            <w:vAlign w:val="bottom"/>
          </w:tcPr>
          <w:p>
            <w:pPr>
              <w:ind w:left="220"/>
              <w:spacing w:after="0"/>
              <w:rPr>
                <w:sz w:val="20"/>
                <w:szCs w:val="20"/>
                <w:color w:val="auto"/>
              </w:rPr>
            </w:pPr>
            <w:r>
              <w:rPr>
                <w:rFonts w:ascii="Arial" w:cs="Arial" w:eastAsia="Arial" w:hAnsi="Arial"/>
                <w:sz w:val="22"/>
                <w:szCs w:val="22"/>
                <w:color w:val="auto"/>
              </w:rPr>
              <w:t>Publicity.</w:t>
            </w:r>
          </w:p>
        </w:tc>
        <w:tc>
          <w:tcPr>
            <w:tcW w:w="328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13.5</w:t>
            </w:r>
          </w:p>
        </w:tc>
        <w:tc>
          <w:tcPr>
            <w:tcW w:w="6400" w:type="dxa"/>
            <w:vAlign w:val="bottom"/>
          </w:tcPr>
          <w:p>
            <w:pPr>
              <w:ind w:left="220"/>
              <w:spacing w:after="0"/>
              <w:rPr>
                <w:sz w:val="20"/>
                <w:szCs w:val="20"/>
                <w:color w:val="auto"/>
              </w:rPr>
            </w:pPr>
            <w:r>
              <w:rPr>
                <w:rFonts w:ascii="Arial" w:cs="Arial" w:eastAsia="Arial" w:hAnsi="Arial"/>
                <w:sz w:val="22"/>
                <w:szCs w:val="22"/>
                <w:color w:val="auto"/>
              </w:rPr>
              <w:t>Publications</w:t>
            </w:r>
          </w:p>
        </w:tc>
        <w:tc>
          <w:tcPr>
            <w:tcW w:w="32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13.6</w:t>
            </w:r>
          </w:p>
        </w:tc>
        <w:tc>
          <w:tcPr>
            <w:tcW w:w="6400" w:type="dxa"/>
            <w:vAlign w:val="bottom"/>
          </w:tcPr>
          <w:p>
            <w:pPr>
              <w:ind w:left="220"/>
              <w:spacing w:after="0"/>
              <w:rPr>
                <w:sz w:val="20"/>
                <w:szCs w:val="20"/>
                <w:color w:val="auto"/>
              </w:rPr>
            </w:pPr>
            <w:r>
              <w:rPr>
                <w:rFonts w:ascii="Arial" w:cs="Arial" w:eastAsia="Arial" w:hAnsi="Arial"/>
                <w:sz w:val="22"/>
                <w:szCs w:val="22"/>
                <w:color w:val="auto"/>
              </w:rPr>
              <w:t>Attorney-Client Privilege</w:t>
            </w:r>
          </w:p>
        </w:tc>
        <w:tc>
          <w:tcPr>
            <w:tcW w:w="32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0"/>
        </w:trPr>
        <w:tc>
          <w:tcPr>
            <w:tcW w:w="1520" w:type="dxa"/>
            <w:vAlign w:val="bottom"/>
          </w:tcPr>
          <w:p>
            <w:pPr>
              <w:jc w:val="right"/>
              <w:ind w:right="232"/>
              <w:spacing w:after="0"/>
              <w:rPr>
                <w:sz w:val="20"/>
                <w:szCs w:val="20"/>
                <w:color w:val="auto"/>
              </w:rPr>
            </w:pPr>
            <w:r>
              <w:rPr>
                <w:rFonts w:ascii="Arial" w:cs="Arial" w:eastAsia="Arial" w:hAnsi="Arial"/>
                <w:sz w:val="22"/>
                <w:szCs w:val="22"/>
                <w:color w:val="auto"/>
                <w:w w:val="93"/>
              </w:rPr>
              <w:t>ARTICLE 14</w:t>
            </w:r>
          </w:p>
        </w:tc>
        <w:tc>
          <w:tcPr>
            <w:tcW w:w="6400" w:type="dxa"/>
            <w:vAlign w:val="bottom"/>
          </w:tcPr>
          <w:p>
            <w:pPr>
              <w:ind w:left="220"/>
              <w:spacing w:after="0"/>
              <w:rPr>
                <w:sz w:val="20"/>
                <w:szCs w:val="20"/>
                <w:color w:val="auto"/>
              </w:rPr>
            </w:pPr>
            <w:r>
              <w:rPr>
                <w:rFonts w:ascii="Arial" w:cs="Arial" w:eastAsia="Arial" w:hAnsi="Arial"/>
                <w:sz w:val="22"/>
                <w:szCs w:val="22"/>
                <w:color w:val="auto"/>
              </w:rPr>
              <w:t>TERM AND TERMINATION</w:t>
            </w:r>
          </w:p>
        </w:tc>
        <w:tc>
          <w:tcPr>
            <w:tcW w:w="32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14.1</w:t>
            </w:r>
          </w:p>
        </w:tc>
        <w:tc>
          <w:tcPr>
            <w:tcW w:w="6400" w:type="dxa"/>
            <w:vAlign w:val="bottom"/>
          </w:tcPr>
          <w:p>
            <w:pPr>
              <w:ind w:left="220"/>
              <w:spacing w:after="0"/>
              <w:rPr>
                <w:sz w:val="20"/>
                <w:szCs w:val="20"/>
                <w:color w:val="auto"/>
              </w:rPr>
            </w:pPr>
            <w:r>
              <w:rPr>
                <w:rFonts w:ascii="Arial" w:cs="Arial" w:eastAsia="Arial" w:hAnsi="Arial"/>
                <w:sz w:val="22"/>
                <w:szCs w:val="22"/>
                <w:color w:val="auto"/>
              </w:rPr>
              <w:t>Term</w:t>
            </w:r>
          </w:p>
        </w:tc>
        <w:tc>
          <w:tcPr>
            <w:tcW w:w="32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14.2</w:t>
            </w:r>
          </w:p>
        </w:tc>
        <w:tc>
          <w:tcPr>
            <w:tcW w:w="6400" w:type="dxa"/>
            <w:vAlign w:val="bottom"/>
          </w:tcPr>
          <w:p>
            <w:pPr>
              <w:ind w:left="220"/>
              <w:spacing w:after="0"/>
              <w:rPr>
                <w:sz w:val="20"/>
                <w:szCs w:val="20"/>
                <w:color w:val="auto"/>
              </w:rPr>
            </w:pPr>
            <w:r>
              <w:rPr>
                <w:rFonts w:ascii="Arial" w:cs="Arial" w:eastAsia="Arial" w:hAnsi="Arial"/>
                <w:sz w:val="22"/>
                <w:szCs w:val="22"/>
                <w:color w:val="auto"/>
              </w:rPr>
              <w:t>Termination by Amgen at Will</w:t>
            </w:r>
          </w:p>
        </w:tc>
        <w:tc>
          <w:tcPr>
            <w:tcW w:w="32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14.3</w:t>
            </w:r>
          </w:p>
        </w:tc>
        <w:tc>
          <w:tcPr>
            <w:tcW w:w="6400" w:type="dxa"/>
            <w:vAlign w:val="bottom"/>
          </w:tcPr>
          <w:p>
            <w:pPr>
              <w:ind w:left="220"/>
              <w:spacing w:after="0"/>
              <w:rPr>
                <w:sz w:val="20"/>
                <w:szCs w:val="20"/>
                <w:color w:val="auto"/>
              </w:rPr>
            </w:pPr>
            <w:r>
              <w:rPr>
                <w:rFonts w:ascii="Arial" w:cs="Arial" w:eastAsia="Arial" w:hAnsi="Arial"/>
                <w:sz w:val="22"/>
                <w:szCs w:val="22"/>
                <w:color w:val="auto"/>
              </w:rPr>
              <w:t>Termination by Either Party for Breach</w:t>
            </w:r>
          </w:p>
        </w:tc>
        <w:tc>
          <w:tcPr>
            <w:tcW w:w="32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14.4</w:t>
            </w:r>
          </w:p>
        </w:tc>
        <w:tc>
          <w:tcPr>
            <w:tcW w:w="6400" w:type="dxa"/>
            <w:vAlign w:val="bottom"/>
          </w:tcPr>
          <w:p>
            <w:pPr>
              <w:ind w:left="220"/>
              <w:spacing w:after="0"/>
              <w:rPr>
                <w:sz w:val="20"/>
                <w:szCs w:val="20"/>
                <w:color w:val="auto"/>
              </w:rPr>
            </w:pPr>
            <w:r>
              <w:rPr>
                <w:rFonts w:ascii="Arial" w:cs="Arial" w:eastAsia="Arial" w:hAnsi="Arial"/>
                <w:sz w:val="22"/>
                <w:szCs w:val="22"/>
                <w:color w:val="auto"/>
              </w:rPr>
              <w:t>Termination for Insolvency</w:t>
            </w:r>
          </w:p>
        </w:tc>
        <w:tc>
          <w:tcPr>
            <w:tcW w:w="32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14.5</w:t>
            </w:r>
          </w:p>
        </w:tc>
        <w:tc>
          <w:tcPr>
            <w:tcW w:w="6400" w:type="dxa"/>
            <w:vAlign w:val="bottom"/>
          </w:tcPr>
          <w:p>
            <w:pPr>
              <w:ind w:left="220"/>
              <w:spacing w:after="0"/>
              <w:rPr>
                <w:sz w:val="20"/>
                <w:szCs w:val="20"/>
                <w:color w:val="auto"/>
              </w:rPr>
            </w:pPr>
            <w:r>
              <w:rPr>
                <w:rFonts w:ascii="Arial" w:cs="Arial" w:eastAsia="Arial" w:hAnsi="Arial"/>
                <w:sz w:val="22"/>
                <w:szCs w:val="22"/>
                <w:color w:val="auto"/>
              </w:rPr>
              <w:t>Effects of Termination of this Agreement</w:t>
            </w:r>
          </w:p>
        </w:tc>
        <w:tc>
          <w:tcPr>
            <w:tcW w:w="32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14.6</w:t>
            </w:r>
          </w:p>
        </w:tc>
        <w:tc>
          <w:tcPr>
            <w:tcW w:w="6400" w:type="dxa"/>
            <w:vAlign w:val="bottom"/>
          </w:tcPr>
          <w:p>
            <w:pPr>
              <w:ind w:left="220"/>
              <w:spacing w:after="0"/>
              <w:rPr>
                <w:sz w:val="20"/>
                <w:szCs w:val="20"/>
                <w:color w:val="auto"/>
              </w:rPr>
            </w:pPr>
            <w:r>
              <w:rPr>
                <w:rFonts w:ascii="Arial" w:cs="Arial" w:eastAsia="Arial" w:hAnsi="Arial"/>
                <w:sz w:val="22"/>
                <w:szCs w:val="22"/>
                <w:color w:val="auto"/>
              </w:rPr>
              <w:t>Other Remedies</w:t>
            </w:r>
          </w:p>
        </w:tc>
        <w:tc>
          <w:tcPr>
            <w:tcW w:w="32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14.7</w:t>
            </w:r>
          </w:p>
        </w:tc>
        <w:tc>
          <w:tcPr>
            <w:tcW w:w="6400" w:type="dxa"/>
            <w:vAlign w:val="bottom"/>
          </w:tcPr>
          <w:p>
            <w:pPr>
              <w:ind w:left="220"/>
              <w:spacing w:after="0"/>
              <w:rPr>
                <w:sz w:val="20"/>
                <w:szCs w:val="20"/>
                <w:color w:val="auto"/>
              </w:rPr>
            </w:pPr>
            <w:r>
              <w:rPr>
                <w:rFonts w:ascii="Arial" w:cs="Arial" w:eastAsia="Arial" w:hAnsi="Arial"/>
                <w:sz w:val="22"/>
                <w:szCs w:val="22"/>
                <w:color w:val="auto"/>
              </w:rPr>
              <w:t>Rights in Bankruptcy</w:t>
            </w:r>
          </w:p>
        </w:tc>
        <w:tc>
          <w:tcPr>
            <w:tcW w:w="32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14.8</w:t>
            </w:r>
          </w:p>
        </w:tc>
        <w:tc>
          <w:tcPr>
            <w:tcW w:w="6400" w:type="dxa"/>
            <w:vAlign w:val="bottom"/>
          </w:tcPr>
          <w:p>
            <w:pPr>
              <w:ind w:left="220"/>
              <w:spacing w:after="0"/>
              <w:rPr>
                <w:sz w:val="20"/>
                <w:szCs w:val="20"/>
                <w:color w:val="auto"/>
              </w:rPr>
            </w:pPr>
            <w:r>
              <w:rPr>
                <w:rFonts w:ascii="Arial" w:cs="Arial" w:eastAsia="Arial" w:hAnsi="Arial"/>
                <w:sz w:val="22"/>
                <w:szCs w:val="22"/>
                <w:color w:val="auto"/>
              </w:rPr>
              <w:t>Survival</w:t>
            </w:r>
          </w:p>
        </w:tc>
        <w:tc>
          <w:tcPr>
            <w:tcW w:w="328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10"/>
        </w:trPr>
        <w:tc>
          <w:tcPr>
            <w:tcW w:w="1520" w:type="dxa"/>
            <w:vAlign w:val="bottom"/>
          </w:tcPr>
          <w:p>
            <w:pPr>
              <w:jc w:val="right"/>
              <w:ind w:right="232"/>
              <w:spacing w:after="0"/>
              <w:rPr>
                <w:sz w:val="20"/>
                <w:szCs w:val="20"/>
                <w:color w:val="auto"/>
              </w:rPr>
            </w:pPr>
            <w:r>
              <w:rPr>
                <w:rFonts w:ascii="Arial" w:cs="Arial" w:eastAsia="Arial" w:hAnsi="Arial"/>
                <w:sz w:val="22"/>
                <w:szCs w:val="22"/>
                <w:color w:val="auto"/>
                <w:w w:val="93"/>
              </w:rPr>
              <w:t>ARTICLE 15</w:t>
            </w:r>
          </w:p>
        </w:tc>
        <w:tc>
          <w:tcPr>
            <w:tcW w:w="6400" w:type="dxa"/>
            <w:vAlign w:val="bottom"/>
          </w:tcPr>
          <w:p>
            <w:pPr>
              <w:ind w:left="220"/>
              <w:spacing w:after="0"/>
              <w:rPr>
                <w:sz w:val="20"/>
                <w:szCs w:val="20"/>
                <w:color w:val="auto"/>
              </w:rPr>
            </w:pPr>
            <w:r>
              <w:rPr>
                <w:rFonts w:ascii="Arial" w:cs="Arial" w:eastAsia="Arial" w:hAnsi="Arial"/>
                <w:sz w:val="22"/>
                <w:szCs w:val="22"/>
                <w:color w:val="auto"/>
              </w:rPr>
              <w:t>DISPUTE RESOLUTION</w:t>
            </w:r>
          </w:p>
        </w:tc>
        <w:tc>
          <w:tcPr>
            <w:tcW w:w="32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15.1</w:t>
            </w:r>
          </w:p>
        </w:tc>
        <w:tc>
          <w:tcPr>
            <w:tcW w:w="6400" w:type="dxa"/>
            <w:vAlign w:val="bottom"/>
          </w:tcPr>
          <w:p>
            <w:pPr>
              <w:ind w:left="220"/>
              <w:spacing w:after="0"/>
              <w:rPr>
                <w:sz w:val="20"/>
                <w:szCs w:val="20"/>
                <w:color w:val="auto"/>
              </w:rPr>
            </w:pPr>
            <w:r>
              <w:rPr>
                <w:rFonts w:ascii="Arial" w:cs="Arial" w:eastAsia="Arial" w:hAnsi="Arial"/>
                <w:sz w:val="22"/>
                <w:szCs w:val="22"/>
                <w:color w:val="auto"/>
              </w:rPr>
              <w:t>Disputes</w:t>
            </w:r>
          </w:p>
        </w:tc>
        <w:tc>
          <w:tcPr>
            <w:tcW w:w="32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15.2</w:t>
            </w:r>
          </w:p>
        </w:tc>
        <w:tc>
          <w:tcPr>
            <w:tcW w:w="6400" w:type="dxa"/>
            <w:vAlign w:val="bottom"/>
          </w:tcPr>
          <w:p>
            <w:pPr>
              <w:ind w:left="220"/>
              <w:spacing w:after="0"/>
              <w:rPr>
                <w:sz w:val="20"/>
                <w:szCs w:val="20"/>
                <w:color w:val="auto"/>
              </w:rPr>
            </w:pPr>
            <w:r>
              <w:rPr>
                <w:rFonts w:ascii="Arial" w:cs="Arial" w:eastAsia="Arial" w:hAnsi="Arial"/>
                <w:sz w:val="22"/>
                <w:szCs w:val="22"/>
                <w:color w:val="auto"/>
              </w:rPr>
              <w:t>Internal Resolution</w:t>
            </w:r>
          </w:p>
        </w:tc>
        <w:tc>
          <w:tcPr>
            <w:tcW w:w="32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15.3</w:t>
            </w:r>
          </w:p>
        </w:tc>
        <w:tc>
          <w:tcPr>
            <w:tcW w:w="6400" w:type="dxa"/>
            <w:vAlign w:val="bottom"/>
          </w:tcPr>
          <w:p>
            <w:pPr>
              <w:ind w:left="220"/>
              <w:spacing w:after="0"/>
              <w:rPr>
                <w:sz w:val="20"/>
                <w:szCs w:val="20"/>
                <w:color w:val="auto"/>
              </w:rPr>
            </w:pPr>
            <w:r>
              <w:rPr>
                <w:rFonts w:ascii="Arial" w:cs="Arial" w:eastAsia="Arial" w:hAnsi="Arial"/>
                <w:sz w:val="22"/>
                <w:szCs w:val="22"/>
                <w:color w:val="auto"/>
              </w:rPr>
              <w:t>Submission to Arbitration for Resolution</w:t>
            </w:r>
          </w:p>
        </w:tc>
        <w:tc>
          <w:tcPr>
            <w:tcW w:w="328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15.4</w:t>
            </w:r>
          </w:p>
        </w:tc>
        <w:tc>
          <w:tcPr>
            <w:tcW w:w="6400" w:type="dxa"/>
            <w:vAlign w:val="bottom"/>
          </w:tcPr>
          <w:p>
            <w:pPr>
              <w:ind w:left="220"/>
              <w:spacing w:after="0"/>
              <w:rPr>
                <w:sz w:val="20"/>
                <w:szCs w:val="20"/>
                <w:color w:val="auto"/>
              </w:rPr>
            </w:pPr>
            <w:r>
              <w:rPr>
                <w:rFonts w:ascii="Arial" w:cs="Arial" w:eastAsia="Arial" w:hAnsi="Arial"/>
                <w:sz w:val="22"/>
                <w:szCs w:val="22"/>
                <w:color w:val="auto"/>
              </w:rPr>
              <w:t>Governing Law</w:t>
            </w:r>
          </w:p>
        </w:tc>
        <w:tc>
          <w:tcPr>
            <w:tcW w:w="32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15.5</w:t>
            </w:r>
          </w:p>
        </w:tc>
        <w:tc>
          <w:tcPr>
            <w:tcW w:w="6400" w:type="dxa"/>
            <w:vAlign w:val="bottom"/>
          </w:tcPr>
          <w:p>
            <w:pPr>
              <w:ind w:left="220"/>
              <w:spacing w:after="0"/>
              <w:rPr>
                <w:sz w:val="20"/>
                <w:szCs w:val="20"/>
                <w:color w:val="auto"/>
              </w:rPr>
            </w:pPr>
            <w:r>
              <w:rPr>
                <w:rFonts w:ascii="Arial" w:cs="Arial" w:eastAsia="Arial" w:hAnsi="Arial"/>
                <w:sz w:val="22"/>
                <w:szCs w:val="22"/>
                <w:color w:val="auto"/>
              </w:rPr>
              <w:t>Award</w:t>
            </w:r>
          </w:p>
        </w:tc>
        <w:tc>
          <w:tcPr>
            <w:tcW w:w="32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15.6</w:t>
            </w:r>
          </w:p>
        </w:tc>
        <w:tc>
          <w:tcPr>
            <w:tcW w:w="6400" w:type="dxa"/>
            <w:vAlign w:val="bottom"/>
          </w:tcPr>
          <w:p>
            <w:pPr>
              <w:ind w:left="220"/>
              <w:spacing w:after="0"/>
              <w:rPr>
                <w:sz w:val="20"/>
                <w:szCs w:val="20"/>
                <w:color w:val="auto"/>
              </w:rPr>
            </w:pPr>
            <w:r>
              <w:rPr>
                <w:rFonts w:ascii="Arial" w:cs="Arial" w:eastAsia="Arial" w:hAnsi="Arial"/>
                <w:sz w:val="22"/>
                <w:szCs w:val="22"/>
                <w:color w:val="auto"/>
              </w:rPr>
              <w:t>Costs</w:t>
            </w:r>
          </w:p>
        </w:tc>
        <w:tc>
          <w:tcPr>
            <w:tcW w:w="32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15.7</w:t>
            </w:r>
          </w:p>
        </w:tc>
        <w:tc>
          <w:tcPr>
            <w:tcW w:w="6400" w:type="dxa"/>
            <w:vAlign w:val="bottom"/>
          </w:tcPr>
          <w:p>
            <w:pPr>
              <w:ind w:left="220"/>
              <w:spacing w:after="0"/>
              <w:rPr>
                <w:sz w:val="20"/>
                <w:szCs w:val="20"/>
                <w:color w:val="auto"/>
              </w:rPr>
            </w:pPr>
            <w:r>
              <w:rPr>
                <w:rFonts w:ascii="Arial" w:cs="Arial" w:eastAsia="Arial" w:hAnsi="Arial"/>
                <w:sz w:val="22"/>
                <w:szCs w:val="22"/>
                <w:color w:val="auto"/>
              </w:rPr>
              <w:t>Injunctive Relief</w:t>
            </w:r>
          </w:p>
        </w:tc>
        <w:tc>
          <w:tcPr>
            <w:tcW w:w="32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15.8</w:t>
            </w:r>
          </w:p>
        </w:tc>
        <w:tc>
          <w:tcPr>
            <w:tcW w:w="6400" w:type="dxa"/>
            <w:vAlign w:val="bottom"/>
          </w:tcPr>
          <w:p>
            <w:pPr>
              <w:ind w:left="220"/>
              <w:spacing w:after="0"/>
              <w:rPr>
                <w:sz w:val="20"/>
                <w:szCs w:val="20"/>
                <w:color w:val="auto"/>
              </w:rPr>
            </w:pPr>
            <w:r>
              <w:rPr>
                <w:rFonts w:ascii="Arial" w:cs="Arial" w:eastAsia="Arial" w:hAnsi="Arial"/>
                <w:sz w:val="22"/>
                <w:szCs w:val="22"/>
                <w:color w:val="auto"/>
              </w:rPr>
              <w:t>Confidentiality</w:t>
            </w:r>
          </w:p>
        </w:tc>
        <w:tc>
          <w:tcPr>
            <w:tcW w:w="328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15.9</w:t>
            </w:r>
          </w:p>
        </w:tc>
        <w:tc>
          <w:tcPr>
            <w:tcW w:w="6400" w:type="dxa"/>
            <w:vAlign w:val="bottom"/>
          </w:tcPr>
          <w:p>
            <w:pPr>
              <w:ind w:left="220"/>
              <w:spacing w:after="0"/>
              <w:rPr>
                <w:sz w:val="20"/>
                <w:szCs w:val="20"/>
                <w:color w:val="auto"/>
              </w:rPr>
            </w:pPr>
            <w:r>
              <w:rPr>
                <w:rFonts w:ascii="Arial" w:cs="Arial" w:eastAsia="Arial" w:hAnsi="Arial"/>
                <w:sz w:val="22"/>
                <w:szCs w:val="22"/>
                <w:color w:val="auto"/>
              </w:rPr>
              <w:t>Jurisdiction</w:t>
            </w:r>
          </w:p>
        </w:tc>
        <w:tc>
          <w:tcPr>
            <w:tcW w:w="328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15.10</w:t>
            </w:r>
          </w:p>
        </w:tc>
        <w:tc>
          <w:tcPr>
            <w:tcW w:w="6400" w:type="dxa"/>
            <w:vAlign w:val="bottom"/>
          </w:tcPr>
          <w:p>
            <w:pPr>
              <w:ind w:left="220"/>
              <w:spacing w:after="0"/>
              <w:rPr>
                <w:sz w:val="20"/>
                <w:szCs w:val="20"/>
                <w:color w:val="auto"/>
              </w:rPr>
            </w:pPr>
            <w:r>
              <w:rPr>
                <w:rFonts w:ascii="Arial" w:cs="Arial" w:eastAsia="Arial" w:hAnsi="Arial"/>
                <w:sz w:val="22"/>
                <w:szCs w:val="22"/>
                <w:color w:val="auto"/>
              </w:rPr>
              <w:t>Patent and Trademark Disputes</w:t>
            </w:r>
          </w:p>
        </w:tc>
        <w:tc>
          <w:tcPr>
            <w:tcW w:w="328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15.11</w:t>
            </w:r>
          </w:p>
        </w:tc>
        <w:tc>
          <w:tcPr>
            <w:tcW w:w="6400" w:type="dxa"/>
            <w:vAlign w:val="bottom"/>
          </w:tcPr>
          <w:p>
            <w:pPr>
              <w:ind w:left="220"/>
              <w:spacing w:after="0"/>
              <w:rPr>
                <w:sz w:val="20"/>
                <w:szCs w:val="20"/>
                <w:color w:val="auto"/>
              </w:rPr>
            </w:pPr>
            <w:r>
              <w:rPr>
                <w:rFonts w:ascii="Arial" w:cs="Arial" w:eastAsia="Arial" w:hAnsi="Arial"/>
                <w:sz w:val="22"/>
                <w:szCs w:val="22"/>
                <w:color w:val="auto"/>
              </w:rPr>
              <w:t>Baseball Arbitration</w:t>
            </w:r>
          </w:p>
        </w:tc>
        <w:tc>
          <w:tcPr>
            <w:tcW w:w="3280" w:type="dxa"/>
            <w:vAlign w:val="bottom"/>
          </w:tcPr>
          <w:p>
            <w:pPr>
              <w:jc w:val="right"/>
              <w:spacing w:after="0"/>
              <w:rPr>
                <w:sz w:val="20"/>
                <w:szCs w:val="20"/>
                <w:color w:val="auto"/>
              </w:rPr>
            </w:pPr>
            <w:r>
              <w:rPr>
                <w:rFonts w:ascii="Arial" w:cs="Arial" w:eastAsia="Arial" w:hAnsi="Arial"/>
                <w:sz w:val="22"/>
                <w:szCs w:val="22"/>
                <w:color w:val="auto"/>
              </w:rPr>
              <w:t>71</w:t>
            </w:r>
          </w:p>
        </w:tc>
      </w:tr>
    </w:tbl>
    <w:p>
      <w:pPr>
        <w:spacing w:after="0" w:line="200" w:lineRule="exact"/>
        <w:rPr>
          <w:sz w:val="20"/>
          <w:szCs w:val="20"/>
          <w:color w:val="auto"/>
        </w:rPr>
      </w:pPr>
    </w:p>
    <w:p>
      <w:pPr>
        <w:sectPr>
          <w:pgSz w:w="11900" w:h="16838" w:orient="portrait"/>
          <w:cols w:equalWidth="0" w:num="1">
            <w:col w:w="11200"/>
          </w:cols>
          <w:pgMar w:left="34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00"/>
          </w:cols>
          <w:pgMar w:left="340" w:top="179" w:right="359" w:bottom="1440" w:gutter="0" w:footer="0" w:header="0"/>
          <w:type w:val="continuous"/>
        </w:sectPr>
      </w:pPr>
    </w:p>
    <w:bookmarkStart w:id="583" w:name="page584"/>
    <w:bookmarkEnd w:id="583"/>
    <w:tbl>
      <w:tblPr>
        <w:tblLayout w:type="fixed"/>
        <w:tblInd w:w="0" w:type="dxa"/>
        <w:tblCellMar>
          <w:top w:w="0" w:type="dxa"/>
          <w:left w:w="0" w:type="dxa"/>
          <w:bottom w:w="0" w:type="dxa"/>
          <w:right w:w="0" w:type="dxa"/>
        </w:tblCellMar>
      </w:tblPr>
      <w:tr>
        <w:trPr>
          <w:trHeight w:val="280"/>
        </w:trPr>
        <w:tc>
          <w:tcPr>
            <w:tcW w:w="1520" w:type="dxa"/>
            <w:vAlign w:val="bottom"/>
          </w:tcPr>
          <w:p>
            <w:pPr>
              <w:spacing w:after="0"/>
              <w:rPr>
                <w:sz w:val="24"/>
                <w:szCs w:val="24"/>
                <w:color w:val="auto"/>
              </w:rPr>
            </w:pPr>
          </w:p>
        </w:tc>
        <w:tc>
          <w:tcPr>
            <w:tcW w:w="7140" w:type="dxa"/>
            <w:vAlign w:val="bottom"/>
          </w:tcPr>
          <w:p>
            <w:pPr>
              <w:ind w:left="338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7"/>
                <w:szCs w:val="17"/>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ONTENT</w:t>
            </w:r>
          </w:p>
        </w:tc>
        <w:tc>
          <w:tcPr>
            <w:tcW w:w="2540" w:type="dxa"/>
            <w:vAlign w:val="bottom"/>
          </w:tcPr>
          <w:p>
            <w:pPr>
              <w:spacing w:after="0"/>
              <w:rPr>
                <w:sz w:val="24"/>
                <w:szCs w:val="24"/>
                <w:color w:val="auto"/>
              </w:rPr>
            </w:pPr>
          </w:p>
        </w:tc>
      </w:tr>
      <w:tr>
        <w:trPr>
          <w:trHeight w:val="260"/>
        </w:trPr>
        <w:tc>
          <w:tcPr>
            <w:tcW w:w="1520" w:type="dxa"/>
            <w:vAlign w:val="bottom"/>
          </w:tcPr>
          <w:p>
            <w:pPr>
              <w:spacing w:after="0"/>
              <w:rPr>
                <w:sz w:val="22"/>
                <w:szCs w:val="22"/>
                <w:color w:val="auto"/>
              </w:rPr>
            </w:pPr>
          </w:p>
        </w:tc>
        <w:tc>
          <w:tcPr>
            <w:tcW w:w="7140" w:type="dxa"/>
            <w:vAlign w:val="bottom"/>
          </w:tcPr>
          <w:p>
            <w:pPr>
              <w:ind w:left="3740"/>
              <w:spacing w:after="0"/>
              <w:rPr>
                <w:sz w:val="20"/>
                <w:szCs w:val="20"/>
                <w:color w:val="auto"/>
              </w:rPr>
            </w:pPr>
            <w:r>
              <w:rPr>
                <w:rFonts w:ascii="Arial" w:cs="Arial" w:eastAsia="Arial" w:hAnsi="Arial"/>
                <w:sz w:val="18"/>
                <w:szCs w:val="18"/>
                <w:color w:val="auto"/>
              </w:rPr>
              <w:t>(CONTINUED)</w:t>
            </w:r>
          </w:p>
        </w:tc>
        <w:tc>
          <w:tcPr>
            <w:tcW w:w="2540" w:type="dxa"/>
            <w:vAlign w:val="bottom"/>
          </w:tcPr>
          <w:p>
            <w:pPr>
              <w:spacing w:after="0"/>
              <w:rPr>
                <w:sz w:val="22"/>
                <w:szCs w:val="22"/>
                <w:color w:val="auto"/>
              </w:rPr>
            </w:pPr>
          </w:p>
        </w:tc>
      </w:tr>
      <w:tr>
        <w:trPr>
          <w:trHeight w:val="321"/>
        </w:trPr>
        <w:tc>
          <w:tcPr>
            <w:tcW w:w="15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540" w:type="dxa"/>
            <w:vAlign w:val="bottom"/>
          </w:tcPr>
          <w:p>
            <w:pPr>
              <w:jc w:val="right"/>
              <w:ind w:right="52"/>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7"/>
                <w:szCs w:val="17"/>
                <w:b w:val="1"/>
                <w:bCs w:val="1"/>
                <w:color w:val="auto"/>
              </w:rPr>
              <w:t>AGE</w:t>
            </w:r>
          </w:p>
        </w:tc>
      </w:tr>
      <w:tr>
        <w:trPr>
          <w:trHeight w:val="716"/>
        </w:trPr>
        <w:tc>
          <w:tcPr>
            <w:tcW w:w="1520" w:type="dxa"/>
            <w:vAlign w:val="bottom"/>
          </w:tcPr>
          <w:p>
            <w:pPr>
              <w:jc w:val="right"/>
              <w:ind w:right="232"/>
              <w:spacing w:after="0"/>
              <w:rPr>
                <w:sz w:val="20"/>
                <w:szCs w:val="20"/>
                <w:color w:val="auto"/>
              </w:rPr>
            </w:pPr>
            <w:r>
              <w:rPr>
                <w:rFonts w:ascii="Arial" w:cs="Arial" w:eastAsia="Arial" w:hAnsi="Arial"/>
                <w:sz w:val="22"/>
                <w:szCs w:val="22"/>
                <w:color w:val="auto"/>
                <w:w w:val="93"/>
              </w:rPr>
              <w:t>ARTICLE 16</w:t>
            </w:r>
          </w:p>
        </w:tc>
        <w:tc>
          <w:tcPr>
            <w:tcW w:w="7140" w:type="dxa"/>
            <w:vAlign w:val="bottom"/>
          </w:tcPr>
          <w:p>
            <w:pPr>
              <w:ind w:left="220"/>
              <w:spacing w:after="0"/>
              <w:rPr>
                <w:sz w:val="20"/>
                <w:szCs w:val="20"/>
                <w:color w:val="auto"/>
              </w:rPr>
            </w:pPr>
            <w:r>
              <w:rPr>
                <w:rFonts w:ascii="Arial" w:cs="Arial" w:eastAsia="Arial" w:hAnsi="Arial"/>
                <w:sz w:val="22"/>
                <w:szCs w:val="22"/>
                <w:color w:val="auto"/>
              </w:rPr>
              <w:t>MISCELLANEOUS</w:t>
            </w:r>
          </w:p>
        </w:tc>
        <w:tc>
          <w:tcPr>
            <w:tcW w:w="25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w:t>
            </w:r>
          </w:p>
        </w:tc>
        <w:tc>
          <w:tcPr>
            <w:tcW w:w="7140" w:type="dxa"/>
            <w:vAlign w:val="bottom"/>
          </w:tcPr>
          <w:p>
            <w:pPr>
              <w:ind w:left="220"/>
              <w:spacing w:after="0"/>
              <w:rPr>
                <w:sz w:val="20"/>
                <w:szCs w:val="20"/>
                <w:color w:val="auto"/>
              </w:rPr>
            </w:pPr>
            <w:r>
              <w:rPr>
                <w:rFonts w:ascii="Arial" w:cs="Arial" w:eastAsia="Arial" w:hAnsi="Arial"/>
                <w:sz w:val="22"/>
                <w:szCs w:val="22"/>
                <w:color w:val="auto"/>
              </w:rPr>
              <w:t>Entire Agreement; Amendment</w:t>
            </w:r>
          </w:p>
        </w:tc>
        <w:tc>
          <w:tcPr>
            <w:tcW w:w="25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16.2</w:t>
            </w:r>
          </w:p>
        </w:tc>
        <w:tc>
          <w:tcPr>
            <w:tcW w:w="7140" w:type="dxa"/>
            <w:vAlign w:val="bottom"/>
          </w:tcPr>
          <w:p>
            <w:pPr>
              <w:ind w:left="220"/>
              <w:spacing w:after="0"/>
              <w:rPr>
                <w:sz w:val="20"/>
                <w:szCs w:val="20"/>
                <w:color w:val="auto"/>
              </w:rPr>
            </w:pPr>
            <w:r>
              <w:rPr>
                <w:rFonts w:ascii="Arial" w:cs="Arial" w:eastAsia="Arial" w:hAnsi="Arial"/>
                <w:sz w:val="22"/>
                <w:szCs w:val="22"/>
                <w:color w:val="auto"/>
              </w:rPr>
              <w:t>Force Majeure</w:t>
            </w:r>
          </w:p>
        </w:tc>
        <w:tc>
          <w:tcPr>
            <w:tcW w:w="25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16.3</w:t>
            </w:r>
          </w:p>
        </w:tc>
        <w:tc>
          <w:tcPr>
            <w:tcW w:w="7140" w:type="dxa"/>
            <w:vAlign w:val="bottom"/>
          </w:tcPr>
          <w:p>
            <w:pPr>
              <w:ind w:left="220"/>
              <w:spacing w:after="0"/>
              <w:rPr>
                <w:sz w:val="20"/>
                <w:szCs w:val="20"/>
                <w:color w:val="auto"/>
              </w:rPr>
            </w:pPr>
            <w:r>
              <w:rPr>
                <w:rFonts w:ascii="Arial" w:cs="Arial" w:eastAsia="Arial" w:hAnsi="Arial"/>
                <w:sz w:val="22"/>
                <w:szCs w:val="22"/>
                <w:color w:val="auto"/>
              </w:rPr>
              <w:t>Notices</w:t>
            </w:r>
          </w:p>
        </w:tc>
        <w:tc>
          <w:tcPr>
            <w:tcW w:w="25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16.4</w:t>
            </w:r>
          </w:p>
        </w:tc>
        <w:tc>
          <w:tcPr>
            <w:tcW w:w="7140" w:type="dxa"/>
            <w:vAlign w:val="bottom"/>
          </w:tcPr>
          <w:p>
            <w:pPr>
              <w:ind w:left="220"/>
              <w:spacing w:after="0"/>
              <w:rPr>
                <w:sz w:val="20"/>
                <w:szCs w:val="20"/>
                <w:color w:val="auto"/>
              </w:rPr>
            </w:pPr>
            <w:r>
              <w:rPr>
                <w:rFonts w:ascii="Arial" w:cs="Arial" w:eastAsia="Arial" w:hAnsi="Arial"/>
                <w:sz w:val="22"/>
                <w:szCs w:val="22"/>
                <w:color w:val="auto"/>
              </w:rPr>
              <w:t>Interpretation</w:t>
            </w:r>
          </w:p>
        </w:tc>
        <w:tc>
          <w:tcPr>
            <w:tcW w:w="25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16.5</w:t>
            </w:r>
          </w:p>
        </w:tc>
        <w:tc>
          <w:tcPr>
            <w:tcW w:w="7140" w:type="dxa"/>
            <w:vAlign w:val="bottom"/>
          </w:tcPr>
          <w:p>
            <w:pPr>
              <w:ind w:left="220"/>
              <w:spacing w:after="0"/>
              <w:rPr>
                <w:sz w:val="20"/>
                <w:szCs w:val="20"/>
                <w:color w:val="auto"/>
              </w:rPr>
            </w:pPr>
            <w:r>
              <w:rPr>
                <w:rFonts w:ascii="Arial" w:cs="Arial" w:eastAsia="Arial" w:hAnsi="Arial"/>
                <w:sz w:val="22"/>
                <w:szCs w:val="22"/>
                <w:color w:val="auto"/>
              </w:rPr>
              <w:t>No Third-Party Beneficiaries</w:t>
            </w:r>
          </w:p>
        </w:tc>
        <w:tc>
          <w:tcPr>
            <w:tcW w:w="25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16.6</w:t>
            </w:r>
          </w:p>
        </w:tc>
        <w:tc>
          <w:tcPr>
            <w:tcW w:w="7140" w:type="dxa"/>
            <w:vAlign w:val="bottom"/>
          </w:tcPr>
          <w:p>
            <w:pPr>
              <w:ind w:left="220"/>
              <w:spacing w:after="0"/>
              <w:rPr>
                <w:sz w:val="20"/>
                <w:szCs w:val="20"/>
                <w:color w:val="auto"/>
              </w:rPr>
            </w:pPr>
            <w:r>
              <w:rPr>
                <w:rFonts w:ascii="Arial" w:cs="Arial" w:eastAsia="Arial" w:hAnsi="Arial"/>
                <w:sz w:val="22"/>
                <w:szCs w:val="22"/>
                <w:color w:val="auto"/>
              </w:rPr>
              <w:t>Successors and Assigns</w:t>
            </w:r>
          </w:p>
        </w:tc>
        <w:tc>
          <w:tcPr>
            <w:tcW w:w="254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16.7</w:t>
            </w:r>
          </w:p>
        </w:tc>
        <w:tc>
          <w:tcPr>
            <w:tcW w:w="7140" w:type="dxa"/>
            <w:vAlign w:val="bottom"/>
          </w:tcPr>
          <w:p>
            <w:pPr>
              <w:ind w:left="220"/>
              <w:spacing w:after="0"/>
              <w:rPr>
                <w:sz w:val="20"/>
                <w:szCs w:val="20"/>
                <w:color w:val="auto"/>
              </w:rPr>
            </w:pPr>
            <w:r>
              <w:rPr>
                <w:rFonts w:ascii="Arial" w:cs="Arial" w:eastAsia="Arial" w:hAnsi="Arial"/>
                <w:sz w:val="22"/>
                <w:szCs w:val="22"/>
                <w:color w:val="auto"/>
              </w:rPr>
              <w:t>Rights upon Change of Control of Molecular Partners</w:t>
            </w:r>
          </w:p>
        </w:tc>
        <w:tc>
          <w:tcPr>
            <w:tcW w:w="25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16.8</w:t>
            </w:r>
          </w:p>
        </w:tc>
        <w:tc>
          <w:tcPr>
            <w:tcW w:w="7140" w:type="dxa"/>
            <w:vAlign w:val="bottom"/>
          </w:tcPr>
          <w:p>
            <w:pPr>
              <w:ind w:left="220"/>
              <w:spacing w:after="0"/>
              <w:rPr>
                <w:sz w:val="20"/>
                <w:szCs w:val="20"/>
                <w:color w:val="auto"/>
              </w:rPr>
            </w:pPr>
            <w:r>
              <w:rPr>
                <w:rFonts w:ascii="Arial" w:cs="Arial" w:eastAsia="Arial" w:hAnsi="Arial"/>
                <w:sz w:val="22"/>
                <w:szCs w:val="22"/>
                <w:color w:val="auto"/>
              </w:rPr>
              <w:t>Sale Transaction or Acquisition</w:t>
            </w:r>
          </w:p>
        </w:tc>
        <w:tc>
          <w:tcPr>
            <w:tcW w:w="25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16.9</w:t>
            </w:r>
          </w:p>
        </w:tc>
        <w:tc>
          <w:tcPr>
            <w:tcW w:w="7140" w:type="dxa"/>
            <w:vAlign w:val="bottom"/>
          </w:tcPr>
          <w:p>
            <w:pPr>
              <w:ind w:left="220"/>
              <w:spacing w:after="0"/>
              <w:rPr>
                <w:sz w:val="20"/>
                <w:szCs w:val="20"/>
                <w:color w:val="auto"/>
              </w:rPr>
            </w:pPr>
            <w:r>
              <w:rPr>
                <w:rFonts w:ascii="Arial" w:cs="Arial" w:eastAsia="Arial" w:hAnsi="Arial"/>
                <w:sz w:val="22"/>
                <w:szCs w:val="22"/>
                <w:color w:val="auto"/>
              </w:rPr>
              <w:t>Performance by Affiliates</w:t>
            </w:r>
          </w:p>
        </w:tc>
        <w:tc>
          <w:tcPr>
            <w:tcW w:w="25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16.10</w:t>
            </w:r>
          </w:p>
        </w:tc>
        <w:tc>
          <w:tcPr>
            <w:tcW w:w="7140" w:type="dxa"/>
            <w:vAlign w:val="bottom"/>
          </w:tcPr>
          <w:p>
            <w:pPr>
              <w:ind w:left="220"/>
              <w:spacing w:after="0"/>
              <w:rPr>
                <w:sz w:val="20"/>
                <w:szCs w:val="20"/>
                <w:color w:val="auto"/>
              </w:rPr>
            </w:pPr>
            <w:r>
              <w:rPr>
                <w:rFonts w:ascii="Arial" w:cs="Arial" w:eastAsia="Arial" w:hAnsi="Arial"/>
                <w:sz w:val="22"/>
                <w:szCs w:val="22"/>
                <w:color w:val="auto"/>
              </w:rPr>
              <w:t>Further Actions</w:t>
            </w:r>
          </w:p>
        </w:tc>
        <w:tc>
          <w:tcPr>
            <w:tcW w:w="25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16.11</w:t>
            </w:r>
          </w:p>
        </w:tc>
        <w:tc>
          <w:tcPr>
            <w:tcW w:w="7140" w:type="dxa"/>
            <w:vAlign w:val="bottom"/>
          </w:tcPr>
          <w:p>
            <w:pPr>
              <w:ind w:left="220"/>
              <w:spacing w:after="0"/>
              <w:rPr>
                <w:sz w:val="20"/>
                <w:szCs w:val="20"/>
                <w:color w:val="auto"/>
              </w:rPr>
            </w:pPr>
            <w:r>
              <w:rPr>
                <w:rFonts w:ascii="Arial" w:cs="Arial" w:eastAsia="Arial" w:hAnsi="Arial"/>
                <w:sz w:val="22"/>
                <w:szCs w:val="22"/>
                <w:color w:val="auto"/>
              </w:rPr>
              <w:t>Compliance with Applicable Law</w:t>
            </w:r>
          </w:p>
        </w:tc>
        <w:tc>
          <w:tcPr>
            <w:tcW w:w="25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16.12</w:t>
            </w:r>
          </w:p>
        </w:tc>
        <w:tc>
          <w:tcPr>
            <w:tcW w:w="7140" w:type="dxa"/>
            <w:vAlign w:val="bottom"/>
          </w:tcPr>
          <w:p>
            <w:pPr>
              <w:ind w:left="220"/>
              <w:spacing w:after="0"/>
              <w:rPr>
                <w:sz w:val="20"/>
                <w:szCs w:val="20"/>
                <w:color w:val="auto"/>
              </w:rPr>
            </w:pPr>
            <w:r>
              <w:rPr>
                <w:rFonts w:ascii="Arial" w:cs="Arial" w:eastAsia="Arial" w:hAnsi="Arial"/>
                <w:sz w:val="22"/>
                <w:szCs w:val="22"/>
                <w:color w:val="auto"/>
              </w:rPr>
              <w:t>Limitation of Liability</w:t>
            </w:r>
          </w:p>
        </w:tc>
        <w:tc>
          <w:tcPr>
            <w:tcW w:w="25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16.13</w:t>
            </w:r>
          </w:p>
        </w:tc>
        <w:tc>
          <w:tcPr>
            <w:tcW w:w="7140" w:type="dxa"/>
            <w:vAlign w:val="bottom"/>
          </w:tcPr>
          <w:p>
            <w:pPr>
              <w:ind w:left="220"/>
              <w:spacing w:after="0"/>
              <w:rPr>
                <w:sz w:val="20"/>
                <w:szCs w:val="20"/>
                <w:color w:val="auto"/>
              </w:rPr>
            </w:pPr>
            <w:r>
              <w:rPr>
                <w:rFonts w:ascii="Arial" w:cs="Arial" w:eastAsia="Arial" w:hAnsi="Arial"/>
                <w:sz w:val="22"/>
                <w:szCs w:val="22"/>
                <w:color w:val="auto"/>
              </w:rPr>
              <w:t>Severability</w:t>
            </w:r>
          </w:p>
        </w:tc>
        <w:tc>
          <w:tcPr>
            <w:tcW w:w="25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16.14</w:t>
            </w:r>
          </w:p>
        </w:tc>
        <w:tc>
          <w:tcPr>
            <w:tcW w:w="7140" w:type="dxa"/>
            <w:vAlign w:val="bottom"/>
          </w:tcPr>
          <w:p>
            <w:pPr>
              <w:ind w:left="220"/>
              <w:spacing w:after="0"/>
              <w:rPr>
                <w:sz w:val="20"/>
                <w:szCs w:val="20"/>
                <w:color w:val="auto"/>
              </w:rPr>
            </w:pPr>
            <w:r>
              <w:rPr>
                <w:rFonts w:ascii="Arial" w:cs="Arial" w:eastAsia="Arial" w:hAnsi="Arial"/>
                <w:sz w:val="22"/>
                <w:szCs w:val="22"/>
                <w:color w:val="auto"/>
              </w:rPr>
              <w:t>Non-Use of Names</w:t>
            </w:r>
          </w:p>
        </w:tc>
        <w:tc>
          <w:tcPr>
            <w:tcW w:w="25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16.15</w:t>
            </w:r>
          </w:p>
        </w:tc>
        <w:tc>
          <w:tcPr>
            <w:tcW w:w="7140" w:type="dxa"/>
            <w:vAlign w:val="bottom"/>
          </w:tcPr>
          <w:p>
            <w:pPr>
              <w:ind w:left="220"/>
              <w:spacing w:after="0"/>
              <w:rPr>
                <w:sz w:val="20"/>
                <w:szCs w:val="20"/>
                <w:color w:val="auto"/>
              </w:rPr>
            </w:pPr>
            <w:r>
              <w:rPr>
                <w:rFonts w:ascii="Arial" w:cs="Arial" w:eastAsia="Arial" w:hAnsi="Arial"/>
                <w:sz w:val="22"/>
                <w:szCs w:val="22"/>
                <w:color w:val="auto"/>
              </w:rPr>
              <w:t>No Waiver</w:t>
            </w:r>
          </w:p>
        </w:tc>
        <w:tc>
          <w:tcPr>
            <w:tcW w:w="25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16.16</w:t>
            </w:r>
          </w:p>
        </w:tc>
        <w:tc>
          <w:tcPr>
            <w:tcW w:w="7140" w:type="dxa"/>
            <w:vAlign w:val="bottom"/>
          </w:tcPr>
          <w:p>
            <w:pPr>
              <w:ind w:left="220"/>
              <w:spacing w:after="0"/>
              <w:rPr>
                <w:sz w:val="20"/>
                <w:szCs w:val="20"/>
                <w:color w:val="auto"/>
              </w:rPr>
            </w:pPr>
            <w:r>
              <w:rPr>
                <w:rFonts w:ascii="Arial" w:cs="Arial" w:eastAsia="Arial" w:hAnsi="Arial"/>
                <w:sz w:val="22"/>
                <w:szCs w:val="22"/>
                <w:color w:val="auto"/>
              </w:rPr>
              <w:t>Independent Contractors</w:t>
            </w:r>
          </w:p>
        </w:tc>
        <w:tc>
          <w:tcPr>
            <w:tcW w:w="25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1520" w:type="dxa"/>
            <w:vAlign w:val="bottom"/>
          </w:tcPr>
          <w:p>
            <w:pPr>
              <w:jc w:val="right"/>
              <w:ind w:right="92"/>
              <w:spacing w:after="0"/>
              <w:rPr>
                <w:sz w:val="20"/>
                <w:szCs w:val="20"/>
                <w:color w:val="auto"/>
              </w:rPr>
            </w:pPr>
            <w:r>
              <w:rPr>
                <w:rFonts w:ascii="Arial" w:cs="Arial" w:eastAsia="Arial" w:hAnsi="Arial"/>
                <w:sz w:val="22"/>
                <w:szCs w:val="22"/>
                <w:color w:val="auto"/>
              </w:rPr>
              <w:t>16.17</w:t>
            </w:r>
          </w:p>
        </w:tc>
        <w:tc>
          <w:tcPr>
            <w:tcW w:w="7140" w:type="dxa"/>
            <w:vAlign w:val="bottom"/>
          </w:tcPr>
          <w:p>
            <w:pPr>
              <w:ind w:left="220"/>
              <w:spacing w:after="0"/>
              <w:rPr>
                <w:sz w:val="20"/>
                <w:szCs w:val="20"/>
                <w:color w:val="auto"/>
              </w:rPr>
            </w:pPr>
            <w:r>
              <w:rPr>
                <w:rFonts w:ascii="Arial" w:cs="Arial" w:eastAsia="Arial" w:hAnsi="Arial"/>
                <w:sz w:val="22"/>
                <w:szCs w:val="22"/>
                <w:color w:val="auto"/>
              </w:rPr>
              <w:t>Counterparts</w:t>
            </w:r>
          </w:p>
        </w:tc>
        <w:tc>
          <w:tcPr>
            <w:tcW w:w="2540" w:type="dxa"/>
            <w:vAlign w:val="bottom"/>
          </w:tcPr>
          <w:p>
            <w:pPr>
              <w:jc w:val="right"/>
              <w:spacing w:after="0"/>
              <w:rPr>
                <w:sz w:val="20"/>
                <w:szCs w:val="20"/>
                <w:color w:val="auto"/>
              </w:rPr>
            </w:pPr>
            <w:r>
              <w:rPr>
                <w:rFonts w:ascii="Arial" w:cs="Arial" w:eastAsia="Arial" w:hAnsi="Arial"/>
                <w:sz w:val="22"/>
                <w:szCs w:val="22"/>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00"/>
          </w:cols>
          <w:pgMar w:left="340" w:top="179" w:right="359" w:bottom="1440" w:gutter="0" w:footer="0" w:header="0"/>
        </w:sectPr>
      </w:pPr>
    </w:p>
    <w:bookmarkStart w:id="584" w:name="page585"/>
    <w:bookmarkEnd w:id="584"/>
    <w:p>
      <w:pPr>
        <w:jc w:val="center"/>
        <w:ind w:right="-19"/>
        <w:spacing w:after="0"/>
        <w:rPr>
          <w:sz w:val="20"/>
          <w:szCs w:val="20"/>
          <w:color w:val="auto"/>
        </w:rPr>
      </w:pPr>
      <w:r>
        <w:rPr>
          <w:rFonts w:ascii="Arial" w:cs="Arial" w:eastAsia="Arial" w:hAnsi="Arial"/>
          <w:sz w:val="22"/>
          <w:szCs w:val="22"/>
          <w:b w:val="1"/>
          <w:bCs w:val="1"/>
          <w:color w:val="FF0000"/>
        </w:rPr>
        <w:t>REDACTED VERSION 4/18/2021</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COLLABORATION AND LICENSE AGREEMENT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Collaboration and License Agreement</w:t>
      </w:r>
      <w:r>
        <w:rPr>
          <w:rFonts w:ascii="Arial" w:cs="Arial" w:eastAsia="Arial" w:hAnsi="Arial"/>
          <w:sz w:val="21"/>
          <w:szCs w:val="21"/>
          <w:color w:val="auto"/>
        </w:rPr>
        <w:t xml:space="preserve">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as of December 18, 2018 (the “</w:t>
      </w:r>
      <w:r>
        <w:rPr>
          <w:rFonts w:ascii="Arial" w:cs="Arial" w:eastAsia="Arial" w:hAnsi="Arial"/>
          <w:sz w:val="21"/>
          <w:szCs w:val="21"/>
          <w:b w:val="1"/>
          <w:bCs w:val="1"/>
          <w:color w:val="auto"/>
        </w:rPr>
        <w:t>Effective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 by and between</w:t>
      </w:r>
      <w:r>
        <w:rPr>
          <w:rFonts w:ascii="Arial" w:cs="Arial" w:eastAsia="Arial" w:hAnsi="Arial"/>
          <w:sz w:val="21"/>
          <w:szCs w:val="21"/>
          <w:b w:val="1"/>
          <w:bCs w:val="1"/>
          <w:color w:val="auto"/>
        </w:rPr>
        <w:t xml:space="preserve"> Molecular Partners Ag</w:t>
      </w:r>
      <w:r>
        <w:rPr>
          <w:rFonts w:ascii="Arial" w:cs="Arial" w:eastAsia="Arial" w:hAnsi="Arial"/>
          <w:sz w:val="21"/>
          <w:szCs w:val="21"/>
          <w:color w:val="auto"/>
        </w:rPr>
        <w:t>, a Swiss corporation having an address at Wagistrasse 14 8952, Zürich-Schlieren, Switzerland (“</w:t>
      </w:r>
      <w:r>
        <w:rPr>
          <w:rFonts w:ascii="Arial" w:cs="Arial" w:eastAsia="Arial" w:hAnsi="Arial"/>
          <w:sz w:val="21"/>
          <w:szCs w:val="21"/>
          <w:b w:val="1"/>
          <w:bCs w:val="1"/>
          <w:color w:val="auto"/>
        </w:rPr>
        <w:t>Molecular Partners</w:t>
      </w:r>
      <w:r>
        <w:rPr>
          <w:rFonts w:ascii="Arial" w:cs="Arial" w:eastAsia="Arial" w:hAnsi="Arial"/>
          <w:sz w:val="21"/>
          <w:szCs w:val="21"/>
          <w:color w:val="auto"/>
        </w:rPr>
        <w:t xml:space="preserve">”) and </w:t>
      </w:r>
      <w:r>
        <w:rPr>
          <w:rFonts w:ascii="Arial" w:cs="Arial" w:eastAsia="Arial" w:hAnsi="Arial"/>
          <w:sz w:val="21"/>
          <w:szCs w:val="21"/>
          <w:b w:val="1"/>
          <w:bCs w:val="1"/>
          <w:color w:val="auto"/>
        </w:rPr>
        <w:t>Amgen Inc.</w:t>
      </w:r>
      <w:r>
        <w:rPr>
          <w:rFonts w:ascii="Arial" w:cs="Arial" w:eastAsia="Arial" w:hAnsi="Arial"/>
          <w:sz w:val="21"/>
          <w:szCs w:val="21"/>
          <w:color w:val="auto"/>
        </w:rPr>
        <w:t>, a Delaware corporation having an address at One Amgen Center Drive, Thousand Oaks, California 91320, United States of America (“</w:t>
      </w:r>
      <w:r>
        <w:rPr>
          <w:rFonts w:ascii="Arial" w:cs="Arial" w:eastAsia="Arial" w:hAnsi="Arial"/>
          <w:sz w:val="21"/>
          <w:szCs w:val="21"/>
          <w:b w:val="1"/>
          <w:bCs w:val="1"/>
          <w:color w:val="auto"/>
        </w:rPr>
        <w:t>Amgen</w:t>
      </w:r>
      <w:r>
        <w:rPr>
          <w:rFonts w:ascii="Arial" w:cs="Arial" w:eastAsia="Arial" w:hAnsi="Arial"/>
          <w:sz w:val="21"/>
          <w:szCs w:val="21"/>
          <w:color w:val="auto"/>
        </w:rPr>
        <w:t>”). Molecular Partners and Amgen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BACKGROUND</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Molecular Partners is developing its proprietary product designated as MP0310 and other DARPin Compounds</w:t>
      </w:r>
      <w:r>
        <w:rPr>
          <w:rFonts w:ascii="Arial" w:cs="Arial" w:eastAsia="Arial" w:hAnsi="Arial"/>
          <w:sz w:val="22"/>
          <w:szCs w:val="22"/>
          <w:b w:val="1"/>
          <w:bCs w:val="1"/>
          <w:color w:val="auto"/>
        </w:rPr>
        <w:t xml:space="preserve"> </w:t>
      </w:r>
      <w:r>
        <w:rPr>
          <w:rFonts w:ascii="Arial" w:cs="Arial" w:eastAsia="Arial" w:hAnsi="Arial"/>
          <w:sz w:val="22"/>
          <w:szCs w:val="22"/>
          <w:color w:val="auto"/>
        </w:rPr>
        <w:t>(as such term is defined below);</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Amgen has research, development, manufacturing and commercialization expertise for the development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 of pharmaceutical and biologics products in the field of oncology;</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collaborate with respect to the clinical development of MP0310 for use in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certain Amgen products (the “</w:t>
      </w:r>
      <w:r>
        <w:rPr>
          <w:rFonts w:ascii="Arial" w:cs="Arial" w:eastAsia="Arial" w:hAnsi="Arial"/>
          <w:sz w:val="22"/>
          <w:szCs w:val="22"/>
          <w:b w:val="1"/>
          <w:bCs w:val="1"/>
          <w:color w:val="auto"/>
        </w:rPr>
        <w:t>Collaboration</w:t>
      </w:r>
      <w:r>
        <w:rPr>
          <w:rFonts w:ascii="Arial" w:cs="Arial" w:eastAsia="Arial" w:hAnsi="Arial"/>
          <w:sz w:val="22"/>
          <w:szCs w:val="22"/>
          <w:color w:val="auto"/>
        </w:rPr>
        <w:t>”); and</w:t>
      </w:r>
    </w:p>
    <w:p>
      <w:pPr>
        <w:spacing w:after="0" w:line="162" w:lineRule="exact"/>
        <w:rPr>
          <w:sz w:val="20"/>
          <w:szCs w:val="20"/>
          <w:color w:val="auto"/>
        </w:rPr>
      </w:pPr>
    </w:p>
    <w:p>
      <w:pPr>
        <w:jc w:val="both"/>
        <w:ind w:right="20"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Amgen desires to obtain a license under Molecular Partners’ proprietary technology and intellectual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development and commercialization of the Licensed Bispecific (as such term is defined below) in the Field (as such term is defined below) upon the terms and conditions set forth herein, and Molecular Partners desires to grant such license.</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and the mutual promises, covenants and conditions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the Parties 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For the purposes of this Agreement and the Exhibits hereto, the following words and phrases have the following meanings:</w:t>
      </w:r>
    </w:p>
    <w:p>
      <w:pPr>
        <w:spacing w:after="0" w:line="16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4-1BB</w:t>
      </w:r>
      <w:r>
        <w:rPr>
          <w:rFonts w:ascii="Arial" w:cs="Arial" w:eastAsia="Arial" w:hAnsi="Arial"/>
          <w:sz w:val="19"/>
          <w:szCs w:val="19"/>
          <w:color w:val="auto"/>
        </w:rPr>
        <w:t>” means the co-stimulatory molecule also known CD137.</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4-1BB Patents</w:t>
      </w:r>
      <w:r>
        <w:rPr>
          <w:rFonts w:ascii="Arial" w:cs="Arial" w:eastAsia="Arial" w:hAnsi="Arial"/>
          <w:sz w:val="19"/>
          <w:szCs w:val="19"/>
          <w:color w:val="auto"/>
        </w:rPr>
        <w:t>” means [***] Patents that [***].</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Acquiree</w:t>
      </w:r>
      <w:r>
        <w:rPr>
          <w:rFonts w:ascii="Arial" w:cs="Arial" w:eastAsia="Arial" w:hAnsi="Arial"/>
          <w:sz w:val="19"/>
          <w:szCs w:val="19"/>
          <w:color w:val="auto"/>
        </w:rPr>
        <w:t>” has the meaning set forth in Section 16.8.</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Additional Tax</w:t>
      </w:r>
      <w:r>
        <w:rPr>
          <w:rFonts w:ascii="Arial" w:cs="Arial" w:eastAsia="Arial" w:hAnsi="Arial"/>
          <w:sz w:val="19"/>
          <w:szCs w:val="19"/>
          <w:color w:val="auto"/>
        </w:rPr>
        <w:t>” has the meaning set forth in Section 9.11(d)(i).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1" w:right="339" w:bottom="1440" w:gutter="0" w:footer="0" w:header="0"/>
        </w:sectPr>
      </w:pPr>
    </w:p>
    <w:bookmarkStart w:id="585" w:name="page586"/>
    <w:bookmarkEnd w:id="585"/>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Person, any other Person that controls, is controlled by or is under common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with such Party, for as long as such control exists. For the purposes of this definition, the word “control” (including, with correlative meaning, the terms “controlled by” or “under the common control with”) means the possession, either directly or indirectly through one or more intermediaries, of (a) power to direct or cause the direction of the management or policies of such entity (whether through ownership of securities or other ownership interests, by contract or otherwise), or (b) beneficial ownership of more than fifty percent (50%) of the voting securities or other ownership interest (whether directly or pursuant to any option, warrant or other similar arrangement) or other comparable equity interests of an entity.</w:t>
      </w:r>
    </w:p>
    <w:p>
      <w:pPr>
        <w:spacing w:after="0" w:line="14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 to this Agreement.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has the meaning set forth in Section 2.3.</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Amgen</w:t>
      </w:r>
      <w:r>
        <w:rPr>
          <w:rFonts w:ascii="Arial" w:cs="Arial" w:eastAsia="Arial" w:hAnsi="Arial"/>
          <w:sz w:val="19"/>
          <w:szCs w:val="19"/>
          <w:color w:val="auto"/>
        </w:rPr>
        <w:t>” has the meaning set forth in the preamble to this Agreement.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Amgen Indemnitees</w:t>
      </w:r>
      <w:r>
        <w:rPr>
          <w:rFonts w:ascii="Arial" w:cs="Arial" w:eastAsia="Arial" w:hAnsi="Arial"/>
          <w:sz w:val="19"/>
          <w:szCs w:val="19"/>
          <w:color w:val="auto"/>
        </w:rPr>
        <w:t>” has the meaning set forth in Section 12.1.</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color w:val="auto"/>
        </w:rPr>
        <w:t>“</w:t>
      </w:r>
      <w:r>
        <w:rPr>
          <w:rFonts w:ascii="Arial" w:cs="Arial" w:eastAsia="Arial" w:hAnsi="Arial"/>
          <w:sz w:val="22"/>
          <w:szCs w:val="22"/>
          <w:b w:val="1"/>
          <w:bCs w:val="1"/>
          <w:color w:val="auto"/>
        </w:rPr>
        <w:t>Amgen Know-How</w:t>
      </w:r>
      <w:r>
        <w:rPr>
          <w:rFonts w:ascii="Arial" w:cs="Arial" w:eastAsia="Arial" w:hAnsi="Arial"/>
          <w:sz w:val="22"/>
          <w:szCs w:val="22"/>
          <w:color w:val="auto"/>
        </w:rPr>
        <w:t>” means all Know-How that is Controlled by Amgen as of the Effective Date or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 that is [***].</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w:t>
      </w:r>
      <w:r>
        <w:rPr>
          <w:rFonts w:ascii="Arial" w:cs="Arial" w:eastAsia="Arial" w:hAnsi="Arial"/>
          <w:sz w:val="22"/>
          <w:szCs w:val="22"/>
          <w:b w:val="1"/>
          <w:bCs w:val="1"/>
          <w:color w:val="auto"/>
        </w:rPr>
        <w:t>Amgen Patents</w:t>
      </w:r>
      <w:r>
        <w:rPr>
          <w:rFonts w:ascii="Arial" w:cs="Arial" w:eastAsia="Arial" w:hAnsi="Arial"/>
          <w:sz w:val="22"/>
          <w:szCs w:val="22"/>
          <w:color w:val="auto"/>
        </w:rPr>
        <w:t>” means any Patent (other than a Joint Patent) that (a) is Controlled by Amgen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or during the Term, and (b) would be infringed, absent a license or ownership, by the Exploitation of the Licensed Bispecific. For purposes of determining whether a patent application falls within this definition, a patent application shall be considered “infringed” if its pending claims would be infringed, if issued.</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Amgen Product</w:t>
      </w:r>
      <w:r>
        <w:rPr>
          <w:rFonts w:ascii="Arial" w:cs="Arial" w:eastAsia="Arial" w:hAnsi="Arial"/>
          <w:sz w:val="22"/>
          <w:szCs w:val="22"/>
          <w:color w:val="auto"/>
        </w:rPr>
        <w:t>” means any therapeutically active compound or product that [***] (c) is not the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Bispecific.</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color w:val="auto"/>
        </w:rPr>
        <w:t>Amgen Technology</w:t>
      </w:r>
      <w:r>
        <w:rPr>
          <w:rFonts w:ascii="Arial" w:cs="Arial" w:eastAsia="Arial" w:hAnsi="Arial"/>
          <w:sz w:val="22"/>
          <w:szCs w:val="22"/>
          <w:color w:val="auto"/>
        </w:rPr>
        <w:t>” means the Amgen Patents, Amgen Know-How, and Amgen’s interest in Joint Patents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Joint Inventions.</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Amgen Therapeutic Product</w:t>
      </w:r>
      <w:r>
        <w:rPr>
          <w:rFonts w:ascii="Arial" w:cs="Arial" w:eastAsia="Arial" w:hAnsi="Arial"/>
          <w:sz w:val="19"/>
          <w:szCs w:val="19"/>
          <w:color w:val="auto"/>
        </w:rPr>
        <w:t>” has the meaning set forth in Section 11.3(f).</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Amgen Withholding Tax Action</w:t>
      </w:r>
      <w:r>
        <w:rPr>
          <w:rFonts w:ascii="Arial" w:cs="Arial" w:eastAsia="Arial" w:hAnsi="Arial"/>
          <w:sz w:val="19"/>
          <w:szCs w:val="19"/>
          <w:color w:val="auto"/>
        </w:rPr>
        <w:t>” has the meaning set forth in Section 9.11(d)(i).</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Anti-Bribery and Anti-Corruption Laws</w:t>
      </w:r>
      <w:r>
        <w:rPr>
          <w:rFonts w:ascii="Arial" w:cs="Arial" w:eastAsia="Arial" w:hAnsi="Arial"/>
          <w:sz w:val="19"/>
          <w:szCs w:val="19"/>
          <w:color w:val="auto"/>
        </w:rPr>
        <w:t>” has the meaning set forth in Section 11.3(d)(i).</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Anti-Corruption Policies</w:t>
      </w:r>
      <w:r>
        <w:rPr>
          <w:rFonts w:ascii="Arial" w:cs="Arial" w:eastAsia="Arial" w:hAnsi="Arial"/>
          <w:sz w:val="19"/>
          <w:szCs w:val="19"/>
          <w:color w:val="auto"/>
        </w:rPr>
        <w:t>” has the meaning set forth in Section 11.3(d)(i).</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color w:val="auto"/>
        </w:rPr>
        <w:t>Applicable Laws</w:t>
      </w:r>
      <w:r>
        <w:rPr>
          <w:rFonts w:ascii="Arial" w:cs="Arial" w:eastAsia="Arial" w:hAnsi="Arial"/>
          <w:sz w:val="22"/>
          <w:szCs w:val="22"/>
          <w:color w:val="auto"/>
        </w:rPr>
        <w:t>” means, with respect to a given country, the applicable laws, rules and regulations that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in effect from time to time in such country and that relate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586" w:name="page587"/>
    <w:bookmarkEnd w:id="586"/>
    <w:p>
      <w:pPr>
        <w:jc w:val="both"/>
        <w:ind w:right="20"/>
        <w:spacing w:after="0" w:line="263" w:lineRule="auto"/>
        <w:rPr>
          <w:sz w:val="20"/>
          <w:szCs w:val="20"/>
          <w:color w:val="auto"/>
        </w:rPr>
      </w:pPr>
      <w:r>
        <w:rPr>
          <w:rFonts w:ascii="Arial" w:cs="Arial" w:eastAsia="Arial" w:hAnsi="Arial"/>
          <w:sz w:val="22"/>
          <w:szCs w:val="22"/>
          <w:color w:val="auto"/>
        </w:rPr>
        <w:t>Party’s activities under this Agreement, including any rules, regulations, guidelines, or other requirements of the Regulatory Authorities of such country.</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Arising Amgen Patent</w:t>
      </w:r>
      <w:r>
        <w:rPr>
          <w:rFonts w:ascii="Arial" w:cs="Arial" w:eastAsia="Arial" w:hAnsi="Arial"/>
          <w:sz w:val="22"/>
          <w:szCs w:val="22"/>
          <w:color w:val="auto"/>
        </w:rPr>
        <w:t>” means any Amgen Patent claiming Inventions made, conceived, or reduced to practice</w:t>
      </w:r>
      <w:r>
        <w:rPr>
          <w:rFonts w:ascii="Arial" w:cs="Arial" w:eastAsia="Arial" w:hAnsi="Arial"/>
          <w:sz w:val="22"/>
          <w:szCs w:val="22"/>
          <w:b w:val="1"/>
          <w:bCs w:val="1"/>
          <w:color w:val="auto"/>
        </w:rPr>
        <w:t xml:space="preserve"> </w:t>
      </w:r>
      <w:r>
        <w:rPr>
          <w:rFonts w:ascii="Arial" w:cs="Arial" w:eastAsia="Arial" w:hAnsi="Arial"/>
          <w:sz w:val="22"/>
          <w:szCs w:val="22"/>
          <w:color w:val="auto"/>
        </w:rPr>
        <w:t>by Amgen in the course of performance of Amgen’s activities under this Agreement.</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Assigned Improvements</w:t>
      </w:r>
      <w:r>
        <w:rPr>
          <w:rFonts w:ascii="Arial" w:cs="Arial" w:eastAsia="Arial" w:hAnsi="Arial"/>
          <w:sz w:val="19"/>
          <w:szCs w:val="19"/>
          <w:color w:val="auto"/>
        </w:rPr>
        <w:t>” has the meaning set forth in Section 10.1(e).</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Background IP</w:t>
      </w:r>
      <w:r>
        <w:rPr>
          <w:rFonts w:ascii="Arial" w:cs="Arial" w:eastAsia="Arial" w:hAnsi="Arial"/>
          <w:sz w:val="19"/>
          <w:szCs w:val="19"/>
          <w:color w:val="auto"/>
        </w:rPr>
        <w:t>” means Background Patent Rights and Background Know-How.</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Background Know-How</w:t>
      </w:r>
      <w:r>
        <w:rPr>
          <w:rFonts w:ascii="Arial" w:cs="Arial" w:eastAsia="Arial" w:hAnsi="Arial"/>
          <w:sz w:val="22"/>
          <w:szCs w:val="22"/>
          <w:color w:val="auto"/>
        </w:rPr>
        <w:t>” means Know-How (a) Controlled by a Party prior to the Effective Date or (b)</w:t>
      </w:r>
      <w:r>
        <w:rPr>
          <w:rFonts w:ascii="Arial" w:cs="Arial" w:eastAsia="Arial" w:hAnsi="Arial"/>
          <w:sz w:val="22"/>
          <w:szCs w:val="22"/>
          <w:b w:val="1"/>
          <w:bCs w:val="1"/>
          <w:color w:val="auto"/>
        </w:rPr>
        <w:t xml:space="preserve"> </w:t>
      </w:r>
      <w:r>
        <w:rPr>
          <w:rFonts w:ascii="Arial" w:cs="Arial" w:eastAsia="Arial" w:hAnsi="Arial"/>
          <w:sz w:val="22"/>
          <w:szCs w:val="22"/>
          <w:color w:val="auto"/>
        </w:rPr>
        <w:t>Controlled by such Party during the Term, but not generated in the performance of the activities contemplated under this Agreement.</w:t>
      </w:r>
    </w:p>
    <w:p>
      <w:pPr>
        <w:spacing w:after="0" w:line="176"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9"/>
          <w:szCs w:val="19"/>
          <w:color w:val="auto"/>
        </w:rPr>
        <w:t>“</w:t>
      </w:r>
      <w:r>
        <w:rPr>
          <w:rFonts w:ascii="Arial" w:cs="Arial" w:eastAsia="Arial" w:hAnsi="Arial"/>
          <w:sz w:val="19"/>
          <w:szCs w:val="19"/>
          <w:b w:val="1"/>
          <w:bCs w:val="1"/>
          <w:color w:val="auto"/>
        </w:rPr>
        <w:t>Background Patent Rights</w:t>
      </w:r>
      <w:r>
        <w:rPr>
          <w:rFonts w:ascii="Arial" w:cs="Arial" w:eastAsia="Arial" w:hAnsi="Arial"/>
          <w:sz w:val="19"/>
          <w:szCs w:val="19"/>
          <w:color w:val="auto"/>
        </w:rPr>
        <w:t>” means Patents (a) Controlled by a Party prior to the Effective Date or (b) Controlled</w:t>
      </w:r>
      <w:r>
        <w:rPr>
          <w:rFonts w:ascii="Arial" w:cs="Arial" w:eastAsia="Arial" w:hAnsi="Arial"/>
          <w:sz w:val="19"/>
          <w:szCs w:val="19"/>
          <w:b w:val="1"/>
          <w:bCs w:val="1"/>
          <w:color w:val="auto"/>
        </w:rPr>
        <w:t xml:space="preserve"> </w:t>
      </w:r>
      <w:r>
        <w:rPr>
          <w:rFonts w:ascii="Arial" w:cs="Arial" w:eastAsia="Arial" w:hAnsi="Arial"/>
          <w:sz w:val="19"/>
          <w:szCs w:val="19"/>
          <w:color w:val="auto"/>
        </w:rPr>
        <w:t>by such Party during the Term, but not generated in the performance of the activities contemplated under this Agreement.</w:t>
      </w:r>
    </w:p>
    <w:p>
      <w:pPr>
        <w:spacing w:after="0" w:line="9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has the meaning set forth in Section 14.4.</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 Party</w:t>
      </w:r>
      <w:r>
        <w:rPr>
          <w:rFonts w:ascii="Arial" w:cs="Arial" w:eastAsia="Arial" w:hAnsi="Arial"/>
          <w:sz w:val="19"/>
          <w:szCs w:val="19"/>
          <w:color w:val="auto"/>
        </w:rPr>
        <w:t>” has the meaning set forth in Section 14.7.</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Biosimilar Product</w:t>
      </w:r>
      <w:r>
        <w:rPr>
          <w:rFonts w:ascii="Arial" w:cs="Arial" w:eastAsia="Arial" w:hAnsi="Arial"/>
          <w:sz w:val="19"/>
          <w:szCs w:val="19"/>
          <w:color w:val="auto"/>
        </w:rPr>
        <w:t>” means, with respect to any pharmaceutical or biological product in any country, a product</w:t>
      </w:r>
    </w:p>
    <w:p>
      <w:pPr>
        <w:spacing w:after="0" w:line="27" w:lineRule="exact"/>
        <w:rPr>
          <w:sz w:val="20"/>
          <w:szCs w:val="20"/>
          <w:color w:val="auto"/>
        </w:rPr>
      </w:pPr>
    </w:p>
    <w:p>
      <w:pPr>
        <w:jc w:val="both"/>
        <w:ind w:firstLine="8"/>
        <w:spacing w:after="0" w:line="285" w:lineRule="auto"/>
        <w:tabs>
          <w:tab w:leader="none" w:pos="298" w:val="left"/>
        </w:tabs>
        <w:numPr>
          <w:ilvl w:val="0"/>
          <w:numId w:val="539"/>
        </w:numPr>
        <w:rPr>
          <w:rFonts w:ascii="Arial" w:cs="Arial" w:eastAsia="Arial" w:hAnsi="Arial"/>
          <w:sz w:val="19"/>
          <w:szCs w:val="19"/>
          <w:color w:val="auto"/>
        </w:rPr>
      </w:pPr>
      <w:r>
        <w:rPr>
          <w:rFonts w:ascii="Arial" w:cs="Arial" w:eastAsia="Arial" w:hAnsi="Arial"/>
          <w:sz w:val="19"/>
          <w:szCs w:val="19"/>
          <w:color w:val="auto"/>
        </w:rPr>
        <w:t>that has an active ingredient that is identical, “similar,” or “highly similar” to the active ingredient of the Licensed Bispecific, as the phrase “similar” is used in Directive 2001/83/EC, as amended, or as the phrase “highly similar” is used in 42 U.S.C. § 262(i)(2), or an equivalent designation under comparable legislation of a country outside of the European Union or United States, in each case notwithstanding minor differences in clinically inactive components, and for which there are no clinically meaningful differences between such biological product and the Licensed Bispecific in terms of the safety, purity and potency, (b) for which Regulatory Approval is obtained by referencing Regulatory Materials of such Licensed Bispecific, (c) that is approved for use in such country pursuant to a Regulatory Approval process governing approval of interchangeable or biosimilar biologics as described in 42 U.S.C. § 262, or an equivalent process for Regulatory Approval in any country outside the United States, or any other equivalent provision that comes into force, or is the subject of a notice with respect to such Licensed Bispecific under 42 U.S.C. § 262(l)(2) or any other equivalent provision that comes into force in such country, and (d) is sold in the same country (or is commercially available in the same country via import from another country) as such Licensed Bispecific by any Third Party that is not a Sublicensee of Amgen or its Affiliates and that did not purchase such product in a chain of distribution that included any of Amgen or any of its Affiliates or its Sublicensees.</w:t>
      </w:r>
    </w:p>
    <w:p>
      <w:pPr>
        <w:spacing w:after="0" w:line="15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BLA</w:t>
      </w:r>
      <w:r>
        <w:rPr>
          <w:rFonts w:ascii="Arial" w:cs="Arial" w:eastAsia="Arial" w:hAnsi="Arial"/>
          <w:sz w:val="22"/>
          <w:szCs w:val="22"/>
          <w:color w:val="auto"/>
        </w:rPr>
        <w:t>” means (a) a Biologics License Application as defined in the FD&amp;C Act, 21 U.S.C. § 301 et seq.,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 together with any rules, regulations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7" w:right="339" w:bottom="1440" w:gutter="0" w:footer="0" w:header="0"/>
        </w:sectPr>
      </w:pPr>
    </w:p>
    <w:bookmarkStart w:id="587" w:name="page588"/>
    <w:bookmarkEnd w:id="587"/>
    <w:p>
      <w:pPr>
        <w:jc w:val="both"/>
        <w:spacing w:after="0" w:line="265" w:lineRule="auto"/>
        <w:rPr>
          <w:sz w:val="20"/>
          <w:szCs w:val="20"/>
          <w:color w:val="auto"/>
        </w:rPr>
      </w:pPr>
      <w:r>
        <w:rPr>
          <w:rFonts w:ascii="Arial" w:cs="Arial" w:eastAsia="Arial" w:hAnsi="Arial"/>
          <w:sz w:val="21"/>
          <w:szCs w:val="21"/>
          <w:color w:val="auto"/>
        </w:rPr>
        <w:t>requirements promulgated thereunder (including all additions, supplements, extensions, and modifications thereto), or (b) any corresponding foreign application in the Territory, including, with respect to the European Union, a Marketing Application (MA) filed with the EMA pursuant to the Centralized Approval Procedure or with the applicable Regulatory Authority of a country in Europe with respect to the mutual recognition or any other national approval procedure.</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has the meaning set forth in Section 1.32(a).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bank or other public holiday in Zürich, Switzerland</w:t>
      </w:r>
      <w:r>
        <w:rPr>
          <w:rFonts w:ascii="Arial" w:cs="Arial" w:eastAsia="Arial" w:hAnsi="Arial"/>
          <w:sz w:val="22"/>
          <w:szCs w:val="22"/>
          <w:b w:val="1"/>
          <w:bCs w:val="1"/>
          <w:color w:val="auto"/>
        </w:rPr>
        <w:t xml:space="preserve"> </w:t>
      </w:r>
      <w:r>
        <w:rPr>
          <w:rFonts w:ascii="Arial" w:cs="Arial" w:eastAsia="Arial" w:hAnsi="Arial"/>
          <w:sz w:val="22"/>
          <w:szCs w:val="22"/>
          <w:color w:val="auto"/>
        </w:rPr>
        <w:t>or Los Angeles, California, United States of America.</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for each Calendar Year, each of the three (3) month periods ending March 31, June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30, September 30 and December 31; </w:t>
      </w:r>
      <w:r>
        <w:rPr>
          <w:rFonts w:ascii="Arial" w:cs="Arial" w:eastAsia="Arial" w:hAnsi="Arial"/>
          <w:sz w:val="22"/>
          <w:szCs w:val="22"/>
          <w:i w:val="1"/>
          <w:iCs w:val="1"/>
          <w:color w:val="auto"/>
        </w:rPr>
        <w:t>provided</w:t>
      </w:r>
      <w:r>
        <w:rPr>
          <w:rFonts w:ascii="Arial" w:cs="Arial" w:eastAsia="Arial" w:hAnsi="Arial"/>
          <w:sz w:val="22"/>
          <w:szCs w:val="22"/>
          <w:color w:val="auto"/>
        </w:rPr>
        <w:t>, that the first Calendar Quarter for the first Calendar Year extends from the Effective Date to the end of the first complete Calendar Quarter thereafter.</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1.31 </w:t>
      </w:r>
      <w:r>
        <w:rPr>
          <w:rFonts w:ascii="Arial" w:cs="Arial" w:eastAsia="Arial" w:hAnsi="Arial"/>
          <w:sz w:val="21"/>
          <w:szCs w:val="21"/>
          <w:color w:val="auto"/>
        </w:rPr>
        <w:t>“</w:t>
      </w:r>
      <w:r>
        <w:rPr>
          <w:rFonts w:ascii="Arial" w:cs="Arial" w:eastAsia="Arial" w:hAnsi="Arial"/>
          <w:sz w:val="21"/>
          <w:szCs w:val="21"/>
          <w:b w:val="1"/>
          <w:bCs w:val="1"/>
          <w:color w:val="auto"/>
        </w:rPr>
        <w:t>Calendar Year</w:t>
      </w:r>
      <w:r>
        <w:rPr>
          <w:rFonts w:ascii="Arial" w:cs="Arial" w:eastAsia="Arial" w:hAnsi="Arial"/>
          <w:sz w:val="21"/>
          <w:szCs w:val="21"/>
          <w:color w:val="auto"/>
        </w:rPr>
        <w:t>” means, for the first calendar year, the period commencing on the Effective Date and ending on</w:t>
      </w:r>
      <w:r>
        <w:rPr>
          <w:rFonts w:ascii="Arial" w:cs="Arial" w:eastAsia="Arial" w:hAnsi="Arial"/>
          <w:sz w:val="21"/>
          <w:szCs w:val="21"/>
          <w:b w:val="1"/>
          <w:bCs w:val="1"/>
          <w:color w:val="auto"/>
        </w:rPr>
        <w:t xml:space="preserve"> </w:t>
      </w:r>
      <w:r>
        <w:rPr>
          <w:rFonts w:ascii="Arial" w:cs="Arial" w:eastAsia="Arial" w:hAnsi="Arial"/>
          <w:sz w:val="21"/>
          <w:szCs w:val="21"/>
          <w:color w:val="auto"/>
        </w:rPr>
        <w:t>December 31 of the calendar year during which the Effective Date occurs, and, thereafter, each successive period beginning on January 1 and ending twelve (12) consecutive calendar months later on December 31.</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with respect to a Party, is deemed to have occurred if any of the following occurs after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Effective Date:</w:t>
      </w:r>
    </w:p>
    <w:p>
      <w:pPr>
        <w:spacing w:after="0" w:line="202" w:lineRule="exact"/>
        <w:rPr>
          <w:sz w:val="20"/>
          <w:szCs w:val="20"/>
          <w:color w:val="auto"/>
        </w:rPr>
      </w:pPr>
    </w:p>
    <w:p>
      <w:pPr>
        <w:jc w:val="both"/>
        <w:ind w:left="180" w:firstLine="1286"/>
        <w:spacing w:after="0" w:line="246" w:lineRule="auto"/>
        <w:tabs>
          <w:tab w:leader="none" w:pos="1988" w:val="left"/>
        </w:tabs>
        <w:numPr>
          <w:ilvl w:val="0"/>
          <w:numId w:val="540"/>
        </w:numPr>
        <w:rPr>
          <w:rFonts w:ascii="Arial" w:cs="Arial" w:eastAsia="Arial" w:hAnsi="Arial"/>
          <w:sz w:val="22"/>
          <w:szCs w:val="22"/>
          <w:color w:val="auto"/>
        </w:rPr>
      </w:pPr>
      <w:r>
        <w:rPr>
          <w:rFonts w:ascii="Arial" w:cs="Arial" w:eastAsia="Arial" w:hAnsi="Arial"/>
          <w:sz w:val="22"/>
          <w:szCs w:val="22"/>
          <w:color w:val="auto"/>
        </w:rPr>
        <w:t>any “person” or “group” (as such terms are defined below) who (i) is or becomes the “beneficial owner” (as such term is defined below), directly or indirectly, of shares of capital stock or other interests (including partnership interests) of such Party then outstanding and normally entitled (without regard to the occurrence of any contingency) to vote in the election of the directors, managers or similar supervisory positions (“</w:t>
      </w:r>
      <w:r>
        <w:rPr>
          <w:rFonts w:ascii="Arial" w:cs="Arial" w:eastAsia="Arial" w:hAnsi="Arial"/>
          <w:sz w:val="22"/>
          <w:szCs w:val="22"/>
          <w:b w:val="1"/>
          <w:bCs w:val="1"/>
          <w:color w:val="auto"/>
        </w:rPr>
        <w:t>Voting Stock</w:t>
      </w:r>
      <w:r>
        <w:rPr>
          <w:rFonts w:ascii="Arial" w:cs="Arial" w:eastAsia="Arial" w:hAnsi="Arial"/>
          <w:sz w:val="22"/>
          <w:szCs w:val="22"/>
          <w:color w:val="auto"/>
        </w:rPr>
        <w:t>”) of such Party representing fifty percent (50%) or more of the total voting power of all outstanding classes of Voting Stock of such Party or (ii) has the power, directly or indirectly, to elect a majority of the members of the Party’s board of directors, or similar governing body (“</w:t>
      </w:r>
      <w:r>
        <w:rPr>
          <w:rFonts w:ascii="Arial" w:cs="Arial" w:eastAsia="Arial" w:hAnsi="Arial"/>
          <w:sz w:val="22"/>
          <w:szCs w:val="22"/>
          <w:b w:val="1"/>
          <w:bCs w:val="1"/>
          <w:color w:val="auto"/>
        </w:rPr>
        <w:t>Board of</w:t>
      </w:r>
      <w:r>
        <w:rPr>
          <w:rFonts w:ascii="Arial" w:cs="Arial" w:eastAsia="Arial" w:hAnsi="Arial"/>
          <w:sz w:val="22"/>
          <w:szCs w:val="22"/>
          <w:color w:val="auto"/>
        </w:rPr>
        <w:t xml:space="preserve"> </w:t>
      </w:r>
      <w:r>
        <w:rPr>
          <w:rFonts w:ascii="Arial" w:cs="Arial" w:eastAsia="Arial" w:hAnsi="Arial"/>
          <w:sz w:val="22"/>
          <w:szCs w:val="22"/>
          <w:b w:val="1"/>
          <w:bCs w:val="1"/>
          <w:color w:val="auto"/>
        </w:rPr>
        <w:t>Directors</w:t>
      </w:r>
      <w:r>
        <w:rPr>
          <w:rFonts w:ascii="Arial" w:cs="Arial" w:eastAsia="Arial" w:hAnsi="Arial"/>
          <w:sz w:val="22"/>
          <w:szCs w:val="22"/>
          <w:color w:val="auto"/>
        </w:rPr>
        <w:t>”); or</w:t>
      </w:r>
    </w:p>
    <w:p>
      <w:pPr>
        <w:spacing w:after="0" w:line="196" w:lineRule="exact"/>
        <w:rPr>
          <w:rFonts w:ascii="Arial" w:cs="Arial" w:eastAsia="Arial" w:hAnsi="Arial"/>
          <w:sz w:val="22"/>
          <w:szCs w:val="22"/>
          <w:color w:val="auto"/>
        </w:rPr>
      </w:pPr>
    </w:p>
    <w:p>
      <w:pPr>
        <w:jc w:val="both"/>
        <w:ind w:left="180" w:firstLine="1286"/>
        <w:spacing w:after="0" w:line="290" w:lineRule="auto"/>
        <w:tabs>
          <w:tab w:leader="none" w:pos="2006" w:val="left"/>
        </w:tabs>
        <w:numPr>
          <w:ilvl w:val="0"/>
          <w:numId w:val="540"/>
        </w:numPr>
        <w:rPr>
          <w:rFonts w:ascii="Arial" w:cs="Arial" w:eastAsia="Arial" w:hAnsi="Arial"/>
          <w:sz w:val="19"/>
          <w:szCs w:val="19"/>
          <w:color w:val="auto"/>
        </w:rPr>
      </w:pPr>
      <w:r>
        <w:rPr>
          <w:rFonts w:ascii="Arial" w:cs="Arial" w:eastAsia="Arial" w:hAnsi="Arial"/>
          <w:sz w:val="19"/>
          <w:szCs w:val="19"/>
          <w:color w:val="auto"/>
        </w:rPr>
        <w:t>such Party enters into a merger, consolidation or similar transaction with another Person (whether or not such Party is the surviving entity) and as a result of such merger, consolidation or similar transaction (i) the members of the Board of Directors of such Party immediately prior to such transaction constitute less than a majority of the members of the Board of Directors of such Party or such surviving Person immediately following such transaction or (ii) the Persons that beneficially owned, directly or indirectly, the shares of Voting Stock of such Party immediately prior to such transaction cease to beneficially own, directly or indirectly, shares of Voting Stock of such Party representing at least a majority of the total voting power of all outstanding classes of Voting Stock of the surviving Person in substantially the same proportions as their ownership of Voting Stock of such Party immediately prior to such transaction;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7" w:right="339" w:bottom="1440" w:gutter="0" w:footer="0" w:header="0"/>
        </w:sectPr>
      </w:pPr>
    </w:p>
    <w:bookmarkStart w:id="588" w:name="page589"/>
    <w:bookmarkEnd w:id="588"/>
    <w:p>
      <w:pPr>
        <w:ind w:left="180" w:firstLine="1286"/>
        <w:spacing w:after="0" w:line="263" w:lineRule="auto"/>
        <w:tabs>
          <w:tab w:leader="none" w:pos="1959" w:val="left"/>
        </w:tabs>
        <w:numPr>
          <w:ilvl w:val="0"/>
          <w:numId w:val="541"/>
        </w:numPr>
        <w:rPr>
          <w:rFonts w:ascii="Arial" w:cs="Arial" w:eastAsia="Arial" w:hAnsi="Arial"/>
          <w:sz w:val="22"/>
          <w:szCs w:val="22"/>
          <w:color w:val="auto"/>
        </w:rPr>
      </w:pPr>
      <w:r>
        <w:rPr>
          <w:rFonts w:ascii="Arial" w:cs="Arial" w:eastAsia="Arial" w:hAnsi="Arial"/>
          <w:sz w:val="22"/>
          <w:szCs w:val="22"/>
          <w:color w:val="auto"/>
        </w:rPr>
        <w:t>such Party sells or transfers to any Third Party, in one (1) or more related transactions, properties or assets representing all or substantially all of such Party’s assets to which this Agreement relates; or</w:t>
      </w:r>
    </w:p>
    <w:p>
      <w:pPr>
        <w:spacing w:after="0" w:line="174" w:lineRule="exact"/>
        <w:rPr>
          <w:rFonts w:ascii="Arial" w:cs="Arial" w:eastAsia="Arial" w:hAnsi="Arial"/>
          <w:sz w:val="22"/>
          <w:szCs w:val="22"/>
          <w:color w:val="auto"/>
        </w:rPr>
      </w:pPr>
    </w:p>
    <w:p>
      <w:pPr>
        <w:ind w:left="2000" w:hanging="534"/>
        <w:spacing w:after="0"/>
        <w:tabs>
          <w:tab w:leader="none" w:pos="2000" w:val="left"/>
        </w:tabs>
        <w:numPr>
          <w:ilvl w:val="0"/>
          <w:numId w:val="541"/>
        </w:numPr>
        <w:rPr>
          <w:rFonts w:ascii="Arial" w:cs="Arial" w:eastAsia="Arial" w:hAnsi="Arial"/>
          <w:sz w:val="19"/>
          <w:szCs w:val="19"/>
          <w:color w:val="auto"/>
        </w:rPr>
      </w:pPr>
      <w:r>
        <w:rPr>
          <w:rFonts w:ascii="Arial" w:cs="Arial" w:eastAsia="Arial" w:hAnsi="Arial"/>
          <w:sz w:val="19"/>
          <w:szCs w:val="19"/>
          <w:color w:val="auto"/>
        </w:rPr>
        <w:t>the holders of capital stock of such Party approve a plan or proposal for the liquidation or dissolution of</w:t>
      </w:r>
    </w:p>
    <w:p>
      <w:pPr>
        <w:spacing w:after="0" w:line="55"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such Party.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For the purpose of this definition of Change of Control, (i) ”person” and “group” have the meanings given such terms under Section 13(d) and 14(d) of the United States Securities Exchange Act of 1934 and the term “group” includes any group acting for the purpose of acquiring, holding or disposing of securities within the meaning of Rule 13d-5(b)(1) under the said Act; (ii) a “beneficial owner” is determined in accordance with Rule 13d-3 under the aforesaid Act; and (iii) the terms “beneficially owned” and “beneficially own” have meanings correlative to that of “beneficial owner.”</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has the meaning set forth in Section 12.1.</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Product Quality Agreement</w:t>
      </w:r>
      <w:r>
        <w:rPr>
          <w:rFonts w:ascii="Arial" w:cs="Arial" w:eastAsia="Arial" w:hAnsi="Arial"/>
          <w:sz w:val="19"/>
          <w:szCs w:val="19"/>
          <w:color w:val="auto"/>
        </w:rPr>
        <w:t>” has the meaning set forth in Section 7.4.</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Supply Agreement</w:t>
      </w:r>
      <w:r>
        <w:rPr>
          <w:rFonts w:ascii="Arial" w:cs="Arial" w:eastAsia="Arial" w:hAnsi="Arial"/>
          <w:sz w:val="19"/>
          <w:szCs w:val="19"/>
          <w:color w:val="auto"/>
        </w:rPr>
        <w:t>” has the meaning set forth in Section 7.4.</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1.36 </w:t>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 research study in which one or more human subjects are prospectively assigned to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interventions (which may include placebo or other control) to evaluate the effects of those interventions on health-related biomedical outcomes, including a Phase 1 Clinical Trial, Phase 2 Clinical Trial, Phase 3 Clinical Trial or Phase 4 Clinical Trial.</w:t>
      </w:r>
    </w:p>
    <w:p>
      <w:pPr>
        <w:spacing w:after="0" w:line="12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CMO</w:t>
      </w:r>
      <w:r>
        <w:rPr>
          <w:rFonts w:ascii="Arial" w:cs="Arial" w:eastAsia="Arial" w:hAnsi="Arial"/>
          <w:sz w:val="19"/>
          <w:szCs w:val="19"/>
          <w:color w:val="auto"/>
        </w:rPr>
        <w:t>” has the meaning set forth in Section 7.1(a).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w:t>
      </w:r>
      <w:r>
        <w:rPr>
          <w:rFonts w:ascii="Arial" w:cs="Arial" w:eastAsia="Arial" w:hAnsi="Arial"/>
          <w:sz w:val="19"/>
          <w:szCs w:val="19"/>
          <w:color w:val="auto"/>
        </w:rPr>
        <w:t>” has the meaning set forth in the preamble to this Agreement.</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Combination Inventions</w:t>
      </w:r>
      <w:r>
        <w:rPr>
          <w:rFonts w:ascii="Arial" w:cs="Arial" w:eastAsia="Arial" w:hAnsi="Arial"/>
          <w:sz w:val="19"/>
          <w:szCs w:val="19"/>
          <w:color w:val="auto"/>
        </w:rPr>
        <w:t>” has the meaning set forth in Section 10.1(f).</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Combination Therapy</w:t>
      </w:r>
      <w:r>
        <w:rPr>
          <w:rFonts w:ascii="Arial" w:cs="Arial" w:eastAsia="Arial" w:hAnsi="Arial"/>
          <w:sz w:val="22"/>
          <w:szCs w:val="22"/>
          <w:color w:val="auto"/>
        </w:rPr>
        <w:t>” means a therapy that includes the Licensed Bispecific and any Amgen Product that are</w:t>
      </w:r>
      <w:r>
        <w:rPr>
          <w:rFonts w:ascii="Arial" w:cs="Arial" w:eastAsia="Arial" w:hAnsi="Arial"/>
          <w:sz w:val="22"/>
          <w:szCs w:val="22"/>
          <w:b w:val="1"/>
          <w:bCs w:val="1"/>
          <w:color w:val="auto"/>
        </w:rPr>
        <w:t xml:space="preserve"> </w:t>
      </w:r>
      <w:r>
        <w:rPr>
          <w:rFonts w:ascii="Arial" w:cs="Arial" w:eastAsia="Arial" w:hAnsi="Arial"/>
          <w:sz w:val="22"/>
          <w:szCs w:val="22"/>
          <w:color w:val="auto"/>
        </w:rPr>
        <w:t>approved (or being Developed for approval) for use in combination with one another, whether sold at a single price point or under separate price points or as part of a course of treatment.</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color w:val="auto"/>
        </w:rPr>
        <w:t>Commercialization</w:t>
      </w:r>
      <w:r>
        <w:rPr>
          <w:rFonts w:ascii="Arial" w:cs="Arial" w:eastAsia="Arial" w:hAnsi="Arial"/>
          <w:sz w:val="22"/>
          <w:szCs w:val="22"/>
          <w:color w:val="auto"/>
        </w:rPr>
        <w:t>” means the marketing, promotion, sale, and distribution of a Product in the Territory,</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commercial activities in preparation for the First Commercial Sale of a Product. “</w:t>
      </w:r>
      <w:r>
        <w:rPr>
          <w:rFonts w:ascii="Arial" w:cs="Arial" w:eastAsia="Arial" w:hAnsi="Arial"/>
          <w:sz w:val="22"/>
          <w:szCs w:val="22"/>
          <w:b w:val="1"/>
          <w:bCs w:val="1"/>
          <w:color w:val="auto"/>
        </w:rPr>
        <w:t>Commercialize</w:t>
      </w:r>
      <w:r>
        <w:rPr>
          <w:rFonts w:ascii="Arial" w:cs="Arial" w:eastAsia="Arial" w:hAnsi="Arial"/>
          <w:sz w:val="22"/>
          <w:szCs w:val="22"/>
          <w:color w:val="auto"/>
        </w:rPr>
        <w:t>” has a correlative meaning.</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Plan</w:t>
      </w:r>
      <w:r>
        <w:rPr>
          <w:rFonts w:ascii="Arial" w:cs="Arial" w:eastAsia="Arial" w:hAnsi="Arial"/>
          <w:sz w:val="19"/>
          <w:szCs w:val="19"/>
          <w:color w:val="auto"/>
        </w:rPr>
        <w:t>” has the meaning set forth in Section 6.2.</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1.43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a Party (directly or through Affiliates or</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performing activities under this Agreement, those efforts and resources consistent with the efforts and resources normally used by a similarly situated pharmaceutical company of comparable size for the development or commercialization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7" w:right="339" w:bottom="1440" w:gutter="0" w:footer="0" w:header="0"/>
        </w:sectPr>
      </w:pPr>
    </w:p>
    <w:bookmarkStart w:id="589" w:name="page590"/>
    <w:bookmarkEnd w:id="589"/>
    <w:p>
      <w:pPr>
        <w:jc w:val="both"/>
        <w:spacing w:after="0" w:line="294" w:lineRule="auto"/>
        <w:rPr>
          <w:sz w:val="20"/>
          <w:szCs w:val="20"/>
          <w:color w:val="auto"/>
        </w:rPr>
      </w:pPr>
      <w:r>
        <w:rPr>
          <w:rFonts w:ascii="Arial" w:cs="Arial" w:eastAsia="Arial" w:hAnsi="Arial"/>
          <w:sz w:val="19"/>
          <w:szCs w:val="19"/>
          <w:color w:val="auto"/>
        </w:rPr>
        <w:t>product of a similar value, stage of development, life cycle and commercial potential, taking into account all relevant factors, including issues of safety and efficacy, product profile, difficulty in developing or manufacturing the Product, competitiveness of Third Party alternative products (including generic products), the patent or other proprietary position of the Product (including patent coverage and Regulatory Exclusivity), the regulatory requirements involved and the potential profitability of the Product, and other relevant factors such as technical, legal, scientific or medical factors. It is anticipated that the level of effort may change over time, reflecting changes in the status of the aforementioned attributes and potential of the Product.</w:t>
      </w:r>
    </w:p>
    <w:p>
      <w:pPr>
        <w:spacing w:after="0" w:line="14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Competing Program</w:t>
      </w:r>
      <w:r>
        <w:rPr>
          <w:rFonts w:ascii="Arial" w:cs="Arial" w:eastAsia="Arial" w:hAnsi="Arial"/>
          <w:sz w:val="19"/>
          <w:szCs w:val="19"/>
          <w:color w:val="auto"/>
        </w:rPr>
        <w:t>” has the meaning set forth in Section 3.8(b).</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1.45 </w:t>
      </w: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with respect to a Party and subject to the last paragraph of Section 13.1, all</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of such Party that is disclosed to the other Party under this Agreement, which may include specifications, know-how, trade secrets, technical information, models, business information, inventions, discoveries, methods, procedures, formulae, protocols, techniques, data, and unpublished patent applications, whether disclosed in oral, written, graphic, or electronic form. All confidential Information disclosed by or on behalf of either Party pursuant to the Confidentiality Agreement is deemed to be the disclosing Party’s Confidential Information hereunder.</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the Confidential Disclosure Agreement entered into by Amgen and</w:t>
      </w:r>
      <w:r>
        <w:rPr>
          <w:rFonts w:ascii="Arial" w:cs="Arial" w:eastAsia="Arial" w:hAnsi="Arial"/>
          <w:sz w:val="22"/>
          <w:szCs w:val="22"/>
          <w:b w:val="1"/>
          <w:bCs w:val="1"/>
          <w:color w:val="auto"/>
        </w:rPr>
        <w:t xml:space="preserve"> </w:t>
      </w:r>
      <w:r>
        <w:rPr>
          <w:rFonts w:ascii="Arial" w:cs="Arial" w:eastAsia="Arial" w:hAnsi="Arial"/>
          <w:sz w:val="22"/>
          <w:szCs w:val="22"/>
          <w:color w:val="auto"/>
        </w:rPr>
        <w:t>Molecular Partners effective as of [***], the Confidential Disclosure Agreement entered into by Amgen and Molecular Partners effective as of [***], and Amgen’s Request for Restricted Information dated [***].</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1.47 </w:t>
      </w: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Patent, Know-How, Information, or other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right, the possession (whether by ownership or license) by a Party or its Affiliate of the ability to grant to the other Party a license or access as provided herein to such Patent, Know-How, Information or other intellectual property right, without violating the terms of any agreement or other arrangement of such Party with any Third Party, or such Party being obligated to pay any royalties or other consideration therefor, in existence as of the time such Party or its Affiliates would first be required hereunder to grant the other Party such license or access; provided, however, if (a) a Party or its Affiliate would Control any Patent, Know-How, Information, or other intellectual property right but for an obligation to pay royalties or other consideration in connection with a grant to the other Party of such Know-How, Patent, or other intellectual property right and (b) the other Party agrees in writing to reimburse the first Party for all such royalties or other consideration, provided that the other Party may offset such amounts paid to the first Party under Article 9, then such Patent, Know-How, Information, or other intellectual property right shall be deemed Controlled by the first Party or such Affiliate.</w:t>
      </w:r>
    </w:p>
    <w:p>
      <w:pPr>
        <w:spacing w:after="0" w:line="15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Cost-Sharing Data Package</w:t>
      </w:r>
      <w:r>
        <w:rPr>
          <w:rFonts w:ascii="Arial" w:cs="Arial" w:eastAsia="Arial" w:hAnsi="Arial"/>
          <w:sz w:val="19"/>
          <w:szCs w:val="19"/>
          <w:color w:val="auto"/>
        </w:rPr>
        <w:t>” has the meaning set forth in Section 4.4(a).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Cost-Sharing Termination</w:t>
      </w:r>
      <w:r>
        <w:rPr>
          <w:rFonts w:ascii="Arial" w:cs="Arial" w:eastAsia="Arial" w:hAnsi="Arial"/>
          <w:sz w:val="19"/>
          <w:szCs w:val="19"/>
          <w:color w:val="auto"/>
        </w:rPr>
        <w:t>” has the meaning set forth in Section 4.4(c).</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Cost-Sharing Termination Right</w:t>
      </w:r>
      <w:r>
        <w:rPr>
          <w:rFonts w:ascii="Arial" w:cs="Arial" w:eastAsia="Arial" w:hAnsi="Arial"/>
          <w:sz w:val="19"/>
          <w:szCs w:val="19"/>
          <w:color w:val="auto"/>
        </w:rPr>
        <w:t>” has the meaning set forth in Section 4.4(c).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590" w:name="page591"/>
    <w:bookmarkEnd w:id="590"/>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means, with respect to a Valid Claim of a Patent and a Licensed Bispecific, that such claim would be</w:t>
      </w:r>
      <w:r>
        <w:rPr>
          <w:rFonts w:ascii="Arial" w:cs="Arial" w:eastAsia="Arial" w:hAnsi="Arial"/>
          <w:sz w:val="22"/>
          <w:szCs w:val="22"/>
          <w:b w:val="1"/>
          <w:bCs w:val="1"/>
          <w:color w:val="auto"/>
        </w:rPr>
        <w:t xml:space="preserve"> </w:t>
      </w:r>
      <w:r>
        <w:rPr>
          <w:rFonts w:ascii="Arial" w:cs="Arial" w:eastAsia="Arial" w:hAnsi="Arial"/>
          <w:sz w:val="22"/>
          <w:szCs w:val="22"/>
          <w:color w:val="auto"/>
        </w:rPr>
        <w:t>infringed, absent a license or ownership, by the Exploitation of such Licensed Bispecific with respect to a given country (considering claims of patent applications to be issued as then pending). Cognates of the word “Cover” have correlative meanings.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Covered Individuals and Entities</w:t>
      </w:r>
      <w:r>
        <w:rPr>
          <w:rFonts w:ascii="Arial" w:cs="Arial" w:eastAsia="Arial" w:hAnsi="Arial"/>
          <w:sz w:val="22"/>
          <w:szCs w:val="22"/>
          <w:color w:val="auto"/>
        </w:rPr>
        <w:t>” and “</w:t>
      </w:r>
      <w:r>
        <w:rPr>
          <w:rFonts w:ascii="Arial" w:cs="Arial" w:eastAsia="Arial" w:hAnsi="Arial"/>
          <w:sz w:val="22"/>
          <w:szCs w:val="22"/>
          <w:b w:val="1"/>
          <w:bCs w:val="1"/>
          <w:color w:val="auto"/>
        </w:rPr>
        <w:t>Covered Individual and Entity</w:t>
      </w:r>
      <w:r>
        <w:rPr>
          <w:rFonts w:ascii="Arial" w:cs="Arial" w:eastAsia="Arial" w:hAnsi="Arial"/>
          <w:sz w:val="22"/>
          <w:szCs w:val="22"/>
          <w:color w:val="auto"/>
        </w:rPr>
        <w:t>” has the meaning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11.3(f).</w:t>
      </w:r>
    </w:p>
    <w:p>
      <w:pPr>
        <w:spacing w:after="0" w:line="162"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DARPin Binding Domain</w:t>
      </w:r>
      <w:r>
        <w:rPr>
          <w:rFonts w:ascii="Arial" w:cs="Arial" w:eastAsia="Arial" w:hAnsi="Arial"/>
          <w:sz w:val="19"/>
          <w:szCs w:val="19"/>
          <w:color w:val="auto"/>
        </w:rPr>
        <w:t>” means an ankyrin repeat domain [***] that [***].</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22"/>
          <w:szCs w:val="22"/>
          <w:color w:val="auto"/>
        </w:rPr>
        <w:t>“</w:t>
      </w:r>
      <w:r>
        <w:rPr>
          <w:rFonts w:ascii="Arial" w:cs="Arial" w:eastAsia="Arial" w:hAnsi="Arial"/>
          <w:sz w:val="22"/>
          <w:szCs w:val="22"/>
          <w:b w:val="1"/>
          <w:bCs w:val="1"/>
          <w:color w:val="auto"/>
        </w:rPr>
        <w:t>DARPin Compound</w:t>
      </w:r>
      <w:r>
        <w:rPr>
          <w:rFonts w:ascii="Arial" w:cs="Arial" w:eastAsia="Arial" w:hAnsi="Arial"/>
          <w:sz w:val="22"/>
          <w:szCs w:val="22"/>
          <w:color w:val="auto"/>
        </w:rPr>
        <w:t>” means any compound comprising a designed ankyrin repeat protein or a designed ankyrin</w:t>
      </w:r>
      <w:r>
        <w:rPr>
          <w:rFonts w:ascii="Arial" w:cs="Arial" w:eastAsia="Arial" w:hAnsi="Arial"/>
          <w:sz w:val="22"/>
          <w:szCs w:val="22"/>
          <w:b w:val="1"/>
          <w:bCs w:val="1"/>
          <w:color w:val="auto"/>
        </w:rPr>
        <w:t xml:space="preserve"> </w:t>
      </w:r>
      <w:r>
        <w:rPr>
          <w:rFonts w:ascii="Arial" w:cs="Arial" w:eastAsia="Arial" w:hAnsi="Arial"/>
          <w:sz w:val="22"/>
          <w:szCs w:val="22"/>
          <w:color w:val="auto"/>
        </w:rPr>
        <w:t>repeat domain as described or otherwise disclosed in [***].</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color w:val="auto"/>
        </w:rPr>
        <w:t>DARPin Technology</w:t>
      </w:r>
      <w:r>
        <w:rPr>
          <w:rFonts w:ascii="Arial" w:cs="Arial" w:eastAsia="Arial" w:hAnsi="Arial"/>
          <w:sz w:val="22"/>
          <w:szCs w:val="22"/>
          <w:color w:val="auto"/>
        </w:rPr>
        <w:t>” means any DARPin Compound or component thereof and any method or process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to the research, development, manufacturing, clinical use, or commercialization of such DARPin Compound or component thereof for diagnostic or therapeutic use.</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Data</w:t>
      </w:r>
      <w:r>
        <w:rPr>
          <w:rFonts w:ascii="Arial" w:cs="Arial" w:eastAsia="Arial" w:hAnsi="Arial"/>
          <w:sz w:val="22"/>
          <w:szCs w:val="22"/>
          <w:color w:val="auto"/>
        </w:rPr>
        <w:t>” means any and all scientific, technical, test, marketing or sales data pertaining to any Product that is</w:t>
      </w:r>
      <w:r>
        <w:rPr>
          <w:rFonts w:ascii="Arial" w:cs="Arial" w:eastAsia="Arial" w:hAnsi="Arial"/>
          <w:sz w:val="22"/>
          <w:szCs w:val="22"/>
          <w:b w:val="1"/>
          <w:bCs w:val="1"/>
          <w:color w:val="auto"/>
        </w:rPr>
        <w:t xml:space="preserve"> </w:t>
      </w:r>
      <w:r>
        <w:rPr>
          <w:rFonts w:ascii="Arial" w:cs="Arial" w:eastAsia="Arial" w:hAnsi="Arial"/>
          <w:sz w:val="22"/>
          <w:szCs w:val="22"/>
          <w:color w:val="auto"/>
        </w:rPr>
        <w:t>generated by or on behalf of a Party, their respective Affiliates or sublicensees, including research data, clinical pharmacology data, pre-clinical data, clinical data, clinical study reports or submissions made in association with an IND or Marketing Application (MA) with respect to any Product.</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Deferred Development Costs</w:t>
      </w:r>
      <w:r>
        <w:rPr>
          <w:rFonts w:ascii="Arial" w:cs="Arial" w:eastAsia="Arial" w:hAnsi="Arial"/>
          <w:sz w:val="19"/>
          <w:szCs w:val="19"/>
          <w:color w:val="auto"/>
        </w:rPr>
        <w:t>” has the meaning set forth in Section 4.4(b).</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1.58 </w:t>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means all activities that relate to the development of Licensed Bispecifics and Combination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Therapies, including (a) research, nonclinical testing, toxicology, and Clinical Trials, and (b) obtaining, maintaining, or expanding Regulatory Approval of a Product (including preparation, submission, review, and development of Data or Information for the purpose of submission to a Governmental Authority to obtain, maintain, or expand Regulatory Approval of a Product);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Development excludes Commercialization activities and the building of commercial inventory of Product or the building or construction of any manufacturing facilities. “</w:t>
      </w:r>
      <w:r>
        <w:rPr>
          <w:rFonts w:ascii="Arial" w:cs="Arial" w:eastAsia="Arial" w:hAnsi="Arial"/>
          <w:sz w:val="19"/>
          <w:szCs w:val="19"/>
          <w:b w:val="1"/>
          <w:bCs w:val="1"/>
          <w:color w:val="auto"/>
        </w:rPr>
        <w:t>Develop</w:t>
      </w:r>
      <w:r>
        <w:rPr>
          <w:rFonts w:ascii="Arial" w:cs="Arial" w:eastAsia="Arial" w:hAnsi="Arial"/>
          <w:sz w:val="19"/>
          <w:szCs w:val="19"/>
          <w:color w:val="auto"/>
        </w:rPr>
        <w:t>” has a correlative meaning.</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Development Budget</w:t>
      </w:r>
      <w:r>
        <w:rPr>
          <w:rFonts w:ascii="Arial" w:cs="Arial" w:eastAsia="Arial" w:hAnsi="Arial"/>
          <w:sz w:val="22"/>
          <w:szCs w:val="22"/>
          <w:color w:val="auto"/>
        </w:rPr>
        <w:t>” means the reasonably detailed budget associated with the Development Plan, detailing the</w:t>
      </w:r>
      <w:r>
        <w:rPr>
          <w:rFonts w:ascii="Arial" w:cs="Arial" w:eastAsia="Arial" w:hAnsi="Arial"/>
          <w:sz w:val="22"/>
          <w:szCs w:val="22"/>
          <w:b w:val="1"/>
          <w:bCs w:val="1"/>
          <w:color w:val="auto"/>
        </w:rPr>
        <w:t xml:space="preserve"> </w:t>
      </w:r>
      <w:r>
        <w:rPr>
          <w:rFonts w:ascii="Arial" w:cs="Arial" w:eastAsia="Arial" w:hAnsi="Arial"/>
          <w:sz w:val="22"/>
          <w:szCs w:val="22"/>
          <w:color w:val="auto"/>
        </w:rPr>
        <w:t>anticipated Development Costs for at least the following Calendar Year and a general projection of anticipated costs for the subsequent [***] from the date such budget is prepared or updated.</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Cost Deferral</w:t>
      </w:r>
      <w:r>
        <w:rPr>
          <w:rFonts w:ascii="Arial" w:cs="Arial" w:eastAsia="Arial" w:hAnsi="Arial"/>
          <w:sz w:val="19"/>
          <w:szCs w:val="19"/>
          <w:color w:val="auto"/>
        </w:rPr>
        <w:t>” has the meaning set forth in Section 4.4(b).</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Development Costs</w:t>
      </w:r>
      <w:r>
        <w:rPr>
          <w:rFonts w:ascii="Arial" w:cs="Arial" w:eastAsia="Arial" w:hAnsi="Arial"/>
          <w:sz w:val="22"/>
          <w:szCs w:val="22"/>
          <w:color w:val="auto"/>
        </w:rPr>
        <w:t>” means, solely with respect to the Licensed Bispecific and Combination Therapy [***], all</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costs that are directly incurred by a Party with respect to the following: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591" w:name="page592"/>
    <w:bookmarkEnd w:id="591"/>
    <w:p>
      <w:pPr>
        <w:ind w:left="660"/>
        <w:spacing w:after="0"/>
        <w:tabs>
          <w:tab w:leader="none" w:pos="124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Lead</w:t>
      </w:r>
      <w:r>
        <w:rPr>
          <w:rFonts w:ascii="Arial" w:cs="Arial" w:eastAsia="Arial" w:hAnsi="Arial"/>
          <w:sz w:val="19"/>
          <w:szCs w:val="19"/>
          <w:color w:val="auto"/>
        </w:rPr>
        <w:t>” has the meaning set forth in Section 4.1(a).</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Plan</w:t>
      </w:r>
      <w:r>
        <w:rPr>
          <w:rFonts w:ascii="Arial" w:cs="Arial" w:eastAsia="Arial" w:hAnsi="Arial"/>
          <w:sz w:val="19"/>
          <w:szCs w:val="19"/>
          <w:color w:val="auto"/>
        </w:rPr>
        <w:t>” has the meaning set forth in Section 4.2.</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Disputes</w:t>
      </w:r>
      <w:r>
        <w:rPr>
          <w:rFonts w:ascii="Arial" w:cs="Arial" w:eastAsia="Arial" w:hAnsi="Arial"/>
          <w:sz w:val="19"/>
          <w:szCs w:val="19"/>
          <w:color w:val="auto"/>
        </w:rPr>
        <w:t>” has the meaning set forth in Section 15.1.</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means a United States dollar, and “</w:t>
      </w:r>
      <w:r>
        <w:rPr>
          <w:rFonts w:ascii="Arial" w:cs="Arial" w:eastAsia="Arial" w:hAnsi="Arial"/>
          <w:sz w:val="19"/>
          <w:szCs w:val="19"/>
          <w:b w:val="1"/>
          <w:bCs w:val="1"/>
          <w:color w:val="auto"/>
        </w:rPr>
        <w:t>$</w:t>
      </w:r>
      <w:r>
        <w:rPr>
          <w:rFonts w:ascii="Arial" w:cs="Arial" w:eastAsia="Arial" w:hAnsi="Arial"/>
          <w:sz w:val="19"/>
          <w:szCs w:val="19"/>
          <w:color w:val="auto"/>
        </w:rPr>
        <w:t>” shall be interpreted accordingly.</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has the meaning set forth in the preamble to this Agreement.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European Union</w:t>
      </w:r>
      <w:r>
        <w:rPr>
          <w:rFonts w:ascii="Arial" w:cs="Arial" w:eastAsia="Arial" w:hAnsi="Arial"/>
          <w:sz w:val="22"/>
          <w:szCs w:val="22"/>
          <w:color w:val="auto"/>
        </w:rPr>
        <w:t>” means the economic, scientific, and political organization of European member states, as its</w:t>
      </w:r>
      <w:r>
        <w:rPr>
          <w:rFonts w:ascii="Arial" w:cs="Arial" w:eastAsia="Arial" w:hAnsi="Arial"/>
          <w:sz w:val="22"/>
          <w:szCs w:val="22"/>
          <w:b w:val="1"/>
          <w:bCs w:val="1"/>
          <w:color w:val="auto"/>
        </w:rPr>
        <w:t xml:space="preserve"> </w:t>
      </w:r>
      <w:r>
        <w:rPr>
          <w:rFonts w:ascii="Arial" w:cs="Arial" w:eastAsia="Arial" w:hAnsi="Arial"/>
          <w:sz w:val="22"/>
          <w:szCs w:val="22"/>
          <w:color w:val="auto"/>
        </w:rPr>
        <w:t>membership may be altered from time to time, and any successor thereto, and which, as of the Effective Date, consists of Austria, Belgium, Bulgaria, Croatia, Cyprus, Czech Republic, Denmark, Estonia, Finland, France, Germany, Greece, Hungary, Ireland, Italy, Latvia, Lithuania, Luxembourg, Malta, The Netherlands, Poland, Portugal, Romania, Slovakia, Slovenia, Spain, Sweden and the United Kingdom. Notwithstanding the foregoing, the European Union shall include the France, Germany, Italy, Spain, and the United Kingdom for purposes of this definition regardless of whether such countries officially exit the European Union during the Term.</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1.68 </w:t>
      </w: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[in the case of Amgen, Senior Vice President, Development, and in the case of</w:t>
      </w:r>
      <w:r>
        <w:rPr>
          <w:rFonts w:ascii="Arial" w:cs="Arial" w:eastAsia="Arial" w:hAnsi="Arial"/>
          <w:sz w:val="22"/>
          <w:szCs w:val="22"/>
          <w:b w:val="1"/>
          <w:bCs w:val="1"/>
          <w:color w:val="auto"/>
        </w:rPr>
        <w:t xml:space="preserve"> </w:t>
      </w:r>
      <w:r>
        <w:rPr>
          <w:rFonts w:ascii="Arial" w:cs="Arial" w:eastAsia="Arial" w:hAnsi="Arial"/>
          <w:sz w:val="22"/>
          <w:szCs w:val="22"/>
          <w:color w:val="auto"/>
        </w:rPr>
        <w:t>Molecular Partners, Molecular Partners’ Chief Executive Officer].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Exploit</w:t>
      </w:r>
      <w:r>
        <w:rPr>
          <w:rFonts w:ascii="Arial" w:cs="Arial" w:eastAsia="Arial" w:hAnsi="Arial"/>
          <w:sz w:val="22"/>
          <w:szCs w:val="22"/>
          <w:color w:val="auto"/>
        </w:rPr>
        <w:t>” means to research, Develop, make, have made, manufacture, store, handle, use, offer for sale, sell, have</w:t>
      </w:r>
      <w:r>
        <w:rPr>
          <w:rFonts w:ascii="Arial" w:cs="Arial" w:eastAsia="Arial" w:hAnsi="Arial"/>
          <w:sz w:val="22"/>
          <w:szCs w:val="22"/>
          <w:b w:val="1"/>
          <w:bCs w:val="1"/>
          <w:color w:val="auto"/>
        </w:rPr>
        <w:t xml:space="preserve"> </w:t>
      </w:r>
      <w:r>
        <w:rPr>
          <w:rFonts w:ascii="Arial" w:cs="Arial" w:eastAsia="Arial" w:hAnsi="Arial"/>
          <w:sz w:val="22"/>
          <w:szCs w:val="22"/>
          <w:color w:val="auto"/>
        </w:rPr>
        <w:t>sold, import, export, register or otherwise exploit, or transfer possession of or title in. Cognates of the word “</w:t>
      </w:r>
      <w:r>
        <w:rPr>
          <w:rFonts w:ascii="Arial" w:cs="Arial" w:eastAsia="Arial" w:hAnsi="Arial"/>
          <w:sz w:val="22"/>
          <w:szCs w:val="22"/>
          <w:b w:val="1"/>
          <w:bCs w:val="1"/>
          <w:color w:val="auto"/>
        </w:rPr>
        <w:t>Exploit</w:t>
      </w:r>
      <w:r>
        <w:rPr>
          <w:rFonts w:ascii="Arial" w:cs="Arial" w:eastAsia="Arial" w:hAnsi="Arial"/>
          <w:sz w:val="22"/>
          <w:szCs w:val="22"/>
          <w:color w:val="auto"/>
        </w:rPr>
        <w:t>” shall have correlative meanings.</w:t>
      </w:r>
    </w:p>
    <w:p>
      <w:pPr>
        <w:spacing w:after="0" w:line="17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FAP</w:t>
      </w:r>
      <w:r>
        <w:rPr>
          <w:rFonts w:ascii="Arial" w:cs="Arial" w:eastAsia="Arial" w:hAnsi="Arial"/>
          <w:sz w:val="19"/>
          <w:szCs w:val="19"/>
          <w:color w:val="auto"/>
        </w:rPr>
        <w:t>” means fibroblast activation protein.</w:t>
      </w:r>
    </w:p>
    <w:p>
      <w:pPr>
        <w:spacing w:after="0" w:line="22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1.71 </w:t>
      </w:r>
      <w:r>
        <w:rPr>
          <w:rFonts w:ascii="Arial" w:cs="Arial" w:eastAsia="Arial" w:hAnsi="Arial"/>
          <w:sz w:val="19"/>
          <w:szCs w:val="19"/>
          <w:color w:val="auto"/>
        </w:rPr>
        <w:t>“</w:t>
      </w:r>
      <w:r>
        <w:rPr>
          <w:rFonts w:ascii="Arial" w:cs="Arial" w:eastAsia="Arial" w:hAnsi="Arial"/>
          <w:sz w:val="19"/>
          <w:szCs w:val="19"/>
          <w:b w:val="1"/>
          <w:bCs w:val="1"/>
          <w:color w:val="auto"/>
        </w:rPr>
        <w:t>FAP Patents</w:t>
      </w:r>
      <w:r>
        <w:rPr>
          <w:rFonts w:ascii="Arial" w:cs="Arial" w:eastAsia="Arial" w:hAnsi="Arial"/>
          <w:sz w:val="19"/>
          <w:szCs w:val="19"/>
          <w:color w:val="auto"/>
        </w:rPr>
        <w:t>” means Molecular Partners Patents that [solely claim the structure, composition, or components of</w:t>
      </w:r>
      <w:r>
        <w:rPr>
          <w:rFonts w:ascii="Arial" w:cs="Arial" w:eastAsia="Arial" w:hAnsi="Arial"/>
          <w:sz w:val="19"/>
          <w:szCs w:val="19"/>
          <w:b w:val="1"/>
          <w:bCs w:val="1"/>
          <w:color w:val="auto"/>
        </w:rPr>
        <w:t xml:space="preserve"> </w:t>
      </w:r>
      <w:r>
        <w:rPr>
          <w:rFonts w:ascii="Arial" w:cs="Arial" w:eastAsia="Arial" w:hAnsi="Arial"/>
          <w:sz w:val="19"/>
          <w:szCs w:val="19"/>
          <w:color w:val="auto"/>
        </w:rPr>
        <w:t>FAP-specific DARPin Binding Domains, or methods of using or making such FAP-specific DARPin Binding Domains].</w:t>
      </w:r>
    </w:p>
    <w:p>
      <w:pPr>
        <w:spacing w:after="0" w:line="9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FD&amp;C Act</w:t>
      </w:r>
      <w:r>
        <w:rPr>
          <w:rFonts w:ascii="Arial" w:cs="Arial" w:eastAsia="Arial" w:hAnsi="Arial"/>
          <w:sz w:val="19"/>
          <w:szCs w:val="19"/>
          <w:color w:val="auto"/>
        </w:rPr>
        <w:t>” means the United States Federal Food, Drug and Cosmetic Act, as amended.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its successor.</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any and all uses.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1.75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Product and country, the first sale by Amgen or its Affiliates or</w:t>
      </w:r>
      <w:r>
        <w:rPr>
          <w:rFonts w:ascii="Arial" w:cs="Arial" w:eastAsia="Arial" w:hAnsi="Arial"/>
          <w:sz w:val="22"/>
          <w:szCs w:val="22"/>
          <w:b w:val="1"/>
          <w:bCs w:val="1"/>
          <w:color w:val="auto"/>
        </w:rPr>
        <w:t xml:space="preserve"> </w:t>
      </w:r>
      <w:r>
        <w:rPr>
          <w:rFonts w:ascii="Arial" w:cs="Arial" w:eastAsia="Arial" w:hAnsi="Arial"/>
          <w:sz w:val="22"/>
          <w:szCs w:val="22"/>
          <w:color w:val="auto"/>
        </w:rPr>
        <w:t>Sublicensees to a Third Party of such Product in such country for end use or consumption of such Product after Regulatory Approval has been granted with respect to such Product in such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1" w:right="339" w:bottom="1440" w:gutter="0" w:footer="0" w:header="0"/>
        </w:sectPr>
      </w:pPr>
    </w:p>
    <w:bookmarkStart w:id="592" w:name="page593"/>
    <w:bookmarkEnd w:id="592"/>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1.76 </w:t>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a full-time equivalent person year [(consisting of a total of one thousand eight hundred twenty</w:t>
      </w:r>
      <w:r>
        <w:rPr>
          <w:rFonts w:ascii="Arial" w:cs="Arial" w:eastAsia="Arial" w:hAnsi="Arial"/>
          <w:sz w:val="19"/>
          <w:szCs w:val="19"/>
          <w:b w:val="1"/>
          <w:bCs w:val="1"/>
          <w:color w:val="auto"/>
        </w:rPr>
        <w:t xml:space="preserve"> </w:t>
      </w:r>
      <w:r>
        <w:rPr>
          <w:rFonts w:ascii="Arial" w:cs="Arial" w:eastAsia="Arial" w:hAnsi="Arial"/>
          <w:sz w:val="19"/>
          <w:szCs w:val="19"/>
          <w:color w:val="auto"/>
        </w:rPr>
        <w:t>(1,820) hours per year)] of Development work undertaken by Molecular Partners or Amgen employees, as applicable. If any personnel of a Party works partially on the research and Development of Licensed Bispecifics and Combination Therapies (excluding work solely related to the development of an Amgen Product) and partially on other work outside the Collaboration in a given fiscal year, then the full-time equivalent to be attributed to such individual’s work hereunder will be equal to the percentage of such individual’s total work time in such fiscal year that such individual spent working on activities related to the research and Development of Licensed Bispecifics and Combination Therapies (excluding work solely related to the development of an Amgen Product). Each Party shall track FTE’s using its standard practice and normal systems and methodologies. Overtime, and work on weekends, holidays and the like shall not be counted with any multiplier (e.g., time-and-a-half or double time) toward the number of hours that are used to calculate the FTE contribution.</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the rate per FTE of [***] per annum, with respect to Development activities conducted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this Agreement [***]. The FTE Rate includes [***].</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1.78 </w:t>
      </w: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the then current generally accepted accounting principles in the United States as established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Accounting Standards Board or any successor entity or other entity generally recognized as having the right to establish such principles in the United States, in each case consistently applied.</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1.79 </w:t>
      </w:r>
      <w:r>
        <w:rPr>
          <w:rFonts w:ascii="Arial" w:cs="Arial" w:eastAsia="Arial" w:hAnsi="Arial"/>
          <w:sz w:val="19"/>
          <w:szCs w:val="19"/>
          <w:color w:val="auto"/>
        </w:rPr>
        <w:t>“</w:t>
      </w:r>
      <w:r>
        <w:rPr>
          <w:rFonts w:ascii="Arial" w:cs="Arial" w:eastAsia="Arial" w:hAnsi="Arial"/>
          <w:sz w:val="19"/>
          <w:szCs w:val="19"/>
          <w:b w:val="1"/>
          <w:bCs w:val="1"/>
          <w:color w:val="auto"/>
        </w:rPr>
        <w:t>GCPs</w:t>
      </w:r>
      <w:r>
        <w:rPr>
          <w:rFonts w:ascii="Arial" w:cs="Arial" w:eastAsia="Arial" w:hAnsi="Arial"/>
          <w:sz w:val="19"/>
          <w:szCs w:val="19"/>
          <w:color w:val="auto"/>
        </w:rPr>
        <w:t>” means the then-current standards, practices and procedures promulgated or endorsed by the FDA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design, conduct, performance, monitoring, auditing, recording, analyses, and reporting of clinical trials as set forth in the guidelines titled “Guidance for Industry E6 Good Clinical Practice: Consolidated Guidance,” including related regulatory requirements imposed by the FDA and comparable regulatory standards, practices and procedures in jurisdictions outside the United States, as they may be updated from time to time, that provide assurance that the data and reported results are credible and accurate, and that the rights, integrity, and confidentiality of trial subjects are protected.</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1.80 </w:t>
      </w:r>
      <w:r>
        <w:rPr>
          <w:rFonts w:ascii="Arial" w:cs="Arial" w:eastAsia="Arial" w:hAnsi="Arial"/>
          <w:sz w:val="22"/>
          <w:szCs w:val="22"/>
          <w:color w:val="auto"/>
        </w:rPr>
        <w:t>“</w:t>
      </w:r>
      <w:r>
        <w:rPr>
          <w:rFonts w:ascii="Arial" w:cs="Arial" w:eastAsia="Arial" w:hAnsi="Arial"/>
          <w:sz w:val="22"/>
          <w:szCs w:val="22"/>
          <w:b w:val="1"/>
          <w:bCs w:val="1"/>
          <w:color w:val="auto"/>
        </w:rPr>
        <w:t>GLPs</w:t>
      </w:r>
      <w:r>
        <w:rPr>
          <w:rFonts w:ascii="Arial" w:cs="Arial" w:eastAsia="Arial" w:hAnsi="Arial"/>
          <w:sz w:val="22"/>
          <w:szCs w:val="22"/>
          <w:color w:val="auto"/>
        </w:rPr>
        <w:t>” means the then-current good laboratory practice standards promulgated or endorsed by the FDA as</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in 21 C.F.R. Part 58, and comparable regulatory standards in jurisdictions outside the United States, as they may be updated from time to time.</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1.81 </w:t>
      </w:r>
      <w:r>
        <w:rPr>
          <w:rFonts w:ascii="Arial" w:cs="Arial" w:eastAsia="Arial" w:hAnsi="Arial"/>
          <w:sz w:val="21"/>
          <w:szCs w:val="21"/>
          <w:color w:val="auto"/>
        </w:rPr>
        <w:t>“</w:t>
      </w:r>
      <w:r>
        <w:rPr>
          <w:rFonts w:ascii="Arial" w:cs="Arial" w:eastAsia="Arial" w:hAnsi="Arial"/>
          <w:sz w:val="21"/>
          <w:szCs w:val="21"/>
          <w:b w:val="1"/>
          <w:bCs w:val="1"/>
          <w:color w:val="auto"/>
        </w:rPr>
        <w:t>GMPs</w:t>
      </w:r>
      <w:r>
        <w:rPr>
          <w:rFonts w:ascii="Arial" w:cs="Arial" w:eastAsia="Arial" w:hAnsi="Arial"/>
          <w:sz w:val="21"/>
          <w:szCs w:val="21"/>
          <w:color w:val="auto"/>
        </w:rPr>
        <w:t>” means the then-current good manufacturing practices required by the FDA, as defined in 21 C.F.R. Parts</w:t>
      </w:r>
      <w:r>
        <w:rPr>
          <w:rFonts w:ascii="Arial" w:cs="Arial" w:eastAsia="Arial" w:hAnsi="Arial"/>
          <w:sz w:val="21"/>
          <w:szCs w:val="21"/>
          <w:b w:val="1"/>
          <w:bCs w:val="1"/>
          <w:color w:val="auto"/>
        </w:rPr>
        <w:t xml:space="preserve"> </w:t>
      </w:r>
      <w:r>
        <w:rPr>
          <w:rFonts w:ascii="Arial" w:cs="Arial" w:eastAsia="Arial" w:hAnsi="Arial"/>
          <w:sz w:val="21"/>
          <w:szCs w:val="21"/>
          <w:color w:val="auto"/>
        </w:rPr>
        <w:t>210 and 211 and the regulations promulgated thereunder, for the manufacture and testing of pharmaceutical materials, and comparable laws or regulations applicable to the manufacture and testing of pharmaceutical materials in jurisdictions outside the United States, as they may be updated from time to time. GMPs shall include applicable quality guidelines promulgated under the International Conference on Harmonization.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multi-national, federal, state, local, municipal, provincial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of any nature (including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1" w:right="339" w:bottom="1440" w:gutter="0" w:footer="0" w:header="0"/>
        </w:sectPr>
      </w:pPr>
    </w:p>
    <w:bookmarkStart w:id="593" w:name="page594"/>
    <w:bookmarkEnd w:id="593"/>
    <w:p>
      <w:pPr>
        <w:spacing w:after="0"/>
        <w:rPr>
          <w:sz w:val="20"/>
          <w:szCs w:val="20"/>
          <w:color w:val="auto"/>
        </w:rPr>
      </w:pPr>
      <w:r>
        <w:rPr>
          <w:rFonts w:ascii="Arial" w:cs="Arial" w:eastAsia="Arial" w:hAnsi="Arial"/>
          <w:sz w:val="19"/>
          <w:szCs w:val="19"/>
          <w:color w:val="auto"/>
        </w:rPr>
        <w:t>division, prefecture, subdivision, department, agency, bureau, branch, office, commission, council, court or other tribunal).</w:t>
      </w:r>
    </w:p>
    <w:p>
      <w:pPr>
        <w:spacing w:after="0" w:line="24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Healthcare Institution</w:t>
      </w:r>
      <w:r>
        <w:rPr>
          <w:rFonts w:ascii="Arial" w:cs="Arial" w:eastAsia="Arial" w:hAnsi="Arial"/>
          <w:sz w:val="19"/>
          <w:szCs w:val="19"/>
          <w:color w:val="auto"/>
        </w:rPr>
        <w:t>” or “</w:t>
      </w:r>
      <w:r>
        <w:rPr>
          <w:rFonts w:ascii="Arial" w:cs="Arial" w:eastAsia="Arial" w:hAnsi="Arial"/>
          <w:sz w:val="19"/>
          <w:szCs w:val="19"/>
          <w:b w:val="1"/>
          <w:bCs w:val="1"/>
          <w:color w:val="auto"/>
        </w:rPr>
        <w:t>HCI</w:t>
      </w:r>
      <w:r>
        <w:rPr>
          <w:rFonts w:ascii="Arial" w:cs="Arial" w:eastAsia="Arial" w:hAnsi="Arial"/>
          <w:sz w:val="19"/>
          <w:szCs w:val="19"/>
          <w:color w:val="auto"/>
        </w:rPr>
        <w:t>” has the meaning set forth in Section 11.3(f).</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Healthcare Professional</w:t>
      </w:r>
      <w:r>
        <w:rPr>
          <w:rFonts w:ascii="Arial" w:cs="Arial" w:eastAsia="Arial" w:hAnsi="Arial"/>
          <w:sz w:val="19"/>
          <w:szCs w:val="19"/>
          <w:color w:val="auto"/>
        </w:rPr>
        <w:t>” or “</w:t>
      </w:r>
      <w:r>
        <w:rPr>
          <w:rFonts w:ascii="Arial" w:cs="Arial" w:eastAsia="Arial" w:hAnsi="Arial"/>
          <w:sz w:val="19"/>
          <w:szCs w:val="19"/>
          <w:b w:val="1"/>
          <w:bCs w:val="1"/>
          <w:color w:val="auto"/>
        </w:rPr>
        <w:t>HCP</w:t>
      </w:r>
      <w:r>
        <w:rPr>
          <w:rFonts w:ascii="Arial" w:cs="Arial" w:eastAsia="Arial" w:hAnsi="Arial"/>
          <w:sz w:val="19"/>
          <w:szCs w:val="19"/>
          <w:color w:val="auto"/>
        </w:rPr>
        <w:t>” has the meaning set forth in Section 11.3(f).</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HSA</w:t>
      </w:r>
      <w:r>
        <w:rPr>
          <w:rFonts w:ascii="Arial" w:cs="Arial" w:eastAsia="Arial" w:hAnsi="Arial"/>
          <w:sz w:val="19"/>
          <w:szCs w:val="19"/>
          <w:color w:val="auto"/>
        </w:rPr>
        <w:t>” means human serum albumin.</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IFRS</w:t>
      </w:r>
      <w:r>
        <w:rPr>
          <w:rFonts w:ascii="Arial" w:cs="Arial" w:eastAsia="Arial" w:hAnsi="Arial"/>
          <w:sz w:val="19"/>
          <w:szCs w:val="19"/>
          <w:color w:val="auto"/>
        </w:rPr>
        <w:t>” means the then current International Financial Reporting Standards, in each case consistently applied.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Incurring Party</w:t>
      </w:r>
      <w:r>
        <w:rPr>
          <w:rFonts w:ascii="Arial" w:cs="Arial" w:eastAsia="Arial" w:hAnsi="Arial"/>
          <w:sz w:val="19"/>
          <w:szCs w:val="19"/>
          <w:color w:val="auto"/>
        </w:rPr>
        <w:t>” has the meaning set forth in Section 9.2.</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1.88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an Investigational New Drug Application as defined in the FD&amp;C Act and applicable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thereunder by the FDA, or (b) the equivalent application to the equivalent Regulatory Authority in any other regulatory jurisdiction, the filing of which is necessary to initiate or conduct clinical testing of a pharmaceutical product in humans in such jurisdiction.</w:t>
      </w:r>
    </w:p>
    <w:p>
      <w:pPr>
        <w:spacing w:after="0" w:line="18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12.3.</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set forth in Section 12.3.</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Independent Development Activities</w:t>
      </w:r>
      <w:r>
        <w:rPr>
          <w:rFonts w:ascii="Arial" w:cs="Arial" w:eastAsia="Arial" w:hAnsi="Arial"/>
          <w:sz w:val="19"/>
          <w:szCs w:val="19"/>
          <w:color w:val="auto"/>
        </w:rPr>
        <w:t>” has the meaning set forth in Section 8.1.</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1.92 </w:t>
      </w: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means a separate and distinct type of disease or medical condition (or precursor condition thereof) in</w:t>
      </w:r>
      <w:r>
        <w:rPr>
          <w:rFonts w:ascii="Arial" w:cs="Arial" w:eastAsia="Arial" w:hAnsi="Arial"/>
          <w:sz w:val="22"/>
          <w:szCs w:val="22"/>
          <w:b w:val="1"/>
          <w:bCs w:val="1"/>
          <w:color w:val="auto"/>
        </w:rPr>
        <w:t xml:space="preserve"> </w:t>
      </w:r>
      <w:r>
        <w:rPr>
          <w:rFonts w:ascii="Arial" w:cs="Arial" w:eastAsia="Arial" w:hAnsi="Arial"/>
          <w:sz w:val="22"/>
          <w:szCs w:val="22"/>
          <w:color w:val="auto"/>
        </w:rPr>
        <w:t>humans in a broad therapeutic area (e.g., oncology, rheumatology, neurology) to which a Product is directed. [***] For the avoidance of doubt, the Parties agree that: (a) prevention of a disease or medical condition shall not be a separate Indication from treatment of the same disease or medical condition; and (b) the treatment and prevention of separate varieties of the same disease or medical condition are not separate Indications if usually covered under a single approval by Regulatory Authorities and similarly treated.</w:t>
      </w:r>
    </w:p>
    <w:p>
      <w:pPr>
        <w:spacing w:after="0" w:line="18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1.93 </w:t>
      </w:r>
      <w:r>
        <w:rPr>
          <w:rFonts w:ascii="Arial" w:cs="Arial" w:eastAsia="Arial" w:hAnsi="Arial"/>
          <w:sz w:val="19"/>
          <w:szCs w:val="19"/>
          <w:color w:val="auto"/>
        </w:rPr>
        <w:t>“</w:t>
      </w:r>
      <w:r>
        <w:rPr>
          <w:rFonts w:ascii="Arial" w:cs="Arial" w:eastAsia="Arial" w:hAnsi="Arial"/>
          <w:sz w:val="19"/>
          <w:szCs w:val="19"/>
          <w:b w:val="1"/>
          <w:bCs w:val="1"/>
          <w:color w:val="auto"/>
        </w:rPr>
        <w:t>Information</w:t>
      </w:r>
      <w:r>
        <w:rPr>
          <w:rFonts w:ascii="Arial" w:cs="Arial" w:eastAsia="Arial" w:hAnsi="Arial"/>
          <w:sz w:val="19"/>
          <w:szCs w:val="19"/>
          <w:color w:val="auto"/>
        </w:rPr>
        <w:t>” means any Data, results, and information of any type whatsoever, in any tangible or intangible</w:t>
      </w:r>
      <w:r>
        <w:rPr>
          <w:rFonts w:ascii="Arial" w:cs="Arial" w:eastAsia="Arial" w:hAnsi="Arial"/>
          <w:sz w:val="19"/>
          <w:szCs w:val="19"/>
          <w:b w:val="1"/>
          <w:bCs w:val="1"/>
          <w:color w:val="auto"/>
        </w:rPr>
        <w:t xml:space="preserve"> </w:t>
      </w:r>
      <w:r>
        <w:rPr>
          <w:rFonts w:ascii="Arial" w:cs="Arial" w:eastAsia="Arial" w:hAnsi="Arial"/>
          <w:sz w:val="19"/>
          <w:szCs w:val="19"/>
          <w:color w:val="auto"/>
        </w:rPr>
        <w:t>form, including know-how, trade secrets, practices, techniques, methods, processes, inventions, developments, specifications, formulations, formulae, materials or compositions of matter of any type or kind (patentable or otherwise), software, algorithms, marketing reports, clinical and non-clinical study reports, regulatory submission summaries and regulatory submission documents, expertise, technology, test data including pharmacological, biological, chemical, biochemical, toxicological, and clinical test data, analytical and quality control data, stability data, studies and procedures.</w:t>
      </w:r>
    </w:p>
    <w:p>
      <w:pPr>
        <w:spacing w:after="0" w:line="14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Initiation</w:t>
      </w:r>
      <w:r>
        <w:rPr>
          <w:rFonts w:ascii="Arial" w:cs="Arial" w:eastAsia="Arial" w:hAnsi="Arial"/>
          <w:sz w:val="19"/>
          <w:szCs w:val="19"/>
          <w:color w:val="auto"/>
        </w:rPr>
        <w:t>” of a Clinical Trial means [***]. “</w:t>
      </w:r>
      <w:r>
        <w:rPr>
          <w:rFonts w:ascii="Arial" w:cs="Arial" w:eastAsia="Arial" w:hAnsi="Arial"/>
          <w:sz w:val="19"/>
          <w:szCs w:val="19"/>
          <w:b w:val="1"/>
          <w:bCs w:val="1"/>
          <w:color w:val="auto"/>
        </w:rPr>
        <w:t>Initiated</w:t>
      </w:r>
      <w:r>
        <w:rPr>
          <w:rFonts w:ascii="Arial" w:cs="Arial" w:eastAsia="Arial" w:hAnsi="Arial"/>
          <w:sz w:val="19"/>
          <w:szCs w:val="19"/>
          <w:color w:val="auto"/>
        </w:rPr>
        <w:t>” has a correlative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594" w:name="page595"/>
    <w:bookmarkEnd w:id="594"/>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1.95 </w:t>
      </w:r>
      <w:r>
        <w:rPr>
          <w:rFonts w:ascii="Arial" w:cs="Arial" w:eastAsia="Arial" w:hAnsi="Arial"/>
          <w:sz w:val="19"/>
          <w:szCs w:val="19"/>
          <w:color w:val="auto"/>
        </w:rPr>
        <w:t>“</w:t>
      </w:r>
      <w:r>
        <w:rPr>
          <w:rFonts w:ascii="Arial" w:cs="Arial" w:eastAsia="Arial" w:hAnsi="Arial"/>
          <w:sz w:val="19"/>
          <w:szCs w:val="19"/>
          <w:b w:val="1"/>
          <w:bCs w:val="1"/>
          <w:color w:val="auto"/>
        </w:rPr>
        <w:t>Invention</w:t>
      </w:r>
      <w:r>
        <w:rPr>
          <w:rFonts w:ascii="Arial" w:cs="Arial" w:eastAsia="Arial" w:hAnsi="Arial"/>
          <w:sz w:val="19"/>
          <w:szCs w:val="19"/>
          <w:color w:val="auto"/>
        </w:rPr>
        <w:t>” means any Information, process, method, composition of matter, article of manufacture, discovery or</w:t>
      </w:r>
      <w:r>
        <w:rPr>
          <w:rFonts w:ascii="Arial" w:cs="Arial" w:eastAsia="Arial" w:hAnsi="Arial"/>
          <w:sz w:val="19"/>
          <w:szCs w:val="19"/>
          <w:b w:val="1"/>
          <w:bCs w:val="1"/>
          <w:color w:val="auto"/>
        </w:rPr>
        <w:t xml:space="preserve"> </w:t>
      </w:r>
      <w:r>
        <w:rPr>
          <w:rFonts w:ascii="Arial" w:cs="Arial" w:eastAsia="Arial" w:hAnsi="Arial"/>
          <w:sz w:val="19"/>
          <w:szCs w:val="19"/>
          <w:color w:val="auto"/>
        </w:rPr>
        <w:t>finding, patentable or otherwise, that is invented, made or generated as a result of a Party (acting solely or jointly with the other Party) exercising its rights or carrying out its obligations under this Agreement, whether directly or via its Affiliates, agents or independent contractors, including all rights, title and interest in and to the intellectual property rights therein.</w:t>
      </w:r>
    </w:p>
    <w:p>
      <w:pPr>
        <w:spacing w:after="0" w:line="13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Inventions</w:t>
      </w:r>
      <w:r>
        <w:rPr>
          <w:rFonts w:ascii="Arial" w:cs="Arial" w:eastAsia="Arial" w:hAnsi="Arial"/>
          <w:sz w:val="19"/>
          <w:szCs w:val="19"/>
          <w:color w:val="auto"/>
        </w:rPr>
        <w:t>” has the meaning set forth in Section 10.1(d).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w:t>
      </w:r>
      <w:r>
        <w:rPr>
          <w:rFonts w:ascii="Arial" w:cs="Arial" w:eastAsia="Arial" w:hAnsi="Arial"/>
          <w:sz w:val="19"/>
          <w:szCs w:val="19"/>
          <w:color w:val="auto"/>
        </w:rPr>
        <w:t>” means a Patent claiming a Joint Invention.</w:t>
      </w:r>
    </w:p>
    <w:p>
      <w:pPr>
        <w:spacing w:after="0" w:line="22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JSC</w:t>
      </w:r>
      <w:r>
        <w:rPr>
          <w:rFonts w:ascii="Arial" w:cs="Arial" w:eastAsia="Arial" w:hAnsi="Arial"/>
          <w:sz w:val="19"/>
          <w:szCs w:val="19"/>
          <w:color w:val="auto"/>
        </w:rPr>
        <w:t>” has the meaning set forth in Section 2.2(a).</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1.99 </w:t>
      </w: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means any proprietary scientific or technical Information, trade secrets, results and Data of any type</w:t>
      </w:r>
      <w:r>
        <w:rPr>
          <w:rFonts w:ascii="Arial" w:cs="Arial" w:eastAsia="Arial" w:hAnsi="Arial"/>
          <w:sz w:val="22"/>
          <w:szCs w:val="22"/>
          <w:b w:val="1"/>
          <w:bCs w:val="1"/>
          <w:color w:val="auto"/>
        </w:rPr>
        <w:t xml:space="preserve"> </w:t>
      </w:r>
      <w:r>
        <w:rPr>
          <w:rFonts w:ascii="Arial" w:cs="Arial" w:eastAsia="Arial" w:hAnsi="Arial"/>
          <w:sz w:val="22"/>
          <w:szCs w:val="22"/>
          <w:color w:val="auto"/>
        </w:rPr>
        <w:t>whatsoever, in any tangible or intangible form, including databases, safety information, regulatory documents, practices, methods, techniques, specifications, formulations, formulae, knowledge, know-how, skill, experience, test data including pharmacological, medicinal chemistry, biological, chemical, biochemical, toxicological and clinical test data, analytical and quality control data, stability data, studies and procedures, and manufacturing process and development information, results and data, and compositions of matter, cells, cell lines, assays, animal models, reagents and other physical, biological, or chemical material.</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1.100 </w:t>
      </w:r>
      <w:r>
        <w:rPr>
          <w:rFonts w:ascii="Arial" w:cs="Arial" w:eastAsia="Arial" w:hAnsi="Arial"/>
          <w:sz w:val="22"/>
          <w:szCs w:val="22"/>
          <w:color w:val="auto"/>
        </w:rPr>
        <w:t>“</w:t>
      </w:r>
      <w:r>
        <w:rPr>
          <w:rFonts w:ascii="Arial" w:cs="Arial" w:eastAsia="Arial" w:hAnsi="Arial"/>
          <w:sz w:val="22"/>
          <w:szCs w:val="22"/>
          <w:b w:val="1"/>
          <w:bCs w:val="1"/>
          <w:color w:val="auto"/>
        </w:rPr>
        <w:t>Licensed Bispecific</w:t>
      </w:r>
      <w:r>
        <w:rPr>
          <w:rFonts w:ascii="Arial" w:cs="Arial" w:eastAsia="Arial" w:hAnsi="Arial"/>
          <w:sz w:val="22"/>
          <w:szCs w:val="22"/>
          <w:color w:val="auto"/>
        </w:rPr>
        <w:t>” means MP0310 (4-1BB/FAP DARPin), as more particularly set forth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Exhibit 1.100</w:t>
      </w:r>
      <w:r>
        <w:rPr>
          <w:rFonts w:ascii="Arial" w:cs="Arial" w:eastAsia="Arial" w:hAnsi="Arial"/>
          <w:sz w:val="22"/>
          <w:szCs w:val="22"/>
          <w:color w:val="auto"/>
        </w:rPr>
        <w:t>, or</w:t>
      </w:r>
      <w:r>
        <w:rPr>
          <w:rFonts w:ascii="Arial" w:cs="Arial" w:eastAsia="Arial" w:hAnsi="Arial"/>
          <w:sz w:val="22"/>
          <w:szCs w:val="22"/>
          <w:b w:val="1"/>
          <w:bCs w:val="1"/>
          <w:color w:val="auto"/>
        </w:rPr>
        <w:t xml:space="preserve"> </w:t>
      </w:r>
      <w:r>
        <w:rPr>
          <w:rFonts w:ascii="Arial" w:cs="Arial" w:eastAsia="Arial" w:hAnsi="Arial"/>
          <w:sz w:val="22"/>
          <w:szCs w:val="22"/>
          <w:color w:val="auto"/>
        </w:rPr>
        <w:t>any Licensed Bispecific Backup that is designated as the “Licensed Bispecific” pursuant to Section 4.1(c).</w:t>
      </w:r>
    </w:p>
    <w:p>
      <w:pPr>
        <w:spacing w:after="0" w:line="1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Bispecific Backup</w:t>
      </w:r>
      <w:r>
        <w:rPr>
          <w:rFonts w:ascii="Arial" w:cs="Arial" w:eastAsia="Arial" w:hAnsi="Arial"/>
          <w:sz w:val="19"/>
          <w:szCs w:val="19"/>
          <w:color w:val="auto"/>
        </w:rPr>
        <w:t>” means [***].</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Bispecific Patents</w:t>
      </w:r>
      <w:r>
        <w:rPr>
          <w:rFonts w:ascii="Arial" w:cs="Arial" w:eastAsia="Arial" w:hAnsi="Arial"/>
          <w:sz w:val="19"/>
          <w:szCs w:val="19"/>
          <w:color w:val="auto"/>
        </w:rPr>
        <w:t>” means [***] Patents that [***].</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has the meaning set forth in Section 12.1.</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Lead</w:t>
      </w:r>
      <w:r>
        <w:rPr>
          <w:rFonts w:ascii="Arial" w:cs="Arial" w:eastAsia="Arial" w:hAnsi="Arial"/>
          <w:sz w:val="19"/>
          <w:szCs w:val="19"/>
          <w:color w:val="auto"/>
        </w:rPr>
        <w:t>” has the meaning set forth in Section 7.1(a).</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1.105 </w:t>
      </w:r>
      <w:r>
        <w:rPr>
          <w:rFonts w:ascii="Arial" w:cs="Arial" w:eastAsia="Arial" w:hAnsi="Arial"/>
          <w:sz w:val="22"/>
          <w:szCs w:val="22"/>
          <w:color w:val="auto"/>
        </w:rPr>
        <w:t>“</w:t>
      </w:r>
      <w:r>
        <w:rPr>
          <w:rFonts w:ascii="Arial" w:cs="Arial" w:eastAsia="Arial" w:hAnsi="Arial"/>
          <w:sz w:val="22"/>
          <w:szCs w:val="22"/>
          <w:b w:val="1"/>
          <w:bCs w:val="1"/>
          <w:color w:val="auto"/>
        </w:rPr>
        <w:t>Manufacturing Standard Cost</w:t>
      </w:r>
      <w:r>
        <w:rPr>
          <w:rFonts w:ascii="Arial" w:cs="Arial" w:eastAsia="Arial" w:hAnsi="Arial"/>
          <w:sz w:val="22"/>
          <w:szCs w:val="22"/>
          <w:color w:val="auto"/>
        </w:rPr>
        <w:t>” means, with respect to Licensed Bispecific, clinical standard cost for such</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Bispecific as of the time of manufacture as calculated in a manner consistent with Amgen’s other products. For clarity, [***].</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1.106 </w:t>
      </w:r>
      <w:r>
        <w:rPr>
          <w:rFonts w:ascii="Arial" w:cs="Arial" w:eastAsia="Arial" w:hAnsi="Arial"/>
          <w:sz w:val="22"/>
          <w:szCs w:val="22"/>
          <w:color w:val="auto"/>
        </w:rPr>
        <w:t>“</w:t>
      </w:r>
      <w:r>
        <w:rPr>
          <w:rFonts w:ascii="Arial" w:cs="Arial" w:eastAsia="Arial" w:hAnsi="Arial"/>
          <w:sz w:val="22"/>
          <w:szCs w:val="22"/>
          <w:b w:val="1"/>
          <w:bCs w:val="1"/>
          <w:color w:val="auto"/>
        </w:rPr>
        <w:t>Marketing Application (MA)</w:t>
      </w:r>
      <w:r>
        <w:rPr>
          <w:rFonts w:ascii="Arial" w:cs="Arial" w:eastAsia="Arial" w:hAnsi="Arial"/>
          <w:sz w:val="22"/>
          <w:szCs w:val="22"/>
          <w:color w:val="auto"/>
        </w:rPr>
        <w:t>” means an application for Regulatory Approval in a country, territory or</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 including BLA in the United States.</w:t>
      </w:r>
    </w:p>
    <w:p>
      <w:pPr>
        <w:spacing w:after="0" w:line="1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Marks</w:t>
      </w:r>
      <w:r>
        <w:rPr>
          <w:rFonts w:ascii="Arial" w:cs="Arial" w:eastAsia="Arial" w:hAnsi="Arial"/>
          <w:sz w:val="19"/>
          <w:szCs w:val="19"/>
          <w:color w:val="auto"/>
        </w:rPr>
        <w:t>” has the meaning set forth in Section 10.10.</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1.108 </w:t>
      </w:r>
      <w:r>
        <w:rPr>
          <w:rFonts w:ascii="Arial" w:cs="Arial" w:eastAsia="Arial" w:hAnsi="Arial"/>
          <w:sz w:val="22"/>
          <w:szCs w:val="22"/>
          <w:color w:val="auto"/>
        </w:rPr>
        <w:t>“</w:t>
      </w:r>
      <w:r>
        <w:rPr>
          <w:rFonts w:ascii="Arial" w:cs="Arial" w:eastAsia="Arial" w:hAnsi="Arial"/>
          <w:sz w:val="22"/>
          <w:szCs w:val="22"/>
          <w:b w:val="1"/>
          <w:bCs w:val="1"/>
          <w:color w:val="auto"/>
        </w:rPr>
        <w:t>Material Anti-Corruption Law Violation</w:t>
      </w:r>
      <w:r>
        <w:rPr>
          <w:rFonts w:ascii="Arial" w:cs="Arial" w:eastAsia="Arial" w:hAnsi="Arial"/>
          <w:sz w:val="22"/>
          <w:szCs w:val="22"/>
          <w:color w:val="auto"/>
        </w:rPr>
        <w:t>” means a violation of any Anti-Bribery and Anti-Corruption Laws</w:t>
      </w:r>
      <w:r>
        <w:rPr>
          <w:rFonts w:ascii="Arial" w:cs="Arial" w:eastAsia="Arial" w:hAnsi="Arial"/>
          <w:sz w:val="22"/>
          <w:szCs w:val="22"/>
          <w:b w:val="1"/>
          <w:bCs w:val="1"/>
          <w:color w:val="auto"/>
        </w:rPr>
        <w:t xml:space="preserve"> </w:t>
      </w:r>
      <w:r>
        <w:rPr>
          <w:rFonts w:ascii="Arial" w:cs="Arial" w:eastAsia="Arial" w:hAnsi="Arial"/>
          <w:sz w:val="22"/>
          <w:szCs w:val="22"/>
          <w:color w:val="auto"/>
        </w:rPr>
        <w:t>relating to the subject matter of this Agreement which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1" w:right="339" w:bottom="1440" w:gutter="0" w:footer="0" w:header="0"/>
        </w:sectPr>
      </w:pPr>
    </w:p>
    <w:bookmarkStart w:id="595" w:name="page596"/>
    <w:bookmarkEnd w:id="595"/>
    <w:p>
      <w:pPr>
        <w:jc w:val="both"/>
        <w:spacing w:after="0" w:line="263" w:lineRule="auto"/>
        <w:rPr>
          <w:sz w:val="20"/>
          <w:szCs w:val="20"/>
          <w:color w:val="auto"/>
        </w:rPr>
      </w:pPr>
      <w:r>
        <w:rPr>
          <w:rFonts w:ascii="Arial" w:cs="Arial" w:eastAsia="Arial" w:hAnsi="Arial"/>
          <w:sz w:val="22"/>
          <w:szCs w:val="22"/>
          <w:color w:val="auto"/>
        </w:rPr>
        <w:t>if it were publicly known, in the reasonable view of a Party, have a material adverse effect on it or its reputation because of its relationship with the other Party.</w:t>
      </w:r>
    </w:p>
    <w:p>
      <w:pPr>
        <w:spacing w:after="0" w:line="16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Materials</w:t>
      </w:r>
      <w:r>
        <w:rPr>
          <w:rFonts w:ascii="Arial" w:cs="Arial" w:eastAsia="Arial" w:hAnsi="Arial"/>
          <w:sz w:val="19"/>
          <w:szCs w:val="19"/>
          <w:color w:val="auto"/>
        </w:rPr>
        <w:t>” has the meaning set forth in Section 4.9.</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Milestone Event</w:t>
      </w:r>
      <w:r>
        <w:rPr>
          <w:rFonts w:ascii="Arial" w:cs="Arial" w:eastAsia="Arial" w:hAnsi="Arial"/>
          <w:sz w:val="19"/>
          <w:szCs w:val="19"/>
          <w:color w:val="auto"/>
        </w:rPr>
        <w:t>” has the meaning set forth in Section 9.3(a).</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Milestone Payment</w:t>
      </w:r>
      <w:r>
        <w:rPr>
          <w:rFonts w:ascii="Arial" w:cs="Arial" w:eastAsia="Arial" w:hAnsi="Arial"/>
          <w:sz w:val="19"/>
          <w:szCs w:val="19"/>
          <w:color w:val="auto"/>
        </w:rPr>
        <w:t>” has the meaning set forth in Section 9.3(a).</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w:t>
      </w:r>
      <w:r>
        <w:rPr>
          <w:rFonts w:ascii="Arial" w:cs="Arial" w:eastAsia="Arial" w:hAnsi="Arial"/>
          <w:sz w:val="19"/>
          <w:szCs w:val="19"/>
          <w:color w:val="auto"/>
        </w:rPr>
        <w:t>” has the meaning set forth in the preamble to this Agreement.</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Molecular Partners Indemnitees</w:t>
      </w:r>
      <w:r>
        <w:rPr>
          <w:rFonts w:ascii="Arial" w:cs="Arial" w:eastAsia="Arial" w:hAnsi="Arial"/>
          <w:sz w:val="19"/>
          <w:szCs w:val="19"/>
          <w:color w:val="auto"/>
        </w:rPr>
        <w:t>” has the meaning set forth in Section 12.2.</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1.114 </w:t>
      </w:r>
      <w:r>
        <w:rPr>
          <w:rFonts w:ascii="Arial" w:cs="Arial" w:eastAsia="Arial" w:hAnsi="Arial"/>
          <w:sz w:val="22"/>
          <w:szCs w:val="22"/>
          <w:color w:val="auto"/>
        </w:rPr>
        <w:t>“</w:t>
      </w:r>
      <w:r>
        <w:rPr>
          <w:rFonts w:ascii="Arial" w:cs="Arial" w:eastAsia="Arial" w:hAnsi="Arial"/>
          <w:sz w:val="22"/>
          <w:szCs w:val="22"/>
          <w:b w:val="1"/>
          <w:bCs w:val="1"/>
          <w:color w:val="auto"/>
        </w:rPr>
        <w:t>Molecular Partners Know-How</w:t>
      </w:r>
      <w:r>
        <w:rPr>
          <w:rFonts w:ascii="Arial" w:cs="Arial" w:eastAsia="Arial" w:hAnsi="Arial"/>
          <w:sz w:val="22"/>
          <w:szCs w:val="22"/>
          <w:color w:val="auto"/>
        </w:rPr>
        <w:t>” means all Know-How that is Controlled by Molecular Partners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or during the Term and is necessary for or reasonably useful to the Development, manufacturing, or Commercialization of Products.</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1.115 </w:t>
      </w:r>
      <w:r>
        <w:rPr>
          <w:rFonts w:ascii="Arial" w:cs="Arial" w:eastAsia="Arial" w:hAnsi="Arial"/>
          <w:sz w:val="22"/>
          <w:szCs w:val="22"/>
          <w:color w:val="auto"/>
        </w:rPr>
        <w:t>“</w:t>
      </w:r>
      <w:r>
        <w:rPr>
          <w:rFonts w:ascii="Arial" w:cs="Arial" w:eastAsia="Arial" w:hAnsi="Arial"/>
          <w:sz w:val="22"/>
          <w:szCs w:val="22"/>
          <w:b w:val="1"/>
          <w:bCs w:val="1"/>
          <w:color w:val="auto"/>
        </w:rPr>
        <w:t>Molecular Partners Patent</w:t>
      </w:r>
      <w:r>
        <w:rPr>
          <w:rFonts w:ascii="Arial" w:cs="Arial" w:eastAsia="Arial" w:hAnsi="Arial"/>
          <w:sz w:val="22"/>
          <w:szCs w:val="22"/>
          <w:color w:val="auto"/>
        </w:rPr>
        <w:t>” means any Patent (other than a Joint Patent) that (a) is Controlled by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Partners as of the Effective Date or during the Term, and (b) would be infringed, absent a license or ownership, by the Exploitation of any Product. The Molecular Partners Patents include those Patents set forth on </w:t>
      </w:r>
      <w:r>
        <w:rPr>
          <w:rFonts w:ascii="Arial" w:cs="Arial" w:eastAsia="Arial" w:hAnsi="Arial"/>
          <w:sz w:val="22"/>
          <w:szCs w:val="22"/>
          <w:u w:val="single" w:color="auto"/>
          <w:color w:val="auto"/>
        </w:rPr>
        <w:t>Exhibit 1.115</w:t>
      </w:r>
      <w:r>
        <w:rPr>
          <w:rFonts w:ascii="Arial" w:cs="Arial" w:eastAsia="Arial" w:hAnsi="Arial"/>
          <w:sz w:val="22"/>
          <w:szCs w:val="22"/>
          <w:color w:val="auto"/>
        </w:rPr>
        <w:t>. For purposes of determining whether a patent application falls within this definition, a patent application shall be considered “infringed” if its pending claims would be infringed, if issued.</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1.116 </w:t>
      </w:r>
      <w:r>
        <w:rPr>
          <w:rFonts w:ascii="Arial" w:cs="Arial" w:eastAsia="Arial" w:hAnsi="Arial"/>
          <w:sz w:val="22"/>
          <w:szCs w:val="22"/>
          <w:color w:val="auto"/>
        </w:rPr>
        <w:t>“</w:t>
      </w:r>
      <w:r>
        <w:rPr>
          <w:rFonts w:ascii="Arial" w:cs="Arial" w:eastAsia="Arial" w:hAnsi="Arial"/>
          <w:sz w:val="22"/>
          <w:szCs w:val="22"/>
          <w:b w:val="1"/>
          <w:bCs w:val="1"/>
          <w:color w:val="auto"/>
        </w:rPr>
        <w:t>Molecular Partners Technology</w:t>
      </w:r>
      <w:r>
        <w:rPr>
          <w:rFonts w:ascii="Arial" w:cs="Arial" w:eastAsia="Arial" w:hAnsi="Arial"/>
          <w:sz w:val="22"/>
          <w:szCs w:val="22"/>
          <w:color w:val="auto"/>
        </w:rPr>
        <w:t>” means the Molecular Partners Patents, Molecular Partners Know-How, and</w:t>
      </w:r>
      <w:r>
        <w:rPr>
          <w:rFonts w:ascii="Arial" w:cs="Arial" w:eastAsia="Arial" w:hAnsi="Arial"/>
          <w:sz w:val="22"/>
          <w:szCs w:val="22"/>
          <w:b w:val="1"/>
          <w:bCs w:val="1"/>
          <w:color w:val="auto"/>
        </w:rPr>
        <w:t xml:space="preserve"> </w:t>
      </w:r>
      <w:r>
        <w:rPr>
          <w:rFonts w:ascii="Arial" w:cs="Arial" w:eastAsia="Arial" w:hAnsi="Arial"/>
          <w:sz w:val="22"/>
          <w:szCs w:val="22"/>
          <w:color w:val="auto"/>
        </w:rPr>
        <w:t>Molecular Partners’ interest in Joint Patents and Joint Inventions.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MP Combination Therapy</w:t>
      </w:r>
      <w:r>
        <w:rPr>
          <w:rFonts w:ascii="Arial" w:cs="Arial" w:eastAsia="Arial" w:hAnsi="Arial"/>
          <w:sz w:val="19"/>
          <w:szCs w:val="19"/>
          <w:color w:val="auto"/>
        </w:rPr>
        <w:t>” has the meaning set forth in Section 8.1.</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 xml:space="preserve">1.118 </w:t>
      </w:r>
      <w:r>
        <w:rPr>
          <w:rFonts w:ascii="Arial" w:cs="Arial" w:eastAsia="Arial" w:hAnsi="Arial"/>
          <w:sz w:val="21"/>
          <w:szCs w:val="21"/>
          <w:color w:val="auto"/>
        </w:rPr>
        <w:t>“</w:t>
      </w:r>
      <w:r>
        <w:rPr>
          <w:rFonts w:ascii="Arial" w:cs="Arial" w:eastAsia="Arial" w:hAnsi="Arial"/>
          <w:sz w:val="21"/>
          <w:szCs w:val="21"/>
          <w:b w:val="1"/>
          <w:bCs w:val="1"/>
          <w:color w:val="auto"/>
        </w:rPr>
        <w:t>MP Products</w:t>
      </w:r>
      <w:r>
        <w:rPr>
          <w:rFonts w:ascii="Arial" w:cs="Arial" w:eastAsia="Arial" w:hAnsi="Arial"/>
          <w:sz w:val="21"/>
          <w:szCs w:val="21"/>
          <w:color w:val="auto"/>
        </w:rPr>
        <w:t>” means any therapeutically active compound or product that is (a) proprietary to Molecular</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 (b) used by Molecular Partners in an MP Combination Therapy, and (c) is not the Licensed Bispecific.</w:t>
      </w:r>
    </w:p>
    <w:p>
      <w:pPr>
        <w:spacing w:after="0" w:line="13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1.119 </w:t>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with respect to a given period of time, the gross amount invoiced for the Licensed Bispecific</w:t>
      </w:r>
      <w:r>
        <w:rPr>
          <w:rFonts w:ascii="Arial" w:cs="Arial" w:eastAsia="Arial" w:hAnsi="Arial"/>
          <w:sz w:val="19"/>
          <w:szCs w:val="19"/>
          <w:b w:val="1"/>
          <w:bCs w:val="1"/>
          <w:color w:val="auto"/>
        </w:rPr>
        <w:t xml:space="preserve"> </w:t>
      </w:r>
      <w:r>
        <w:rPr>
          <w:rFonts w:ascii="Arial" w:cs="Arial" w:eastAsia="Arial" w:hAnsi="Arial"/>
          <w:sz w:val="19"/>
          <w:szCs w:val="19"/>
          <w:color w:val="auto"/>
        </w:rPr>
        <w:t>(after Regulatory Approval of such Licensed Bispecific) sold by or on behalf of Amgen or its Affiliates, or any of their respective Sublicensees (the “</w:t>
      </w:r>
      <w:r>
        <w:rPr>
          <w:rFonts w:ascii="Arial" w:cs="Arial" w:eastAsia="Arial" w:hAnsi="Arial"/>
          <w:sz w:val="19"/>
          <w:szCs w:val="19"/>
          <w:b w:val="1"/>
          <w:bCs w:val="1"/>
          <w:color w:val="auto"/>
        </w:rPr>
        <w:t>Selling Party</w:t>
      </w:r>
      <w:r>
        <w:rPr>
          <w:rFonts w:ascii="Arial" w:cs="Arial" w:eastAsia="Arial" w:hAnsi="Arial"/>
          <w:sz w:val="19"/>
          <w:szCs w:val="19"/>
          <w:color w:val="auto"/>
        </w:rPr>
        <w:t>”), to Third Parties during such period less the total of the following deductions actually incurred, allowed, paid or accrued with respect to or otherwise specifically allocated to the sale of such Licensed Bispecific, as determined in accordance with GAAP or equivalent accounting standard used by Amgen from time to time:</w:t>
      </w:r>
    </w:p>
    <w:p>
      <w:pPr>
        <w:spacing w:after="0" w:line="148" w:lineRule="exact"/>
        <w:rPr>
          <w:sz w:val="20"/>
          <w:szCs w:val="20"/>
          <w:color w:val="auto"/>
        </w:rPr>
      </w:pPr>
    </w:p>
    <w:p>
      <w:pPr>
        <w:ind w:left="180" w:right="20" w:firstLine="1286"/>
        <w:spacing w:after="0" w:line="263" w:lineRule="auto"/>
        <w:tabs>
          <w:tab w:leader="none" w:pos="2065" w:val="left"/>
        </w:tabs>
        <w:numPr>
          <w:ilvl w:val="0"/>
          <w:numId w:val="542"/>
        </w:numPr>
        <w:rPr>
          <w:rFonts w:ascii="Arial" w:cs="Arial" w:eastAsia="Arial" w:hAnsi="Arial"/>
          <w:sz w:val="22"/>
          <w:szCs w:val="22"/>
          <w:color w:val="auto"/>
        </w:rPr>
      </w:pPr>
      <w:r>
        <w:rPr>
          <w:rFonts w:ascii="Arial" w:cs="Arial" w:eastAsia="Arial" w:hAnsi="Arial"/>
          <w:sz w:val="22"/>
          <w:szCs w:val="22"/>
          <w:color w:val="auto"/>
        </w:rPr>
        <w:t>bona fide trade, cash, prompt payment and quantity discounts, allowances and credits, including cash coupons, retroactive price reductions, and promotional, service or similar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596" w:name="page597"/>
    <w:bookmarkEnd w:id="596"/>
    <w:p>
      <w:pPr>
        <w:ind w:left="180" w:firstLine="1286"/>
        <w:spacing w:after="0" w:line="263" w:lineRule="auto"/>
        <w:tabs>
          <w:tab w:leader="none" w:pos="2023" w:val="left"/>
        </w:tabs>
        <w:numPr>
          <w:ilvl w:val="0"/>
          <w:numId w:val="543"/>
        </w:numPr>
        <w:rPr>
          <w:rFonts w:ascii="Arial" w:cs="Arial" w:eastAsia="Arial" w:hAnsi="Arial"/>
          <w:sz w:val="22"/>
          <w:szCs w:val="22"/>
          <w:color w:val="auto"/>
        </w:rPr>
      </w:pPr>
      <w:r>
        <w:rPr>
          <w:rFonts w:ascii="Arial" w:cs="Arial" w:eastAsia="Arial" w:hAnsi="Arial"/>
          <w:sz w:val="22"/>
          <w:szCs w:val="22"/>
          <w:color w:val="auto"/>
        </w:rPr>
        <w:t>credits or allowances for damaged Licensed Bispecifics, returns or rejections of Licensed Bispecifics or other product replacement, price adjustments and billing errors, whether cash or trade;</w:t>
      </w:r>
    </w:p>
    <w:p>
      <w:pPr>
        <w:spacing w:after="0" w:line="174" w:lineRule="exact"/>
        <w:rPr>
          <w:rFonts w:ascii="Arial" w:cs="Arial" w:eastAsia="Arial" w:hAnsi="Arial"/>
          <w:sz w:val="22"/>
          <w:szCs w:val="22"/>
          <w:color w:val="auto"/>
        </w:rPr>
      </w:pPr>
    </w:p>
    <w:p>
      <w:pPr>
        <w:jc w:val="both"/>
        <w:ind w:left="180" w:firstLine="1286"/>
        <w:spacing w:after="0" w:line="253" w:lineRule="auto"/>
        <w:tabs>
          <w:tab w:leader="none" w:pos="2050" w:val="left"/>
        </w:tabs>
        <w:numPr>
          <w:ilvl w:val="0"/>
          <w:numId w:val="543"/>
        </w:numPr>
        <w:rPr>
          <w:rFonts w:ascii="Arial" w:cs="Arial" w:eastAsia="Arial" w:hAnsi="Arial"/>
          <w:sz w:val="22"/>
          <w:szCs w:val="22"/>
          <w:color w:val="auto"/>
        </w:rPr>
      </w:pPr>
      <w:r>
        <w:rPr>
          <w:rFonts w:ascii="Arial" w:cs="Arial" w:eastAsia="Arial" w:hAnsi="Arial"/>
          <w:sz w:val="22"/>
          <w:szCs w:val="22"/>
          <w:color w:val="auto"/>
        </w:rPr>
        <w:t>returns, allowances, rebates, chargebacks and fees or payments to government agencies, including any amounts imposed or due under section 9008 of the U.S. Patient Protection and Affordable Care Act of 2010 (Pub. L. No. 111-48);</w:t>
      </w:r>
    </w:p>
    <w:p>
      <w:pPr>
        <w:spacing w:after="0" w:line="185" w:lineRule="exact"/>
        <w:rPr>
          <w:rFonts w:ascii="Arial" w:cs="Arial" w:eastAsia="Arial" w:hAnsi="Arial"/>
          <w:sz w:val="22"/>
          <w:szCs w:val="22"/>
          <w:color w:val="auto"/>
        </w:rPr>
      </w:pPr>
    </w:p>
    <w:p>
      <w:pPr>
        <w:ind w:left="180" w:firstLine="1286"/>
        <w:spacing w:after="0" w:line="287" w:lineRule="auto"/>
        <w:tabs>
          <w:tab w:leader="none" w:pos="2092" w:val="left"/>
        </w:tabs>
        <w:numPr>
          <w:ilvl w:val="0"/>
          <w:numId w:val="543"/>
        </w:numPr>
        <w:rPr>
          <w:rFonts w:ascii="Arial" w:cs="Arial" w:eastAsia="Arial" w:hAnsi="Arial"/>
          <w:sz w:val="21"/>
          <w:szCs w:val="21"/>
          <w:color w:val="auto"/>
        </w:rPr>
      </w:pPr>
      <w:r>
        <w:rPr>
          <w:rFonts w:ascii="Arial" w:cs="Arial" w:eastAsia="Arial" w:hAnsi="Arial"/>
          <w:sz w:val="21"/>
          <w:szCs w:val="21"/>
          <w:color w:val="auto"/>
        </w:rPr>
        <w:t>an allowance of [***] of gross sales for bad debts, freight or other transportation charges, insurance charges and additional special packaging, in each case, solely to the extent related to a Licensed Bispecific;</w:t>
      </w:r>
    </w:p>
    <w:p>
      <w:pPr>
        <w:spacing w:after="0" w:line="151" w:lineRule="exact"/>
        <w:rPr>
          <w:rFonts w:ascii="Arial" w:cs="Arial" w:eastAsia="Arial" w:hAnsi="Arial"/>
          <w:sz w:val="21"/>
          <w:szCs w:val="21"/>
          <w:color w:val="auto"/>
        </w:rPr>
      </w:pPr>
    </w:p>
    <w:p>
      <w:pPr>
        <w:ind w:left="180" w:firstLine="1286"/>
        <w:spacing w:after="0" w:line="343" w:lineRule="auto"/>
        <w:tabs>
          <w:tab w:leader="none" w:pos="2024" w:val="left"/>
        </w:tabs>
        <w:numPr>
          <w:ilvl w:val="0"/>
          <w:numId w:val="543"/>
        </w:numPr>
        <w:rPr>
          <w:rFonts w:ascii="Arial" w:cs="Arial" w:eastAsia="Arial" w:hAnsi="Arial"/>
          <w:sz w:val="19"/>
          <w:szCs w:val="19"/>
          <w:color w:val="auto"/>
        </w:rPr>
      </w:pPr>
      <w:r>
        <w:rPr>
          <w:rFonts w:ascii="Arial" w:cs="Arial" w:eastAsia="Arial" w:hAnsi="Arial"/>
          <w:sz w:val="19"/>
          <w:szCs w:val="19"/>
          <w:color w:val="auto"/>
        </w:rPr>
        <w:t>fees paid to distributors or wholesalers (in each case, who do not engage in marketing or promotion of Licensed Bispecifics), or to group purchasing organizations and managed care entities or similar types of organizations;</w:t>
      </w:r>
    </w:p>
    <w:p>
      <w:pPr>
        <w:spacing w:after="0" w:line="104" w:lineRule="exact"/>
        <w:rPr>
          <w:rFonts w:ascii="Arial" w:cs="Arial" w:eastAsia="Arial" w:hAnsi="Arial"/>
          <w:sz w:val="19"/>
          <w:szCs w:val="19"/>
          <w:color w:val="auto"/>
        </w:rPr>
      </w:pPr>
    </w:p>
    <w:p>
      <w:pPr>
        <w:jc w:val="both"/>
        <w:ind w:left="180" w:firstLine="1286"/>
        <w:spacing w:after="0" w:line="312" w:lineRule="auto"/>
        <w:tabs>
          <w:tab w:leader="none" w:pos="1954" w:val="left"/>
        </w:tabs>
        <w:numPr>
          <w:ilvl w:val="0"/>
          <w:numId w:val="543"/>
        </w:numPr>
        <w:rPr>
          <w:rFonts w:ascii="Arial" w:cs="Arial" w:eastAsia="Arial" w:hAnsi="Arial"/>
          <w:sz w:val="19"/>
          <w:szCs w:val="19"/>
          <w:color w:val="auto"/>
        </w:rPr>
      </w:pPr>
      <w:r>
        <w:rPr>
          <w:rFonts w:ascii="Arial" w:cs="Arial" w:eastAsia="Arial" w:hAnsi="Arial"/>
          <w:sz w:val="19"/>
          <w:szCs w:val="19"/>
          <w:color w:val="auto"/>
        </w:rPr>
        <w:t>sales taxes (including value added tax or its equivalent but solely to the extent not otherwise creditable or reimbursed), excise taxes, other consumption taxes, customs duties and compulsory payments to governmental authorities and any other governmental charges imposed upon the sale of such Licensed Bispecific to Third Parties; and</w:t>
      </w:r>
    </w:p>
    <w:p>
      <w:pPr>
        <w:spacing w:after="0" w:line="133" w:lineRule="exact"/>
        <w:rPr>
          <w:rFonts w:ascii="Arial" w:cs="Arial" w:eastAsia="Arial" w:hAnsi="Arial"/>
          <w:sz w:val="19"/>
          <w:szCs w:val="19"/>
          <w:color w:val="auto"/>
        </w:rPr>
      </w:pPr>
    </w:p>
    <w:p>
      <w:pPr>
        <w:ind w:left="1940" w:hanging="474"/>
        <w:spacing w:after="0"/>
        <w:tabs>
          <w:tab w:leader="none" w:pos="1940" w:val="left"/>
        </w:tabs>
        <w:numPr>
          <w:ilvl w:val="0"/>
          <w:numId w:val="543"/>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Any disposal of Products for, or use of Licensed Bispecific in, clinical or pre-clinical trials, given as free samples, or distributed at no charge to patients unable to purchase Licensed Bispecific shall not be included in Net Sales.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methodology for calculating (a)–(g), on a country-by-country basis, shall conform to GAAP consistently applied by Amgen and its Affiliates across its product lines.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foregoing, sales of Licensed Bispecific among Amgen, its Affiliates and their respective Sublicensees shall not be included within Net Sales; but the resale of such Licensed Bispecific to Third Parties for commercial use shall be included in Net Sales.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Subject to the immediately following paragraph, upon any sale or other disposal of a Licensed Bispecific that should be included within Net Sales for any consideration other than an exclusively monetary consideration on bona fide arm’s length terms, then for purposes of calculating the Net Sales under this Agreement, such Licensed Bispecific shall be deemed to be sold [exclusively for money at the average sales price during the applicable reporting period generally achieved for such Licensed Bispecific in the country in which such sale or other disposal occurred when such Licensed Bispecific is sold alone and not with other products]. In the event no such sales price is available for the Licensed Bispecific in such country during the applicable reporting period, then such Licensed Bispecific shall be deemed to be sold [exclusively for money at the arithmetic mean sales price during the applicable reporting period generally achieved for such Licensed Bispecific in all countries in which such sale or other disposal occurred when such Licensed Bispecific is sold alone and not with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597" w:name="page598"/>
    <w:bookmarkEnd w:id="597"/>
    <w:p>
      <w:pPr>
        <w:jc w:val="both"/>
        <w:ind w:right="2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 however</w:t>
      </w:r>
      <w:r>
        <w:rPr>
          <w:rFonts w:ascii="Arial" w:cs="Arial" w:eastAsia="Arial" w:hAnsi="Arial"/>
          <w:sz w:val="19"/>
          <w:szCs w:val="19"/>
          <w:color w:val="auto"/>
        </w:rPr>
        <w:t>, that if such Licensed Bispecific is not sold alone in any country, then the Selling Party shall calculate in good faith a hypothetical market price for the Licensed Bispecific in accordance with the principles set forth in Section 6.5].</w:t>
      </w:r>
    </w:p>
    <w:p>
      <w:pPr>
        <w:spacing w:after="0" w:line="10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If the Licensed Bispecific either (1) is sold in the form of a combination product containing both the Licensed Bispecific and one or more active pharmaceutical or therapeutic ingredient(s) as separate molecular entity(ies) that are not such Licensed Bispecific or (2) is sold as a combination of a Licensed Bispecific and one or more other pharmaceutical or therapeutic products that contain at least one other active pharmaceutical or therapeutic ingredient that is not the Licensed Bispecific, where such products are not formulated together but are sold together (e.g., bundled) as a single product and invoiced as one product (in either case ((1) or (2)) (a “</w:t>
      </w:r>
      <w:r>
        <w:rPr>
          <w:rFonts w:ascii="Arial" w:cs="Arial" w:eastAsia="Arial" w:hAnsi="Arial"/>
          <w:sz w:val="19"/>
          <w:szCs w:val="19"/>
          <w:b w:val="1"/>
          <w:bCs w:val="1"/>
          <w:color w:val="auto"/>
        </w:rPr>
        <w:t>combination product</w:t>
      </w:r>
      <w:r>
        <w:rPr>
          <w:rFonts w:ascii="Arial" w:cs="Arial" w:eastAsia="Arial" w:hAnsi="Arial"/>
          <w:sz w:val="19"/>
          <w:szCs w:val="19"/>
          <w:color w:val="auto"/>
        </w:rPr>
        <w:t>”), then the Net Sales of such Licensed Bispecific for the purpose of calculating payments owed under this Agreement for sales of such Licensed Bispecific, shall be determined as follows: first, Selling Party shall determine the actual Net Sales of such combination product (using the above provisions) and then such amount shall be multiplied by the fraction A/(A+B), where A is the invoice price of such Licensed Bispecific if sold separately, and B is the total invoice price of the other active pharmaceutical or therapeutic ingredient(s) in such combination product if sold separately. If the Licensed Bispecific is sold separately but any other active pharmaceutical or therapeutic ingredient(s) in such combination product are not sold separately, Net Sales shall be calculated by multiplying actual Net Sales of such combination product by a fraction A/C where A is the invoice price of such Licensed Bispecific if sold separately and C is the invoice price of such combination product. If neither such Licensed Bispecific nor any other active pharmaceutical ingredient in such combination product is sold separately, then the Net Sales of the Licensed Bispecific shall be [***].</w:t>
      </w:r>
    </w:p>
    <w:p>
      <w:pPr>
        <w:spacing w:after="0" w:line="15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1.120 </w:t>
      </w:r>
      <w:r>
        <w:rPr>
          <w:rFonts w:ascii="Arial" w:cs="Arial" w:eastAsia="Arial" w:hAnsi="Arial"/>
          <w:sz w:val="22"/>
          <w:szCs w:val="22"/>
          <w:color w:val="auto"/>
        </w:rPr>
        <w:t>“</w:t>
      </w:r>
      <w:r>
        <w:rPr>
          <w:rFonts w:ascii="Arial" w:cs="Arial" w:eastAsia="Arial" w:hAnsi="Arial"/>
          <w:sz w:val="22"/>
          <w:szCs w:val="22"/>
          <w:b w:val="1"/>
          <w:bCs w:val="1"/>
          <w:color w:val="auto"/>
        </w:rPr>
        <w:t>Patents</w:t>
      </w:r>
      <w:r>
        <w:rPr>
          <w:rFonts w:ascii="Arial" w:cs="Arial" w:eastAsia="Arial" w:hAnsi="Arial"/>
          <w:sz w:val="22"/>
          <w:szCs w:val="22"/>
          <w:color w:val="auto"/>
        </w:rPr>
        <w:t>” means (a) pending patent applications, issued patents, utility models and designs; (b) reissues,</w:t>
      </w:r>
      <w:r>
        <w:rPr>
          <w:rFonts w:ascii="Arial" w:cs="Arial" w:eastAsia="Arial" w:hAnsi="Arial"/>
          <w:sz w:val="22"/>
          <w:szCs w:val="22"/>
          <w:b w:val="1"/>
          <w:bCs w:val="1"/>
          <w:color w:val="auto"/>
        </w:rPr>
        <w:t xml:space="preserve"> </w:t>
      </w:r>
      <w:r>
        <w:rPr>
          <w:rFonts w:ascii="Arial" w:cs="Arial" w:eastAsia="Arial" w:hAnsi="Arial"/>
          <w:sz w:val="22"/>
          <w:szCs w:val="22"/>
          <w:color w:val="auto"/>
        </w:rPr>
        <w:t>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spacing w:after="0" w:line="18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PBS</w:t>
      </w:r>
      <w:r>
        <w:rPr>
          <w:rFonts w:ascii="Arial" w:cs="Arial" w:eastAsia="Arial" w:hAnsi="Arial"/>
          <w:sz w:val="19"/>
          <w:szCs w:val="19"/>
          <w:color w:val="auto"/>
        </w:rPr>
        <w:t>” means a phosphate buffered water solution containing [***].</w:t>
      </w:r>
    </w:p>
    <w:p>
      <w:pPr>
        <w:spacing w:after="0" w:line="220" w:lineRule="exact"/>
        <w:rPr>
          <w:sz w:val="20"/>
          <w:szCs w:val="20"/>
          <w:color w:val="auto"/>
        </w:rPr>
      </w:pPr>
    </w:p>
    <w:p>
      <w:pPr>
        <w:jc w:val="both"/>
        <w:ind w:right="20" w:firstLine="648"/>
        <w:spacing w:after="0" w:line="349" w:lineRule="auto"/>
        <w:rPr>
          <w:sz w:val="20"/>
          <w:szCs w:val="20"/>
          <w:color w:val="auto"/>
        </w:rPr>
      </w:pPr>
      <w:r>
        <w:rPr>
          <w:rFonts w:ascii="Arial" w:cs="Arial" w:eastAsia="Arial" w:hAnsi="Arial"/>
          <w:sz w:val="19"/>
          <w:szCs w:val="19"/>
          <w:b w:val="1"/>
          <w:bCs w:val="1"/>
          <w:color w:val="auto"/>
        </w:rPr>
        <w:t xml:space="preserve">1.122 </w:t>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corporation, limited or general partnership, limited liability company, joint venture, trust,</w:t>
      </w:r>
      <w:r>
        <w:rPr>
          <w:rFonts w:ascii="Arial" w:cs="Arial" w:eastAsia="Arial" w:hAnsi="Arial"/>
          <w:sz w:val="19"/>
          <w:szCs w:val="19"/>
          <w:b w:val="1"/>
          <w:bCs w:val="1"/>
          <w:color w:val="auto"/>
        </w:rPr>
        <w:t xml:space="preserve"> </w:t>
      </w:r>
      <w:r>
        <w:rPr>
          <w:rFonts w:ascii="Arial" w:cs="Arial" w:eastAsia="Arial" w:hAnsi="Arial"/>
          <w:sz w:val="19"/>
          <w:szCs w:val="19"/>
          <w:color w:val="auto"/>
        </w:rPr>
        <w:t>unincorporated association, governmental body, authority, bureau or agency, any other entity or body, or an individual.</w:t>
      </w:r>
    </w:p>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1.123 </w:t>
      </w:r>
      <w:r>
        <w:rPr>
          <w:rFonts w:ascii="Arial" w:cs="Arial" w:eastAsia="Arial" w:hAnsi="Arial"/>
          <w:sz w:val="21"/>
          <w:szCs w:val="21"/>
          <w:color w:val="auto"/>
        </w:rPr>
        <w:t>“</w:t>
      </w:r>
      <w:r>
        <w:rPr>
          <w:rFonts w:ascii="Arial" w:cs="Arial" w:eastAsia="Arial" w:hAnsi="Arial"/>
          <w:sz w:val="21"/>
          <w:szCs w:val="21"/>
          <w:b w:val="1"/>
          <w:bCs w:val="1"/>
          <w:color w:val="auto"/>
        </w:rPr>
        <w:t>Phase 1 Clinical Trial</w:t>
      </w:r>
      <w:r>
        <w:rPr>
          <w:rFonts w:ascii="Arial" w:cs="Arial" w:eastAsia="Arial" w:hAnsi="Arial"/>
          <w:sz w:val="21"/>
          <w:szCs w:val="21"/>
          <w:color w:val="auto"/>
        </w:rPr>
        <w:t>” means any first in human clinical trial of a product the principal purpose of which is a</w:t>
      </w:r>
      <w:r>
        <w:rPr>
          <w:rFonts w:ascii="Arial" w:cs="Arial" w:eastAsia="Arial" w:hAnsi="Arial"/>
          <w:sz w:val="21"/>
          <w:szCs w:val="21"/>
          <w:b w:val="1"/>
          <w:bCs w:val="1"/>
          <w:color w:val="auto"/>
        </w:rPr>
        <w:t xml:space="preserve"> </w:t>
      </w:r>
      <w:r>
        <w:rPr>
          <w:rFonts w:ascii="Arial" w:cs="Arial" w:eastAsia="Arial" w:hAnsi="Arial"/>
          <w:sz w:val="21"/>
          <w:szCs w:val="21"/>
          <w:color w:val="auto"/>
        </w:rPr>
        <w:t>preliminary determination of safety, tolerability, pharmacological activity or pharmacokinetics in healthy individuals or patients, and which may include expansion to estimate activity in a specific patient cohort, or similar clinical study prescribed by the Regulatory Authorities, and that satisfies the requirements of 21 C.F.R. § 312.21(a) or equivalents. For clarity, Phase 1a Clinical Trials and Phase 1b Clinical Trials shall be considered a Phase 1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598" w:name="page599"/>
    <w:bookmarkEnd w:id="598"/>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1.124 </w:t>
      </w:r>
      <w:r>
        <w:rPr>
          <w:rFonts w:ascii="Arial" w:cs="Arial" w:eastAsia="Arial" w:hAnsi="Arial"/>
          <w:sz w:val="22"/>
          <w:szCs w:val="22"/>
          <w:color w:val="auto"/>
        </w:rPr>
        <w:t>“</w:t>
      </w:r>
      <w:r>
        <w:rPr>
          <w:rFonts w:ascii="Arial" w:cs="Arial" w:eastAsia="Arial" w:hAnsi="Arial"/>
          <w:sz w:val="22"/>
          <w:szCs w:val="22"/>
          <w:b w:val="1"/>
          <w:bCs w:val="1"/>
          <w:color w:val="auto"/>
        </w:rPr>
        <w:t>Phase 1a Clinical Trial</w:t>
      </w:r>
      <w:r>
        <w:rPr>
          <w:rFonts w:ascii="Arial" w:cs="Arial" w:eastAsia="Arial" w:hAnsi="Arial"/>
          <w:sz w:val="22"/>
          <w:szCs w:val="22"/>
          <w:color w:val="auto"/>
        </w:rPr>
        <w:t>” means the Phase 1 Clinical Trial monotherapy dose escalation activities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Bispecific, the principal purpose of which is a preliminary determination of safety, tolerability, or pharmacokinetics, as further defined in the Development Plan.</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1.125 </w:t>
      </w:r>
      <w:r>
        <w:rPr>
          <w:rFonts w:ascii="Arial" w:cs="Arial" w:eastAsia="Arial" w:hAnsi="Arial"/>
          <w:sz w:val="21"/>
          <w:szCs w:val="21"/>
          <w:color w:val="auto"/>
        </w:rPr>
        <w:t>“</w:t>
      </w:r>
      <w:r>
        <w:rPr>
          <w:rFonts w:ascii="Arial" w:cs="Arial" w:eastAsia="Arial" w:hAnsi="Arial"/>
          <w:sz w:val="21"/>
          <w:szCs w:val="21"/>
          <w:b w:val="1"/>
          <w:bCs w:val="1"/>
          <w:color w:val="auto"/>
        </w:rPr>
        <w:t>Phase 1b Clinical Trial</w:t>
      </w:r>
      <w:r>
        <w:rPr>
          <w:rFonts w:ascii="Arial" w:cs="Arial" w:eastAsia="Arial" w:hAnsi="Arial"/>
          <w:sz w:val="21"/>
          <w:szCs w:val="21"/>
          <w:color w:val="auto"/>
        </w:rPr>
        <w:t>” means the Phase 1 Clinical Trial activities after the Phase 1a Clinical Trial that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initial evaluation of a compound or product alone or in combination on a larger number of patients in a clinical study designed to evaluate further the safety, and to provide initial indications of the effectiveness, of a product for a particular Indication in patients with the disease or condition and to seek to determine a dose that is effective and sufficiently tolerated with respect to the proposed Indication, as further defined in the Development Plan.</w:t>
      </w:r>
    </w:p>
    <w:p>
      <w:pPr>
        <w:spacing w:after="0" w:line="17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color w:val="auto"/>
        </w:rPr>
        <w:t xml:space="preserve">1.126 </w:t>
      </w:r>
      <w:r>
        <w:rPr>
          <w:rFonts w:ascii="Arial" w:cs="Arial" w:eastAsia="Arial" w:hAnsi="Arial"/>
          <w:sz w:val="19"/>
          <w:szCs w:val="19"/>
          <w:color w:val="auto"/>
        </w:rPr>
        <w:t>“</w:t>
      </w:r>
      <w:r>
        <w:rPr>
          <w:rFonts w:ascii="Arial" w:cs="Arial" w:eastAsia="Arial" w:hAnsi="Arial"/>
          <w:sz w:val="19"/>
          <w:szCs w:val="19"/>
          <w:b w:val="1"/>
          <w:bCs w:val="1"/>
          <w:color w:val="auto"/>
        </w:rPr>
        <w:t>Phase 2 Clinical Trial</w:t>
      </w:r>
      <w:r>
        <w:rPr>
          <w:rFonts w:ascii="Arial" w:cs="Arial" w:eastAsia="Arial" w:hAnsi="Arial"/>
          <w:sz w:val="19"/>
          <w:szCs w:val="19"/>
          <w:color w:val="auto"/>
        </w:rPr>
        <w:t>” means a human clinical trial of a product alone or in combination (whether a standalone</w:t>
      </w:r>
      <w:r>
        <w:rPr>
          <w:rFonts w:ascii="Arial" w:cs="Arial" w:eastAsia="Arial" w:hAnsi="Arial"/>
          <w:sz w:val="19"/>
          <w:szCs w:val="19"/>
          <w:b w:val="1"/>
          <w:bCs w:val="1"/>
          <w:color w:val="auto"/>
        </w:rPr>
        <w:t xml:space="preserve"> </w:t>
      </w:r>
      <w:r>
        <w:rPr>
          <w:rFonts w:ascii="Arial" w:cs="Arial" w:eastAsia="Arial" w:hAnsi="Arial"/>
          <w:sz w:val="19"/>
          <w:szCs w:val="19"/>
          <w:color w:val="auto"/>
        </w:rPr>
        <w:t>trial or a stage of a “Phase 2/3” clinical trial described in the protocol as the “Phase 2 portion”) the principal purpose of which is</w:t>
      </w:r>
    </w:p>
    <w:p>
      <w:pPr>
        <w:spacing w:after="0" w:line="2" w:lineRule="exact"/>
        <w:rPr>
          <w:sz w:val="20"/>
          <w:szCs w:val="20"/>
          <w:color w:val="auto"/>
        </w:rPr>
      </w:pPr>
    </w:p>
    <w:p>
      <w:pPr>
        <w:jc w:val="both"/>
        <w:ind w:firstLine="8"/>
        <w:spacing w:after="0" w:line="258" w:lineRule="auto"/>
        <w:tabs>
          <w:tab w:leader="none" w:pos="325" w:val="left"/>
        </w:tabs>
        <w:numPr>
          <w:ilvl w:val="0"/>
          <w:numId w:val="544"/>
        </w:numPr>
        <w:rPr>
          <w:rFonts w:ascii="Arial" w:cs="Arial" w:eastAsia="Arial" w:hAnsi="Arial"/>
          <w:sz w:val="21"/>
          <w:szCs w:val="21"/>
          <w:color w:val="auto"/>
        </w:rPr>
      </w:pPr>
      <w:r>
        <w:rPr>
          <w:rFonts w:ascii="Arial" w:cs="Arial" w:eastAsia="Arial" w:hAnsi="Arial"/>
          <w:sz w:val="21"/>
          <w:szCs w:val="21"/>
          <w:color w:val="auto"/>
        </w:rPr>
        <w:t>(1) to evaluate the clinical efficacy, safety, pharmacodynamics or biological activity of such Product in the target patient population as its primary endpoint or (2) determine anti-cancer activity in the applicable tumor type as its primary endpoint (as described in the protocol), in each case of clause (1) and (2), and is prospectively designed to generate sufficient data that may permit commencement of a Phase 3 Clinical Trial, and (b) that satisfies the requirements of 21 C.F.R. § 312.21(b) or its equivalents. For clarity, Phase 1b Clinical Trials shall not be considered a Phase 2 Clinical Trial.</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1.127 </w:t>
      </w:r>
      <w:r>
        <w:rPr>
          <w:rFonts w:ascii="Arial" w:cs="Arial" w:eastAsia="Arial" w:hAnsi="Arial"/>
          <w:sz w:val="19"/>
          <w:szCs w:val="19"/>
          <w:color w:val="auto"/>
        </w:rPr>
        <w:t>“</w:t>
      </w:r>
      <w:r>
        <w:rPr>
          <w:rFonts w:ascii="Arial" w:cs="Arial" w:eastAsia="Arial" w:hAnsi="Arial"/>
          <w:sz w:val="19"/>
          <w:szCs w:val="19"/>
          <w:b w:val="1"/>
          <w:bCs w:val="1"/>
          <w:color w:val="auto"/>
        </w:rPr>
        <w:t>Phase 3 Clinical Trial</w:t>
      </w:r>
      <w:r>
        <w:rPr>
          <w:rFonts w:ascii="Arial" w:cs="Arial" w:eastAsia="Arial" w:hAnsi="Arial"/>
          <w:sz w:val="19"/>
          <w:szCs w:val="19"/>
          <w:color w:val="auto"/>
        </w:rPr>
        <w:t>” means a human clinical trial of a product alone or in combination (whether a standalone</w:t>
      </w:r>
      <w:r>
        <w:rPr>
          <w:rFonts w:ascii="Arial" w:cs="Arial" w:eastAsia="Arial" w:hAnsi="Arial"/>
          <w:sz w:val="19"/>
          <w:szCs w:val="19"/>
          <w:b w:val="1"/>
          <w:bCs w:val="1"/>
          <w:color w:val="auto"/>
        </w:rPr>
        <w:t xml:space="preserve"> </w:t>
      </w:r>
      <w:r>
        <w:rPr>
          <w:rFonts w:ascii="Arial" w:cs="Arial" w:eastAsia="Arial" w:hAnsi="Arial"/>
          <w:sz w:val="19"/>
          <w:szCs w:val="19"/>
          <w:color w:val="auto"/>
        </w:rPr>
        <w:t>trial or a stage of a “Phase 2/3” clinical trial described in the protocol as the “Phase 3 portion”): (a) (1) with a defined dose or a set of defined doses of such product designed to establish statistically significant efficacy and safety of such Product for the purpose of enabling the preparation and submission of a BLA to the competent Regulatory Authorities in a country of the Territory, or (2) where the results of such clinical trial are intended (if successful) to be used to establish both safety and efficacy of such Product in patients which are the subject of such trial and serve as the basis for initial or supplemental Regulatory Approval of such product, and (b) that satisfies the requirements of 21 C.F.R. § 312.21(c) or its equivalents.</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1.128 </w:t>
      </w:r>
      <w:r>
        <w:rPr>
          <w:rFonts w:ascii="Arial" w:cs="Arial" w:eastAsia="Arial" w:hAnsi="Arial"/>
          <w:sz w:val="22"/>
          <w:szCs w:val="22"/>
          <w:color w:val="auto"/>
        </w:rPr>
        <w:t>“</w:t>
      </w:r>
      <w:r>
        <w:rPr>
          <w:rFonts w:ascii="Arial" w:cs="Arial" w:eastAsia="Arial" w:hAnsi="Arial"/>
          <w:sz w:val="22"/>
          <w:szCs w:val="22"/>
          <w:b w:val="1"/>
          <w:bCs w:val="1"/>
          <w:color w:val="auto"/>
        </w:rPr>
        <w:t>Phase 4 Clinical Trial</w:t>
      </w:r>
      <w:r>
        <w:rPr>
          <w:rFonts w:ascii="Arial" w:cs="Arial" w:eastAsia="Arial" w:hAnsi="Arial"/>
          <w:sz w:val="22"/>
          <w:szCs w:val="22"/>
          <w:color w:val="auto"/>
        </w:rPr>
        <w:t>” means a human clinical trial of a product conducted after Regulatory Approval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has been obtained from an appropriate Regulatory Authority in the country in which such trial is to be conducted, which trial is (a) conducted voluntarily by a Party to enhance marketing or scientific knowledge of the product, or (b) conducted due to a request or requirement of a Regulatory Authority.</w:t>
      </w:r>
    </w:p>
    <w:p>
      <w:pPr>
        <w:spacing w:after="0" w:line="18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Platform Patents</w:t>
      </w:r>
      <w:r>
        <w:rPr>
          <w:rFonts w:ascii="Arial" w:cs="Arial" w:eastAsia="Arial" w:hAnsi="Arial"/>
          <w:sz w:val="19"/>
          <w:szCs w:val="19"/>
          <w:color w:val="auto"/>
        </w:rPr>
        <w:t>” has the meaning set forth in Section 10.2(a)(i).</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1.130 </w:t>
      </w:r>
      <w:r>
        <w:rPr>
          <w:rFonts w:ascii="Arial" w:cs="Arial" w:eastAsia="Arial" w:hAnsi="Arial"/>
          <w:sz w:val="22"/>
          <w:szCs w:val="22"/>
          <w:color w:val="auto"/>
        </w:rPr>
        <w:t>“</w:t>
      </w:r>
      <w:r>
        <w:rPr>
          <w:rFonts w:ascii="Arial" w:cs="Arial" w:eastAsia="Arial" w:hAnsi="Arial"/>
          <w:sz w:val="22"/>
          <w:szCs w:val="22"/>
          <w:b w:val="1"/>
          <w:bCs w:val="1"/>
          <w:color w:val="auto"/>
        </w:rPr>
        <w:t>Product</w:t>
      </w:r>
      <w:r>
        <w:rPr>
          <w:rFonts w:ascii="Arial" w:cs="Arial" w:eastAsia="Arial" w:hAnsi="Arial"/>
          <w:sz w:val="22"/>
          <w:szCs w:val="22"/>
          <w:color w:val="auto"/>
        </w:rPr>
        <w:t>” means a Combination Therapy and/or the Licensed Bispecific. Any reference herein to Product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deemed to exclude the Amgen Product for use as a monotherapy or for use in combination with other therapeutic agents other than in connection with a Combination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1" w:right="339" w:bottom="1440" w:gutter="0" w:footer="0" w:header="0"/>
        </w:sectPr>
      </w:pPr>
    </w:p>
    <w:bookmarkStart w:id="599" w:name="page600"/>
    <w:bookmarkEnd w:id="599"/>
    <w:p>
      <w:pPr>
        <w:ind w:left="660"/>
        <w:spacing w:after="0"/>
        <w:tabs>
          <w:tab w:leader="none" w:pos="1340" w:val="left"/>
        </w:tabs>
        <w:rPr>
          <w:sz w:val="20"/>
          <w:szCs w:val="20"/>
          <w:color w:val="auto"/>
        </w:rPr>
      </w:pPr>
      <w:r>
        <w:rPr>
          <w:rFonts w:ascii="Arial" w:cs="Arial" w:eastAsia="Arial" w:hAnsi="Arial"/>
          <w:sz w:val="22"/>
          <w:szCs w:val="22"/>
          <w:b w:val="1"/>
          <w:bCs w:val="1"/>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Infringement</w:t>
      </w:r>
      <w:r>
        <w:rPr>
          <w:rFonts w:ascii="Arial" w:cs="Arial" w:eastAsia="Arial" w:hAnsi="Arial"/>
          <w:sz w:val="19"/>
          <w:szCs w:val="19"/>
          <w:color w:val="auto"/>
        </w:rPr>
        <w:t>” has the meaning set forth in Section 10.3(a).</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Proof of Concept</w:t>
      </w:r>
      <w:r>
        <w:rPr>
          <w:rFonts w:ascii="Arial" w:cs="Arial" w:eastAsia="Arial" w:hAnsi="Arial"/>
          <w:sz w:val="19"/>
          <w:szCs w:val="19"/>
          <w:color w:val="auto"/>
        </w:rPr>
        <w:t>” means the Licensed Bispecific has achieved [***].</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Proposals</w:t>
      </w:r>
      <w:r>
        <w:rPr>
          <w:rFonts w:ascii="Arial" w:cs="Arial" w:eastAsia="Arial" w:hAnsi="Arial"/>
          <w:sz w:val="19"/>
          <w:szCs w:val="19"/>
          <w:color w:val="auto"/>
        </w:rPr>
        <w:t>” has the meaning set forth in Section 15.11.</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1.134 </w:t>
      </w:r>
      <w:r>
        <w:rPr>
          <w:rFonts w:ascii="Arial" w:cs="Arial" w:eastAsia="Arial" w:hAnsi="Arial"/>
          <w:sz w:val="22"/>
          <w:szCs w:val="22"/>
          <w:color w:val="auto"/>
        </w:rPr>
        <w:t>“</w:t>
      </w:r>
      <w:r>
        <w:rPr>
          <w:rFonts w:ascii="Arial" w:cs="Arial" w:eastAsia="Arial" w:hAnsi="Arial"/>
          <w:sz w:val="22"/>
          <w:szCs w:val="22"/>
          <w:b w:val="1"/>
          <w:bCs w:val="1"/>
          <w:color w:val="auto"/>
        </w:rPr>
        <w:t>Public Official or Entity</w:t>
      </w:r>
      <w:r>
        <w:rPr>
          <w:rFonts w:ascii="Arial" w:cs="Arial" w:eastAsia="Arial" w:hAnsi="Arial"/>
          <w:sz w:val="22"/>
          <w:szCs w:val="22"/>
          <w:color w:val="auto"/>
        </w:rPr>
        <w:t>” means (a) any officer, employee (including physicians, hospital administrators,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healthcare 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or (b) any candidate for political office, any political party or any official of a political party.</w:t>
      </w:r>
    </w:p>
    <w:p>
      <w:pPr>
        <w:spacing w:after="0" w:line="18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Redacted Agreement</w:t>
      </w:r>
      <w:r>
        <w:rPr>
          <w:rFonts w:ascii="Arial" w:cs="Arial" w:eastAsia="Arial" w:hAnsi="Arial"/>
          <w:sz w:val="19"/>
          <w:szCs w:val="19"/>
          <w:color w:val="auto"/>
        </w:rPr>
        <w:t>” has the meaning set forth in Section 13.4(b).</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1.136 </w:t>
      </w:r>
      <w:r>
        <w:rPr>
          <w:rFonts w:ascii="Arial" w:cs="Arial" w:eastAsia="Arial" w:hAnsi="Arial"/>
          <w:sz w:val="19"/>
          <w:szCs w:val="19"/>
          <w:color w:val="auto"/>
        </w:rPr>
        <w:t>“</w:t>
      </w:r>
      <w:r>
        <w:rPr>
          <w:rFonts w:ascii="Arial" w:cs="Arial" w:eastAsia="Arial" w:hAnsi="Arial"/>
          <w:sz w:val="19"/>
          <w:szCs w:val="19"/>
          <w:b w:val="1"/>
          <w:bCs w:val="1"/>
          <w:color w:val="auto"/>
        </w:rPr>
        <w:t>Regulatory Approval</w:t>
      </w:r>
      <w:r>
        <w:rPr>
          <w:rFonts w:ascii="Arial" w:cs="Arial" w:eastAsia="Arial" w:hAnsi="Arial"/>
          <w:sz w:val="19"/>
          <w:szCs w:val="19"/>
          <w:color w:val="auto"/>
        </w:rPr>
        <w:t>” means all approvals (whether final or conditional) from the relevant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in a given country or regulatory jurisdiction of the Marketing Application (MA) for a Product in the Field, including all licenses, registrations, and pricing or reimbursement approvals, that are necessary for the sale of such Product, including clinical testing, manufacture, distribution, or use of such Product, in such country or regulatory jurisdiction.</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1.137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in a particular country or jurisdiction, any applicable Governmental 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that has the authority to regulate the manufacture, marketing, testing, pricing, or sale of drug products in such country or jurisdiction.</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1.138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Authority with respect to a Product other than patents, including rights conferred in the United States under the Hatch-Waxman Act, the FDA Modernization Act of 1997 (including pediatric exclusivity), or the Biologics Price Competition and Innovation Act, or rights similar thereto.</w:t>
      </w:r>
    </w:p>
    <w:p>
      <w:pPr>
        <w:spacing w:after="0" w:line="18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Lead</w:t>
      </w:r>
      <w:r>
        <w:rPr>
          <w:rFonts w:ascii="Arial" w:cs="Arial" w:eastAsia="Arial" w:hAnsi="Arial"/>
          <w:sz w:val="19"/>
          <w:szCs w:val="19"/>
          <w:color w:val="auto"/>
        </w:rPr>
        <w:t>” has the meaning set forth in Section 5.1(b).</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1.140 </w:t>
      </w:r>
      <w:r>
        <w:rPr>
          <w:rFonts w:ascii="Arial" w:cs="Arial" w:eastAsia="Arial" w:hAnsi="Arial"/>
          <w:sz w:val="19"/>
          <w:szCs w:val="19"/>
          <w:color w:val="auto"/>
        </w:rPr>
        <w:t>“</w:t>
      </w:r>
      <w:r>
        <w:rPr>
          <w:rFonts w:ascii="Arial" w:cs="Arial" w:eastAsia="Arial" w:hAnsi="Arial"/>
          <w:sz w:val="19"/>
          <w:szCs w:val="19"/>
          <w:b w:val="1"/>
          <w:bCs w:val="1"/>
          <w:color w:val="auto"/>
        </w:rPr>
        <w:t>Regulatory Materials</w:t>
      </w:r>
      <w:r>
        <w:rPr>
          <w:rFonts w:ascii="Arial" w:cs="Arial" w:eastAsia="Arial" w:hAnsi="Arial"/>
          <w:sz w:val="19"/>
          <w:szCs w:val="19"/>
          <w:color w:val="auto"/>
        </w:rPr>
        <w:t>” means regulatory applications, submissions, notifications, correspondences,</w:t>
      </w:r>
      <w:r>
        <w:rPr>
          <w:rFonts w:ascii="Arial" w:cs="Arial" w:eastAsia="Arial" w:hAnsi="Arial"/>
          <w:sz w:val="19"/>
          <w:szCs w:val="19"/>
          <w:b w:val="1"/>
          <w:bCs w:val="1"/>
          <w:color w:val="auto"/>
        </w:rPr>
        <w:t xml:space="preserve"> </w:t>
      </w:r>
      <w:r>
        <w:rPr>
          <w:rFonts w:ascii="Arial" w:cs="Arial" w:eastAsia="Arial" w:hAnsi="Arial"/>
          <w:sz w:val="19"/>
          <w:szCs w:val="19"/>
          <w:color w:val="auto"/>
        </w:rPr>
        <w:t>registrations, Regulatory Approvals, or other filings made to or with, or other approvals granted by, a Regulatory Authority that are necessary or reasonably desirable in order to develop, manufacture, market, sell or otherwise commercialize a product in a particular country or regulatory jurisdiction. Regulatory Materials include INDs, Marketing Applications (MAs), and BLAs.</w:t>
      </w:r>
    </w:p>
    <w:p>
      <w:pPr>
        <w:spacing w:after="0" w:line="1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1.141 </w:t>
      </w:r>
      <w:r>
        <w:rPr>
          <w:rFonts w:ascii="Arial" w:cs="Arial" w:eastAsia="Arial" w:hAnsi="Arial"/>
          <w:sz w:val="22"/>
          <w:szCs w:val="22"/>
          <w:color w:val="auto"/>
        </w:rPr>
        <w:t>“</w:t>
      </w:r>
      <w:r>
        <w:rPr>
          <w:rFonts w:ascii="Arial" w:cs="Arial" w:eastAsia="Arial" w:hAnsi="Arial"/>
          <w:sz w:val="22"/>
          <w:szCs w:val="22"/>
          <w:b w:val="1"/>
          <w:bCs w:val="1"/>
          <w:color w:val="auto"/>
        </w:rPr>
        <w:t>Royalty-Bearing Joint Patent</w:t>
      </w:r>
      <w:r>
        <w:rPr>
          <w:rFonts w:ascii="Arial" w:cs="Arial" w:eastAsia="Arial" w:hAnsi="Arial"/>
          <w:sz w:val="22"/>
          <w:szCs w:val="22"/>
          <w:color w:val="auto"/>
        </w:rPr>
        <w:t>” means a Joint Patent, excluding Joint Patents claiming Combination Inventions</w:t>
      </w:r>
      <w:r>
        <w:rPr>
          <w:rFonts w:ascii="Arial" w:cs="Arial" w:eastAsia="Arial" w:hAnsi="Arial"/>
          <w:sz w:val="22"/>
          <w:szCs w:val="22"/>
          <w:b w:val="1"/>
          <w:bCs w:val="1"/>
          <w:color w:val="auto"/>
        </w:rPr>
        <w:t xml:space="preserve"> </w:t>
      </w:r>
      <w:r>
        <w:rPr>
          <w:rFonts w:ascii="Arial" w:cs="Arial" w:eastAsia="Arial" w:hAnsi="Arial"/>
          <w:sz w:val="22"/>
          <w:szCs w:val="22"/>
          <w:color w:val="auto"/>
        </w:rPr>
        <w:t>that were developed solely by or on behalf of Amgen.</w:t>
      </w:r>
    </w:p>
    <w:p>
      <w:pPr>
        <w:spacing w:after="0" w:line="1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has the meaning set forth in Section 9.5(b).</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Rules</w:t>
      </w:r>
      <w:r>
        <w:rPr>
          <w:rFonts w:ascii="Arial" w:cs="Arial" w:eastAsia="Arial" w:hAnsi="Arial"/>
          <w:sz w:val="19"/>
          <w:szCs w:val="19"/>
          <w:color w:val="auto"/>
        </w:rPr>
        <w:t>” has the meaning set forth in Section 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1" w:right="339" w:bottom="1440" w:gutter="0" w:footer="0" w:header="0"/>
        </w:sectPr>
      </w:pPr>
    </w:p>
    <w:bookmarkStart w:id="600" w:name="page601"/>
    <w:bookmarkEnd w:id="600"/>
    <w:p>
      <w:pPr>
        <w:ind w:left="660"/>
        <w:spacing w:after="0"/>
        <w:tabs>
          <w:tab w:leader="none" w:pos="1340" w:val="left"/>
        </w:tabs>
        <w:rPr>
          <w:sz w:val="20"/>
          <w:szCs w:val="20"/>
          <w:color w:val="auto"/>
        </w:rPr>
      </w:pPr>
      <w:r>
        <w:rPr>
          <w:rFonts w:ascii="Arial" w:cs="Arial" w:eastAsia="Arial" w:hAnsi="Arial"/>
          <w:sz w:val="22"/>
          <w:szCs w:val="22"/>
          <w:b w:val="1"/>
          <w:bCs w:val="1"/>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Safety Agreement</w:t>
      </w:r>
      <w:r>
        <w:rPr>
          <w:rFonts w:ascii="Arial" w:cs="Arial" w:eastAsia="Arial" w:hAnsi="Arial"/>
          <w:sz w:val="19"/>
          <w:szCs w:val="19"/>
          <w:color w:val="auto"/>
        </w:rPr>
        <w:t>” has the meaning set forth in Section 5.3.</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1.145 </w:t>
      </w:r>
      <w:r>
        <w:rPr>
          <w:rFonts w:ascii="Arial" w:cs="Arial" w:eastAsia="Arial" w:hAnsi="Arial"/>
          <w:sz w:val="22"/>
          <w:szCs w:val="22"/>
          <w:color w:val="auto"/>
        </w:rPr>
        <w:t>“</w:t>
      </w:r>
      <w:r>
        <w:rPr>
          <w:rFonts w:ascii="Arial" w:cs="Arial" w:eastAsia="Arial" w:hAnsi="Arial"/>
          <w:sz w:val="22"/>
          <w:szCs w:val="22"/>
          <w:b w:val="1"/>
          <w:bCs w:val="1"/>
          <w:color w:val="auto"/>
        </w:rPr>
        <w:t>Safety Data</w:t>
      </w:r>
      <w:r>
        <w:rPr>
          <w:rFonts w:ascii="Arial" w:cs="Arial" w:eastAsia="Arial" w:hAnsi="Arial"/>
          <w:sz w:val="22"/>
          <w:szCs w:val="22"/>
          <w:color w:val="auto"/>
        </w:rPr>
        <w:t>” means Data related solely to any adverse drug experiences and serious adverse drug experience as</w:t>
      </w:r>
      <w:r>
        <w:rPr>
          <w:rFonts w:ascii="Arial" w:cs="Arial" w:eastAsia="Arial" w:hAnsi="Arial"/>
          <w:sz w:val="22"/>
          <w:szCs w:val="22"/>
          <w:b w:val="1"/>
          <w:bCs w:val="1"/>
          <w:color w:val="auto"/>
        </w:rPr>
        <w:t xml:space="preserve"> </w:t>
      </w:r>
      <w:r>
        <w:rPr>
          <w:rFonts w:ascii="Arial" w:cs="Arial" w:eastAsia="Arial" w:hAnsi="Arial"/>
          <w:sz w:val="22"/>
          <w:szCs w:val="22"/>
          <w:color w:val="auto"/>
        </w:rPr>
        <w:t>such information is reportable to Regulatory Authorities. Safety Data also includes “adverse events,” “adverse drug reactions” and “unexpected adverse drug reactions” as defined in the ICH Harmonised Tripartite Guideline for Clinical Safety Data Management: Definitions and Standards for Expedited Reporting.</w:t>
      </w:r>
    </w:p>
    <w:p>
      <w:pPr>
        <w:spacing w:after="0" w:line="18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 Transaction</w:t>
      </w:r>
      <w:r>
        <w:rPr>
          <w:rFonts w:ascii="Arial" w:cs="Arial" w:eastAsia="Arial" w:hAnsi="Arial"/>
          <w:sz w:val="19"/>
          <w:szCs w:val="19"/>
          <w:color w:val="auto"/>
        </w:rPr>
        <w:t>” has the meaning set forth in Section 16.6.</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means the United States Securities and Exchange Commission.</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Selling Party</w:t>
      </w:r>
      <w:r>
        <w:rPr>
          <w:rFonts w:ascii="Arial" w:cs="Arial" w:eastAsia="Arial" w:hAnsi="Arial"/>
          <w:sz w:val="19"/>
          <w:szCs w:val="19"/>
          <w:color w:val="auto"/>
        </w:rPr>
        <w:t>” has the meaning set forth in Section 1.119.</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Sole Inventions</w:t>
      </w:r>
      <w:r>
        <w:rPr>
          <w:rFonts w:ascii="Arial" w:cs="Arial" w:eastAsia="Arial" w:hAnsi="Arial"/>
          <w:sz w:val="19"/>
          <w:szCs w:val="19"/>
          <w:color w:val="auto"/>
        </w:rPr>
        <w:t>” has the meaning set forth in Section 10.1(c).</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Subject Patent</w:t>
      </w:r>
      <w:r>
        <w:rPr>
          <w:rFonts w:ascii="Arial" w:cs="Arial" w:eastAsia="Arial" w:hAnsi="Arial"/>
          <w:sz w:val="19"/>
          <w:szCs w:val="19"/>
          <w:color w:val="auto"/>
        </w:rPr>
        <w:t>” has the meaning set forth in Section 10.5.</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1.151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any Third Party granted a sublicense by Amgen to the rights licensed to Amgen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3.1.</w:t>
      </w:r>
    </w:p>
    <w:p>
      <w:pPr>
        <w:spacing w:after="0" w:line="16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w:t>
      </w:r>
      <w:r>
        <w:rPr>
          <w:rFonts w:ascii="Arial" w:cs="Arial" w:eastAsia="Arial" w:hAnsi="Arial"/>
          <w:sz w:val="19"/>
          <w:szCs w:val="19"/>
          <w:color w:val="auto"/>
        </w:rPr>
        <w:t>” means an antigen expressed on or in a tumor cell.</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1.153 </w:t>
      </w:r>
      <w:r>
        <w:rPr>
          <w:rFonts w:ascii="Arial" w:cs="Arial" w:eastAsia="Arial" w:hAnsi="Arial"/>
          <w:sz w:val="19"/>
          <w:szCs w:val="19"/>
          <w:color w:val="auto"/>
        </w:rPr>
        <w:t>“</w:t>
      </w:r>
      <w:r>
        <w:rPr>
          <w:rFonts w:ascii="Arial" w:cs="Arial" w:eastAsia="Arial" w:hAnsi="Arial"/>
          <w:sz w:val="19"/>
          <w:szCs w:val="19"/>
          <w:b w:val="1"/>
          <w:bCs w:val="1"/>
          <w:color w:val="auto"/>
        </w:rPr>
        <w:t>Tax</w:t>
      </w:r>
      <w:r>
        <w:rPr>
          <w:rFonts w:ascii="Arial" w:cs="Arial" w:eastAsia="Arial" w:hAnsi="Arial"/>
          <w:sz w:val="19"/>
          <w:szCs w:val="19"/>
          <w:color w:val="auto"/>
        </w:rPr>
        <w:t>” means any tax (including any income tax, franchise tax, capital gains tax, gross receipts tax, value-added</w:t>
      </w:r>
      <w:r>
        <w:rPr>
          <w:rFonts w:ascii="Arial" w:cs="Arial" w:eastAsia="Arial" w:hAnsi="Arial"/>
          <w:sz w:val="19"/>
          <w:szCs w:val="19"/>
          <w:b w:val="1"/>
          <w:bCs w:val="1"/>
          <w:color w:val="auto"/>
        </w:rPr>
        <w:t xml:space="preserve"> </w:t>
      </w:r>
      <w:r>
        <w:rPr>
          <w:rFonts w:ascii="Arial" w:cs="Arial" w:eastAsia="Arial" w:hAnsi="Arial"/>
          <w:sz w:val="19"/>
          <w:szCs w:val="19"/>
          <w:color w:val="auto"/>
        </w:rPr>
        <w:t>tax, surtax, excise tax, ad valorem tax, transfer tax, stamp tax, sales tax, use tax, property tax, business tax, withholding tax or payroll tax), levy, assessment, tariff, duty (including any customs duty), deficiency or fee, and any related charge or amount (including any fine, addition, penalty or interest), imposed, assessed or collected by any Governmental Authority.</w:t>
      </w:r>
    </w:p>
    <w:p>
      <w:pPr>
        <w:spacing w:after="0" w:line="13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14.1.</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all countries in the world.</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entity other than Molecular Partners or Amgen or an Affiliate of either of them.</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IP</w:t>
      </w:r>
      <w:r>
        <w:rPr>
          <w:rFonts w:ascii="Arial" w:cs="Arial" w:eastAsia="Arial" w:hAnsi="Arial"/>
          <w:sz w:val="19"/>
          <w:szCs w:val="19"/>
          <w:color w:val="auto"/>
        </w:rPr>
        <w:t>” has the meaning set forth in Section 9.6.</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United States</w:t>
      </w:r>
      <w:r>
        <w:rPr>
          <w:rFonts w:ascii="Arial" w:cs="Arial" w:eastAsia="Arial" w:hAnsi="Arial"/>
          <w:sz w:val="19"/>
          <w:szCs w:val="19"/>
          <w:color w:val="auto"/>
        </w:rPr>
        <w:t>” means the United States of America (including all possessions and territories thereof).</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 xml:space="preserve">1.159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a claim in an issued and unexpired patent within the Molecular Partners Patents or</w:t>
      </w:r>
      <w:r>
        <w:rPr>
          <w:rFonts w:ascii="Arial" w:cs="Arial" w:eastAsia="Arial" w:hAnsi="Arial"/>
          <w:sz w:val="21"/>
          <w:szCs w:val="21"/>
          <w:b w:val="1"/>
          <w:bCs w:val="1"/>
          <w:color w:val="auto"/>
        </w:rPr>
        <w:t xml:space="preserve"> </w:t>
      </w:r>
      <w:r>
        <w:rPr>
          <w:rFonts w:ascii="Arial" w:cs="Arial" w:eastAsia="Arial" w:hAnsi="Arial"/>
          <w:sz w:val="21"/>
          <w:szCs w:val="21"/>
          <w:color w:val="auto"/>
        </w:rPr>
        <w:t>Royalty-Bearing Joint Patents that has not been disclaimed, revoked, held permanently revoked, unenforceable, unpatentable or invalid by a decision of a court or other governmental agency of competent jurisdiction, and which has not been admitted to be invalid or unenforceable through abandonment, reissue, disclaimer or otherwise,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1" w:right="339" w:bottom="1440" w:gutter="0" w:footer="0" w:header="0"/>
        </w:sectPr>
      </w:pPr>
    </w:p>
    <w:bookmarkStart w:id="601" w:name="page602"/>
    <w:bookmarkEnd w:id="601"/>
    <w:p>
      <w:pPr>
        <w:jc w:val="both"/>
        <w:spacing w:after="0" w:line="259" w:lineRule="auto"/>
        <w:rPr>
          <w:sz w:val="20"/>
          <w:szCs w:val="20"/>
          <w:color w:val="auto"/>
        </w:rPr>
      </w:pPr>
      <w:r>
        <w:rPr>
          <w:rFonts w:ascii="Arial" w:cs="Arial" w:eastAsia="Arial" w:hAnsi="Arial"/>
          <w:sz w:val="21"/>
          <w:szCs w:val="21"/>
          <w:color w:val="auto"/>
        </w:rPr>
        <w:t xml:space="preserve">that if any such claim that has been declared invalid or unenforceable is subsequently determined to be valid and enforceable by a court or other Governmental Authority of competent jurisdiction from which no appeal can be taken (or no appeal was taken within the allowable time period), then such claim is a Valid Claim, except as otherwise provided in this Section 1.159 or (b) a pending patent application within the Molecular Partners Patents or Royalty-Bearing Joint Patents that continues to be prosecuted in good faith, and has not been cancelled, withdrawn, abandoned, or finally rejected by an administrative agency action from which no appeal can be taken (or no appeal was taken within the allowable time period),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a claim of a patent application has been pending for more than [***] following the earliest priority filing date of such application, such claim will not constitute a Valid Claim unless and until a Patent issues with such claim (from and after which time the same would be deemed a Valid Claim).</w:t>
      </w:r>
    </w:p>
    <w:p>
      <w:pPr>
        <w:spacing w:after="0" w:line="17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VAT</w:t>
      </w:r>
      <w:r>
        <w:rPr>
          <w:rFonts w:ascii="Arial" w:cs="Arial" w:eastAsia="Arial" w:hAnsi="Arial"/>
          <w:sz w:val="19"/>
          <w:szCs w:val="19"/>
          <w:color w:val="auto"/>
        </w:rPr>
        <w:t>” has the meaning set forth in Section 9.11(b).</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b w:val="1"/>
          <w:bCs w:val="1"/>
          <w:color w:val="auto"/>
        </w:rPr>
        <w:t>1.161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Voting Stock</w:t>
      </w:r>
      <w:r>
        <w:rPr>
          <w:rFonts w:ascii="Arial" w:cs="Arial" w:eastAsia="Arial" w:hAnsi="Arial"/>
          <w:sz w:val="19"/>
          <w:szCs w:val="19"/>
          <w:color w:val="auto"/>
        </w:rPr>
        <w:t>” has the meaning set forth in Section 1.32(a).</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GOVERNANCE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2.1 Collaboration Overview</w:t>
      </w:r>
      <w:r>
        <w:rPr>
          <w:rFonts w:ascii="Arial" w:cs="Arial" w:eastAsia="Arial" w:hAnsi="Arial"/>
          <w:sz w:val="21"/>
          <w:szCs w:val="21"/>
          <w:color w:val="auto"/>
        </w:rPr>
        <w:t>. The Parties desire and intend to collaborate with respect to the Development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Bispecific and Combination Therapies, and the Parties will share the costs associated with certain of such Development pursuant to Section 4.3. Amgen will be responsible for Commercializing the Licensed Bispecific and Combination Therapies in the Field in the Territory at Amgen’s sole cost and expense. The Parties’ intention is that the roles of Development Lead, Regulatory Lead, and Manufacturing Lead will each be transitioned from Molecular Partners to Amgen concurrently, so that Amgen can Initiate the Phase 1b Clinical Trials. Molecular Partners has certain rights to independently develop the Licensed Bispecific to be administered as a combination therapy with other MP Products and to promote the Licensed Bispecific as part of the MP Combination Therapy, in each case solely as set forth in Article 8.</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220" w:lineRule="exact"/>
        <w:rPr>
          <w:sz w:val="20"/>
          <w:szCs w:val="20"/>
          <w:color w:val="auto"/>
        </w:rPr>
      </w:pPr>
    </w:p>
    <w:p>
      <w:pPr>
        <w:ind w:left="180" w:firstLine="1286"/>
        <w:spacing w:after="0" w:line="349" w:lineRule="auto"/>
        <w:tabs>
          <w:tab w:leader="none" w:pos="1972" w:val="left"/>
        </w:tabs>
        <w:numPr>
          <w:ilvl w:val="0"/>
          <w:numId w:val="545"/>
        </w:numPr>
        <w:rPr>
          <w:rFonts w:ascii="Arial" w:cs="Arial" w:eastAsia="Arial" w:hAnsi="Arial"/>
          <w:sz w:val="19"/>
          <w:szCs w:val="19"/>
          <w:color w:val="auto"/>
        </w:rPr>
      </w:pPr>
      <w:r>
        <w:rPr>
          <w:rFonts w:ascii="Arial" w:cs="Arial" w:eastAsia="Arial" w:hAnsi="Arial"/>
          <w:sz w:val="19"/>
          <w:szCs w:val="19"/>
          <w:b w:val="1"/>
          <w:bCs w:val="1"/>
          <w:color w:val="auto"/>
        </w:rPr>
        <w:t>Purpose; Formation</w:t>
      </w:r>
      <w:r>
        <w:rPr>
          <w:rFonts w:ascii="Arial" w:cs="Arial" w:eastAsia="Arial" w:hAnsi="Arial"/>
          <w:sz w:val="19"/>
          <w:szCs w:val="19"/>
          <w:color w:val="auto"/>
        </w:rPr>
        <w:t>. Within [***] after the Effective Date, the Parties shall establish a cross-functional,</w:t>
      </w:r>
      <w:r>
        <w:rPr>
          <w:rFonts w:ascii="Arial" w:cs="Arial" w:eastAsia="Arial" w:hAnsi="Arial"/>
          <w:sz w:val="19"/>
          <w:szCs w:val="19"/>
          <w:b w:val="1"/>
          <w:bCs w:val="1"/>
          <w:color w:val="auto"/>
        </w:rPr>
        <w:t xml:space="preserve"> </w:t>
      </w:r>
      <w:r>
        <w:rPr>
          <w:rFonts w:ascii="Arial" w:cs="Arial" w:eastAsia="Arial" w:hAnsi="Arial"/>
          <w:sz w:val="19"/>
          <w:szCs w:val="19"/>
          <w:color w:val="auto"/>
        </w:rPr>
        <w:t>joint steering committee (the “</w:t>
      </w:r>
      <w:r>
        <w:rPr>
          <w:rFonts w:ascii="Arial" w:cs="Arial" w:eastAsia="Arial" w:hAnsi="Arial"/>
          <w:sz w:val="19"/>
          <w:szCs w:val="19"/>
          <w:b w:val="1"/>
          <w:bCs w:val="1"/>
          <w:color w:val="auto"/>
        </w:rPr>
        <w:t>JSC</w:t>
      </w:r>
      <w:r>
        <w:rPr>
          <w:rFonts w:ascii="Arial" w:cs="Arial" w:eastAsia="Arial" w:hAnsi="Arial"/>
          <w:sz w:val="19"/>
          <w:szCs w:val="19"/>
          <w:color w:val="auto"/>
        </w:rPr>
        <w:t>”) that will oversee, coordinate, and manage the Collaboration between the Parties.</w:t>
      </w:r>
    </w:p>
    <w:p>
      <w:pPr>
        <w:spacing w:after="0" w:line="93" w:lineRule="exact"/>
        <w:rPr>
          <w:rFonts w:ascii="Arial" w:cs="Arial" w:eastAsia="Arial" w:hAnsi="Arial"/>
          <w:sz w:val="19"/>
          <w:szCs w:val="19"/>
          <w:color w:val="auto"/>
        </w:rPr>
      </w:pPr>
    </w:p>
    <w:p>
      <w:pPr>
        <w:jc w:val="both"/>
        <w:ind w:left="180" w:firstLine="1286"/>
        <w:spacing w:after="0" w:line="295" w:lineRule="auto"/>
        <w:tabs>
          <w:tab w:leader="none" w:pos="1984" w:val="left"/>
        </w:tabs>
        <w:numPr>
          <w:ilvl w:val="0"/>
          <w:numId w:val="545"/>
        </w:numPr>
        <w:rPr>
          <w:rFonts w:ascii="Arial" w:cs="Arial" w:eastAsia="Arial" w:hAnsi="Arial"/>
          <w:sz w:val="19"/>
          <w:szCs w:val="19"/>
          <w:color w:val="auto"/>
        </w:rPr>
      </w:pPr>
      <w:r>
        <w:rPr>
          <w:rFonts w:ascii="Arial" w:cs="Arial" w:eastAsia="Arial" w:hAnsi="Arial"/>
          <w:sz w:val="19"/>
          <w:szCs w:val="19"/>
          <w:b w:val="1"/>
          <w:bCs w:val="1"/>
          <w:color w:val="auto"/>
        </w:rPr>
        <w:t>Composition</w:t>
      </w:r>
      <w:r>
        <w:rPr>
          <w:rFonts w:ascii="Arial" w:cs="Arial" w:eastAsia="Arial" w:hAnsi="Arial"/>
          <w:sz w:val="19"/>
          <w:szCs w:val="19"/>
          <w:color w:val="auto"/>
        </w:rPr>
        <w:t>. The JSC will be comprised of [***] of named representatives of each Party, each of whom</w:t>
      </w:r>
      <w:r>
        <w:rPr>
          <w:rFonts w:ascii="Arial" w:cs="Arial" w:eastAsia="Arial" w:hAnsi="Arial"/>
          <w:sz w:val="19"/>
          <w:szCs w:val="19"/>
          <w:b w:val="1"/>
          <w:bCs w:val="1"/>
          <w:color w:val="auto"/>
        </w:rPr>
        <w:t xml:space="preserve"> </w:t>
      </w:r>
      <w:r>
        <w:rPr>
          <w:rFonts w:ascii="Arial" w:cs="Arial" w:eastAsia="Arial" w:hAnsi="Arial"/>
          <w:sz w:val="19"/>
          <w:szCs w:val="19"/>
          <w:color w:val="auto"/>
        </w:rPr>
        <w:t>will have sufficient knowledge and expertise in the research, development, manufacture, and commercialization of products similar to the Products and seniority within the applicable Party to make decisions arising within the scope of the JSC’s responsibilities. The JSC will be led by [***] appointed by each Party. The role of the co-chairpersons is to convene and preside at meetings of the JSC, to prepare and circulate agendas, and to ensure the preparation of minutes, but the co-chairpersons have no additional powers or rights beyond those held by the other JSC representatives. Within [***]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602" w:name="page603"/>
    <w:bookmarkEnd w:id="602"/>
    <w:p>
      <w:pPr>
        <w:jc w:val="both"/>
        <w:ind w:left="180"/>
        <w:spacing w:after="0" w:line="250" w:lineRule="auto"/>
        <w:rPr>
          <w:sz w:val="20"/>
          <w:szCs w:val="20"/>
          <w:color w:val="auto"/>
        </w:rPr>
      </w:pPr>
      <w:r>
        <w:rPr>
          <w:rFonts w:ascii="Arial" w:cs="Arial" w:eastAsia="Arial" w:hAnsi="Arial"/>
          <w:sz w:val="22"/>
          <w:szCs w:val="22"/>
          <w:color w:val="auto"/>
        </w:rPr>
        <w:t>Effective Date, each Party shall notify the other Party of its initial representatives on the JSC. Each Party may change its representatives on written notice to the other Party or send a substitute representative to any JSC meeting. Each Party’s representatives on the JSC, and any replacement for any such representative, shall be bound by the obligations of confidentiality set forth in Article 13.</w:t>
      </w:r>
    </w:p>
    <w:p>
      <w:pPr>
        <w:spacing w:after="0" w:line="182" w:lineRule="exact"/>
        <w:rPr>
          <w:sz w:val="20"/>
          <w:szCs w:val="20"/>
          <w:color w:val="auto"/>
        </w:rPr>
      </w:pPr>
    </w:p>
    <w:p>
      <w:pPr>
        <w:ind w:left="180" w:firstLine="1286"/>
        <w:spacing w:after="0" w:line="269" w:lineRule="auto"/>
        <w:tabs>
          <w:tab w:leader="none" w:pos="1986" w:val="left"/>
        </w:tabs>
        <w:numPr>
          <w:ilvl w:val="0"/>
          <w:numId w:val="546"/>
        </w:numPr>
        <w:rPr>
          <w:rFonts w:ascii="Arial" w:cs="Arial" w:eastAsia="Arial" w:hAnsi="Arial"/>
          <w:sz w:val="22"/>
          <w:szCs w:val="22"/>
          <w:color w:val="auto"/>
        </w:rPr>
      </w:pPr>
      <w:r>
        <w:rPr>
          <w:rFonts w:ascii="Arial" w:cs="Arial" w:eastAsia="Arial" w:hAnsi="Arial"/>
          <w:sz w:val="22"/>
          <w:szCs w:val="22"/>
          <w:b w:val="1"/>
          <w:bCs w:val="1"/>
          <w:color w:val="auto"/>
        </w:rPr>
        <w:t>Responsibilities</w:t>
      </w:r>
      <w:r>
        <w:rPr>
          <w:rFonts w:ascii="Arial" w:cs="Arial" w:eastAsia="Arial" w:hAnsi="Arial"/>
          <w:sz w:val="22"/>
          <w:szCs w:val="22"/>
          <w:color w:val="auto"/>
        </w:rPr>
        <w:t>. In addition to its overall responsibility for monitoring and providing a forum to discuss</w:t>
      </w:r>
      <w:r>
        <w:rPr>
          <w:rFonts w:ascii="Arial" w:cs="Arial" w:eastAsia="Arial" w:hAnsi="Arial"/>
          <w:sz w:val="22"/>
          <w:szCs w:val="22"/>
          <w:b w:val="1"/>
          <w:bCs w:val="1"/>
          <w:color w:val="auto"/>
        </w:rPr>
        <w:t xml:space="preserve"> </w:t>
      </w:r>
      <w:r>
        <w:rPr>
          <w:rFonts w:ascii="Arial" w:cs="Arial" w:eastAsia="Arial" w:hAnsi="Arial"/>
          <w:sz w:val="22"/>
          <w:szCs w:val="22"/>
          <w:color w:val="auto"/>
        </w:rPr>
        <w:t>and coordinate the Parties’ activities under this Agreement, the JSC will:</w:t>
      </w:r>
    </w:p>
    <w:p>
      <w:pPr>
        <w:spacing w:after="0" w:line="167" w:lineRule="exact"/>
        <w:rPr>
          <w:rFonts w:ascii="Arial" w:cs="Arial" w:eastAsia="Arial" w:hAnsi="Arial"/>
          <w:sz w:val="22"/>
          <w:szCs w:val="22"/>
          <w:color w:val="auto"/>
        </w:rPr>
      </w:pPr>
    </w:p>
    <w:p>
      <w:pPr>
        <w:ind w:left="2380" w:hanging="428"/>
        <w:spacing w:after="0"/>
        <w:tabs>
          <w:tab w:leader="none" w:pos="2380" w:val="left"/>
        </w:tabs>
        <w:numPr>
          <w:ilvl w:val="1"/>
          <w:numId w:val="546"/>
        </w:numPr>
        <w:rPr>
          <w:rFonts w:ascii="Arial" w:cs="Arial" w:eastAsia="Arial" w:hAnsi="Arial"/>
          <w:sz w:val="22"/>
          <w:szCs w:val="22"/>
          <w:color w:val="auto"/>
        </w:rPr>
      </w:pPr>
      <w:r>
        <w:rPr>
          <w:rFonts w:ascii="Arial" w:cs="Arial" w:eastAsia="Arial" w:hAnsi="Arial"/>
          <w:sz w:val="22"/>
          <w:szCs w:val="22"/>
          <w:color w:val="auto"/>
        </w:rPr>
        <w:t>coordinate the Parties’ activities under this Agreement;</w:t>
      </w:r>
    </w:p>
    <w:p>
      <w:pPr>
        <w:spacing w:after="0" w:line="219" w:lineRule="exact"/>
        <w:rPr>
          <w:rFonts w:ascii="Arial" w:cs="Arial" w:eastAsia="Arial" w:hAnsi="Arial"/>
          <w:sz w:val="22"/>
          <w:szCs w:val="22"/>
          <w:color w:val="auto"/>
        </w:rPr>
      </w:pPr>
    </w:p>
    <w:p>
      <w:pPr>
        <w:ind w:firstLine="1952"/>
        <w:spacing w:after="0" w:line="263" w:lineRule="auto"/>
        <w:tabs>
          <w:tab w:leader="none" w:pos="2424" w:val="left"/>
        </w:tabs>
        <w:numPr>
          <w:ilvl w:val="1"/>
          <w:numId w:val="546"/>
        </w:numPr>
        <w:rPr>
          <w:rFonts w:ascii="Arial" w:cs="Arial" w:eastAsia="Arial" w:hAnsi="Arial"/>
          <w:sz w:val="22"/>
          <w:szCs w:val="22"/>
          <w:color w:val="auto"/>
        </w:rPr>
      </w:pPr>
      <w:r>
        <w:rPr>
          <w:rFonts w:ascii="Arial" w:cs="Arial" w:eastAsia="Arial" w:hAnsi="Arial"/>
          <w:sz w:val="22"/>
          <w:szCs w:val="22"/>
          <w:color w:val="auto"/>
        </w:rPr>
        <w:t>prepare, review, discuss, and approve the Development Plan and related Development Budget, and, in each case, any amendments thereto;</w:t>
      </w:r>
    </w:p>
    <w:p>
      <w:pPr>
        <w:spacing w:after="0" w:line="174" w:lineRule="exact"/>
        <w:rPr>
          <w:rFonts w:ascii="Arial" w:cs="Arial" w:eastAsia="Arial" w:hAnsi="Arial"/>
          <w:sz w:val="22"/>
          <w:szCs w:val="22"/>
          <w:color w:val="auto"/>
        </w:rPr>
      </w:pPr>
    </w:p>
    <w:p>
      <w:pPr>
        <w:ind w:firstLine="1952"/>
        <w:spacing w:after="0" w:line="263" w:lineRule="auto"/>
        <w:tabs>
          <w:tab w:leader="none" w:pos="2508" w:val="left"/>
        </w:tabs>
        <w:numPr>
          <w:ilvl w:val="1"/>
          <w:numId w:val="546"/>
        </w:numPr>
        <w:rPr>
          <w:rFonts w:ascii="Arial" w:cs="Arial" w:eastAsia="Arial" w:hAnsi="Arial"/>
          <w:sz w:val="22"/>
          <w:szCs w:val="22"/>
          <w:color w:val="auto"/>
        </w:rPr>
      </w:pPr>
      <w:r>
        <w:rPr>
          <w:rFonts w:ascii="Arial" w:cs="Arial" w:eastAsia="Arial" w:hAnsi="Arial"/>
          <w:sz w:val="22"/>
          <w:szCs w:val="22"/>
          <w:color w:val="auto"/>
        </w:rPr>
        <w:t>oversee the implementation of the Development Plan (and related Development Budget) and review the results of the activities being carried out thereunder;</w:t>
      </w:r>
    </w:p>
    <w:p>
      <w:pPr>
        <w:spacing w:after="0" w:line="174" w:lineRule="exact"/>
        <w:rPr>
          <w:rFonts w:ascii="Arial" w:cs="Arial" w:eastAsia="Arial" w:hAnsi="Arial"/>
          <w:sz w:val="22"/>
          <w:szCs w:val="22"/>
          <w:color w:val="auto"/>
        </w:rPr>
      </w:pPr>
    </w:p>
    <w:p>
      <w:pPr>
        <w:ind w:firstLine="1952"/>
        <w:spacing w:after="0" w:line="263" w:lineRule="auto"/>
        <w:tabs>
          <w:tab w:leader="none" w:pos="2602" w:val="left"/>
        </w:tabs>
        <w:numPr>
          <w:ilvl w:val="1"/>
          <w:numId w:val="546"/>
        </w:numPr>
        <w:rPr>
          <w:rFonts w:ascii="Arial" w:cs="Arial" w:eastAsia="Arial" w:hAnsi="Arial"/>
          <w:sz w:val="22"/>
          <w:szCs w:val="22"/>
          <w:color w:val="auto"/>
        </w:rPr>
      </w:pPr>
      <w:r>
        <w:rPr>
          <w:rFonts w:ascii="Arial" w:cs="Arial" w:eastAsia="Arial" w:hAnsi="Arial"/>
          <w:sz w:val="22"/>
          <w:szCs w:val="22"/>
          <w:color w:val="auto"/>
        </w:rPr>
        <w:t>discuss overall Development and regulatory strategy for the Products, and facilitate the flow of Information between the Parties with respect to the Development of the Combination Therapies;</w:t>
      </w:r>
    </w:p>
    <w:p>
      <w:pPr>
        <w:spacing w:after="0" w:line="174" w:lineRule="exact"/>
        <w:rPr>
          <w:rFonts w:ascii="Arial" w:cs="Arial" w:eastAsia="Arial" w:hAnsi="Arial"/>
          <w:sz w:val="22"/>
          <w:szCs w:val="22"/>
          <w:color w:val="auto"/>
        </w:rPr>
      </w:pPr>
    </w:p>
    <w:p>
      <w:pPr>
        <w:ind w:firstLine="1952"/>
        <w:spacing w:after="0" w:line="263" w:lineRule="auto"/>
        <w:tabs>
          <w:tab w:leader="none" w:pos="2479" w:val="left"/>
        </w:tabs>
        <w:numPr>
          <w:ilvl w:val="1"/>
          <w:numId w:val="546"/>
        </w:numPr>
        <w:rPr>
          <w:rFonts w:ascii="Arial" w:cs="Arial" w:eastAsia="Arial" w:hAnsi="Arial"/>
          <w:sz w:val="22"/>
          <w:szCs w:val="22"/>
          <w:color w:val="auto"/>
        </w:rPr>
      </w:pPr>
      <w:r>
        <w:rPr>
          <w:rFonts w:ascii="Arial" w:cs="Arial" w:eastAsia="Arial" w:hAnsi="Arial"/>
          <w:sz w:val="22"/>
          <w:szCs w:val="22"/>
          <w:color w:val="auto"/>
        </w:rPr>
        <w:t>review, discuss, and approve the selection of any Licensed Bispecific Backups (in accordance with Section 4.1(c)) for Development;</w:t>
      </w:r>
    </w:p>
    <w:p>
      <w:pPr>
        <w:spacing w:after="0" w:line="174" w:lineRule="exact"/>
        <w:rPr>
          <w:rFonts w:ascii="Arial" w:cs="Arial" w:eastAsia="Arial" w:hAnsi="Arial"/>
          <w:sz w:val="22"/>
          <w:szCs w:val="22"/>
          <w:color w:val="auto"/>
        </w:rPr>
      </w:pPr>
    </w:p>
    <w:p>
      <w:pPr>
        <w:ind w:left="2480" w:hanging="528"/>
        <w:spacing w:after="0"/>
        <w:tabs>
          <w:tab w:leader="none" w:pos="2480" w:val="left"/>
        </w:tabs>
        <w:numPr>
          <w:ilvl w:val="1"/>
          <w:numId w:val="546"/>
        </w:numPr>
        <w:rPr>
          <w:rFonts w:ascii="Arial" w:cs="Arial" w:eastAsia="Arial" w:hAnsi="Arial"/>
          <w:sz w:val="22"/>
          <w:szCs w:val="22"/>
          <w:color w:val="auto"/>
        </w:rPr>
      </w:pPr>
      <w:r>
        <w:rPr>
          <w:rFonts w:ascii="Arial" w:cs="Arial" w:eastAsia="Arial" w:hAnsi="Arial"/>
          <w:sz w:val="22"/>
          <w:szCs w:val="22"/>
          <w:color w:val="auto"/>
        </w:rPr>
        <w:t>define and coordinate regulatory strategy for IND filing;</w:t>
      </w:r>
    </w:p>
    <w:p>
      <w:pPr>
        <w:spacing w:after="0" w:line="219" w:lineRule="exact"/>
        <w:rPr>
          <w:rFonts w:ascii="Arial" w:cs="Arial" w:eastAsia="Arial" w:hAnsi="Arial"/>
          <w:sz w:val="22"/>
          <w:szCs w:val="22"/>
          <w:color w:val="auto"/>
        </w:rPr>
      </w:pPr>
    </w:p>
    <w:p>
      <w:pPr>
        <w:ind w:right="20" w:firstLine="1952"/>
        <w:spacing w:after="0" w:line="263" w:lineRule="auto"/>
        <w:tabs>
          <w:tab w:leader="none" w:pos="2775" w:val="left"/>
        </w:tabs>
        <w:numPr>
          <w:ilvl w:val="1"/>
          <w:numId w:val="546"/>
        </w:numPr>
        <w:rPr>
          <w:rFonts w:ascii="Arial" w:cs="Arial" w:eastAsia="Arial" w:hAnsi="Arial"/>
          <w:sz w:val="22"/>
          <w:szCs w:val="22"/>
          <w:color w:val="auto"/>
        </w:rPr>
      </w:pPr>
      <w:r>
        <w:rPr>
          <w:rFonts w:ascii="Arial" w:cs="Arial" w:eastAsia="Arial" w:hAnsi="Arial"/>
          <w:sz w:val="22"/>
          <w:szCs w:val="22"/>
          <w:color w:val="auto"/>
        </w:rPr>
        <w:t>review, discuss, oversee, and exchange information regarding the manufacture of Licensed Bispecific and update information regarding strategy of the manufacture of the Licensed Bispecific;</w:t>
      </w:r>
    </w:p>
    <w:p>
      <w:pPr>
        <w:spacing w:after="0" w:line="174" w:lineRule="exact"/>
        <w:rPr>
          <w:rFonts w:ascii="Arial" w:cs="Arial" w:eastAsia="Arial" w:hAnsi="Arial"/>
          <w:sz w:val="22"/>
          <w:szCs w:val="22"/>
          <w:color w:val="auto"/>
        </w:rPr>
      </w:pPr>
    </w:p>
    <w:p>
      <w:pPr>
        <w:ind w:left="2800" w:hanging="848"/>
        <w:spacing w:after="0"/>
        <w:tabs>
          <w:tab w:leader="none" w:pos="2800" w:val="left"/>
        </w:tabs>
        <w:numPr>
          <w:ilvl w:val="1"/>
          <w:numId w:val="546"/>
        </w:numPr>
        <w:rPr>
          <w:rFonts w:ascii="Arial" w:cs="Arial" w:eastAsia="Arial" w:hAnsi="Arial"/>
          <w:sz w:val="21"/>
          <w:szCs w:val="21"/>
          <w:color w:val="auto"/>
        </w:rPr>
      </w:pPr>
      <w:r>
        <w:rPr>
          <w:rFonts w:ascii="Arial" w:cs="Arial" w:eastAsia="Arial" w:hAnsi="Arial"/>
          <w:sz w:val="21"/>
          <w:szCs w:val="21"/>
          <w:color w:val="auto"/>
        </w:rPr>
        <w:t>review and discuss Amgen’s updates to the JSC regarding its Commercialization activities,</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including commercial strategy;</w:t>
      </w:r>
    </w:p>
    <w:p>
      <w:pPr>
        <w:spacing w:after="0" w:line="201" w:lineRule="exact"/>
        <w:rPr>
          <w:rFonts w:ascii="Arial" w:cs="Arial" w:eastAsia="Arial" w:hAnsi="Arial"/>
          <w:sz w:val="21"/>
          <w:szCs w:val="21"/>
          <w:color w:val="auto"/>
        </w:rPr>
      </w:pPr>
    </w:p>
    <w:p>
      <w:pPr>
        <w:ind w:right="20" w:firstLine="1952"/>
        <w:spacing w:after="0" w:line="263" w:lineRule="auto"/>
        <w:tabs>
          <w:tab w:leader="none" w:pos="2680" w:val="left"/>
        </w:tabs>
        <w:numPr>
          <w:ilvl w:val="1"/>
          <w:numId w:val="546"/>
        </w:numPr>
        <w:rPr>
          <w:rFonts w:ascii="Arial" w:cs="Arial" w:eastAsia="Arial" w:hAnsi="Arial"/>
          <w:sz w:val="22"/>
          <w:szCs w:val="22"/>
          <w:color w:val="auto"/>
        </w:rPr>
      </w:pPr>
      <w:r>
        <w:rPr>
          <w:rFonts w:ascii="Arial" w:cs="Arial" w:eastAsia="Arial" w:hAnsi="Arial"/>
          <w:sz w:val="22"/>
          <w:szCs w:val="22"/>
          <w:color w:val="auto"/>
        </w:rPr>
        <w:t>discuss and approve (in accordance with Section 8.1(c)) proposed Independent Development Activities and discuss the Data, results, and information resulting therefrom;</w:t>
      </w:r>
    </w:p>
    <w:p>
      <w:pPr>
        <w:spacing w:after="0" w:line="174" w:lineRule="exact"/>
        <w:rPr>
          <w:rFonts w:ascii="Arial" w:cs="Arial" w:eastAsia="Arial" w:hAnsi="Arial"/>
          <w:sz w:val="22"/>
          <w:szCs w:val="22"/>
          <w:color w:val="auto"/>
        </w:rPr>
      </w:pPr>
    </w:p>
    <w:p>
      <w:pPr>
        <w:ind w:left="2420" w:hanging="468"/>
        <w:spacing w:after="0"/>
        <w:tabs>
          <w:tab w:leader="none" w:pos="2420" w:val="left"/>
        </w:tabs>
        <w:numPr>
          <w:ilvl w:val="1"/>
          <w:numId w:val="546"/>
        </w:numPr>
        <w:rPr>
          <w:rFonts w:ascii="Arial" w:cs="Arial" w:eastAsia="Arial" w:hAnsi="Arial"/>
          <w:sz w:val="19"/>
          <w:szCs w:val="19"/>
          <w:color w:val="auto"/>
        </w:rPr>
      </w:pPr>
      <w:r>
        <w:rPr>
          <w:rFonts w:ascii="Arial" w:cs="Arial" w:eastAsia="Arial" w:hAnsi="Arial"/>
          <w:sz w:val="19"/>
          <w:szCs w:val="19"/>
          <w:color w:val="auto"/>
        </w:rPr>
        <w:t>establish subcommittees or teams, as appropriate, as described more fully in Section 2.2(e) below;</w:t>
      </w:r>
    </w:p>
    <w:p>
      <w:pPr>
        <w:spacing w:after="0" w:line="254" w:lineRule="exact"/>
        <w:rPr>
          <w:rFonts w:ascii="Arial" w:cs="Arial" w:eastAsia="Arial" w:hAnsi="Arial"/>
          <w:sz w:val="19"/>
          <w:szCs w:val="19"/>
          <w:color w:val="auto"/>
        </w:rPr>
      </w:pPr>
    </w:p>
    <w:p>
      <w:pPr>
        <w:ind w:left="2480" w:hanging="528"/>
        <w:spacing w:after="0"/>
        <w:tabs>
          <w:tab w:leader="none" w:pos="2480" w:val="left"/>
        </w:tabs>
        <w:numPr>
          <w:ilvl w:val="1"/>
          <w:numId w:val="546"/>
        </w:numPr>
        <w:rPr>
          <w:rFonts w:ascii="Arial" w:cs="Arial" w:eastAsia="Arial" w:hAnsi="Arial"/>
          <w:sz w:val="22"/>
          <w:szCs w:val="22"/>
          <w:color w:val="auto"/>
        </w:rPr>
      </w:pPr>
      <w:r>
        <w:rPr>
          <w:rFonts w:ascii="Arial" w:cs="Arial" w:eastAsia="Arial" w:hAnsi="Arial"/>
          <w:sz w:val="22"/>
          <w:szCs w:val="22"/>
          <w:color w:val="auto"/>
        </w:rPr>
        <w:t>direct and oversee any operating subcommittee or team;</w:t>
      </w:r>
    </w:p>
    <w:p>
      <w:pPr>
        <w:spacing w:after="0" w:line="219" w:lineRule="exact"/>
        <w:rPr>
          <w:rFonts w:ascii="Arial" w:cs="Arial" w:eastAsia="Arial" w:hAnsi="Arial"/>
          <w:sz w:val="22"/>
          <w:szCs w:val="22"/>
          <w:color w:val="auto"/>
        </w:rPr>
      </w:pPr>
    </w:p>
    <w:p>
      <w:pPr>
        <w:ind w:left="2540" w:hanging="588"/>
        <w:spacing w:after="0"/>
        <w:tabs>
          <w:tab w:leader="none" w:pos="2540" w:val="left"/>
        </w:tabs>
        <w:numPr>
          <w:ilvl w:val="1"/>
          <w:numId w:val="546"/>
        </w:numPr>
        <w:rPr>
          <w:rFonts w:ascii="Arial" w:cs="Arial" w:eastAsia="Arial" w:hAnsi="Arial"/>
          <w:sz w:val="22"/>
          <w:szCs w:val="22"/>
          <w:color w:val="auto"/>
        </w:rPr>
      </w:pPr>
      <w:r>
        <w:rPr>
          <w:rFonts w:ascii="Arial" w:cs="Arial" w:eastAsia="Arial" w:hAnsi="Arial"/>
          <w:sz w:val="22"/>
          <w:szCs w:val="22"/>
          <w:color w:val="auto"/>
        </w:rPr>
        <w:t>address and resolve any disputes of any subcommittee;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603" w:name="page604"/>
    <w:bookmarkEnd w:id="603"/>
    <w:p>
      <w:pPr>
        <w:ind w:firstLine="1952"/>
        <w:spacing w:after="0" w:line="263" w:lineRule="auto"/>
        <w:tabs>
          <w:tab w:leader="none" w:pos="2631" w:val="left"/>
        </w:tabs>
        <w:numPr>
          <w:ilvl w:val="1"/>
          <w:numId w:val="547"/>
        </w:numPr>
        <w:rPr>
          <w:rFonts w:ascii="Arial" w:cs="Arial" w:eastAsia="Arial" w:hAnsi="Arial"/>
          <w:sz w:val="22"/>
          <w:szCs w:val="22"/>
          <w:color w:val="auto"/>
        </w:rPr>
      </w:pPr>
      <w:r>
        <w:rPr>
          <w:rFonts w:ascii="Arial" w:cs="Arial" w:eastAsia="Arial" w:hAnsi="Arial"/>
          <w:sz w:val="22"/>
          <w:szCs w:val="22"/>
          <w:color w:val="auto"/>
        </w:rPr>
        <w:t>perform such other functions as appropriate to further the purposes of this Agreement as allocated to it in writing by the Parties or as otherwise specified in this Agreement.</w:t>
      </w:r>
    </w:p>
    <w:p>
      <w:pPr>
        <w:spacing w:after="0" w:line="168" w:lineRule="exact"/>
        <w:rPr>
          <w:rFonts w:ascii="Arial" w:cs="Arial" w:eastAsia="Arial" w:hAnsi="Arial"/>
          <w:sz w:val="22"/>
          <w:szCs w:val="22"/>
          <w:color w:val="auto"/>
        </w:rPr>
      </w:pPr>
    </w:p>
    <w:p>
      <w:pPr>
        <w:jc w:val="both"/>
        <w:ind w:left="180" w:firstLine="1286"/>
        <w:spacing w:after="0" w:line="285" w:lineRule="auto"/>
        <w:tabs>
          <w:tab w:leader="none" w:pos="1944" w:val="left"/>
        </w:tabs>
        <w:numPr>
          <w:ilvl w:val="0"/>
          <w:numId w:val="548"/>
        </w:numPr>
        <w:rPr>
          <w:rFonts w:ascii="Arial" w:cs="Arial" w:eastAsia="Arial" w:hAnsi="Arial"/>
          <w:sz w:val="19"/>
          <w:szCs w:val="19"/>
          <w:color w:val="auto"/>
        </w:rPr>
      </w:pPr>
      <w:r>
        <w:rPr>
          <w:rFonts w:ascii="Arial" w:cs="Arial" w:eastAsia="Arial" w:hAnsi="Arial"/>
          <w:sz w:val="19"/>
          <w:szCs w:val="19"/>
          <w:b w:val="1"/>
          <w:bCs w:val="1"/>
          <w:color w:val="auto"/>
        </w:rPr>
        <w:t>Meetings</w:t>
      </w:r>
      <w:r>
        <w:rPr>
          <w:rFonts w:ascii="Arial" w:cs="Arial" w:eastAsia="Arial" w:hAnsi="Arial"/>
          <w:sz w:val="19"/>
          <w:szCs w:val="19"/>
          <w:color w:val="auto"/>
        </w:rPr>
        <w:t>. The JSC will meet at least [***] per Calendar Quarter, or at a frequency otherwise agreed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The JSC may conduct such meetings by telephone, videoconference, or in person (at a mutually agreed location) as determined by the co-chairpersons; </w:t>
      </w:r>
      <w:r>
        <w:rPr>
          <w:rFonts w:ascii="Arial" w:cs="Arial" w:eastAsia="Arial" w:hAnsi="Arial"/>
          <w:sz w:val="19"/>
          <w:szCs w:val="19"/>
          <w:i w:val="1"/>
          <w:iCs w:val="1"/>
          <w:color w:val="auto"/>
        </w:rPr>
        <w:t>provided</w:t>
      </w:r>
      <w:r>
        <w:rPr>
          <w:rFonts w:ascii="Arial" w:cs="Arial" w:eastAsia="Arial" w:hAnsi="Arial"/>
          <w:sz w:val="19"/>
          <w:szCs w:val="19"/>
          <w:color w:val="auto"/>
        </w:rPr>
        <w:t>, that the Parties will endeavor meet in person for at least [***] JSC meetings per year until the First Commercial Sale of the Licensed Bispecific, alternating between Amgen’s and Molecular Partners’ respective offices (or at such other location as mutually agreed). Each co-chairperson will ensure that its JSC members receive adequate notice of such meetings. Each Party may call special meetings of the JSC with at least [***] prior written notice, or a shorter time-period in exigent circumstances, to resolve particular matters requested by such Party that are within the purview of the JSC. Meetings of the JSC are effective only if at least [***] representative of each Party participates in such meeting. As appropriate, and provided that not less than [***] prior written notice has been given to the other Party, other employees of the Parties may attend JSC meetings as observers. A Party shall not bring a Third Party to a meeting without the other Party’s prior consent, such consent not to be unreasonably withheld, conditioned, or delayed, and any such Third Party that attends a JSC meeting shall be bound by confidentiality and non-use obligations consistent with the terms of this Agreement. Each Party shall use reasonable efforts to make all proposals for agenda items and to provide all appropriate information with respect to such proposed items reasonably in advance of the applicable meeting. The Alliance Managers may suggest topics for the agenda for JSC meetings by forwarding such topics and relevant information to the JSC chairpersons. The chairpersons of the JSC shall promptly prepare and circulate for review and approval of the Parties minutes of each meeting. The Parties shall agree on the minutes of each meeting as promptly as practicable following such meeting. Each Party is responsible for its own expenses incurred in connection with participating in and attending all such meetings. Each Party’s representatives and employee observers shall be bound by the obligations of confidentiality set forth in Article 13.</w:t>
      </w:r>
    </w:p>
    <w:p>
      <w:pPr>
        <w:spacing w:after="0" w:line="159" w:lineRule="exact"/>
        <w:rPr>
          <w:rFonts w:ascii="Arial" w:cs="Arial" w:eastAsia="Arial" w:hAnsi="Arial"/>
          <w:sz w:val="19"/>
          <w:szCs w:val="19"/>
          <w:color w:val="auto"/>
        </w:rPr>
      </w:pPr>
    </w:p>
    <w:p>
      <w:pPr>
        <w:jc w:val="both"/>
        <w:ind w:left="180" w:firstLine="1286"/>
        <w:spacing w:after="0" w:line="258" w:lineRule="auto"/>
        <w:tabs>
          <w:tab w:leader="none" w:pos="1932" w:val="left"/>
        </w:tabs>
        <w:numPr>
          <w:ilvl w:val="0"/>
          <w:numId w:val="548"/>
        </w:numPr>
        <w:rPr>
          <w:rFonts w:ascii="Arial" w:cs="Arial" w:eastAsia="Arial" w:hAnsi="Arial"/>
          <w:sz w:val="21"/>
          <w:szCs w:val="21"/>
          <w:color w:val="auto"/>
        </w:rPr>
      </w:pPr>
      <w:r>
        <w:rPr>
          <w:rFonts w:ascii="Arial" w:cs="Arial" w:eastAsia="Arial" w:hAnsi="Arial"/>
          <w:sz w:val="21"/>
          <w:szCs w:val="21"/>
          <w:b w:val="1"/>
          <w:bCs w:val="1"/>
          <w:color w:val="auto"/>
        </w:rPr>
        <w:t>Subcommittees</w:t>
      </w:r>
      <w:r>
        <w:rPr>
          <w:rFonts w:ascii="Arial" w:cs="Arial" w:eastAsia="Arial" w:hAnsi="Arial"/>
          <w:sz w:val="21"/>
          <w:szCs w:val="21"/>
          <w:color w:val="auto"/>
        </w:rPr>
        <w:t>. The JSC may establish and disband such subcommittees as deemed necessary by the JSC;</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the JSC will establish a joint research and development committee or equivalent promptly after the formation of</w:t>
      </w:r>
      <w:r>
        <w:rPr>
          <w:rFonts w:ascii="Arial" w:cs="Arial" w:eastAsia="Arial" w:hAnsi="Arial"/>
          <w:sz w:val="21"/>
          <w:szCs w:val="21"/>
          <w:i w:val="1"/>
          <w:iCs w:val="1"/>
          <w:color w:val="auto"/>
        </w:rPr>
        <w:t xml:space="preserve"> </w:t>
      </w:r>
      <w:r>
        <w:rPr>
          <w:rFonts w:ascii="Arial" w:cs="Arial" w:eastAsia="Arial" w:hAnsi="Arial"/>
          <w:sz w:val="21"/>
          <w:szCs w:val="21"/>
          <w:color w:val="auto"/>
        </w:rPr>
        <w:t>the JSC in order to oversee the Development activities contemplated by this Agreement and the JSC will disband such committee when it is no longer deemed necessary for such Development activities. The JSC may delegate to any such subcommittee the performance of certain JSC responsibilities. Each such subcommittee will consist of [***] of representatives designated by each Party, which number shall be agreed by the Parties. Each Party may change its representatives on written notice to the other Party or send a substitute representative to any subcommittee meeting. Each Party’s representatives shall be bound by the obligations of confidentiality set forth in Article 13. Except as expressly provided in this Agreement, no subcommittee has the authority to bind the Parties hereunder and each subcommittee will report to the JSC. Each Party is responsible for its own expenses incurred in connection with participating in and attending all such meetings. If a dispute arises that cannot be resolved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7" w:right="339" w:bottom="1440" w:gutter="0" w:footer="0" w:header="0"/>
        </w:sectPr>
      </w:pPr>
    </w:p>
    <w:bookmarkStart w:id="604" w:name="page605"/>
    <w:bookmarkEnd w:id="604"/>
    <w:p>
      <w:pPr>
        <w:ind w:left="180"/>
        <w:spacing w:after="0"/>
        <w:rPr>
          <w:sz w:val="20"/>
          <w:szCs w:val="20"/>
          <w:color w:val="auto"/>
        </w:rPr>
      </w:pPr>
      <w:r>
        <w:rPr>
          <w:rFonts w:ascii="Arial" w:cs="Arial" w:eastAsia="Arial" w:hAnsi="Arial"/>
          <w:sz w:val="21"/>
          <w:szCs w:val="21"/>
          <w:color w:val="auto"/>
        </w:rPr>
        <w:t>subcommittee, either Party’s representatives on such subcommittee may refer such dispute to the JSC for resolution.</w:t>
      </w:r>
    </w:p>
    <w:p>
      <w:pPr>
        <w:spacing w:after="0" w:line="225" w:lineRule="exact"/>
        <w:rPr>
          <w:sz w:val="20"/>
          <w:szCs w:val="20"/>
          <w:color w:val="auto"/>
        </w:rPr>
      </w:pPr>
    </w:p>
    <w:p>
      <w:pPr>
        <w:jc w:val="both"/>
        <w:ind w:left="180" w:firstLine="1286"/>
        <w:spacing w:after="0" w:line="285" w:lineRule="auto"/>
        <w:tabs>
          <w:tab w:leader="none" w:pos="1908" w:val="left"/>
        </w:tabs>
        <w:numPr>
          <w:ilvl w:val="1"/>
          <w:numId w:val="549"/>
        </w:numPr>
        <w:rPr>
          <w:rFonts w:ascii="Arial" w:cs="Arial" w:eastAsia="Arial" w:hAnsi="Arial"/>
          <w:sz w:val="19"/>
          <w:szCs w:val="19"/>
          <w:color w:val="auto"/>
        </w:rPr>
      </w:pPr>
      <w:r>
        <w:rPr>
          <w:rFonts w:ascii="Arial" w:cs="Arial" w:eastAsia="Arial" w:hAnsi="Arial"/>
          <w:sz w:val="19"/>
          <w:szCs w:val="19"/>
          <w:b w:val="1"/>
          <w:bCs w:val="1"/>
          <w:color w:val="auto"/>
        </w:rPr>
        <w:t>Decision-Making</w:t>
      </w:r>
      <w:r>
        <w:rPr>
          <w:rFonts w:ascii="Arial" w:cs="Arial" w:eastAsia="Arial" w:hAnsi="Arial"/>
          <w:sz w:val="19"/>
          <w:szCs w:val="19"/>
          <w:color w:val="auto"/>
        </w:rPr>
        <w:t>. Other than as set forth herein, in order to make any decision required of it hereunder,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JSC must have present (in person, by videoconference or telephonically) at least the co-chair of each Party (or his/her designee for such meeting). The JSC will endeavor to act by consensus, with each Party having [***] vote. In addition, if a dispute arises that cannot be resolved by a subcommittee, the co-chair of either Party for such subcommittee may cause such dispute to be referred to the JSC for resolution. If the JSC cannot reach consensus or a dispute arises that cannot be resolved within the JSC (whether the matter originated at the JSC or within a subcommittee), the co-chair of either Party may cause such dispute to be referred to the Executive Officers for resolution. In the event that consensus cannot be reached with respect to a decision within</w:t>
      </w:r>
    </w:p>
    <w:p>
      <w:pPr>
        <w:spacing w:after="0" w:line="3" w:lineRule="exact"/>
        <w:rPr>
          <w:rFonts w:ascii="Arial" w:cs="Arial" w:eastAsia="Arial" w:hAnsi="Arial"/>
          <w:sz w:val="19"/>
          <w:szCs w:val="19"/>
          <w:color w:val="auto"/>
        </w:rPr>
      </w:pPr>
    </w:p>
    <w:p>
      <w:pPr>
        <w:jc w:val="both"/>
        <w:ind w:left="180" w:hanging="10"/>
        <w:spacing w:after="0" w:line="281" w:lineRule="auto"/>
        <w:tabs>
          <w:tab w:leader="none" w:pos="731" w:val="left"/>
        </w:tabs>
        <w:numPr>
          <w:ilvl w:val="0"/>
          <w:numId w:val="549"/>
        </w:numPr>
        <w:rPr>
          <w:rFonts w:ascii="Arial" w:cs="Arial" w:eastAsia="Arial" w:hAnsi="Arial"/>
          <w:sz w:val="19"/>
          <w:szCs w:val="19"/>
          <w:color w:val="auto"/>
        </w:rPr>
      </w:pPr>
      <w:r>
        <w:rPr>
          <w:rFonts w:ascii="Arial" w:cs="Arial" w:eastAsia="Arial" w:hAnsi="Arial"/>
          <w:sz w:val="19"/>
          <w:szCs w:val="19"/>
          <w:color w:val="auto"/>
        </w:rPr>
        <w:t xml:space="preserve">after a meeting of the Executive Officers, then [***] has the right to make the decision with respect to such matter; </w:t>
      </w:r>
      <w:r>
        <w:rPr>
          <w:rFonts w:ascii="Arial" w:cs="Arial" w:eastAsia="Arial" w:hAnsi="Arial"/>
          <w:sz w:val="19"/>
          <w:szCs w:val="19"/>
          <w:i w:val="1"/>
          <w:iCs w:val="1"/>
          <w:color w:val="auto"/>
        </w:rPr>
        <w:t>provided</w:t>
      </w:r>
      <w:r>
        <w:rPr>
          <w:rFonts w:ascii="Arial" w:cs="Arial" w:eastAsia="Arial" w:hAnsi="Arial"/>
          <w:sz w:val="19"/>
          <w:szCs w:val="19"/>
          <w:color w:val="auto"/>
        </w:rPr>
        <w:t>, that [***] may not resolve any matter in a manner that (i) [***], results in a [***], or (ii) [***], would require [***]</w:t>
      </w:r>
      <w:r>
        <w:rPr>
          <w:rFonts w:ascii="Arial" w:cs="Arial" w:eastAsia="Arial" w:hAnsi="Arial"/>
          <w:sz w:val="19"/>
          <w:szCs w:val="19"/>
          <w:i w:val="1"/>
          <w:iCs w:val="1"/>
          <w:color w:val="auto"/>
        </w:rPr>
        <w:t xml:space="preserve"> </w:t>
      </w:r>
      <w:r>
        <w:rPr>
          <w:rFonts w:ascii="Arial" w:cs="Arial" w:eastAsia="Arial" w:hAnsi="Arial"/>
          <w:sz w:val="19"/>
          <w:szCs w:val="19"/>
          <w:color w:val="auto"/>
        </w:rPr>
        <w:t>to perform activities not otherwise agreed [***] in the last mutually agreed Development Plan. Notwithstanding the foregoing,</w:t>
      </w:r>
    </w:p>
    <w:p>
      <w:pPr>
        <w:spacing w:after="0" w:line="2" w:lineRule="exact"/>
        <w:rPr>
          <w:rFonts w:ascii="Arial" w:cs="Arial" w:eastAsia="Arial" w:hAnsi="Arial"/>
          <w:sz w:val="19"/>
          <w:szCs w:val="19"/>
          <w:color w:val="auto"/>
        </w:rPr>
      </w:pPr>
    </w:p>
    <w:p>
      <w:pPr>
        <w:ind w:left="700" w:hanging="530"/>
        <w:spacing w:after="0"/>
        <w:tabs>
          <w:tab w:leader="none" w:pos="700" w:val="left"/>
        </w:tabs>
        <w:numPr>
          <w:ilvl w:val="0"/>
          <w:numId w:val="549"/>
        </w:numPr>
        <w:rPr>
          <w:rFonts w:ascii="Arial" w:cs="Arial" w:eastAsia="Arial" w:hAnsi="Arial"/>
          <w:sz w:val="22"/>
          <w:szCs w:val="22"/>
          <w:color w:val="auto"/>
        </w:rPr>
      </w:pPr>
      <w:r>
        <w:rPr>
          <w:rFonts w:ascii="Arial" w:cs="Arial" w:eastAsia="Arial" w:hAnsi="Arial"/>
          <w:sz w:val="22"/>
          <w:szCs w:val="22"/>
          <w:color w:val="auto"/>
        </w:rPr>
        <w:t>has the right to make the final determination regarding [***].</w:t>
      </w:r>
    </w:p>
    <w:p>
      <w:pPr>
        <w:spacing w:after="0" w:line="195" w:lineRule="exact"/>
        <w:rPr>
          <w:rFonts w:ascii="Arial" w:cs="Arial" w:eastAsia="Arial" w:hAnsi="Arial"/>
          <w:sz w:val="22"/>
          <w:szCs w:val="22"/>
          <w:color w:val="auto"/>
        </w:rPr>
      </w:pPr>
    </w:p>
    <w:p>
      <w:pPr>
        <w:jc w:val="both"/>
        <w:ind w:left="180" w:firstLine="1286"/>
        <w:spacing w:after="0" w:line="249" w:lineRule="auto"/>
        <w:tabs>
          <w:tab w:leader="none" w:pos="2065" w:val="left"/>
        </w:tabs>
        <w:numPr>
          <w:ilvl w:val="1"/>
          <w:numId w:val="550"/>
        </w:numPr>
        <w:rPr>
          <w:rFonts w:ascii="Arial" w:cs="Arial" w:eastAsia="Arial" w:hAnsi="Arial"/>
          <w:sz w:val="22"/>
          <w:szCs w:val="22"/>
          <w:color w:val="auto"/>
        </w:rPr>
      </w:pPr>
      <w:r>
        <w:rPr>
          <w:rFonts w:ascii="Arial" w:cs="Arial" w:eastAsia="Arial" w:hAnsi="Arial"/>
          <w:sz w:val="22"/>
          <w:szCs w:val="22"/>
          <w:b w:val="1"/>
          <w:bCs w:val="1"/>
          <w:color w:val="auto"/>
        </w:rPr>
        <w:t>Authority</w:t>
      </w:r>
      <w:r>
        <w:rPr>
          <w:rFonts w:ascii="Arial" w:cs="Arial" w:eastAsia="Arial" w:hAnsi="Arial"/>
          <w:sz w:val="22"/>
          <w:szCs w:val="22"/>
          <w:color w:val="auto"/>
        </w:rPr>
        <w:t>. The JSC and any other subcommittee has only the powers assigned expressly to it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2 and elsewhere in this Agreement and does not have any power to amend, modify, or waive compliance with this Agreement. Each Party retains the rights, powers, and discretion granted to it under this Agreement and neither Party may delegate or vest such rights, powers, or discretion may in the JSC or subcommittee unless expressly provided for in this Agreement or the Parties expressly so agree in writing.</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2.3 Alliance Managers</w:t>
      </w:r>
      <w:r>
        <w:rPr>
          <w:rFonts w:ascii="Arial" w:cs="Arial" w:eastAsia="Arial" w:hAnsi="Arial"/>
          <w:sz w:val="22"/>
          <w:szCs w:val="22"/>
          <w:color w:val="auto"/>
        </w:rPr>
        <w:t>. Each Party shall appoint an individual to act as a single point of contact between the Parties to</w:t>
      </w:r>
      <w:r>
        <w:rPr>
          <w:rFonts w:ascii="Arial" w:cs="Arial" w:eastAsia="Arial" w:hAnsi="Arial"/>
          <w:sz w:val="22"/>
          <w:szCs w:val="22"/>
          <w:b w:val="1"/>
          <w:bCs w:val="1"/>
          <w:color w:val="auto"/>
        </w:rPr>
        <w:t xml:space="preserve"> </w:t>
      </w:r>
      <w:r>
        <w:rPr>
          <w:rFonts w:ascii="Arial" w:cs="Arial" w:eastAsia="Arial" w:hAnsi="Arial"/>
          <w:sz w:val="22"/>
          <w:szCs w:val="22"/>
          <w:color w:val="auto"/>
        </w:rPr>
        <w:t>facilitate the effective exchange of information between the Parties and discuss the performance of this Agreement (each an “</w:t>
      </w:r>
      <w:r>
        <w:rPr>
          <w:rFonts w:ascii="Arial" w:cs="Arial" w:eastAsia="Arial" w:hAnsi="Arial"/>
          <w:sz w:val="22"/>
          <w:szCs w:val="22"/>
          <w:b w:val="1"/>
          <w:bCs w:val="1"/>
          <w:color w:val="auto"/>
        </w:rPr>
        <w:t>Alliance Manager</w:t>
      </w:r>
      <w:r>
        <w:rPr>
          <w:rFonts w:ascii="Arial" w:cs="Arial" w:eastAsia="Arial" w:hAnsi="Arial"/>
          <w:sz w:val="22"/>
          <w:szCs w:val="22"/>
          <w:color w:val="auto"/>
        </w:rPr>
        <w:t>”). Each Party may change its Alliance Manager from time to time upon written notice to the other Party. Each Alliance Manager will create and maintain effective communication and collaborative work environment within and between the Parties. Each Alliance Manager will also be responsible for:</w:t>
      </w:r>
    </w:p>
    <w:p>
      <w:pPr>
        <w:spacing w:after="0" w:line="192" w:lineRule="exact"/>
        <w:rPr>
          <w:sz w:val="20"/>
          <w:szCs w:val="20"/>
          <w:color w:val="auto"/>
        </w:rPr>
      </w:pPr>
    </w:p>
    <w:p>
      <w:pPr>
        <w:ind w:left="180" w:firstLine="1286"/>
        <w:spacing w:after="0" w:line="263" w:lineRule="auto"/>
        <w:tabs>
          <w:tab w:leader="none" w:pos="2059" w:val="left"/>
        </w:tabs>
        <w:numPr>
          <w:ilvl w:val="0"/>
          <w:numId w:val="551"/>
        </w:numPr>
        <w:rPr>
          <w:rFonts w:ascii="Arial" w:cs="Arial" w:eastAsia="Arial" w:hAnsi="Arial"/>
          <w:sz w:val="22"/>
          <w:szCs w:val="22"/>
          <w:color w:val="auto"/>
        </w:rPr>
      </w:pPr>
      <w:r>
        <w:rPr>
          <w:rFonts w:ascii="Arial" w:cs="Arial" w:eastAsia="Arial" w:hAnsi="Arial"/>
          <w:sz w:val="22"/>
          <w:szCs w:val="22"/>
          <w:color w:val="auto"/>
        </w:rPr>
        <w:t>providing a primary single point of communication responsible for seeking consensus both within the respective Party’s organization and together regarding key strategy and plan issues;</w:t>
      </w:r>
    </w:p>
    <w:p>
      <w:pPr>
        <w:spacing w:after="0" w:line="174" w:lineRule="exact"/>
        <w:rPr>
          <w:rFonts w:ascii="Arial" w:cs="Arial" w:eastAsia="Arial" w:hAnsi="Arial"/>
          <w:sz w:val="22"/>
          <w:szCs w:val="22"/>
          <w:color w:val="auto"/>
        </w:rPr>
      </w:pPr>
    </w:p>
    <w:p>
      <w:pPr>
        <w:ind w:left="2020" w:hanging="554"/>
        <w:spacing w:after="0"/>
        <w:tabs>
          <w:tab w:leader="none" w:pos="2020" w:val="left"/>
        </w:tabs>
        <w:numPr>
          <w:ilvl w:val="0"/>
          <w:numId w:val="551"/>
        </w:numPr>
        <w:rPr>
          <w:rFonts w:ascii="Arial" w:cs="Arial" w:eastAsia="Arial" w:hAnsi="Arial"/>
          <w:sz w:val="19"/>
          <w:szCs w:val="19"/>
          <w:color w:val="auto"/>
        </w:rPr>
      </w:pPr>
      <w:r>
        <w:rPr>
          <w:rFonts w:ascii="Arial" w:cs="Arial" w:eastAsia="Arial" w:hAnsi="Arial"/>
          <w:sz w:val="19"/>
          <w:szCs w:val="19"/>
          <w:color w:val="auto"/>
        </w:rPr>
        <w:t>ensuring awareness of the governance procedures and rules set forth herein and monitoring compliance</w:t>
      </w:r>
    </w:p>
    <w:p>
      <w:pPr>
        <w:spacing w:after="0" w:line="55"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therewith; and</w:t>
      </w:r>
    </w:p>
    <w:p>
      <w:pPr>
        <w:spacing w:after="0" w:line="201" w:lineRule="exact"/>
        <w:rPr>
          <w:rFonts w:ascii="Arial" w:cs="Arial" w:eastAsia="Arial" w:hAnsi="Arial"/>
          <w:sz w:val="19"/>
          <w:szCs w:val="19"/>
          <w:color w:val="auto"/>
        </w:rPr>
      </w:pPr>
    </w:p>
    <w:p>
      <w:pPr>
        <w:ind w:left="1920" w:hanging="454"/>
        <w:spacing w:after="0"/>
        <w:tabs>
          <w:tab w:leader="none" w:pos="1920" w:val="left"/>
        </w:tabs>
        <w:numPr>
          <w:ilvl w:val="0"/>
          <w:numId w:val="551"/>
        </w:numPr>
        <w:rPr>
          <w:rFonts w:ascii="Arial" w:cs="Arial" w:eastAsia="Arial" w:hAnsi="Arial"/>
          <w:sz w:val="22"/>
          <w:szCs w:val="22"/>
          <w:color w:val="auto"/>
        </w:rPr>
      </w:pPr>
      <w:r>
        <w:rPr>
          <w:rFonts w:ascii="Arial" w:cs="Arial" w:eastAsia="Arial" w:hAnsi="Arial"/>
          <w:sz w:val="22"/>
          <w:szCs w:val="22"/>
          <w:color w:val="auto"/>
        </w:rPr>
        <w:t>identifying and raising disputes to the JSC for discussion in a timely manner.</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Alliance Managers shall have the right to attend all JSC and subcommittee meetings. Any Alliance Manager may designate a substitute to temporarily perform the functions of the Alliance Manager. Each Alliance Manager may bring any matter to the attention of the JSC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7" w:right="339" w:bottom="1440" w:gutter="0" w:footer="0" w:header="0"/>
        </w:sectPr>
      </w:pPr>
    </w:p>
    <w:bookmarkStart w:id="605" w:name="page606"/>
    <w:bookmarkEnd w:id="605"/>
    <w:p>
      <w:pPr>
        <w:jc w:val="both"/>
        <w:spacing w:after="0" w:line="253" w:lineRule="auto"/>
        <w:rPr>
          <w:sz w:val="20"/>
          <w:szCs w:val="20"/>
          <w:color w:val="auto"/>
        </w:rPr>
      </w:pPr>
      <w:r>
        <w:rPr>
          <w:rFonts w:ascii="Arial" w:cs="Arial" w:eastAsia="Arial" w:hAnsi="Arial"/>
          <w:sz w:val="22"/>
          <w:szCs w:val="22"/>
          <w:color w:val="auto"/>
        </w:rPr>
        <w:t>Alliance Manager reasonably believes requires the attention of the JSC. Within [***] after the Effective Date, each Party shall appoint and notify the other Party of the identity of such Party’s representative to act as its Alliance Manager under this Agreement.</w:t>
      </w:r>
    </w:p>
    <w:p>
      <w:pPr>
        <w:spacing w:after="0" w:line="17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3</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LICENSES</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3.1 Licenses to Amgen</w:t>
      </w:r>
      <w:r>
        <w:rPr>
          <w:rFonts w:ascii="Arial" w:cs="Arial" w:eastAsia="Arial" w:hAnsi="Arial"/>
          <w:sz w:val="22"/>
          <w:szCs w:val="22"/>
          <w:color w:val="auto"/>
        </w:rPr>
        <w:t>. Subject to the terms and conditions of this Agreement, Molecular Partners hereby grants</w:t>
      </w:r>
      <w:r>
        <w:rPr>
          <w:rFonts w:ascii="Arial" w:cs="Arial" w:eastAsia="Arial" w:hAnsi="Arial"/>
          <w:sz w:val="22"/>
          <w:szCs w:val="22"/>
          <w:b w:val="1"/>
          <w:bCs w:val="1"/>
          <w:color w:val="auto"/>
        </w:rPr>
        <w:t xml:space="preserve"> </w:t>
      </w:r>
      <w:r>
        <w:rPr>
          <w:rFonts w:ascii="Arial" w:cs="Arial" w:eastAsia="Arial" w:hAnsi="Arial"/>
          <w:sz w:val="22"/>
          <w:szCs w:val="22"/>
          <w:color w:val="auto"/>
        </w:rPr>
        <w:t>Amgen an exclusive (even as to Molecular Partners and its Affiliates, except as expressly set forth herein and subject to Molecular Partners and its Affiliates retaining the rights set forth in Section 3.7), royalty-bearing, sublicenseable (solely as permitted in accordance with Section 3.3) license, under the Molecular Partners Technology to Exploit the Licensed Bispecific (and any Licensed Bispecific Backup selected for Development pursuant to Section 4.1(c)) in the Field in the Territory during the Term.</w:t>
      </w:r>
    </w:p>
    <w:p>
      <w:pPr>
        <w:spacing w:after="0" w:line="18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3.2 Licenses to Molecular Partners</w:t>
      </w:r>
      <w:r>
        <w:rPr>
          <w:rFonts w:ascii="Arial" w:cs="Arial" w:eastAsia="Arial" w:hAnsi="Arial"/>
          <w:sz w:val="19"/>
          <w:szCs w:val="19"/>
          <w:color w:val="auto"/>
        </w:rPr>
        <w:t>. Subject to the terms and conditions of this Agreement, Amgen hereby grants</w:t>
      </w:r>
      <w:r>
        <w:rPr>
          <w:rFonts w:ascii="Arial" w:cs="Arial" w:eastAsia="Arial" w:hAnsi="Arial"/>
          <w:sz w:val="19"/>
          <w:szCs w:val="19"/>
          <w:b w:val="1"/>
          <w:bCs w:val="1"/>
          <w:color w:val="auto"/>
        </w:rPr>
        <w:t xml:space="preserve"> </w:t>
      </w:r>
      <w:r>
        <w:rPr>
          <w:rFonts w:ascii="Arial" w:cs="Arial" w:eastAsia="Arial" w:hAnsi="Arial"/>
          <w:sz w:val="19"/>
          <w:szCs w:val="19"/>
          <w:color w:val="auto"/>
        </w:rPr>
        <w:t>Molecular Partners a non-exclusive, non-sublicenseable, royalty-free, fully paid license under the Amgen Technology during the Term reasonably necessary to conduct activities assigned to Molecular Partners under the Development Plan.</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3.3 Sublicensing</w:t>
      </w:r>
      <w:r>
        <w:rPr>
          <w:rFonts w:ascii="Arial" w:cs="Arial" w:eastAsia="Arial" w:hAnsi="Arial"/>
          <w:sz w:val="22"/>
          <w:szCs w:val="22"/>
          <w:color w:val="auto"/>
        </w:rPr>
        <w:t>. Amgen may grant sublicenses under its license in Section 3.1 to its Affiliates and Third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through multiple tiers and without Molecular Partners’ prior written consent, </w:t>
      </w:r>
      <w:r>
        <w:rPr>
          <w:rFonts w:ascii="Arial" w:cs="Arial" w:eastAsia="Arial" w:hAnsi="Arial"/>
          <w:sz w:val="22"/>
          <w:szCs w:val="22"/>
          <w:i w:val="1"/>
          <w:iCs w:val="1"/>
          <w:color w:val="auto"/>
        </w:rPr>
        <w:t>provided</w:t>
      </w:r>
      <w:r>
        <w:rPr>
          <w:rFonts w:ascii="Arial" w:cs="Arial" w:eastAsia="Arial" w:hAnsi="Arial"/>
          <w:sz w:val="22"/>
          <w:szCs w:val="22"/>
          <w:color w:val="auto"/>
        </w:rPr>
        <w:t>, that [***].</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color w:val="auto"/>
        </w:rPr>
        <w:t>3.4 Subcontracting</w:t>
      </w:r>
      <w:r>
        <w:rPr>
          <w:rFonts w:ascii="Arial" w:cs="Arial" w:eastAsia="Arial" w:hAnsi="Arial"/>
          <w:sz w:val="19"/>
          <w:szCs w:val="19"/>
          <w:color w:val="auto"/>
        </w:rPr>
        <w:t>. Each Party may engage its Affiliates or Third Party subcontractors (including contract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organizations and contract manufacturing organizations) to perform its rights and obligations under this Agreement, provided that</w:t>
      </w:r>
    </w:p>
    <w:p>
      <w:pPr>
        <w:spacing w:after="0" w:line="2" w:lineRule="exact"/>
        <w:rPr>
          <w:sz w:val="20"/>
          <w:szCs w:val="20"/>
          <w:color w:val="auto"/>
        </w:rPr>
      </w:pPr>
    </w:p>
    <w:p>
      <w:pPr>
        <w:jc w:val="both"/>
        <w:ind w:firstLine="8"/>
        <w:spacing w:after="0" w:line="257" w:lineRule="auto"/>
        <w:tabs>
          <w:tab w:leader="none" w:pos="297" w:val="left"/>
        </w:tabs>
        <w:numPr>
          <w:ilvl w:val="0"/>
          <w:numId w:val="552"/>
        </w:numPr>
        <w:rPr>
          <w:rFonts w:ascii="Arial" w:cs="Arial" w:eastAsia="Arial" w:hAnsi="Arial"/>
          <w:sz w:val="21"/>
          <w:szCs w:val="21"/>
          <w:color w:val="auto"/>
        </w:rPr>
      </w:pPr>
      <w:r>
        <w:rPr>
          <w:rFonts w:ascii="Arial" w:cs="Arial" w:eastAsia="Arial" w:hAnsi="Arial"/>
          <w:sz w:val="21"/>
          <w:szCs w:val="21"/>
          <w:color w:val="auto"/>
        </w:rPr>
        <w:t>such Party remains responsible for the work allocated to, and payment to, such subcontractors to the same extent it would if it had done such work itself, (b) each subcontractor undertakes in writing obligations of confidentiality and non-use regarding Confidential Information that are substantially the same as those undertaken by the Parties pursuant to Article 13, and (c) each subcontractor agrees in writing to assign all intellectual property developed in the course of performing any such work to such Party (or, in the event such assignment is not commercially feasible, to grant an exclusive license to such intellectual property with the right to sublicense to such other Party).</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3.5 Technology Transfer</w:t>
      </w:r>
      <w:r>
        <w:rPr>
          <w:rFonts w:ascii="Arial" w:cs="Arial" w:eastAsia="Arial" w:hAnsi="Arial"/>
          <w:sz w:val="19"/>
          <w:szCs w:val="19"/>
          <w:color w:val="auto"/>
        </w:rPr>
        <w:t>. [***] following the Effective Date, the Parties shall establish a reasonable mechanism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prompt exchange of Molecular Partners Know-How. Pursuant to such mechanism, Molecular Partners shall disclose and make available to Amgen the Molecular Partners Know-How that exists as of the Effective Date and that Amgen reasonably requests. Thereafter, upon Amgen’s reasonable periodic request, Molecular Partners shall disclose and make available to Amgen any other Molecular Partners Know-How that was not previously provided to Amgen. Upon the reasonable request of Molecular Partners, Amgen shall disclose to Molecular Partners any Amgen Know-How necessary for Molecular Partners to use in the course of performance of Molecular Partners’ activities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7" w:right="339" w:bottom="1440" w:gutter="0" w:footer="0" w:header="0"/>
        </w:sectPr>
      </w:pPr>
    </w:p>
    <w:bookmarkStart w:id="606" w:name="page607"/>
    <w:bookmarkEnd w:id="606"/>
    <w:p>
      <w:pPr>
        <w:jc w:val="both"/>
        <w:ind w:firstLine="648"/>
        <w:spacing w:after="0" w:line="298" w:lineRule="auto"/>
        <w:rPr>
          <w:sz w:val="20"/>
          <w:szCs w:val="20"/>
          <w:color w:val="auto"/>
        </w:rPr>
      </w:pPr>
      <w:r>
        <w:rPr>
          <w:rFonts w:ascii="Arial" w:cs="Arial" w:eastAsia="Arial" w:hAnsi="Arial"/>
          <w:sz w:val="19"/>
          <w:szCs w:val="19"/>
          <w:b w:val="1"/>
          <w:bCs w:val="1"/>
          <w:color w:val="auto"/>
        </w:rPr>
        <w:t>3.6 No Implied Licenses; Negative Covenant</w:t>
      </w:r>
      <w:r>
        <w:rPr>
          <w:rFonts w:ascii="Arial" w:cs="Arial" w:eastAsia="Arial" w:hAnsi="Arial"/>
          <w:sz w:val="19"/>
          <w:szCs w:val="19"/>
          <w:color w:val="auto"/>
        </w:rPr>
        <w:t>. Except as explicitly set forth in this Agreement, neither Party grants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any license, express or implied, under its intellectual property rights. Amgen shall not, and shall not permit any of its Affiliates or Sublicensees to, practice the Molecular Partners Technology outside the scope of the license granted by Molecular Partners to Amgen under Section 3.1. Molecular Partners shall not, and shall not permit any of its Affiliates to, practice the Amgen Technology outside the scope of the license granted by Molecular Partners to Amgen under Section 3.2.</w:t>
      </w:r>
    </w:p>
    <w:p>
      <w:pPr>
        <w:spacing w:after="0" w:line="14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3.7 Retained Rights</w:t>
      </w:r>
      <w:r>
        <w:rPr>
          <w:rFonts w:ascii="Arial" w:cs="Arial" w:eastAsia="Arial" w:hAnsi="Arial"/>
          <w:sz w:val="22"/>
          <w:szCs w:val="22"/>
          <w:color w:val="auto"/>
        </w:rPr>
        <w:t>. Except as expressly granted under Section 3.1 and as limited by Section 3.8, Molecular Partners</w:t>
      </w:r>
      <w:r>
        <w:rPr>
          <w:rFonts w:ascii="Arial" w:cs="Arial" w:eastAsia="Arial" w:hAnsi="Arial"/>
          <w:sz w:val="22"/>
          <w:szCs w:val="22"/>
          <w:b w:val="1"/>
          <w:bCs w:val="1"/>
          <w:color w:val="auto"/>
        </w:rPr>
        <w:t xml:space="preserve"> </w:t>
      </w:r>
      <w:r>
        <w:rPr>
          <w:rFonts w:ascii="Arial" w:cs="Arial" w:eastAsia="Arial" w:hAnsi="Arial"/>
          <w:sz w:val="22"/>
          <w:szCs w:val="22"/>
          <w:color w:val="auto"/>
        </w:rPr>
        <w:t>retains all other right, title, and interest in and to the Molecular Partners Technology, including (a) to conduct the activities assigned to Molecular Partners under the Development Plan, (b) subject to Section 4.1(d), to use for any purpose any of the components of the Licensed Bispecific alone or in combination with other compounds, including DARPin Compounds or components thereof, and (c) to develop the Licensed Bispecific in combination with MP Products and to promote the Licensed Bispecific as part of the MP Combination Therapy, in each case as described in and subject to Article 8. Except as expressly granted under Section 3.2 and as limited by Section 3.8, Amgen retains all other right, title, and interest in and to the Amgen Technology.</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9"/>
          <w:szCs w:val="19"/>
          <w:b w:val="1"/>
          <w:bCs w:val="1"/>
          <w:color w:val="auto"/>
        </w:rPr>
        <w:t>Exclusivity</w:t>
      </w:r>
      <w:r>
        <w:rPr>
          <w:rFonts w:ascii="Arial" w:cs="Arial" w:eastAsia="Arial" w:hAnsi="Arial"/>
          <w:sz w:val="19"/>
          <w:szCs w:val="19"/>
          <w:color w:val="auto"/>
        </w:rPr>
        <w:t>.</w:t>
      </w:r>
    </w:p>
    <w:p>
      <w:pPr>
        <w:spacing w:after="0" w:line="220" w:lineRule="exact"/>
        <w:rPr>
          <w:sz w:val="20"/>
          <w:szCs w:val="20"/>
          <w:color w:val="auto"/>
        </w:rPr>
      </w:pPr>
    </w:p>
    <w:p>
      <w:pPr>
        <w:jc w:val="both"/>
        <w:ind w:left="180" w:firstLine="1286"/>
        <w:spacing w:after="0" w:line="294" w:lineRule="auto"/>
        <w:tabs>
          <w:tab w:leader="none" w:pos="2013" w:val="left"/>
        </w:tabs>
        <w:numPr>
          <w:ilvl w:val="1"/>
          <w:numId w:val="553"/>
        </w:numPr>
        <w:rPr>
          <w:rFonts w:ascii="Arial" w:cs="Arial" w:eastAsia="Arial" w:hAnsi="Arial"/>
          <w:sz w:val="19"/>
          <w:szCs w:val="19"/>
          <w:color w:val="auto"/>
        </w:rPr>
      </w:pPr>
      <w:r>
        <w:rPr>
          <w:rFonts w:ascii="Arial" w:cs="Arial" w:eastAsia="Arial" w:hAnsi="Arial"/>
          <w:sz w:val="19"/>
          <w:szCs w:val="19"/>
          <w:b w:val="1"/>
          <w:bCs w:val="1"/>
          <w:color w:val="auto"/>
        </w:rPr>
        <w:t>Obligations of Molecular Partners</w:t>
      </w:r>
      <w:r>
        <w:rPr>
          <w:rFonts w:ascii="Arial" w:cs="Arial" w:eastAsia="Arial" w:hAnsi="Arial"/>
          <w:sz w:val="19"/>
          <w:szCs w:val="19"/>
          <w:color w:val="auto"/>
        </w:rPr>
        <w:t>. Subject to this Section 3.8, during the Term, except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performance of activities under this Agreement (including Section 8.1), Molecular Partners and its Affiliates shall not</w:t>
      </w:r>
    </w:p>
    <w:p>
      <w:pPr>
        <w:spacing w:after="0" w:line="1" w:lineRule="exact"/>
        <w:rPr>
          <w:rFonts w:ascii="Arial" w:cs="Arial" w:eastAsia="Arial" w:hAnsi="Arial"/>
          <w:sz w:val="19"/>
          <w:szCs w:val="19"/>
          <w:color w:val="auto"/>
        </w:rPr>
      </w:pPr>
    </w:p>
    <w:p>
      <w:pPr>
        <w:jc w:val="both"/>
        <w:ind w:left="180" w:hanging="10"/>
        <w:spacing w:after="0" w:line="245" w:lineRule="auto"/>
        <w:tabs>
          <w:tab w:leader="none" w:pos="447" w:val="left"/>
        </w:tabs>
        <w:numPr>
          <w:ilvl w:val="0"/>
          <w:numId w:val="554"/>
        </w:numPr>
        <w:rPr>
          <w:rFonts w:ascii="Arial" w:cs="Arial" w:eastAsia="Arial" w:hAnsi="Arial"/>
          <w:sz w:val="22"/>
          <w:szCs w:val="22"/>
          <w:color w:val="auto"/>
        </w:rPr>
      </w:pPr>
      <w:r>
        <w:rPr>
          <w:rFonts w:ascii="Arial" w:cs="Arial" w:eastAsia="Arial" w:hAnsi="Arial"/>
          <w:sz w:val="22"/>
          <w:szCs w:val="22"/>
          <w:color w:val="auto"/>
        </w:rPr>
        <w:t>develop, manufacture or commercialize any product that [***] binds to or targets both 4-1BB and FAP, in any dosage form or formulation, either solely or in collaboration with a Third Party or (ii) grant any Third Party any rights to conduct such activities described in Section 3.8(a)(i).</w:t>
      </w:r>
    </w:p>
    <w:p>
      <w:pPr>
        <w:spacing w:after="0" w:line="186" w:lineRule="exact"/>
        <w:rPr>
          <w:rFonts w:ascii="Arial" w:cs="Arial" w:eastAsia="Arial" w:hAnsi="Arial"/>
          <w:sz w:val="22"/>
          <w:szCs w:val="22"/>
          <w:color w:val="auto"/>
        </w:rPr>
      </w:pPr>
    </w:p>
    <w:p>
      <w:pPr>
        <w:jc w:val="both"/>
        <w:ind w:left="180" w:firstLine="1286"/>
        <w:spacing w:after="0" w:line="287" w:lineRule="auto"/>
        <w:tabs>
          <w:tab w:leader="none" w:pos="2065" w:val="left"/>
        </w:tabs>
        <w:numPr>
          <w:ilvl w:val="1"/>
          <w:numId w:val="554"/>
        </w:numPr>
        <w:rPr>
          <w:rFonts w:ascii="Arial" w:cs="Arial" w:eastAsia="Arial" w:hAnsi="Arial"/>
          <w:sz w:val="19"/>
          <w:szCs w:val="19"/>
          <w:color w:val="auto"/>
        </w:rPr>
      </w:pPr>
      <w:r>
        <w:rPr>
          <w:rFonts w:ascii="Arial" w:cs="Arial" w:eastAsia="Arial" w:hAnsi="Arial"/>
          <w:sz w:val="19"/>
          <w:szCs w:val="19"/>
          <w:b w:val="1"/>
          <w:bCs w:val="1"/>
          <w:color w:val="auto"/>
        </w:rPr>
        <w:t>Competing Program</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If after the Effective Date, any Third Party becomes an Affiliate of Molecular</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 or Molecular Partners enters into an agreement to become an Affiliate of a Third Party, whether through merger, acquisition, consolidation, asset sale or other similar transaction or in connection with a Change of Control of Molecular Partners, and, as of the closing date of such transaction or the date Molecular Partners enters into such agreement, such Third Party is engaged in the research, development, manufacture, or commercialization of a product that would cause Molecular Partners to breach its exclusivity obligations set forth in Section 3.8(a) (such activities, a “</w:t>
      </w:r>
      <w:r>
        <w:rPr>
          <w:rFonts w:ascii="Arial" w:cs="Arial" w:eastAsia="Arial" w:hAnsi="Arial"/>
          <w:sz w:val="19"/>
          <w:szCs w:val="19"/>
          <w:b w:val="1"/>
          <w:bCs w:val="1"/>
          <w:color w:val="auto"/>
        </w:rPr>
        <w:t>Competing Program</w:t>
      </w:r>
      <w:r>
        <w:rPr>
          <w:rFonts w:ascii="Arial" w:cs="Arial" w:eastAsia="Arial" w:hAnsi="Arial"/>
          <w:sz w:val="19"/>
          <w:szCs w:val="19"/>
          <w:color w:val="auto"/>
        </w:rPr>
        <w:t>”), then Molecular Partners shall notify Amgen of such proposed transaction within [***] after the first public announcement or disclosure of such proposed transaction and if no public announcement or disclosure occurs, within [***] after the closing of such transaction. Following the closing of such transaction, if requested by either Party, [***]. Further, unless the Parties agree to co-develop the Competing Program after the closing of the applicable transaction, [***]. Subject to Molecular Partners’ compliance with this Section 3.8, Molecular Partners’ conduct of such Competing Program shall not be deemed a breach of Molecular Partners’ exclusivity obligations set forth in Section 3.8(a).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1" w:right="339" w:bottom="1440" w:gutter="0" w:footer="0" w:header="0"/>
        </w:sectPr>
      </w:pPr>
    </w:p>
    <w:bookmarkStart w:id="607" w:name="page608"/>
    <w:bookmarkEnd w:id="607"/>
    <w:p>
      <w:pPr>
        <w:jc w:val="both"/>
        <w:ind w:left="180" w:firstLine="1286"/>
        <w:spacing w:after="0" w:line="304" w:lineRule="auto"/>
        <w:tabs>
          <w:tab w:leader="none" w:pos="1945" w:val="left"/>
        </w:tabs>
        <w:numPr>
          <w:ilvl w:val="0"/>
          <w:numId w:val="555"/>
        </w:numPr>
        <w:rPr>
          <w:rFonts w:ascii="Arial" w:cs="Arial" w:eastAsia="Arial" w:hAnsi="Arial"/>
          <w:sz w:val="19"/>
          <w:szCs w:val="19"/>
          <w:color w:val="auto"/>
        </w:rPr>
      </w:pPr>
      <w:r>
        <w:rPr>
          <w:rFonts w:ascii="Arial" w:cs="Arial" w:eastAsia="Arial" w:hAnsi="Arial"/>
          <w:sz w:val="19"/>
          <w:szCs w:val="19"/>
          <w:b w:val="1"/>
          <w:bCs w:val="1"/>
          <w:color w:val="auto"/>
        </w:rPr>
        <w:t>Obligations of Amgen</w:t>
      </w:r>
      <w:r>
        <w:rPr>
          <w:rFonts w:ascii="Arial" w:cs="Arial" w:eastAsia="Arial" w:hAnsi="Arial"/>
          <w:sz w:val="19"/>
          <w:szCs w:val="19"/>
          <w:color w:val="auto"/>
        </w:rPr>
        <w:t>. For [***] following the Effective Date, except in connection with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of activities under this Agreement, Amgen and its Affiliates shall not (i) clinically develop, manufacture or commercialize any product that [***] binds to or targets both 4-1BB and FAP, in any dosage form or formulation, either solely or in collaboration with a Third Party or (ii) grant any Third Party any rights to conduct such activities described in Section 3.8(c)(i).</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w:t>
      </w:r>
    </w:p>
    <w:p>
      <w:pPr>
        <w:spacing w:after="0" w:line="19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Development Program</w:t>
      </w:r>
      <w:r>
        <w:rPr>
          <w:rFonts w:ascii="Arial" w:cs="Arial" w:eastAsia="Arial" w:hAnsi="Arial"/>
          <w:sz w:val="19"/>
          <w:szCs w:val="19"/>
          <w:color w:val="auto"/>
        </w:rPr>
        <w:t>. From and after the Effective Date, the Parties shall collaborate to initiate Development of</w:t>
      </w:r>
    </w:p>
    <w:p>
      <w:pPr>
        <w:spacing w:after="0" w:line="27" w:lineRule="exact"/>
        <w:rPr>
          <w:sz w:val="20"/>
          <w:szCs w:val="20"/>
          <w:color w:val="auto"/>
        </w:rPr>
      </w:pPr>
    </w:p>
    <w:p>
      <w:pPr>
        <w:ind w:right="20" w:firstLine="8"/>
        <w:spacing w:after="0" w:line="246" w:lineRule="auto"/>
        <w:tabs>
          <w:tab w:leader="none" w:pos="561" w:val="left"/>
        </w:tabs>
        <w:numPr>
          <w:ilvl w:val="0"/>
          <w:numId w:val="556"/>
        </w:numPr>
        <w:rPr>
          <w:rFonts w:ascii="Arial" w:cs="Arial" w:eastAsia="Arial" w:hAnsi="Arial"/>
          <w:sz w:val="22"/>
          <w:szCs w:val="22"/>
          <w:color w:val="auto"/>
        </w:rPr>
      </w:pPr>
      <w:r>
        <w:rPr>
          <w:rFonts w:ascii="Arial" w:cs="Arial" w:eastAsia="Arial" w:hAnsi="Arial"/>
          <w:sz w:val="22"/>
          <w:szCs w:val="22"/>
          <w:color w:val="auto"/>
        </w:rPr>
        <w:t>Combination Therapies in accordance with the Development Plan and the Development Budget. The Parties shall be responsible for Development Costs as set forth in Section 4.3.</w:t>
      </w:r>
    </w:p>
    <w:p>
      <w:pPr>
        <w:spacing w:after="0" w:line="186" w:lineRule="exact"/>
        <w:rPr>
          <w:rFonts w:ascii="Arial" w:cs="Arial" w:eastAsia="Arial" w:hAnsi="Arial"/>
          <w:sz w:val="22"/>
          <w:szCs w:val="22"/>
          <w:color w:val="auto"/>
        </w:rPr>
      </w:pPr>
    </w:p>
    <w:p>
      <w:pPr>
        <w:jc w:val="both"/>
        <w:ind w:left="180" w:firstLine="1286"/>
        <w:spacing w:after="0" w:line="262" w:lineRule="auto"/>
        <w:tabs>
          <w:tab w:leader="none" w:pos="2242" w:val="left"/>
        </w:tabs>
        <w:numPr>
          <w:ilvl w:val="1"/>
          <w:numId w:val="556"/>
        </w:numPr>
        <w:rPr>
          <w:rFonts w:ascii="Arial" w:cs="Arial" w:eastAsia="Arial" w:hAnsi="Arial"/>
          <w:sz w:val="21"/>
          <w:szCs w:val="21"/>
          <w:color w:val="auto"/>
        </w:rPr>
      </w:pPr>
      <w:r>
        <w:rPr>
          <w:rFonts w:ascii="Arial" w:cs="Arial" w:eastAsia="Arial" w:hAnsi="Arial"/>
          <w:sz w:val="21"/>
          <w:szCs w:val="21"/>
          <w:b w:val="1"/>
          <w:bCs w:val="1"/>
          <w:color w:val="auto"/>
        </w:rPr>
        <w:t>Initial Development Activities</w:t>
      </w:r>
      <w:r>
        <w:rPr>
          <w:rFonts w:ascii="Arial" w:cs="Arial" w:eastAsia="Arial" w:hAnsi="Arial"/>
          <w:sz w:val="21"/>
          <w:szCs w:val="21"/>
          <w:color w:val="auto"/>
        </w:rPr>
        <w:t>. Molecular Partners shall be the initial Development lead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Development Lead</w:t>
      </w:r>
      <w:r>
        <w:rPr>
          <w:rFonts w:ascii="Arial" w:cs="Arial" w:eastAsia="Arial" w:hAnsi="Arial"/>
          <w:sz w:val="21"/>
          <w:szCs w:val="21"/>
          <w:color w:val="auto"/>
        </w:rPr>
        <w:t>”) for the Licensed Bispecific. As Development Lead, Molecular Partners shall be responsible for oversight of all Development activities for the Licensed Bispecific, including responsibility for all preclinical Development, conducting IND-enabling activities, and conducting the Phase 1a Clinical Trial for the Licensed Bispecific, as more particularly set forth in the Development Plan. During such time that Molecular Partners is the Development Lead, Molecular Partners shall initiate the technology transfer process in accordance with Section 7.2.</w:t>
      </w:r>
    </w:p>
    <w:p>
      <w:pPr>
        <w:spacing w:after="0" w:line="173" w:lineRule="exact"/>
        <w:rPr>
          <w:rFonts w:ascii="Arial" w:cs="Arial" w:eastAsia="Arial" w:hAnsi="Arial"/>
          <w:sz w:val="21"/>
          <w:szCs w:val="21"/>
          <w:color w:val="auto"/>
        </w:rPr>
      </w:pPr>
    </w:p>
    <w:p>
      <w:pPr>
        <w:jc w:val="both"/>
        <w:ind w:left="180" w:firstLine="1286"/>
        <w:spacing w:after="0" w:line="295" w:lineRule="auto"/>
        <w:tabs>
          <w:tab w:leader="none" w:pos="1998" w:val="left"/>
        </w:tabs>
        <w:numPr>
          <w:ilvl w:val="1"/>
          <w:numId w:val="556"/>
        </w:numPr>
        <w:rPr>
          <w:rFonts w:ascii="Arial" w:cs="Arial" w:eastAsia="Arial" w:hAnsi="Arial"/>
          <w:sz w:val="19"/>
          <w:szCs w:val="19"/>
          <w:color w:val="auto"/>
        </w:rPr>
      </w:pPr>
      <w:r>
        <w:rPr>
          <w:rFonts w:ascii="Arial" w:cs="Arial" w:eastAsia="Arial" w:hAnsi="Arial"/>
          <w:sz w:val="19"/>
          <w:szCs w:val="19"/>
          <w:b w:val="1"/>
          <w:bCs w:val="1"/>
          <w:color w:val="auto"/>
        </w:rPr>
        <w:t>Phase 1b and Subsequent Development Activities</w:t>
      </w:r>
      <w:r>
        <w:rPr>
          <w:rFonts w:ascii="Arial" w:cs="Arial" w:eastAsia="Arial" w:hAnsi="Arial"/>
          <w:sz w:val="19"/>
          <w:szCs w:val="19"/>
          <w:color w:val="auto"/>
        </w:rPr>
        <w:t>. Upon completion of the Phase 1a Clinical Trial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Licensed Bispecific, the Parties shall initiate a process to transfer the Development Lead role to Amgen as expeditiously as practicable. Amgen shall be responsible for all Development beginning with the Phase 1b Clinical Trial for the Licensed Bispecific and for all other Development activities with respect to the Products. The Parties shall discuss in good faith through the JSC the overall Development strategy for the Products and opportunities for Molecular Partners to conduct certain additional Development activities with respect to the Products pursuant to the Development Plan. [***].</w:t>
      </w:r>
    </w:p>
    <w:p>
      <w:pPr>
        <w:spacing w:after="0" w:line="143" w:lineRule="exact"/>
        <w:rPr>
          <w:rFonts w:ascii="Arial" w:cs="Arial" w:eastAsia="Arial" w:hAnsi="Arial"/>
          <w:sz w:val="19"/>
          <w:szCs w:val="19"/>
          <w:color w:val="auto"/>
        </w:rPr>
      </w:pPr>
    </w:p>
    <w:p>
      <w:pPr>
        <w:jc w:val="both"/>
        <w:ind w:left="180" w:firstLine="1286"/>
        <w:spacing w:after="0" w:line="289" w:lineRule="auto"/>
        <w:tabs>
          <w:tab w:leader="none" w:pos="1986" w:val="left"/>
        </w:tabs>
        <w:numPr>
          <w:ilvl w:val="1"/>
          <w:numId w:val="556"/>
        </w:numPr>
        <w:rPr>
          <w:rFonts w:ascii="Arial" w:cs="Arial" w:eastAsia="Arial" w:hAnsi="Arial"/>
          <w:sz w:val="19"/>
          <w:szCs w:val="19"/>
          <w:color w:val="auto"/>
        </w:rPr>
      </w:pPr>
      <w:r>
        <w:rPr>
          <w:rFonts w:ascii="Arial" w:cs="Arial" w:eastAsia="Arial" w:hAnsi="Arial"/>
          <w:sz w:val="19"/>
          <w:szCs w:val="19"/>
          <w:b w:val="1"/>
          <w:bCs w:val="1"/>
          <w:color w:val="auto"/>
        </w:rPr>
        <w:t>Licensed Bispecific Backup</w:t>
      </w:r>
      <w:r>
        <w:rPr>
          <w:rFonts w:ascii="Arial" w:cs="Arial" w:eastAsia="Arial" w:hAnsi="Arial"/>
          <w:sz w:val="19"/>
          <w:szCs w:val="19"/>
          <w:color w:val="auto"/>
        </w:rPr>
        <w:t>. Either Party may, at any time (and on multiple occasions), suggest ceasing</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of the Licensed Bispecific and commencing Development of a Licensed Bispecific Backup due to a clinical failure of the Licensed Bispecific or any other scientific or technical reason. Upon such request, the JSC shall evaluate such proposal and, upon JSC approval of a Licensed Bispecific Backup, the JSC will create a Development Plan (including a Development Budget and timelines for activities thereunder) for such Licensed Bispecific Backup pursuant to which Molecular Partners shall modify the sequences and conduct certain pre-clinical characterization of such Licensed Bispecific Backup. Amgen shall be responsible for [***] and Molecular Partners shall be responsible for [***] of the Development Costs incurred by Molecular Partners with respect to such work related to the Licensed Bispecific Backup. Such Licensed Bispecific Backup will, thereafter, become the “Licensed Bispecific” under this Agreement. Upon JSC approval of a Licensed Bispecific Backup, the Parties shall work in good faith to amend any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1" w:right="339" w:bottom="1440" w:gutter="0" w:footer="0" w:header="0"/>
        </w:sectPr>
      </w:pPr>
    </w:p>
    <w:bookmarkStart w:id="608" w:name="page609"/>
    <w:bookmarkEnd w:id="608"/>
    <w:p>
      <w:pPr>
        <w:jc w:val="both"/>
        <w:ind w:left="180"/>
        <w:spacing w:after="0" w:line="248" w:lineRule="auto"/>
        <w:rPr>
          <w:sz w:val="20"/>
          <w:szCs w:val="20"/>
          <w:color w:val="auto"/>
        </w:rPr>
      </w:pPr>
      <w:r>
        <w:rPr>
          <w:rFonts w:ascii="Arial" w:cs="Arial" w:eastAsia="Arial" w:hAnsi="Arial"/>
          <w:sz w:val="22"/>
          <w:szCs w:val="22"/>
          <w:color w:val="auto"/>
        </w:rPr>
        <w:t xml:space="preserve">reasonably required to bring forward a Licensed Bispecific Backup, the Parties shall replace </w:t>
      </w:r>
      <w:r>
        <w:rPr>
          <w:rFonts w:ascii="Arial" w:cs="Arial" w:eastAsia="Arial" w:hAnsi="Arial"/>
          <w:sz w:val="22"/>
          <w:szCs w:val="22"/>
          <w:u w:val="single" w:color="auto"/>
          <w:color w:val="auto"/>
        </w:rPr>
        <w:t>Exhibit 1.100</w:t>
      </w:r>
      <w:r>
        <w:rPr>
          <w:rFonts w:ascii="Arial" w:cs="Arial" w:eastAsia="Arial" w:hAnsi="Arial"/>
          <w:sz w:val="22"/>
          <w:szCs w:val="22"/>
          <w:color w:val="auto"/>
        </w:rPr>
        <w:t xml:space="preserve"> with a description of the Licensed Bispecific Backup, and the definition of “Licensed Bispecific” shall thereafter refer to such Licensed Bispecific Backup. For clarity, so long as Molecular Partners uses good faith efforts to advance the Licensed Bispecific Backup pursuant to a JSC-approved Development Plan for Amgen’s exploitation as a Licensed Bispecific under this Agreement, Amgen shall not modify the sequences of the Licensed Bispecific.</w:t>
      </w:r>
    </w:p>
    <w:p>
      <w:pPr>
        <w:spacing w:after="0" w:line="186" w:lineRule="exact"/>
        <w:rPr>
          <w:sz w:val="20"/>
          <w:szCs w:val="20"/>
          <w:color w:val="auto"/>
        </w:rPr>
      </w:pPr>
    </w:p>
    <w:p>
      <w:pPr>
        <w:jc w:val="both"/>
        <w:ind w:left="180" w:firstLine="1286"/>
        <w:spacing w:after="0" w:line="246" w:lineRule="auto"/>
        <w:tabs>
          <w:tab w:leader="none" w:pos="2052" w:val="left"/>
        </w:tabs>
        <w:numPr>
          <w:ilvl w:val="0"/>
          <w:numId w:val="557"/>
        </w:numPr>
        <w:rPr>
          <w:rFonts w:ascii="Arial" w:cs="Arial" w:eastAsia="Arial" w:hAnsi="Arial"/>
          <w:sz w:val="22"/>
          <w:szCs w:val="22"/>
          <w:color w:val="auto"/>
        </w:rPr>
      </w:pPr>
      <w:r>
        <w:rPr>
          <w:rFonts w:ascii="Arial" w:cs="Arial" w:eastAsia="Arial" w:hAnsi="Arial"/>
          <w:sz w:val="22"/>
          <w:szCs w:val="22"/>
          <w:b w:val="1"/>
          <w:bCs w:val="1"/>
          <w:color w:val="auto"/>
        </w:rPr>
        <w:t>Restrictions</w:t>
      </w:r>
      <w:r>
        <w:rPr>
          <w:rFonts w:ascii="Arial" w:cs="Arial" w:eastAsia="Arial" w:hAnsi="Arial"/>
          <w:sz w:val="22"/>
          <w:szCs w:val="22"/>
          <w:color w:val="auto"/>
        </w:rPr>
        <w:t>. Molecular Partners covenants and agrees not to clinically develop or commercialize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compound or product containing [***] the FAP DARPin module or 4-1BB DARPin module that are contained in (i) the initial Licensed Bispecific (MP0310) as of the Effective Date or (ii) any Licensed Bispecific Backup selected by the JSC for Development pursuant to Section 4.1(c);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Molecular Partners is researching, pre-clinically or clinically developing, or commercializing [***] for the FAP DARPin module or 4-1BB DARPin module that are contained in any Licensed Bispecific Backup at the time of selection of such Licensed Bispecific Backup by the JSC pursuant to Section 4.1(c), then Molecular Partners may continue use of [***] in any compound or product. For clarity, Molecular Partners shall not be restricted from using the identical sequence for HSA DARPin modules as that used in the Licensed Bispecific or any Licensed Bispecific Backup.</w:t>
      </w:r>
    </w:p>
    <w:p>
      <w:pPr>
        <w:spacing w:after="0" w:line="19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4.2 Development Plan</w:t>
      </w:r>
      <w:r>
        <w:rPr>
          <w:rFonts w:ascii="Arial" w:cs="Arial" w:eastAsia="Arial" w:hAnsi="Arial"/>
          <w:sz w:val="19"/>
          <w:szCs w:val="19"/>
          <w:color w:val="auto"/>
        </w:rPr>
        <w:t>. The Parties shall Develop the Products pursuant to a reasonably detailed written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plan (the “</w:t>
      </w:r>
      <w:r>
        <w:rPr>
          <w:rFonts w:ascii="Arial" w:cs="Arial" w:eastAsia="Arial" w:hAnsi="Arial"/>
          <w:sz w:val="19"/>
          <w:szCs w:val="19"/>
          <w:b w:val="1"/>
          <w:bCs w:val="1"/>
          <w:color w:val="auto"/>
        </w:rPr>
        <w:t>Development Plan</w:t>
      </w:r>
      <w:r>
        <w:rPr>
          <w:rFonts w:ascii="Arial" w:cs="Arial" w:eastAsia="Arial" w:hAnsi="Arial"/>
          <w:sz w:val="19"/>
          <w:szCs w:val="19"/>
          <w:color w:val="auto"/>
        </w:rPr>
        <w:t xml:space="preserve">”), as reviewed and approved by the JSC from time to time, which sets forth (a) the objectives and activities of the Development for the Products, (b) timelines for conduct of Clinical Trials, key Regulatory Authority meetings, filing of applications for Regulatory Approval, and the receipt of Regulatory Approvals, (c) the Development Budget for all such activities, (d) evaluation criteria of such Development activities, (e) a coordinated Development and regulatory strategy, including the Parties’ respective roles in the development of the registration dossier and Regulatory Materials for the Products and the countries in which Development of the Products will occur, and (f) the CMC development activities for the Products to be undertaken by the Parties, and related timelines and budgets therefor. The initial Development Plan is set forth in </w:t>
      </w:r>
      <w:r>
        <w:rPr>
          <w:rFonts w:ascii="Arial" w:cs="Arial" w:eastAsia="Arial" w:hAnsi="Arial"/>
          <w:sz w:val="19"/>
          <w:szCs w:val="19"/>
          <w:u w:val="single" w:color="auto"/>
          <w:color w:val="auto"/>
        </w:rPr>
        <w:t>Exhibit 4.2</w:t>
      </w:r>
      <w:r>
        <w:rPr>
          <w:rFonts w:ascii="Arial" w:cs="Arial" w:eastAsia="Arial" w:hAnsi="Arial"/>
          <w:sz w:val="19"/>
          <w:szCs w:val="19"/>
          <w:color w:val="auto"/>
        </w:rPr>
        <w:t>. The JSC shall regularly review the Development Plan and the progress of activities being conducted under the Development Plan. [***] a Calendar Year (no later than [***] of each Calendar Year), or more often as the Parties deem appropriate, the JSC shall, as necessary, update the then-current Development Plan, including the Development Budget. The updated Development Plan must include detailed projected Development activities, timelines, and the Development Budget. The updated Development Plan, including the Development Budget, will be effective upon approval by the JSC. Any JSC-approved Development Plan and Development Budget supersede the previous Development Plan and Development Budget for the applicable period. In the event of any inconsistency between the Development Plan and Development Budget and this Agreement, the terms of this Agreement shall prevail. Molecular Partners shall not be required to perform any Development activities other than as set forth in this Agreement and the Development Plan. Upon Molecular Partners’ reasonable request, Amgen shall deliver to the JSC an updated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609" w:name="page610"/>
    <w:bookmarkEnd w:id="609"/>
    <w:p>
      <w:pPr>
        <w:spacing w:after="0"/>
        <w:rPr>
          <w:sz w:val="20"/>
          <w:szCs w:val="20"/>
          <w:color w:val="auto"/>
        </w:rPr>
      </w:pPr>
      <w:r>
        <w:rPr>
          <w:rFonts w:ascii="Arial" w:cs="Arial" w:eastAsia="Arial" w:hAnsi="Arial"/>
          <w:sz w:val="19"/>
          <w:szCs w:val="19"/>
          <w:color w:val="auto"/>
        </w:rPr>
        <w:t>Development Plan and Development Budget for the proposed upcoming Development activities for the Licensed Bispecific.</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4.3 Development Costs</w:t>
      </w:r>
      <w:r>
        <w:rPr>
          <w:rFonts w:ascii="Arial" w:cs="Arial" w:eastAsia="Arial" w:hAnsi="Arial"/>
          <w:sz w:val="19"/>
          <w:szCs w:val="19"/>
          <w:color w:val="auto"/>
        </w:rPr>
        <w:t>. Molecular Partners shall be solely responsible for all Development Costs incurred by or on</w:t>
      </w:r>
      <w:r>
        <w:rPr>
          <w:rFonts w:ascii="Arial" w:cs="Arial" w:eastAsia="Arial" w:hAnsi="Arial"/>
          <w:sz w:val="19"/>
          <w:szCs w:val="19"/>
          <w:b w:val="1"/>
          <w:bCs w:val="1"/>
          <w:color w:val="auto"/>
        </w:rPr>
        <w:t xml:space="preserve"> </w:t>
      </w:r>
      <w:r>
        <w:rPr>
          <w:rFonts w:ascii="Arial" w:cs="Arial" w:eastAsia="Arial" w:hAnsi="Arial"/>
          <w:sz w:val="19"/>
          <w:szCs w:val="19"/>
          <w:color w:val="auto"/>
        </w:rPr>
        <w:t>behalf of Molecular Partners or its Affiliates with respect to Development activities related to the Phase 1a Clinical Trial for the Licensed Bispecific. Amgen shall be solely responsible for all Development Costs incurred by or on behalf of Amgen or its Affiliates with respect to Development activities related to the Phase 1b Clinical Trials for use of the Licensed Bispecific as part of Combination Therapies. Subject to Molecular Partners’ right to defer or terminate certain payments of its share of Development Costs pursuant to Section 4.4, beginning with the first Phase 2 Clinical Trial, Amgen shall be responsible for [***] and Molecular Partners shall be responsible for [***] of Development Costs incurred by or on behalf of either Party with respect to the [***] Indications for which Products are Developed, subject to the terms of this Section 4.3. For clarity, the [***] Phase 2 Clinical Trials and [***] Phase 3 Clinical Trials Initiated in accordance with the Development Plan shall be included under the Parties’ obligations to share Development Costs. Further, the Parties’ obligations to share Development Costs in accordance with the foregoing are limited to the Development activities described in the Cost-Sharing Data Package provided by Amgen pursuant to Section 4.4(a) unless otherwise agreed in writing by the Parties. Notwithstanding anything to the contrary, Molecular Partner’s cost sharing obligations hereunder are limited to the Development Costs for an aggregate maximum of [***] Phase 2 Clinical Trials and [***] Phase 3 Clinical Trials, in each case that have been Initiated in accordance with the Development Plan regardless of the Product or Indication that is the subject of such Clinical Trial. Amgen is solely responsible for all Development Costs not otherwise shared by the Parties pursuant to this Section 4.3 and all costs incurred by Amgen with respect to the Development of Amgen Products.</w:t>
      </w: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Development Cost Deferral and Termination</w:t>
      </w:r>
      <w:r>
        <w:rPr>
          <w:rFonts w:ascii="Arial" w:cs="Arial" w:eastAsia="Arial" w:hAnsi="Arial"/>
          <w:sz w:val="19"/>
          <w:szCs w:val="19"/>
          <w:color w:val="auto"/>
        </w:rPr>
        <w:t>.</w:t>
      </w:r>
    </w:p>
    <w:p>
      <w:pPr>
        <w:spacing w:after="0" w:line="220" w:lineRule="exact"/>
        <w:rPr>
          <w:sz w:val="20"/>
          <w:szCs w:val="20"/>
          <w:color w:val="auto"/>
        </w:rPr>
      </w:pPr>
    </w:p>
    <w:p>
      <w:pPr>
        <w:jc w:val="both"/>
        <w:ind w:left="180" w:firstLine="1286"/>
        <w:spacing w:after="0" w:line="259" w:lineRule="auto"/>
        <w:tabs>
          <w:tab w:leader="none" w:pos="2067" w:val="left"/>
        </w:tabs>
        <w:numPr>
          <w:ilvl w:val="0"/>
          <w:numId w:val="558"/>
        </w:numPr>
        <w:rPr>
          <w:rFonts w:ascii="Arial" w:cs="Arial" w:eastAsia="Arial" w:hAnsi="Arial"/>
          <w:sz w:val="21"/>
          <w:szCs w:val="21"/>
          <w:color w:val="auto"/>
        </w:rPr>
      </w:pPr>
      <w:r>
        <w:rPr>
          <w:rFonts w:ascii="Arial" w:cs="Arial" w:eastAsia="Arial" w:hAnsi="Arial"/>
          <w:sz w:val="21"/>
          <w:szCs w:val="21"/>
          <w:b w:val="1"/>
          <w:bCs w:val="1"/>
          <w:color w:val="auto"/>
        </w:rPr>
        <w:t>Cost-Sharing Data Package</w:t>
      </w:r>
      <w:r>
        <w:rPr>
          <w:rFonts w:ascii="Arial" w:cs="Arial" w:eastAsia="Arial" w:hAnsi="Arial"/>
          <w:sz w:val="21"/>
          <w:szCs w:val="21"/>
          <w:color w:val="auto"/>
        </w:rPr>
        <w:t>. Until the earlier of [***], for each Phase 2 Clinical Trial and Phase 3</w:t>
      </w:r>
      <w:r>
        <w:rPr>
          <w:rFonts w:ascii="Arial" w:cs="Arial" w:eastAsia="Arial" w:hAnsi="Arial"/>
          <w:sz w:val="21"/>
          <w:szCs w:val="21"/>
          <w:b w:val="1"/>
          <w:bCs w:val="1"/>
          <w:color w:val="auto"/>
        </w:rPr>
        <w:t xml:space="preserve"> </w:t>
      </w:r>
      <w:r>
        <w:rPr>
          <w:rFonts w:ascii="Arial" w:cs="Arial" w:eastAsia="Arial" w:hAnsi="Arial"/>
          <w:sz w:val="21"/>
          <w:szCs w:val="21"/>
          <w:color w:val="auto"/>
        </w:rPr>
        <w:t>Clinical Trial in which Molecular Partners is obligated to pay a portion of the Development Costs in accordance with Section 4.3, Amgen shall provide Molecular Partners with a written package with (i) information and cost estimates that are consistent with Amgen’s internal clinical trial review process designed to allow Molecular Partners to determine its cost-sharing obligations with respect to Development of the Licensed Bispecific and Combination Therapy, (ii) an updated Development Plan and Development Budget for the proposed Clinical Trial, and (iii) summaries of all relevant Data generated for the previous Clinical Trials for such Product not previously provided (collectively, a “</w:t>
      </w:r>
      <w:r>
        <w:rPr>
          <w:rFonts w:ascii="Arial" w:cs="Arial" w:eastAsia="Arial" w:hAnsi="Arial"/>
          <w:sz w:val="21"/>
          <w:szCs w:val="21"/>
          <w:b w:val="1"/>
          <w:bCs w:val="1"/>
          <w:color w:val="auto"/>
        </w:rPr>
        <w:t>Cost-Sharing Data Package</w:t>
      </w:r>
      <w:r>
        <w:rPr>
          <w:rFonts w:ascii="Arial" w:cs="Arial" w:eastAsia="Arial" w:hAnsi="Arial"/>
          <w:sz w:val="21"/>
          <w:szCs w:val="21"/>
          <w:color w:val="auto"/>
        </w:rPr>
        <w:t>”). Amgen shall use reasonable efforts to provide the Cost-Sharing Data Package no later than [***] prior to the anticipated Initiation of the applicable Clinical Trial. [***].</w:t>
      </w:r>
    </w:p>
    <w:p>
      <w:pPr>
        <w:spacing w:after="0" w:line="179" w:lineRule="exact"/>
        <w:rPr>
          <w:rFonts w:ascii="Arial" w:cs="Arial" w:eastAsia="Arial" w:hAnsi="Arial"/>
          <w:sz w:val="21"/>
          <w:szCs w:val="21"/>
          <w:color w:val="auto"/>
        </w:rPr>
      </w:pPr>
    </w:p>
    <w:p>
      <w:pPr>
        <w:jc w:val="both"/>
        <w:ind w:left="180" w:firstLine="1286"/>
        <w:spacing w:after="0" w:line="315" w:lineRule="auto"/>
        <w:tabs>
          <w:tab w:leader="none" w:pos="2025" w:val="left"/>
        </w:tabs>
        <w:numPr>
          <w:ilvl w:val="0"/>
          <w:numId w:val="558"/>
        </w:numPr>
        <w:rPr>
          <w:rFonts w:ascii="Arial" w:cs="Arial" w:eastAsia="Arial" w:hAnsi="Arial"/>
          <w:sz w:val="19"/>
          <w:szCs w:val="19"/>
          <w:color w:val="auto"/>
        </w:rPr>
      </w:pPr>
      <w:r>
        <w:rPr>
          <w:rFonts w:ascii="Arial" w:cs="Arial" w:eastAsia="Arial" w:hAnsi="Arial"/>
          <w:sz w:val="19"/>
          <w:szCs w:val="19"/>
          <w:b w:val="1"/>
          <w:bCs w:val="1"/>
          <w:color w:val="auto"/>
        </w:rPr>
        <w:t>Cost-Sharing Deferral</w:t>
      </w:r>
      <w:r>
        <w:rPr>
          <w:rFonts w:ascii="Arial" w:cs="Arial" w:eastAsia="Arial" w:hAnsi="Arial"/>
          <w:sz w:val="19"/>
          <w:szCs w:val="19"/>
          <w:color w:val="auto"/>
        </w:rPr>
        <w:t>. Notwithstanding Section 4.3, at any time after the [***] of the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Molecular Partners may elect, by [***] prior written notice to Amgen (delivered no earlier than the [***]of the Effective Date), to require Amgen to pay Molecular Partners’ share of Development Costs under Section 4.3 that are incurred for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610" w:name="page611"/>
    <w:bookmarkEnd w:id="610"/>
    <w:p>
      <w:pPr>
        <w:ind w:left="160"/>
        <w:spacing w:after="0"/>
        <w:rPr>
          <w:sz w:val="20"/>
          <w:szCs w:val="20"/>
          <w:color w:val="auto"/>
        </w:rPr>
      </w:pPr>
      <w:r>
        <w:rPr>
          <w:rFonts w:ascii="Arial" w:cs="Arial" w:eastAsia="Arial" w:hAnsi="Arial"/>
          <w:sz w:val="19"/>
          <w:szCs w:val="19"/>
          <w:color w:val="auto"/>
        </w:rPr>
        <w:t xml:space="preserve">Clinical Trials for Products specified in the Development Plan; </w:t>
      </w:r>
      <w:r>
        <w:rPr>
          <w:rFonts w:ascii="Arial" w:cs="Arial" w:eastAsia="Arial" w:hAnsi="Arial"/>
          <w:sz w:val="19"/>
          <w:szCs w:val="19"/>
          <w:i w:val="1"/>
          <w:iCs w:val="1"/>
          <w:color w:val="auto"/>
        </w:rPr>
        <w:t>provided</w:t>
      </w:r>
      <w:r>
        <w:rPr>
          <w:rFonts w:ascii="Arial" w:cs="Arial" w:eastAsia="Arial" w:hAnsi="Arial"/>
          <w:sz w:val="19"/>
          <w:szCs w:val="19"/>
          <w:color w:val="auto"/>
        </w:rPr>
        <w:t>, that (i) Molecular Partners shall fund no less than</w:t>
      </w:r>
    </w:p>
    <w:p>
      <w:pPr>
        <w:spacing w:after="0" w:line="56" w:lineRule="exact"/>
        <w:rPr>
          <w:sz w:val="20"/>
          <w:szCs w:val="20"/>
          <w:color w:val="auto"/>
        </w:rPr>
      </w:pPr>
    </w:p>
    <w:p>
      <w:pPr>
        <w:jc w:val="both"/>
        <w:ind w:left="160" w:hanging="10"/>
        <w:spacing w:after="0" w:line="284" w:lineRule="auto"/>
        <w:tabs>
          <w:tab w:leader="none" w:pos="686" w:val="left"/>
        </w:tabs>
        <w:numPr>
          <w:ilvl w:val="0"/>
          <w:numId w:val="559"/>
        </w:numPr>
        <w:rPr>
          <w:rFonts w:ascii="Arial" w:cs="Arial" w:eastAsia="Arial" w:hAnsi="Arial"/>
          <w:sz w:val="19"/>
          <w:szCs w:val="19"/>
          <w:color w:val="auto"/>
        </w:rPr>
      </w:pPr>
      <w:r>
        <w:rPr>
          <w:rFonts w:ascii="Arial" w:cs="Arial" w:eastAsia="Arial" w:hAnsi="Arial"/>
          <w:sz w:val="19"/>
          <w:szCs w:val="19"/>
          <w:color w:val="auto"/>
        </w:rPr>
        <w:t>of its share of Development Costs for the applicable Phase 2 Clinical Trial as set forth in the Cost-Sharing Data Package, and (ii) Molecular Partner shall fund no less than [***] of its share of such Development Costs for the applicable Phase 3 Clinical Trial as set forth in the Cost-Sharing Data Package (each a “</w:t>
      </w:r>
      <w:r>
        <w:rPr>
          <w:rFonts w:ascii="Arial" w:cs="Arial" w:eastAsia="Arial" w:hAnsi="Arial"/>
          <w:sz w:val="19"/>
          <w:szCs w:val="19"/>
          <w:b w:val="1"/>
          <w:bCs w:val="1"/>
          <w:color w:val="auto"/>
        </w:rPr>
        <w:t>Development Cost Deferral</w:t>
      </w:r>
      <w:r>
        <w:rPr>
          <w:rFonts w:ascii="Arial" w:cs="Arial" w:eastAsia="Arial" w:hAnsi="Arial"/>
          <w:sz w:val="19"/>
          <w:szCs w:val="19"/>
          <w:color w:val="auto"/>
        </w:rPr>
        <w:t xml:space="preserve">”). Amgen shall have the right to recover the Development Costs that Molecular Partners would have borne under Section 4.3 but did not pay when becoming due by reason of the Development Cost Deferral by offsetting such deferred Development Costs, </w:t>
      </w:r>
      <w:r>
        <w:rPr>
          <w:rFonts w:ascii="Arial" w:cs="Arial" w:eastAsia="Arial" w:hAnsi="Arial"/>
          <w:sz w:val="19"/>
          <w:szCs w:val="19"/>
          <w:i w:val="1"/>
          <w:iCs w:val="1"/>
          <w:color w:val="auto"/>
        </w:rPr>
        <w:t>plus</w:t>
      </w:r>
      <w:r>
        <w:rPr>
          <w:rFonts w:ascii="Arial" w:cs="Arial" w:eastAsia="Arial" w:hAnsi="Arial"/>
          <w:sz w:val="19"/>
          <w:szCs w:val="19"/>
          <w:color w:val="auto"/>
        </w:rPr>
        <w:t xml:space="preserve"> interest thereon calculated using the rate set forth in Section 9.9, calculated from the date upon which Molecular Partners would otherwise have had to pay such deferred Development Costs but for the Development Cost Deferral until such Deferred Development Costs are finally recouped by Amgen or paid by Molecular Partners (collectively, the “</w:t>
      </w:r>
      <w:r>
        <w:rPr>
          <w:rFonts w:ascii="Arial" w:cs="Arial" w:eastAsia="Arial" w:hAnsi="Arial"/>
          <w:sz w:val="19"/>
          <w:szCs w:val="19"/>
          <w:b w:val="1"/>
          <w:bCs w:val="1"/>
          <w:color w:val="auto"/>
        </w:rPr>
        <w:t>Deferred Development</w:t>
      </w:r>
      <w:r>
        <w:rPr>
          <w:rFonts w:ascii="Arial" w:cs="Arial" w:eastAsia="Arial" w:hAnsi="Arial"/>
          <w:sz w:val="19"/>
          <w:szCs w:val="19"/>
          <w:color w:val="auto"/>
        </w:rPr>
        <w:t xml:space="preserve"> </w:t>
      </w:r>
      <w:r>
        <w:rPr>
          <w:rFonts w:ascii="Arial" w:cs="Arial" w:eastAsia="Arial" w:hAnsi="Arial"/>
          <w:sz w:val="19"/>
          <w:szCs w:val="19"/>
          <w:b w:val="1"/>
          <w:bCs w:val="1"/>
          <w:color w:val="auto"/>
        </w:rPr>
        <w:t>Costs</w:t>
      </w:r>
      <w:r>
        <w:rPr>
          <w:rFonts w:ascii="Arial" w:cs="Arial" w:eastAsia="Arial" w:hAnsi="Arial"/>
          <w:sz w:val="19"/>
          <w:szCs w:val="19"/>
          <w:color w:val="auto"/>
        </w:rPr>
        <w:t>”), against any milestone payments, royalties or any other amounts payable to Molecular Partners under this Agreement,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such offset applied by Amgen to milestone payments and royalties shall not exceed [***] of such milestone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payments and royalties payable in the applicable Calendar Quarter. In addition, Molecular Partners shall have the right at any time to pay to Amgen in immediately available funds all or a portion of any Deferred Development Costs. If this Agreement terminates prior to Amgen recouping the Deferred Development Costs, such unrecovered Deferred Development Costs will become the liability of Amgen and Molecular Partners will not be required to repay Amgen such unrecovered Deferred Development Costs;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Amgen terminates this Agreement pursuant to Section 14.3 (subject to final determination of such breach in accordance with Section 15.3) or Section 14.4, Molecular Partners shall remain liable for the amount of such unrecovered Deferred Development Costs and such costs shall become immediately due and payable by Molecular Partners upon such termination or final determination of breach, as applicable.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20" w:firstLine="1304"/>
        <w:spacing w:after="0" w:line="260" w:lineRule="auto"/>
        <w:tabs>
          <w:tab w:leader="none" w:pos="1745" w:val="left"/>
        </w:tabs>
        <w:numPr>
          <w:ilvl w:val="1"/>
          <w:numId w:val="559"/>
        </w:numPr>
        <w:rPr>
          <w:rFonts w:ascii="Arial" w:cs="Arial" w:eastAsia="Arial" w:hAnsi="Arial"/>
          <w:sz w:val="21"/>
          <w:szCs w:val="21"/>
          <w:color w:val="auto"/>
        </w:rPr>
      </w:pPr>
      <w:r>
        <w:rPr>
          <w:rFonts w:ascii="Arial" w:cs="Arial" w:eastAsia="Arial" w:hAnsi="Arial"/>
          <w:sz w:val="21"/>
          <w:szCs w:val="21"/>
          <w:b w:val="1"/>
          <w:bCs w:val="1"/>
          <w:color w:val="auto"/>
        </w:rPr>
        <w:t>Cost-Sharing Termination</w:t>
      </w:r>
      <w:r>
        <w:rPr>
          <w:rFonts w:ascii="Arial" w:cs="Arial" w:eastAsia="Arial" w:hAnsi="Arial"/>
          <w:sz w:val="21"/>
          <w:szCs w:val="21"/>
          <w:color w:val="auto"/>
        </w:rPr>
        <w:t>. Notwithstanding Section 4.3 and in addition to Section 4.4(b), at any time after</w:t>
      </w:r>
      <w:r>
        <w:rPr>
          <w:rFonts w:ascii="Arial" w:cs="Arial" w:eastAsia="Arial" w:hAnsi="Arial"/>
          <w:sz w:val="21"/>
          <w:szCs w:val="21"/>
          <w:b w:val="1"/>
          <w:bCs w:val="1"/>
          <w:color w:val="auto"/>
        </w:rPr>
        <w:t xml:space="preserve"> </w:t>
      </w:r>
      <w:r>
        <w:rPr>
          <w:rFonts w:ascii="Arial" w:cs="Arial" w:eastAsia="Arial" w:hAnsi="Arial"/>
          <w:sz w:val="21"/>
          <w:szCs w:val="21"/>
          <w:color w:val="auto"/>
        </w:rPr>
        <w:t>the [***] of the Effective Date, Molecular Partners may terminate its cost-sharing obligations in Section 4.3 with respect to all Products (“</w:t>
      </w:r>
      <w:r>
        <w:rPr>
          <w:rFonts w:ascii="Arial" w:cs="Arial" w:eastAsia="Arial" w:hAnsi="Arial"/>
          <w:sz w:val="21"/>
          <w:szCs w:val="21"/>
          <w:b w:val="1"/>
          <w:bCs w:val="1"/>
          <w:color w:val="auto"/>
        </w:rPr>
        <w:t>Cost-Sharing Termination Right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 Molecular Partners may exercise its Cost-Sharing Termination Right with respect to all Products (a “</w:t>
      </w:r>
      <w:r>
        <w:rPr>
          <w:rFonts w:ascii="Arial" w:cs="Arial" w:eastAsia="Arial" w:hAnsi="Arial"/>
          <w:sz w:val="21"/>
          <w:szCs w:val="21"/>
          <w:b w:val="1"/>
          <w:bCs w:val="1"/>
          <w:color w:val="auto"/>
        </w:rPr>
        <w:t>Cost-Sharing Termination</w:t>
      </w:r>
      <w:r>
        <w:rPr>
          <w:rFonts w:ascii="Arial" w:cs="Arial" w:eastAsia="Arial" w:hAnsi="Arial"/>
          <w:sz w:val="21"/>
          <w:szCs w:val="21"/>
          <w:color w:val="auto"/>
        </w:rPr>
        <w:t>”) within [***] after receipt of the Cost-Sharing Data Package for such Clinical Trial. From and after the notice of a Cost-Sharing Termination, Molecular Partners shall no longer be obligated to share Development Costs pursuant to Section 4.3 other than Clinical Trials then ongoing as of such notice date for which Molecular Partners is obligated to share Development Costs pursuant to Section 4.3. If Molecular Partners exercises its Cost-Sharing Termination Right: [***].</w:t>
      </w:r>
    </w:p>
    <w:p>
      <w:pPr>
        <w:spacing w:after="0" w:line="175" w:lineRule="exact"/>
        <w:rPr>
          <w:rFonts w:ascii="Arial" w:cs="Arial" w:eastAsia="Arial" w:hAnsi="Arial"/>
          <w:sz w:val="21"/>
          <w:szCs w:val="21"/>
          <w:color w:val="auto"/>
        </w:rPr>
      </w:pPr>
    </w:p>
    <w:p>
      <w:pPr>
        <w:ind w:left="160" w:right="20" w:firstLine="1286"/>
        <w:spacing w:after="0" w:line="269" w:lineRule="auto"/>
        <w:tabs>
          <w:tab w:leader="none" w:pos="1964" w:val="left"/>
        </w:tabs>
        <w:numPr>
          <w:ilvl w:val="2"/>
          <w:numId w:val="559"/>
        </w:numPr>
        <w:rPr>
          <w:rFonts w:ascii="Arial" w:cs="Arial" w:eastAsia="Arial" w:hAnsi="Arial"/>
          <w:sz w:val="22"/>
          <w:szCs w:val="22"/>
          <w:color w:val="auto"/>
        </w:rPr>
      </w:pPr>
      <w:r>
        <w:rPr>
          <w:rFonts w:ascii="Arial" w:cs="Arial" w:eastAsia="Arial" w:hAnsi="Arial"/>
          <w:sz w:val="22"/>
          <w:szCs w:val="22"/>
          <w:b w:val="1"/>
          <w:bCs w:val="1"/>
          <w:color w:val="auto"/>
        </w:rPr>
        <w:t>Effects of Not Cost-Sharing</w:t>
      </w:r>
      <w:r>
        <w:rPr>
          <w:rFonts w:ascii="Arial" w:cs="Arial" w:eastAsia="Arial" w:hAnsi="Arial"/>
          <w:sz w:val="22"/>
          <w:szCs w:val="22"/>
          <w:color w:val="auto"/>
        </w:rPr>
        <w:t>. Upon the earlier of [***], Molecular Partners’ rights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modified as follows: [***].</w:t>
      </w:r>
    </w:p>
    <w:p>
      <w:pPr>
        <w:spacing w:after="0" w:line="162"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Development Diligence</w:t>
      </w:r>
      <w:r>
        <w:rPr>
          <w:rFonts w:ascii="Arial" w:cs="Arial" w:eastAsia="Arial" w:hAnsi="Arial"/>
          <w:sz w:val="19"/>
          <w:szCs w:val="19"/>
          <w:color w:val="auto"/>
        </w:rPr>
        <w:t>.</w:t>
      </w:r>
    </w:p>
    <w:p>
      <w:pPr>
        <w:spacing w:after="0" w:line="220" w:lineRule="exact"/>
        <w:rPr>
          <w:sz w:val="20"/>
          <w:szCs w:val="20"/>
          <w:color w:val="auto"/>
        </w:rPr>
      </w:pPr>
    </w:p>
    <w:p>
      <w:pPr>
        <w:jc w:val="both"/>
        <w:ind w:left="160" w:firstLine="1286"/>
        <w:spacing w:after="0" w:line="256" w:lineRule="auto"/>
        <w:tabs>
          <w:tab w:leader="none" w:pos="1912" w:val="left"/>
        </w:tabs>
        <w:numPr>
          <w:ilvl w:val="0"/>
          <w:numId w:val="560"/>
        </w:numPr>
        <w:rPr>
          <w:rFonts w:ascii="Arial" w:cs="Arial" w:eastAsia="Arial" w:hAnsi="Arial"/>
          <w:sz w:val="22"/>
          <w:szCs w:val="22"/>
          <w:color w:val="auto"/>
        </w:rPr>
      </w:pPr>
      <w:r>
        <w:rPr>
          <w:rFonts w:ascii="Arial" w:cs="Arial" w:eastAsia="Arial" w:hAnsi="Arial"/>
          <w:sz w:val="22"/>
          <w:szCs w:val="22"/>
          <w:b w:val="1"/>
          <w:bCs w:val="1"/>
          <w:color w:val="auto"/>
        </w:rPr>
        <w:t>Performance of Development Plan</w:t>
      </w:r>
      <w:r>
        <w:rPr>
          <w:rFonts w:ascii="Arial" w:cs="Arial" w:eastAsia="Arial" w:hAnsi="Arial"/>
          <w:sz w:val="22"/>
          <w:szCs w:val="22"/>
          <w:color w:val="auto"/>
        </w:rPr>
        <w:t>. Each Party shall use Commercially Reasonable Efforts to perform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tasks assigned to it under the Development Plan in accordance with the Development Plan, including the timelines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40" w:top="1428" w:right="339" w:bottom="1440" w:gutter="0" w:footer="0" w:header="0"/>
        </w:sectPr>
      </w:pPr>
    </w:p>
    <w:bookmarkStart w:id="611" w:name="page612"/>
    <w:bookmarkEnd w:id="611"/>
    <w:p>
      <w:pPr>
        <w:jc w:val="both"/>
        <w:ind w:left="180"/>
        <w:spacing w:after="0" w:line="253" w:lineRule="auto"/>
        <w:rPr>
          <w:sz w:val="20"/>
          <w:szCs w:val="20"/>
          <w:color w:val="auto"/>
        </w:rPr>
      </w:pPr>
      <w:r>
        <w:rPr>
          <w:rFonts w:ascii="Arial" w:cs="Arial" w:eastAsia="Arial" w:hAnsi="Arial"/>
          <w:sz w:val="22"/>
          <w:szCs w:val="22"/>
          <w:color w:val="auto"/>
        </w:rPr>
        <w:t>Budget specified therein. Each Party shall conduct its activities under the Development Plan in a good scientific manner and in compliance with all Applicable Laws. For the avoidance of doubt, the Parties will apply Commercially Reasonable Efforts on a Combination Therapy-by-Combination Therapy basis.</w:t>
      </w:r>
    </w:p>
    <w:p>
      <w:pPr>
        <w:spacing w:after="0" w:line="179" w:lineRule="exact"/>
        <w:rPr>
          <w:sz w:val="20"/>
          <w:szCs w:val="20"/>
          <w:color w:val="auto"/>
        </w:rPr>
      </w:pPr>
    </w:p>
    <w:p>
      <w:pPr>
        <w:jc w:val="both"/>
        <w:ind w:left="180" w:firstLine="1286"/>
        <w:spacing w:after="0" w:line="349" w:lineRule="auto"/>
        <w:tabs>
          <w:tab w:leader="none" w:pos="1998" w:val="left"/>
        </w:tabs>
        <w:numPr>
          <w:ilvl w:val="0"/>
          <w:numId w:val="561"/>
        </w:numPr>
        <w:rPr>
          <w:rFonts w:ascii="Arial" w:cs="Arial" w:eastAsia="Arial" w:hAnsi="Arial"/>
          <w:sz w:val="19"/>
          <w:szCs w:val="19"/>
          <w:color w:val="auto"/>
        </w:rPr>
      </w:pPr>
      <w:r>
        <w:rPr>
          <w:rFonts w:ascii="Arial" w:cs="Arial" w:eastAsia="Arial" w:hAnsi="Arial"/>
          <w:sz w:val="19"/>
          <w:szCs w:val="19"/>
          <w:b w:val="1"/>
          <w:bCs w:val="1"/>
          <w:color w:val="auto"/>
        </w:rPr>
        <w:t>Development of Combination Therapy</w:t>
      </w:r>
      <w:r>
        <w:rPr>
          <w:rFonts w:ascii="Arial" w:cs="Arial" w:eastAsia="Arial" w:hAnsi="Arial"/>
          <w:sz w:val="19"/>
          <w:szCs w:val="19"/>
          <w:color w:val="auto"/>
        </w:rPr>
        <w:t>. Amgen shall use Commercially Reasonable Efforts to Develop</w:t>
      </w:r>
      <w:r>
        <w:rPr>
          <w:rFonts w:ascii="Arial" w:cs="Arial" w:eastAsia="Arial" w:hAnsi="Arial"/>
          <w:sz w:val="19"/>
          <w:szCs w:val="19"/>
          <w:b w:val="1"/>
          <w:bCs w:val="1"/>
          <w:color w:val="auto"/>
        </w:rPr>
        <w:t xml:space="preserve"> </w:t>
      </w:r>
      <w:r>
        <w:rPr>
          <w:rFonts w:ascii="Arial" w:cs="Arial" w:eastAsia="Arial" w:hAnsi="Arial"/>
          <w:sz w:val="19"/>
          <w:szCs w:val="19"/>
          <w:color w:val="auto"/>
        </w:rPr>
        <w:t>at least [***] Combination Therapy and to obtain Regulatory Approval for at least [***] Combination Therapy in at least [***].</w:t>
      </w:r>
    </w:p>
    <w:p>
      <w:pPr>
        <w:spacing w:after="0" w:line="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4.6 Development Records</w:t>
      </w:r>
      <w:r>
        <w:rPr>
          <w:rFonts w:ascii="Arial" w:cs="Arial" w:eastAsia="Arial" w:hAnsi="Arial"/>
          <w:sz w:val="19"/>
          <w:szCs w:val="19"/>
          <w:color w:val="auto"/>
        </w:rPr>
        <w:t>. Each Party shall maintain complete, current, and accurate records (in the form of technical</w:t>
      </w:r>
      <w:r>
        <w:rPr>
          <w:rFonts w:ascii="Arial" w:cs="Arial" w:eastAsia="Arial" w:hAnsi="Arial"/>
          <w:sz w:val="19"/>
          <w:szCs w:val="19"/>
          <w:b w:val="1"/>
          <w:bCs w:val="1"/>
          <w:color w:val="auto"/>
        </w:rPr>
        <w:t xml:space="preserve"> </w:t>
      </w:r>
      <w:r>
        <w:rPr>
          <w:rFonts w:ascii="Arial" w:cs="Arial" w:eastAsia="Arial" w:hAnsi="Arial"/>
          <w:sz w:val="19"/>
          <w:szCs w:val="19"/>
          <w:color w:val="auto"/>
        </w:rPr>
        <w:t>notebooks or electronic files) of all Development work conducted by it under the Development Plan and all Information resulting from such work. Each Party shall ensure that such records fully and properly reflect all work done and results achieved in sufficient detail and in good scientific manner appropriate for patent and regulatory purposes. Each Party shall permit the other Party to review and copy such records at reasonable times during normal business hours and to obtain access to originals of such records if needed for patent or regulatory purposes or for other legal proceedings. Upon reasonable request, each Party shall provide the JSC with copies of such records detailing its Development activities and the results of such activities.</w:t>
      </w:r>
    </w:p>
    <w:p>
      <w:pPr>
        <w:spacing w:after="0" w:line="14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4.7 Development Reports and Updates</w:t>
      </w:r>
      <w:r>
        <w:rPr>
          <w:rFonts w:ascii="Arial" w:cs="Arial" w:eastAsia="Arial" w:hAnsi="Arial"/>
          <w:sz w:val="22"/>
          <w:szCs w:val="22"/>
          <w:color w:val="auto"/>
        </w:rPr>
        <w:t>. Each Party shall promptly provide the other Party with any deliverables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the Development Plan. At each regularly scheduled JSC meeting, each Party shall provide the JSC with regular reports detailing its Development activities for the Products, the results of such activities, and an update on the Development Budget and spend for such activities. The Parties shall discuss the status, progress, and results of each Party’s Development activities under this Agreement at such JSC meetings. Each Party shall respond in a timely fashion to any reasonable requests of the other Party for additional information related to such reports provided to the JSC. In addition to Calendar Quarterly reports and meetings with the JSC, each Party shall promptly provide the other Party with any material updates on Development of the Products.</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4.8 Data Exchange</w:t>
      </w:r>
      <w:r>
        <w:rPr>
          <w:rFonts w:ascii="Arial" w:cs="Arial" w:eastAsia="Arial" w:hAnsi="Arial"/>
          <w:sz w:val="19"/>
          <w:szCs w:val="19"/>
          <w:color w:val="auto"/>
        </w:rPr>
        <w:t>. In addition to its adverse event and Safety Data reporting obligations pursuant to Section 5.3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JSC reports required in Section 4.7, each Party shall promptly provide the other Party with (a) periodic status reports on Clinical Trial recruitment and other metrics consistent with the performing Party’s internal reporting for Clinical Trials and Development activities,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case of unexpected events that may have an adverse effect on safety and recruitment, each Party shall inform the other Party within [***] after knowledge of such event; (b) supporting documentation for such Clinical Trials (e.g., protocols, CRFs, analysis plans); (c) preliminary and final Data, and interim, preliminary and final results and reports from such Clinical Trials; (d) output from advisory committees and investigator meetings; and (e) any and all such documentation generated by each Party, its Affiliate, or Sublicensee from its Development activities under this Agreement as such documentation could reasonably be deemed to affect the Development or Commercialization activities of a Product. The Parties shall cooperate on a secure website to facilitate the sharing of reports, Data and other Information on a routine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612" w:name="page613"/>
    <w:bookmarkEnd w:id="612"/>
    <w:p>
      <w:pPr>
        <w:jc w:val="both"/>
        <w:ind w:firstLine="648"/>
        <w:spacing w:after="0" w:line="285" w:lineRule="auto"/>
        <w:rPr>
          <w:sz w:val="20"/>
          <w:szCs w:val="20"/>
          <w:color w:val="auto"/>
        </w:rPr>
      </w:pPr>
      <w:r>
        <w:rPr>
          <w:rFonts w:ascii="Arial" w:cs="Arial" w:eastAsia="Arial" w:hAnsi="Arial"/>
          <w:sz w:val="19"/>
          <w:szCs w:val="19"/>
          <w:b w:val="1"/>
          <w:bCs w:val="1"/>
          <w:color w:val="auto"/>
        </w:rPr>
        <w:t>4.9 Materials Transfer</w:t>
      </w:r>
      <w:r>
        <w:rPr>
          <w:rFonts w:ascii="Arial" w:cs="Arial" w:eastAsia="Arial" w:hAnsi="Arial"/>
          <w:sz w:val="19"/>
          <w:szCs w:val="19"/>
          <w:color w:val="auto"/>
        </w:rPr>
        <w:t>. If either Party is required to transfer to the other Party any tangible materials for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of a Product (the “</w:t>
      </w:r>
      <w:r>
        <w:rPr>
          <w:rFonts w:ascii="Arial" w:cs="Arial" w:eastAsia="Arial" w:hAnsi="Arial"/>
          <w:sz w:val="19"/>
          <w:szCs w:val="19"/>
          <w:b w:val="1"/>
          <w:bCs w:val="1"/>
          <w:color w:val="auto"/>
        </w:rPr>
        <w:t>Materials</w:t>
      </w:r>
      <w:r>
        <w:rPr>
          <w:rFonts w:ascii="Arial" w:cs="Arial" w:eastAsia="Arial" w:hAnsi="Arial"/>
          <w:sz w:val="19"/>
          <w:szCs w:val="19"/>
          <w:color w:val="auto"/>
        </w:rPr>
        <w:t xml:space="preserve">”), the terms of this Section 4.9 shall apply. The transferring Party shall provide the other Party with the applicable Materials in accordance with the Development Plan. The receiving Party shall use the Materials solely to conduct the activities contemplated under the Development Plan and for no other purpose. The receiving Party shall not sell, transfer, disclose or otherwise provide access to the Materials without the written consent of the providing Party, except that the receiving Party may allow access to the Materials to its employees, officers, and Affiliates who require such access to perform its activities under this Agreement and solely for purposes consistent with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employees, officers, and Affiliates are bound by agreement to retain and use the Materials in a manner that is consistent with the terms of this Agreement.</w:t>
      </w:r>
    </w:p>
    <w:p>
      <w:pPr>
        <w:jc w:val="both"/>
        <w:spacing w:after="0" w:line="292" w:lineRule="auto"/>
        <w:rPr>
          <w:sz w:val="20"/>
          <w:szCs w:val="20"/>
          <w:color w:val="auto"/>
        </w:rPr>
      </w:pPr>
      <w:r>
        <w:rPr>
          <w:rFonts w:ascii="Arial" w:cs="Arial" w:eastAsia="Arial" w:hAnsi="Arial"/>
          <w:sz w:val="19"/>
          <w:szCs w:val="19"/>
          <w:color w:val="auto"/>
        </w:rPr>
        <w:t>THE MATERIALS ARE PROVIDED “AS IS”. NO REPRESENTATIONS OR WARRANTIES, EXPRESS OR IMPLIED, OF ANY KIND, ARE GIVEN BY THE PROVIDING PARTY WITH RESPECT TO ANY OF THE MATERIALS, INCLUDING THEIR CONDITION, MERCHANTABILITY, OR FITNESS FOR A PARTICULAR PURPOSE. The receiving Party acknowledges the experimental nature of the Materials and that accordingly, not all characteristics of the Materials are necessarily known. The Materials are not for use in clinical studies, or in human subjects in any event, under any circumstances.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REGULATORY MATTERS</w:t>
      </w:r>
    </w:p>
    <w:p>
      <w:pPr>
        <w:spacing w:after="0" w:line="19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color w:val="auto"/>
        </w:rPr>
        <w:t>Regulatory Materials and Approvals</w:t>
      </w:r>
      <w:r>
        <w:rPr>
          <w:rFonts w:ascii="Arial" w:cs="Arial" w:eastAsia="Arial" w:hAnsi="Arial"/>
          <w:sz w:val="19"/>
          <w:szCs w:val="19"/>
          <w:color w:val="auto"/>
        </w:rPr>
        <w:t>.</w:t>
      </w:r>
    </w:p>
    <w:p>
      <w:pPr>
        <w:spacing w:after="0" w:line="220" w:lineRule="exact"/>
        <w:rPr>
          <w:sz w:val="20"/>
          <w:szCs w:val="20"/>
          <w:color w:val="auto"/>
        </w:rPr>
      </w:pPr>
    </w:p>
    <w:p>
      <w:pPr>
        <w:jc w:val="both"/>
        <w:ind w:left="180" w:firstLine="1286"/>
        <w:spacing w:after="0" w:line="274" w:lineRule="auto"/>
        <w:tabs>
          <w:tab w:leader="none" w:pos="2067" w:val="left"/>
        </w:tabs>
        <w:numPr>
          <w:ilvl w:val="0"/>
          <w:numId w:val="562"/>
        </w:numPr>
        <w:rPr>
          <w:rFonts w:ascii="Arial" w:cs="Arial" w:eastAsia="Arial" w:hAnsi="Arial"/>
          <w:sz w:val="21"/>
          <w:szCs w:val="2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Amgen is responsible for establishing the regulatory strategy for the Products, and has full</w:t>
      </w:r>
      <w:r>
        <w:rPr>
          <w:rFonts w:ascii="Arial" w:cs="Arial" w:eastAsia="Arial" w:hAnsi="Arial"/>
          <w:sz w:val="21"/>
          <w:szCs w:val="21"/>
          <w:b w:val="1"/>
          <w:bCs w:val="1"/>
          <w:color w:val="auto"/>
        </w:rPr>
        <w:t xml:space="preserve"> </w:t>
      </w:r>
      <w:r>
        <w:rPr>
          <w:rFonts w:ascii="Arial" w:cs="Arial" w:eastAsia="Arial" w:hAnsi="Arial"/>
          <w:sz w:val="21"/>
          <w:szCs w:val="21"/>
          <w:color w:val="auto"/>
        </w:rPr>
        <w:t>decision-making authority with respect thereto. Amgen shall discuss such regulatory strategy with Molecular Partners at the JSC and shall consider in good faith Molecular Partners’ comments with respect thereto.</w:t>
      </w:r>
    </w:p>
    <w:p>
      <w:pPr>
        <w:spacing w:after="0" w:line="158" w:lineRule="exact"/>
        <w:rPr>
          <w:rFonts w:ascii="Arial" w:cs="Arial" w:eastAsia="Arial" w:hAnsi="Arial"/>
          <w:sz w:val="21"/>
          <w:szCs w:val="21"/>
          <w:color w:val="auto"/>
        </w:rPr>
      </w:pPr>
    </w:p>
    <w:p>
      <w:pPr>
        <w:jc w:val="both"/>
        <w:ind w:left="180" w:firstLine="1286"/>
        <w:spacing w:after="0" w:line="291" w:lineRule="auto"/>
        <w:tabs>
          <w:tab w:leader="none" w:pos="2052" w:val="left"/>
        </w:tabs>
        <w:numPr>
          <w:ilvl w:val="0"/>
          <w:numId w:val="562"/>
        </w:numPr>
        <w:rPr>
          <w:rFonts w:ascii="Arial" w:cs="Arial" w:eastAsia="Arial" w:hAnsi="Arial"/>
          <w:sz w:val="19"/>
          <w:szCs w:val="19"/>
          <w:color w:val="auto"/>
        </w:rPr>
      </w:pPr>
      <w:r>
        <w:rPr>
          <w:rFonts w:ascii="Arial" w:cs="Arial" w:eastAsia="Arial" w:hAnsi="Arial"/>
          <w:sz w:val="19"/>
          <w:szCs w:val="19"/>
          <w:b w:val="1"/>
          <w:bCs w:val="1"/>
          <w:color w:val="auto"/>
        </w:rPr>
        <w:t>Initial Regulatory Activities</w:t>
      </w:r>
      <w:r>
        <w:rPr>
          <w:rFonts w:ascii="Arial" w:cs="Arial" w:eastAsia="Arial" w:hAnsi="Arial"/>
          <w:sz w:val="19"/>
          <w:szCs w:val="19"/>
          <w:color w:val="auto"/>
        </w:rPr>
        <w:t>. Molecular Partners shall be the initial regulatory lead (the “</w:t>
      </w:r>
      <w:r>
        <w:rPr>
          <w:rFonts w:ascii="Arial" w:cs="Arial" w:eastAsia="Arial" w:hAnsi="Arial"/>
          <w:sz w:val="19"/>
          <w:szCs w:val="19"/>
          <w:b w:val="1"/>
          <w:bCs w:val="1"/>
          <w:color w:val="auto"/>
        </w:rPr>
        <w:t>Regulatory Lead</w:t>
      </w:r>
      <w:r>
        <w:rPr>
          <w:rFonts w:ascii="Arial" w:cs="Arial" w:eastAsia="Arial" w:hAnsi="Arial"/>
          <w:sz w:val="19"/>
          <w:szCs w:val="19"/>
          <w:color w:val="auto"/>
        </w:rPr>
        <w:t>”) for the Licensed Bispecific. As Regulatory Lead, Molecular Partners will be responsible for submission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maintenance of an IND or Clinical Trial authorization application (which also includes safety reporting), regulatory agency meetings and outputs and other regulatory activities set forth in the Development Plan. Molecular Partners shall keep the JSC reasonably informed in connection with the preparation of all Regulatory Materials, Regulatory Authority review of Regulatory Materials, and Regulatory Approvals, annual reports, annual re-assessments, and variations and labeling, in each case with respect to the Licensed Bispecific. Molecular Partners shall respond within a reasonable timeframe to all reasonable inquiries by Amgen with respect to any information provided pursuant to this Section 5.1(b).</w:t>
      </w:r>
    </w:p>
    <w:p>
      <w:pPr>
        <w:spacing w:after="0" w:line="148" w:lineRule="exact"/>
        <w:rPr>
          <w:rFonts w:ascii="Arial" w:cs="Arial" w:eastAsia="Arial" w:hAnsi="Arial"/>
          <w:sz w:val="19"/>
          <w:szCs w:val="19"/>
          <w:color w:val="auto"/>
        </w:rPr>
      </w:pPr>
    </w:p>
    <w:p>
      <w:pPr>
        <w:jc w:val="both"/>
        <w:ind w:left="180" w:firstLine="1286"/>
        <w:spacing w:after="0" w:line="267" w:lineRule="auto"/>
        <w:tabs>
          <w:tab w:leader="none" w:pos="1959" w:val="left"/>
        </w:tabs>
        <w:numPr>
          <w:ilvl w:val="0"/>
          <w:numId w:val="562"/>
        </w:numPr>
        <w:rPr>
          <w:rFonts w:ascii="Arial" w:cs="Arial" w:eastAsia="Arial" w:hAnsi="Arial"/>
          <w:sz w:val="21"/>
          <w:szCs w:val="21"/>
          <w:color w:val="auto"/>
        </w:rPr>
      </w:pPr>
      <w:r>
        <w:rPr>
          <w:rFonts w:ascii="Arial" w:cs="Arial" w:eastAsia="Arial" w:hAnsi="Arial"/>
          <w:sz w:val="21"/>
          <w:szCs w:val="21"/>
          <w:b w:val="1"/>
          <w:bCs w:val="1"/>
          <w:color w:val="auto"/>
        </w:rPr>
        <w:t>Phase 1b and Subsequent Regulatory Activities</w:t>
      </w:r>
      <w:r>
        <w:rPr>
          <w:rFonts w:ascii="Arial" w:cs="Arial" w:eastAsia="Arial" w:hAnsi="Arial"/>
          <w:sz w:val="21"/>
          <w:szCs w:val="21"/>
          <w:color w:val="auto"/>
        </w:rPr>
        <w:t>. Upon completion of the Phase 1a Clinical Trial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Bispecific (i.e., after the last patient has been dosed and generation of the report form for the Phase 1a Clinical Trial), the Parties shall initiate a process to transfer the Regulatory Lead role to Amgen as expeditiously as practicable. Following Amgen’s assumption of Regulatory Lead, Amgen shall keep the JSC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2" w:right="339" w:bottom="1440" w:gutter="0" w:footer="0" w:header="0"/>
        </w:sectPr>
      </w:pPr>
    </w:p>
    <w:bookmarkStart w:id="613" w:name="page614"/>
    <w:bookmarkEnd w:id="613"/>
    <w:p>
      <w:pPr>
        <w:jc w:val="both"/>
        <w:spacing w:after="0" w:line="248" w:lineRule="auto"/>
        <w:rPr>
          <w:sz w:val="20"/>
          <w:szCs w:val="20"/>
          <w:color w:val="auto"/>
        </w:rPr>
      </w:pPr>
      <w:r>
        <w:rPr>
          <w:rFonts w:ascii="Arial" w:cs="Arial" w:eastAsia="Arial" w:hAnsi="Arial"/>
          <w:sz w:val="22"/>
          <w:szCs w:val="22"/>
          <w:color w:val="auto"/>
        </w:rPr>
        <w:t>informed in connection with the preparation of all Regulatory Materials, Regulatory Authority review of Regulatory Materials, and Regulatory Approvals, annual reports, annual re-assessments, and variations and labeling, in each case with respect to the Licensed Bispecific; provided, that Amgen may redact any information to the extent not related to the Licensed Bispecific. Amgen shall respond within a reasonable timeframe to all reasonable inquiries by Molecular Partners with respect to any information provided pursuant to this Section 5.1(c).</w:t>
      </w:r>
    </w:p>
    <w:p>
      <w:pPr>
        <w:spacing w:after="0" w:line="186" w:lineRule="exact"/>
        <w:rPr>
          <w:sz w:val="20"/>
          <w:szCs w:val="20"/>
          <w:color w:val="auto"/>
        </w:rPr>
      </w:pPr>
    </w:p>
    <w:p>
      <w:pPr>
        <w:jc w:val="both"/>
        <w:ind w:firstLine="1286"/>
        <w:spacing w:after="0" w:line="285" w:lineRule="auto"/>
        <w:tabs>
          <w:tab w:leader="none" w:pos="1791" w:val="left"/>
        </w:tabs>
        <w:numPr>
          <w:ilvl w:val="0"/>
          <w:numId w:val="563"/>
        </w:numPr>
        <w:rPr>
          <w:rFonts w:ascii="Arial" w:cs="Arial" w:eastAsia="Arial" w:hAnsi="Arial"/>
          <w:sz w:val="19"/>
          <w:szCs w:val="19"/>
          <w:color w:val="auto"/>
        </w:rPr>
      </w:pPr>
      <w:r>
        <w:rPr>
          <w:rFonts w:ascii="Arial" w:cs="Arial" w:eastAsia="Arial" w:hAnsi="Arial"/>
          <w:sz w:val="19"/>
          <w:szCs w:val="19"/>
          <w:b w:val="1"/>
          <w:bCs w:val="1"/>
          <w:color w:val="auto"/>
        </w:rPr>
        <w:t>Regulatory Materials</w:t>
      </w:r>
      <w:r>
        <w:rPr>
          <w:rFonts w:ascii="Arial" w:cs="Arial" w:eastAsia="Arial" w:hAnsi="Arial"/>
          <w:sz w:val="19"/>
          <w:szCs w:val="19"/>
          <w:color w:val="auto"/>
        </w:rPr>
        <w:t>. Following Amgen’s assumption of the Regulatory Lead, Amgen shall prepare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file all Regulatory Materials for Products, shall be the holder of all Regulatory Materials for Products, and shall have primary operational and strategic responsibility for interactions with the applicable Regulatory Authorities, including taking the lead role at all meetings with such Regulatory Authorities. Upon Amgen’s request, Molecular Partners shall provide reasonable support with respect to preparation of CMC portions of Regulatory Materials. Amgen shall provide Molecular Partners with copies of proposed Regulatory Materials with respect to the Licensed Bispecific (provided that Amgen may redact proprietary CMC or manufacturing process development information which it reasonably determines to be competitively sensitive) reasonably prior to submission to the applicable Regulatory Authority so that Molecular Partners may review and comment on such Regulatory Materials. Amgen shall consider Molecular Partners’ comments on such Regulatory Materials in good faith. Amgen shall promptly notify Molecular Partners of all Regulatory Materials that it submits for the Products and shall promptly provide Molecular Partners with a copy (which may be wholly or partly in electronic form) of such Regulatory Materials (provided that Amgen may redact proprietary CMC or manufacturing process development information which it reasonably determines to be competitively sensitive). Each Party shall and hereby does grant the other Party a right to cross-reference, file or incorporate by reference any Regulatory Materials and any data contained therein made such Party for any Product that is reasonably necessary to support Regulatory Materials that the other Party is permitted to submit under this Agreement and to enable the other Party to fulfill its obligations or exercise its rights under this Agreement (including Article 8); </w:t>
      </w:r>
      <w:r>
        <w:rPr>
          <w:rFonts w:ascii="Arial" w:cs="Arial" w:eastAsia="Arial" w:hAnsi="Arial"/>
          <w:sz w:val="19"/>
          <w:szCs w:val="19"/>
          <w:i w:val="1"/>
          <w:iCs w:val="1"/>
          <w:color w:val="auto"/>
        </w:rPr>
        <w:t>provided</w:t>
      </w:r>
      <w:r>
        <w:rPr>
          <w:rFonts w:ascii="Arial" w:cs="Arial" w:eastAsia="Arial" w:hAnsi="Arial"/>
          <w:sz w:val="19"/>
          <w:szCs w:val="19"/>
          <w:color w:val="auto"/>
        </w:rPr>
        <w:t>, however, a Party shall not have the right to access directly such other Party’s manufacturing, device or other proprietary information within such Regulatory Material or data.</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1286"/>
        <w:spacing w:after="0" w:line="289" w:lineRule="auto"/>
        <w:tabs>
          <w:tab w:leader="none" w:pos="1792" w:val="left"/>
        </w:tabs>
        <w:numPr>
          <w:ilvl w:val="0"/>
          <w:numId w:val="563"/>
        </w:numPr>
        <w:rPr>
          <w:rFonts w:ascii="Arial" w:cs="Arial" w:eastAsia="Arial" w:hAnsi="Arial"/>
          <w:sz w:val="19"/>
          <w:szCs w:val="19"/>
          <w:color w:val="auto"/>
        </w:rPr>
      </w:pPr>
      <w:r>
        <w:rPr>
          <w:rFonts w:ascii="Arial" w:cs="Arial" w:eastAsia="Arial" w:hAnsi="Arial"/>
          <w:sz w:val="19"/>
          <w:szCs w:val="19"/>
          <w:b w:val="1"/>
          <w:bCs w:val="1"/>
          <w:color w:val="auto"/>
        </w:rPr>
        <w:t>Regulatory Authority Interactions</w:t>
      </w:r>
      <w:r>
        <w:rPr>
          <w:rFonts w:ascii="Arial" w:cs="Arial" w:eastAsia="Arial" w:hAnsi="Arial"/>
          <w:sz w:val="19"/>
          <w:szCs w:val="19"/>
          <w:color w:val="auto"/>
        </w:rPr>
        <w:t>. When Molecular Partners is Regulatory Lead, Molecular Partners is</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for interfacing, corresponding and meeting with the applicable Regulatory Authorities for the Licensed Bispecific. Following Amgen’s assumption of Regulatory Lead, Amgen is responsible for interfacing, corresponding and meeting with the applicable Regulatory Authorities for the Products. The applicable Regulatory Lead shall notify the other Party of any scheduled meeting or conference with any Regulatory Authority that relates to the Licensed Bispecific reasonably in advance of such meeting and shall provide the other Party with any material documentation (provided that Amgen may redact proprietary CMC or manufacturing process development information which it reasonably determines to be competitively sensitive) prepared for such meeting or conference prior to such meeting or conference. [***] The Regulatory Lead shall promptly furnish the other Party with copies of all material correspondence to or from, and minutes of material meetings (including telephonic meetings) with, any Regulatory Authority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60"/>
          </w:cols>
          <w:pgMar w:left="500" w:top="1428" w:right="339" w:bottom="1440" w:gutter="0" w:footer="0" w:header="0"/>
        </w:sectPr>
      </w:pPr>
    </w:p>
    <w:bookmarkStart w:id="614" w:name="page615"/>
    <w:bookmarkEnd w:id="614"/>
    <w:p>
      <w:pPr>
        <w:ind w:left="180"/>
        <w:spacing w:after="0" w:line="263" w:lineRule="auto"/>
        <w:rPr>
          <w:sz w:val="20"/>
          <w:szCs w:val="20"/>
          <w:color w:val="auto"/>
        </w:rPr>
      </w:pPr>
      <w:r>
        <w:rPr>
          <w:rFonts w:ascii="Arial" w:cs="Arial" w:eastAsia="Arial" w:hAnsi="Arial"/>
          <w:sz w:val="22"/>
          <w:szCs w:val="22"/>
          <w:color w:val="auto"/>
        </w:rPr>
        <w:t>Development of the Licensed Bispecific (provided that Amgen may redact proprietary CMC or manufacturing process development information which it reasonably determines to be competitively sensitive).</w:t>
      </w:r>
    </w:p>
    <w:p>
      <w:pPr>
        <w:spacing w:after="0" w:line="1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5.2 Regulatory Costs</w:t>
      </w:r>
      <w:r>
        <w:rPr>
          <w:rFonts w:ascii="Arial" w:cs="Arial" w:eastAsia="Arial" w:hAnsi="Arial"/>
          <w:sz w:val="22"/>
          <w:szCs w:val="22"/>
          <w:color w:val="auto"/>
        </w:rPr>
        <w:t>. All regulatory costs incurred by the Parties pursuant to the Development Plan will be shared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as Development Costs in accordance with and subject to the terms of Section 4.3. All other regulatory costs solely related to Amgen Products shall be borne solely by Amgen.</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5.3 Safety Database; Pharmacovigilance</w:t>
      </w:r>
      <w:r>
        <w:rPr>
          <w:rFonts w:ascii="Arial" w:cs="Arial" w:eastAsia="Arial" w:hAnsi="Arial"/>
          <w:sz w:val="19"/>
          <w:szCs w:val="19"/>
          <w:color w:val="auto"/>
        </w:rPr>
        <w:t>. The applicable Regulatory Lead shall establish, hold (in-house or via an</w:t>
      </w:r>
      <w:r>
        <w:rPr>
          <w:rFonts w:ascii="Arial" w:cs="Arial" w:eastAsia="Arial" w:hAnsi="Arial"/>
          <w:sz w:val="19"/>
          <w:szCs w:val="19"/>
          <w:b w:val="1"/>
          <w:bCs w:val="1"/>
          <w:color w:val="auto"/>
        </w:rPr>
        <w:t xml:space="preserve"> </w:t>
      </w:r>
      <w:r>
        <w:rPr>
          <w:rFonts w:ascii="Arial" w:cs="Arial" w:eastAsia="Arial" w:hAnsi="Arial"/>
          <w:sz w:val="19"/>
          <w:szCs w:val="19"/>
          <w:color w:val="auto"/>
        </w:rPr>
        <w:t>external vendor), and maintain the global safety database for the Licensed Bispecific with respect to information on adverse events concerning the Licensed Bispecific, as and to the extent required by Applicable Law. Reasonably prior to Molecular Partners’ Initiation of the Phase 1a Clinical Trial of the Combination Therapy, the Parties shall define and allocate each Party’s responsibilities with respect to pharmacovigilance activities for the Licensed Bispecific, Combination Therapies and MP Combination Therapies under a written agreement (the “</w:t>
      </w:r>
      <w:r>
        <w:rPr>
          <w:rFonts w:ascii="Arial" w:cs="Arial" w:eastAsia="Arial" w:hAnsi="Arial"/>
          <w:sz w:val="19"/>
          <w:szCs w:val="19"/>
          <w:b w:val="1"/>
          <w:bCs w:val="1"/>
          <w:color w:val="auto"/>
        </w:rPr>
        <w:t>Safety Agreement</w:t>
      </w:r>
      <w:r>
        <w:rPr>
          <w:rFonts w:ascii="Arial" w:cs="Arial" w:eastAsia="Arial" w:hAnsi="Arial"/>
          <w:sz w:val="19"/>
          <w:szCs w:val="19"/>
          <w:color w:val="auto"/>
        </w:rPr>
        <w:t>”). These responsibilities shall include adhering to mutually acceptable guidelines and procedures for the receipt, investigation, recording, communication, and exchange (as between the Parties) of adverse event reports, pregnancy reports, and any other information concerning the safety and benefit-risk profile of the Products and MP Combination Therapies. Such guidelines and procedures shall be in accordance with, and enable the Parties and their Affiliates to fulfill, local and international regulatory reporting obligations to Governmental Authorities. Furthermore, such agreed procedures shall be consistent with relevant International Conference on Harmonisation (of Technical Requirements for Registration of Pharmaceuticals for Human Use) (ICH) guidelines, except where in terms of reporting said guidelines may conflict with existing local regulatory safety reporting requirements, in which case local reporting requirements shall prevail. Each Party shall comply with its respective obligations under the Safety Agreement (as the Parties may agree to modify it from time to time) and shall cause its Affiliates and Sublicensees to comply with such obligations.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1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6.1 Overview</w:t>
      </w:r>
      <w:r>
        <w:rPr>
          <w:rFonts w:ascii="Arial" w:cs="Arial" w:eastAsia="Arial" w:hAnsi="Arial"/>
          <w:sz w:val="19"/>
          <w:szCs w:val="19"/>
          <w:color w:val="auto"/>
        </w:rPr>
        <w:t>. Amgen shall be responsible for, and shall bear all costs associated with, the commercialization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Products, including Phase 4 Clinical Trials, distribution, marketing, and sales activities. Subject to the terms of this Agreement, all decisions concerning the marketing and sales of Products, including the design, sale, price (subject to Section 6.5), and promotion of Products covered under this Agreement, is within the sole discretion of Amgen. The Parties shall discuss Commercialization strategy of the Products at JSC meetings, including marketing, promotion, and pricing and reimbursement matters with respect to the Products, as well as marketing and promotion matters relating to the MP Combination Therapies to the extent relevant to such matters relating to the Products. Amgen shall respond within a reasonable timeframe to reasonable inquiries by Molecular Partners with respect to commercial information related to the Licensed Bispecific and reasonably related to the activities contemplated by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the Parties acknowledge and agree that certain information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615" w:name="page616"/>
    <w:bookmarkEnd w:id="615"/>
    <w:p>
      <w:pPr>
        <w:jc w:val="both"/>
        <w:spacing w:after="0" w:line="263" w:lineRule="auto"/>
        <w:rPr>
          <w:sz w:val="20"/>
          <w:szCs w:val="20"/>
          <w:color w:val="auto"/>
        </w:rPr>
      </w:pPr>
      <w:r>
        <w:rPr>
          <w:rFonts w:ascii="Arial" w:cs="Arial" w:eastAsia="Arial" w:hAnsi="Arial"/>
          <w:sz w:val="22"/>
          <w:szCs w:val="22"/>
          <w:color w:val="auto"/>
        </w:rPr>
        <w:t>Amgen Products that is not relevant to the Commercialization of the Products may be withheld in Amgen’s reasonable discretion due to competitive sensitivities. [***].</w:t>
      </w:r>
    </w:p>
    <w:p>
      <w:pPr>
        <w:spacing w:after="0" w:line="16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6.2 Commercialization Plans</w:t>
      </w:r>
      <w:r>
        <w:rPr>
          <w:rFonts w:ascii="Arial" w:cs="Arial" w:eastAsia="Arial" w:hAnsi="Arial"/>
          <w:sz w:val="19"/>
          <w:szCs w:val="19"/>
          <w:color w:val="auto"/>
        </w:rPr>
        <w:t>. For each Product, within [***], Amgen shall provide Molecular Partners with a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plan for the prelaunch, launch, and other commercialization activities for such Product (each such plan, a “</w:t>
      </w:r>
      <w:r>
        <w:rPr>
          <w:rFonts w:ascii="Arial" w:cs="Arial" w:eastAsia="Arial" w:hAnsi="Arial"/>
          <w:sz w:val="19"/>
          <w:szCs w:val="19"/>
          <w:b w:val="1"/>
          <w:bCs w:val="1"/>
          <w:color w:val="auto"/>
        </w:rPr>
        <w:t>Commercialization</w:t>
      </w:r>
      <w:r>
        <w:rPr>
          <w:rFonts w:ascii="Arial" w:cs="Arial" w:eastAsia="Arial" w:hAnsi="Arial"/>
          <w:sz w:val="19"/>
          <w:szCs w:val="19"/>
          <w:color w:val="auto"/>
        </w:rPr>
        <w:t xml:space="preserve"> </w:t>
      </w:r>
      <w:r>
        <w:rPr>
          <w:rFonts w:ascii="Arial" w:cs="Arial" w:eastAsia="Arial" w:hAnsi="Arial"/>
          <w:sz w:val="19"/>
          <w:szCs w:val="19"/>
          <w:b w:val="1"/>
          <w:bCs w:val="1"/>
          <w:color w:val="auto"/>
        </w:rPr>
        <w:t>Plan</w:t>
      </w:r>
      <w:r>
        <w:rPr>
          <w:rFonts w:ascii="Arial" w:cs="Arial" w:eastAsia="Arial" w:hAnsi="Arial"/>
          <w:sz w:val="19"/>
          <w:szCs w:val="19"/>
          <w:color w:val="auto"/>
        </w:rPr>
        <w:t>”). Amgen shall provide Molecular Partners with an updated Commercialization Plan and updates on its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conducted over the previous year at least [***]. Amgen shall respond in a timely fashion to any reasonable requests of Molecular Partners for additional information with respect to such plans and Commercialization activities.</w:t>
      </w:r>
    </w:p>
    <w:p>
      <w:pPr>
        <w:spacing w:after="0" w:line="14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Commercialization Diligence</w:t>
      </w:r>
      <w:r>
        <w:rPr>
          <w:rFonts w:ascii="Arial" w:cs="Arial" w:eastAsia="Arial" w:hAnsi="Arial"/>
          <w:sz w:val="19"/>
          <w:szCs w:val="19"/>
          <w:color w:val="auto"/>
        </w:rPr>
        <w:t>. Amgen shall use Commercially Reasonable Efforts to Commercialize each Product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6.4 Commercialization Progress Updates</w:t>
      </w:r>
      <w:r>
        <w:rPr>
          <w:rFonts w:ascii="Arial" w:cs="Arial" w:eastAsia="Arial" w:hAnsi="Arial"/>
          <w:sz w:val="22"/>
          <w:szCs w:val="22"/>
          <w:color w:val="auto"/>
        </w:rPr>
        <w:t>. Through the JSC, Amgen shall provide Molecular Partners with a summary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any material Commercialization matters resulting from Amgen’s Commercialization of Products under this Agreement since the last meeting of the JSC;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Amgen shall not be required to disclose any information or results specifically and solely related to any Amgen Product.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6.5 Licensed Bispecific Pricing</w:t>
      </w:r>
      <w:r>
        <w:rPr>
          <w:rFonts w:ascii="Arial" w:cs="Arial" w:eastAsia="Arial" w:hAnsi="Arial"/>
          <w:sz w:val="22"/>
          <w:szCs w:val="22"/>
          <w:color w:val="auto"/>
        </w:rPr>
        <w:t>. Subject to compliance with Applicable Law (including antitrust laws), Amgen shall</w:t>
      </w:r>
      <w:r>
        <w:rPr>
          <w:rFonts w:ascii="Arial" w:cs="Arial" w:eastAsia="Arial" w:hAnsi="Arial"/>
          <w:sz w:val="22"/>
          <w:szCs w:val="22"/>
          <w:b w:val="1"/>
          <w:bCs w:val="1"/>
          <w:color w:val="auto"/>
        </w:rPr>
        <w:t xml:space="preserve"> </w:t>
      </w:r>
      <w:r>
        <w:rPr>
          <w:rFonts w:ascii="Arial" w:cs="Arial" w:eastAsia="Arial" w:hAnsi="Arial"/>
          <w:sz w:val="22"/>
          <w:szCs w:val="22"/>
          <w:color w:val="auto"/>
        </w:rPr>
        <w:t>[***]. Notwithstanding the foregoing, Amgen retains the sole right to determine the pricing of the Licensed Bispecific whether in monotherapy form or for use in combination as part of a course of therapy.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7.1 CMC Development; Supply</w:t>
      </w:r>
      <w:r>
        <w:rPr>
          <w:rFonts w:ascii="Arial" w:cs="Arial" w:eastAsia="Arial" w:hAnsi="Arial"/>
          <w:sz w:val="22"/>
          <w:szCs w:val="22"/>
          <w:color w:val="auto"/>
        </w:rPr>
        <w:t>. The Parties shall conduct CMC development of the Products as set forth in the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Plan.</w:t>
      </w:r>
    </w:p>
    <w:p>
      <w:pPr>
        <w:spacing w:after="0" w:line="162" w:lineRule="exact"/>
        <w:rPr>
          <w:sz w:val="20"/>
          <w:szCs w:val="20"/>
          <w:color w:val="auto"/>
        </w:rPr>
      </w:pPr>
    </w:p>
    <w:p>
      <w:pPr>
        <w:jc w:val="both"/>
        <w:ind w:left="180" w:firstLine="1286"/>
        <w:spacing w:after="0" w:line="288" w:lineRule="auto"/>
        <w:tabs>
          <w:tab w:leader="none" w:pos="1959" w:val="left"/>
        </w:tabs>
        <w:numPr>
          <w:ilvl w:val="0"/>
          <w:numId w:val="564"/>
        </w:numPr>
        <w:rPr>
          <w:rFonts w:ascii="Arial" w:cs="Arial" w:eastAsia="Arial" w:hAnsi="Arial"/>
          <w:sz w:val="19"/>
          <w:szCs w:val="19"/>
          <w:color w:val="auto"/>
        </w:rPr>
      </w:pPr>
      <w:r>
        <w:rPr>
          <w:rFonts w:ascii="Arial" w:cs="Arial" w:eastAsia="Arial" w:hAnsi="Arial"/>
          <w:sz w:val="19"/>
          <w:szCs w:val="19"/>
          <w:b w:val="1"/>
          <w:bCs w:val="1"/>
          <w:color w:val="auto"/>
        </w:rPr>
        <w:t>Initial CMC Development; Early Clinical Supply</w:t>
      </w:r>
      <w:r>
        <w:rPr>
          <w:rFonts w:ascii="Arial" w:cs="Arial" w:eastAsia="Arial" w:hAnsi="Arial"/>
          <w:sz w:val="19"/>
          <w:szCs w:val="19"/>
          <w:color w:val="auto"/>
        </w:rPr>
        <w:t>. Molecular Partners shall be the initial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lead for the Licensed Bispecific (the “</w:t>
      </w:r>
      <w:r>
        <w:rPr>
          <w:rFonts w:ascii="Arial" w:cs="Arial" w:eastAsia="Arial" w:hAnsi="Arial"/>
          <w:sz w:val="19"/>
          <w:szCs w:val="19"/>
          <w:b w:val="1"/>
          <w:bCs w:val="1"/>
          <w:color w:val="auto"/>
        </w:rPr>
        <w:t>Manufacturing Lead</w:t>
      </w:r>
      <w:r>
        <w:rPr>
          <w:rFonts w:ascii="Arial" w:cs="Arial" w:eastAsia="Arial" w:hAnsi="Arial"/>
          <w:sz w:val="19"/>
          <w:szCs w:val="19"/>
          <w:color w:val="auto"/>
        </w:rPr>
        <w:t>”). As Manufacturing Lead, Molecular Partners shall conduct the activities to design the manufacturing process for the supply of pre-clinical and clinical quantities of Licensed Bispecific, including (i) manufacturing process development and scale-up, (ii) bulk production and fill/finish work associated with the supply of Licensed Bispecific for pre-clinical work and Clinical Trials, (iii) related quality assurance technical support activities, and (iv) validation and qualification of commercial manufacturing processes. Molecular Partners, either itself or through a Third Party contract manufacturing organization (a “</w:t>
      </w:r>
      <w:r>
        <w:rPr>
          <w:rFonts w:ascii="Arial" w:cs="Arial" w:eastAsia="Arial" w:hAnsi="Arial"/>
          <w:sz w:val="19"/>
          <w:szCs w:val="19"/>
          <w:b w:val="1"/>
          <w:bCs w:val="1"/>
          <w:color w:val="auto"/>
        </w:rPr>
        <w:t>CMO</w:t>
      </w:r>
      <w:r>
        <w:rPr>
          <w:rFonts w:ascii="Arial" w:cs="Arial" w:eastAsia="Arial" w:hAnsi="Arial"/>
          <w:sz w:val="19"/>
          <w:szCs w:val="19"/>
          <w:color w:val="auto"/>
        </w:rPr>
        <w:t>”) reasonably acceptable to Amgen, shall supply pre-clinical and clinical quantities (for the Phase 1a Clinical Trial) of the Licensed Bispecific for the Development of the Licensed Bispecific in accordance with this Agreement, including out of any inventory of the Licensed Bispecific existing as of the Effective Date. Molecular Partners shall consult with Amgen regarding the terms of any CMO supply agreement, shall provide Amgen with a copy of any draft CMO supply agreement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616" w:name="page617"/>
    <w:bookmarkEnd w:id="616"/>
    <w:p>
      <w:pPr>
        <w:ind w:left="180"/>
        <w:spacing w:after="0"/>
        <w:rPr>
          <w:sz w:val="20"/>
          <w:szCs w:val="20"/>
          <w:color w:val="auto"/>
        </w:rPr>
      </w:pPr>
      <w:r>
        <w:rPr>
          <w:rFonts w:ascii="Arial" w:cs="Arial" w:eastAsia="Arial" w:hAnsi="Arial"/>
          <w:sz w:val="22"/>
          <w:szCs w:val="22"/>
          <w:color w:val="auto"/>
        </w:rPr>
        <w:t>Amgen’s review and comment, and shall consider Amgen’s comments with respect thereto in good faith.</w:t>
      </w:r>
    </w:p>
    <w:p>
      <w:pPr>
        <w:spacing w:after="0" w:line="214" w:lineRule="exact"/>
        <w:rPr>
          <w:sz w:val="20"/>
          <w:szCs w:val="20"/>
          <w:color w:val="auto"/>
        </w:rPr>
      </w:pPr>
    </w:p>
    <w:p>
      <w:pPr>
        <w:jc w:val="both"/>
        <w:ind w:left="180" w:firstLine="1286"/>
        <w:spacing w:after="0" w:line="286" w:lineRule="auto"/>
        <w:tabs>
          <w:tab w:leader="none" w:pos="1998" w:val="left"/>
        </w:tabs>
        <w:numPr>
          <w:ilvl w:val="0"/>
          <w:numId w:val="565"/>
        </w:numPr>
        <w:rPr>
          <w:rFonts w:ascii="Arial" w:cs="Arial" w:eastAsia="Arial" w:hAnsi="Arial"/>
          <w:sz w:val="19"/>
          <w:szCs w:val="19"/>
          <w:color w:val="auto"/>
        </w:rPr>
      </w:pPr>
      <w:r>
        <w:rPr>
          <w:rFonts w:ascii="Arial" w:cs="Arial" w:eastAsia="Arial" w:hAnsi="Arial"/>
          <w:sz w:val="19"/>
          <w:szCs w:val="19"/>
          <w:b w:val="1"/>
          <w:bCs w:val="1"/>
          <w:color w:val="auto"/>
        </w:rPr>
        <w:t>Phase 1b and Subsequent Clinical Trial and Commercial Supply</w:t>
      </w:r>
      <w:r>
        <w:rPr>
          <w:rFonts w:ascii="Arial" w:cs="Arial" w:eastAsia="Arial" w:hAnsi="Arial"/>
          <w:sz w:val="19"/>
          <w:szCs w:val="19"/>
          <w:color w:val="auto"/>
        </w:rPr>
        <w:t>. Amgen shall be the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Lead for the supply of the Licensed Bispecific for Phase 1b Clinical Trials, Phase 2 Clinical Trials, Phase 3 Clinical Trials, and Commercialization. As Manufacturing Lead, Amgen shall be solely responsible for all manufacture and supply of Licensed Bispecific for use in Phase 1b Clinical Trials, Phase 2 Clinical Trials, Phase 3 Clinical Trials, and Commercialization under this Agreement, either itself or through a CMO, using the manufacturing process for the Licensed Bispecific transferred from Molecular Partners to Amgen pursuant to Section 7.2. Notwithstanding the immediately preceding sentence, Amgen shall first use Molecular Partners’ existing inventory of the Licensed Bispecific purchased in accordance with Section 7.4(a), subject to approval of the CMO by Amgen Partnership Quality, which shall conduct a Quality Audit (CQC) of the CMO, and based on Amgen quality standards and the physical condition of the Licensed Bispecific, including remaining shelf life. Amgen is responsible for any updates and improvements to the manufacturing process for the Licensed Bispecific, and shall keep Molecular Partners reasonably informed with respect to such updates and improvements pursuant to Section 7.3. Amgen will have the sole right to determine which manufacturing sites or CMOs, if any, will be used to manufacture the Licensed Bispecific; </w:t>
      </w:r>
      <w:r>
        <w:rPr>
          <w:rFonts w:ascii="Arial" w:cs="Arial" w:eastAsia="Arial" w:hAnsi="Arial"/>
          <w:sz w:val="19"/>
          <w:szCs w:val="19"/>
          <w:i w:val="1"/>
          <w:iCs w:val="1"/>
          <w:color w:val="auto"/>
        </w:rPr>
        <w:t>provided, however</w:t>
      </w:r>
      <w:r>
        <w:rPr>
          <w:rFonts w:ascii="Arial" w:cs="Arial" w:eastAsia="Arial" w:hAnsi="Arial"/>
          <w:sz w:val="19"/>
          <w:szCs w:val="19"/>
          <w:color w:val="auto"/>
        </w:rPr>
        <w:t>, that [***]. Further, if Amgen uses a CMO to manufacture the Licensed Bispecific, [***]. If at any time, Amgen does not manufacture the Licensed Bispecific through a CMO, [***].</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7.2 Transfer of Manufacturing Technology</w:t>
      </w:r>
      <w:r>
        <w:rPr>
          <w:rFonts w:ascii="Arial" w:cs="Arial" w:eastAsia="Arial" w:hAnsi="Arial"/>
          <w:sz w:val="21"/>
          <w:szCs w:val="21"/>
          <w:color w:val="auto"/>
        </w:rPr>
        <w:t>. Reasonably prior to the Initiation of the Phase 1b Clinical Trials, the</w:t>
      </w:r>
      <w:r>
        <w:rPr>
          <w:rFonts w:ascii="Arial" w:cs="Arial" w:eastAsia="Arial" w:hAnsi="Arial"/>
          <w:sz w:val="21"/>
          <w:szCs w:val="21"/>
          <w:b w:val="1"/>
          <w:bCs w:val="1"/>
          <w:color w:val="auto"/>
        </w:rPr>
        <w:t xml:space="preserve"> </w:t>
      </w:r>
      <w:r>
        <w:rPr>
          <w:rFonts w:ascii="Arial" w:cs="Arial" w:eastAsia="Arial" w:hAnsi="Arial"/>
          <w:sz w:val="21"/>
          <w:szCs w:val="21"/>
          <w:color w:val="auto"/>
        </w:rPr>
        <w:t>Parties shall initiate a technology transfer process in accordance with this Section 7.2. Molecular Partners shall transfer to Amgen, or a CMO designated by Amgen, all Molecular Partners Know-How reasonably required so that Amgen or such CMO (as appropriate) can replicate and validate the process employed by or on behalf of Molecular Partners to manufacture the Licensed Bispecific. The reasonable and customary costs of Molecular Partners (including the costs of FTEs, starter materials and shipping), in carrying out such transfer will be shared by the Parties as Development Costs. Amgen acknowledges and agrees that Molecular Partners may condition its agreement to transfer any Molecular Partners Know-How to a CMO on the execution of a confidentiality agreement between such CMO and Molecular Partners that contains terms substantially equivalent to those of Article 13 of this Agreement.</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7.3 Manufacturing Records and Reports</w:t>
      </w:r>
      <w:r>
        <w:rPr>
          <w:rFonts w:ascii="Arial" w:cs="Arial" w:eastAsia="Arial" w:hAnsi="Arial"/>
          <w:sz w:val="19"/>
          <w:szCs w:val="19"/>
          <w:color w:val="auto"/>
        </w:rPr>
        <w:t>. Each Party shall maintain complete and accurate records (in the form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technical notebooks or electronic files where appropriate) of all manufacturing activities conducted by it under this Article 7 and all Information resulting from such work. Such records, including any electronic files where such Information may also be contained, shall fully and properly reflect all work done and results achieved in the performance of such activities in sufficient detail and in good scientific manner appropriate for regulatory purposes. Each Party may review and copy such records maintained by the other Party at reasonable times and may obtain access to originals to the extent needed for patent or regulatory purposes or for other legal proceedings, </w:t>
      </w:r>
      <w:r>
        <w:rPr>
          <w:rFonts w:ascii="Arial" w:cs="Arial" w:eastAsia="Arial" w:hAnsi="Arial"/>
          <w:sz w:val="19"/>
          <w:szCs w:val="19"/>
          <w:i w:val="1"/>
          <w:iCs w:val="1"/>
          <w:color w:val="auto"/>
        </w:rPr>
        <w:t>provided</w:t>
      </w:r>
      <w:r>
        <w:rPr>
          <w:rFonts w:ascii="Arial" w:cs="Arial" w:eastAsia="Arial" w:hAnsi="Arial"/>
          <w:sz w:val="19"/>
          <w:szCs w:val="19"/>
          <w:color w:val="auto"/>
        </w:rPr>
        <w:t>, that Amgen may redact proprietary CMC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617" w:name="page618"/>
    <w:bookmarkEnd w:id="617"/>
    <w:p>
      <w:pPr>
        <w:jc w:val="both"/>
        <w:spacing w:after="0" w:line="253" w:lineRule="auto"/>
        <w:rPr>
          <w:sz w:val="20"/>
          <w:szCs w:val="20"/>
          <w:color w:val="auto"/>
        </w:rPr>
      </w:pPr>
      <w:r>
        <w:rPr>
          <w:rFonts w:ascii="Arial" w:cs="Arial" w:eastAsia="Arial" w:hAnsi="Arial"/>
          <w:sz w:val="22"/>
          <w:szCs w:val="22"/>
          <w:color w:val="auto"/>
        </w:rPr>
        <w:t>manufacturing process development information which it reasonably determines to be competitively sensitive. Each Party shall provide the JSC with reports detailing its manufacturing activities under this Article 7 and the results of such activities as the JSC requests.</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7.4 Clinical Supply Agreements and Quality Agreements</w:t>
      </w:r>
      <w:r>
        <w:rPr>
          <w:rFonts w:ascii="Arial" w:cs="Arial" w:eastAsia="Arial" w:hAnsi="Arial"/>
          <w:sz w:val="22"/>
          <w:szCs w:val="22"/>
          <w:color w:val="auto"/>
        </w:rPr>
        <w:t>. In accordance with this Section 7.4, the Parties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enter into [***] written clinical supply agreements (the “</w:t>
      </w:r>
      <w:r>
        <w:rPr>
          <w:rFonts w:ascii="Arial" w:cs="Arial" w:eastAsia="Arial" w:hAnsi="Arial"/>
          <w:sz w:val="22"/>
          <w:szCs w:val="22"/>
          <w:b w:val="1"/>
          <w:bCs w:val="1"/>
          <w:color w:val="auto"/>
        </w:rPr>
        <w:t>Clinical Supply Agreement</w:t>
      </w:r>
      <w:r>
        <w:rPr>
          <w:rFonts w:ascii="Arial" w:cs="Arial" w:eastAsia="Arial" w:hAnsi="Arial"/>
          <w:sz w:val="22"/>
          <w:szCs w:val="22"/>
          <w:color w:val="auto"/>
        </w:rPr>
        <w:t>”) and related written quality agreements (the “</w:t>
      </w:r>
      <w:r>
        <w:rPr>
          <w:rFonts w:ascii="Arial" w:cs="Arial" w:eastAsia="Arial" w:hAnsi="Arial"/>
          <w:sz w:val="22"/>
          <w:szCs w:val="22"/>
          <w:b w:val="1"/>
          <w:bCs w:val="1"/>
          <w:color w:val="auto"/>
        </w:rPr>
        <w:t>Clinical Product Quality Agreement</w:t>
      </w:r>
      <w:r>
        <w:rPr>
          <w:rFonts w:ascii="Arial" w:cs="Arial" w:eastAsia="Arial" w:hAnsi="Arial"/>
          <w:sz w:val="22"/>
          <w:szCs w:val="22"/>
          <w:color w:val="auto"/>
        </w:rPr>
        <w:t>”) to cover the supply of the Licensed Bispecific hereunder. The Clinical Supply Agreements and the Clinical Product Quality Agreements will contain normal and customary provisions for such agreements.</w:t>
      </w:r>
    </w:p>
    <w:p>
      <w:pPr>
        <w:spacing w:after="0" w:line="192" w:lineRule="exact"/>
        <w:rPr>
          <w:sz w:val="20"/>
          <w:szCs w:val="20"/>
          <w:color w:val="auto"/>
        </w:rPr>
      </w:pPr>
    </w:p>
    <w:p>
      <w:pPr>
        <w:jc w:val="both"/>
        <w:ind w:left="180" w:firstLine="1286"/>
        <w:spacing w:after="0" w:line="247" w:lineRule="auto"/>
        <w:tabs>
          <w:tab w:leader="none" w:pos="2026" w:val="left"/>
        </w:tabs>
        <w:numPr>
          <w:ilvl w:val="0"/>
          <w:numId w:val="566"/>
        </w:numPr>
        <w:rPr>
          <w:rFonts w:ascii="Arial" w:cs="Arial" w:eastAsia="Arial" w:hAnsi="Arial"/>
          <w:sz w:val="22"/>
          <w:szCs w:val="22"/>
          <w:color w:val="auto"/>
        </w:rPr>
      </w:pPr>
      <w:r>
        <w:rPr>
          <w:rFonts w:ascii="Arial" w:cs="Arial" w:eastAsia="Arial" w:hAnsi="Arial"/>
          <w:sz w:val="22"/>
          <w:szCs w:val="22"/>
          <w:i w:val="1"/>
          <w:iCs w:val="1"/>
          <w:color w:val="auto"/>
        </w:rPr>
        <w:t xml:space="preserve">Existing Inventory. </w:t>
      </w:r>
      <w:r>
        <w:rPr>
          <w:rFonts w:ascii="Arial" w:cs="Arial" w:eastAsia="Arial" w:hAnsi="Arial"/>
          <w:sz w:val="22"/>
          <w:szCs w:val="22"/>
          <w:color w:val="auto"/>
        </w:rPr>
        <w:t>If Molecular Partners’ existing inventory of Licensed Bispecific will be supplied to</w:t>
      </w:r>
      <w:r>
        <w:rPr>
          <w:rFonts w:ascii="Arial" w:cs="Arial" w:eastAsia="Arial" w:hAnsi="Arial"/>
          <w:sz w:val="22"/>
          <w:szCs w:val="22"/>
          <w:i w:val="1"/>
          <w:iCs w:val="1"/>
          <w:color w:val="auto"/>
        </w:rPr>
        <w:t xml:space="preserve"> </w:t>
      </w:r>
      <w:r>
        <w:rPr>
          <w:rFonts w:ascii="Arial" w:cs="Arial" w:eastAsia="Arial" w:hAnsi="Arial"/>
          <w:sz w:val="22"/>
          <w:szCs w:val="22"/>
          <w:color w:val="auto"/>
        </w:rPr>
        <w:t>Amgen for use in Clinical Trials pursuant to Section 7.1(b), then [***] prior to the anticipated start of such Clinical Trials, the Parties shall negotiate for and enter into a Clinical Supply Agreement and Clinical Product Quality Agreement to cover the supply of Licensed Bispecific from Molecular Partners’ CMO to Amgen for use in such Clinical Trials. The Parties are responsible for the cost of the Licensed Bispecific as a Development Cost as required pursuant to Section 4.3, which cost is [***].</w:t>
      </w:r>
    </w:p>
    <w:p>
      <w:pPr>
        <w:spacing w:after="0" w:line="192" w:lineRule="exact"/>
        <w:rPr>
          <w:rFonts w:ascii="Arial" w:cs="Arial" w:eastAsia="Arial" w:hAnsi="Arial"/>
          <w:sz w:val="22"/>
          <w:szCs w:val="22"/>
          <w:color w:val="auto"/>
        </w:rPr>
      </w:pPr>
    </w:p>
    <w:p>
      <w:pPr>
        <w:jc w:val="both"/>
        <w:ind w:left="180" w:firstLine="1286"/>
        <w:spacing w:after="0" w:line="263" w:lineRule="auto"/>
        <w:tabs>
          <w:tab w:leader="none" w:pos="2146" w:val="left"/>
        </w:tabs>
        <w:numPr>
          <w:ilvl w:val="0"/>
          <w:numId w:val="566"/>
        </w:numPr>
        <w:rPr>
          <w:rFonts w:ascii="Arial" w:cs="Arial" w:eastAsia="Arial" w:hAnsi="Arial"/>
          <w:sz w:val="21"/>
          <w:szCs w:val="21"/>
          <w:color w:val="auto"/>
        </w:rPr>
      </w:pPr>
      <w:r>
        <w:rPr>
          <w:rFonts w:ascii="Arial" w:cs="Arial" w:eastAsia="Arial" w:hAnsi="Arial"/>
          <w:sz w:val="21"/>
          <w:szCs w:val="21"/>
          <w:i w:val="1"/>
          <w:iCs w:val="1"/>
          <w:color w:val="auto"/>
        </w:rPr>
        <w:t xml:space="preserve">Independent Development Activities. </w:t>
      </w:r>
      <w:r>
        <w:rPr>
          <w:rFonts w:ascii="Arial" w:cs="Arial" w:eastAsia="Arial" w:hAnsi="Arial"/>
          <w:sz w:val="21"/>
          <w:szCs w:val="21"/>
          <w:color w:val="auto"/>
        </w:rPr>
        <w:t>If Molecular Partners requires clinical supply of the Licensed</w:t>
      </w:r>
      <w:r>
        <w:rPr>
          <w:rFonts w:ascii="Arial" w:cs="Arial" w:eastAsia="Arial" w:hAnsi="Arial"/>
          <w:sz w:val="21"/>
          <w:szCs w:val="21"/>
          <w:i w:val="1"/>
          <w:iCs w:val="1"/>
          <w:color w:val="auto"/>
        </w:rPr>
        <w:t xml:space="preserve"> </w:t>
      </w:r>
      <w:r>
        <w:rPr>
          <w:rFonts w:ascii="Arial" w:cs="Arial" w:eastAsia="Arial" w:hAnsi="Arial"/>
          <w:sz w:val="21"/>
          <w:szCs w:val="21"/>
          <w:color w:val="auto"/>
        </w:rPr>
        <w:t>Bispecific in connection with Independent Development Activities, at least [***] prior to the anticipated start of such Clinical Trials, the Parties shall negotiate for and enter into a Clinical Supply Agreement and Clinical Product Quality Agreement to cover the supply of Licensed Bispecific from Amgen (or its CMO) to Molecular Partners for use in Clinical Trials in connection with Independent Development Activities. Molecular Partners shall be responsible for [***].</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MP COM THERAPIES</w:t>
      </w:r>
    </w:p>
    <w:p>
      <w:pPr>
        <w:spacing w:after="0" w:line="19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8.1 General</w:t>
      </w:r>
      <w:r>
        <w:rPr>
          <w:rFonts w:ascii="Arial" w:cs="Arial" w:eastAsia="Arial" w:hAnsi="Arial"/>
          <w:sz w:val="22"/>
          <w:szCs w:val="22"/>
          <w:color w:val="auto"/>
        </w:rPr>
        <w:t>. Notwithstanding Section 3.8 and subject to approval by the JSC in accordance with this Article 8,</w:t>
      </w:r>
      <w:r>
        <w:rPr>
          <w:rFonts w:ascii="Arial" w:cs="Arial" w:eastAsia="Arial" w:hAnsi="Arial"/>
          <w:sz w:val="22"/>
          <w:szCs w:val="22"/>
          <w:b w:val="1"/>
          <w:bCs w:val="1"/>
          <w:color w:val="auto"/>
        </w:rPr>
        <w:t xml:space="preserve"> </w:t>
      </w:r>
      <w:r>
        <w:rPr>
          <w:rFonts w:ascii="Arial" w:cs="Arial" w:eastAsia="Arial" w:hAnsi="Arial"/>
          <w:sz w:val="22"/>
          <w:szCs w:val="22"/>
          <w:color w:val="auto"/>
        </w:rPr>
        <w:t>Molecular Partners may develop the Licensed Bispecific in combination with one or more MP Products (such combination, an “</w:t>
      </w:r>
      <w:r>
        <w:rPr>
          <w:rFonts w:ascii="Arial" w:cs="Arial" w:eastAsia="Arial" w:hAnsi="Arial"/>
          <w:sz w:val="22"/>
          <w:szCs w:val="22"/>
          <w:b w:val="1"/>
          <w:bCs w:val="1"/>
          <w:color w:val="auto"/>
        </w:rPr>
        <w:t>MP Combination Therapy</w:t>
      </w:r>
      <w:r>
        <w:rPr>
          <w:rFonts w:ascii="Arial" w:cs="Arial" w:eastAsia="Arial" w:hAnsi="Arial"/>
          <w:sz w:val="22"/>
          <w:szCs w:val="22"/>
          <w:color w:val="auto"/>
        </w:rPr>
        <w:t>”) and may promote the Licensed Bispecific as part of the MP Combination Therapy, in each case at Molecular Partners’ sole cost and expense, either itself or, subject to Section 8.1(b), with a Third Party (such Development, the “</w:t>
      </w:r>
      <w:r>
        <w:rPr>
          <w:rFonts w:ascii="Arial" w:cs="Arial" w:eastAsia="Arial" w:hAnsi="Arial"/>
          <w:sz w:val="22"/>
          <w:szCs w:val="22"/>
          <w:b w:val="1"/>
          <w:bCs w:val="1"/>
          <w:color w:val="auto"/>
        </w:rPr>
        <w:t>Independent Development Activities</w:t>
      </w:r>
      <w:r>
        <w:rPr>
          <w:rFonts w:ascii="Arial" w:cs="Arial" w:eastAsia="Arial" w:hAnsi="Arial"/>
          <w:sz w:val="22"/>
          <w:szCs w:val="22"/>
          <w:color w:val="auto"/>
        </w:rPr>
        <w:t>”).</w:t>
      </w:r>
    </w:p>
    <w:p>
      <w:pPr>
        <w:spacing w:after="0" w:line="186" w:lineRule="exact"/>
        <w:rPr>
          <w:sz w:val="20"/>
          <w:szCs w:val="20"/>
          <w:color w:val="auto"/>
        </w:rPr>
      </w:pPr>
    </w:p>
    <w:p>
      <w:pPr>
        <w:jc w:val="both"/>
        <w:ind w:left="180" w:firstLine="1286"/>
        <w:spacing w:after="0" w:line="249" w:lineRule="auto"/>
        <w:tabs>
          <w:tab w:leader="none" w:pos="2040" w:val="left"/>
        </w:tabs>
        <w:numPr>
          <w:ilvl w:val="0"/>
          <w:numId w:val="567"/>
        </w:numPr>
        <w:rPr>
          <w:rFonts w:ascii="Arial" w:cs="Arial" w:eastAsia="Arial" w:hAnsi="Arial"/>
          <w:sz w:val="22"/>
          <w:szCs w:val="22"/>
          <w:color w:val="auto"/>
        </w:rPr>
      </w:pPr>
      <w:r>
        <w:rPr>
          <w:rFonts w:ascii="Arial" w:cs="Arial" w:eastAsia="Arial" w:hAnsi="Arial"/>
          <w:sz w:val="22"/>
          <w:szCs w:val="22"/>
          <w:b w:val="1"/>
          <w:bCs w:val="1"/>
          <w:color w:val="auto"/>
        </w:rPr>
        <w:t>Notice of Independent Development Activities</w:t>
      </w:r>
      <w:r>
        <w:rPr>
          <w:rFonts w:ascii="Arial" w:cs="Arial" w:eastAsia="Arial" w:hAnsi="Arial"/>
          <w:sz w:val="22"/>
          <w:szCs w:val="22"/>
          <w:color w:val="auto"/>
        </w:rPr>
        <w:t>. Upon commencement of any preclinical Independent</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Activities, Molecular Partners shall provide the JSC with a reasonably detailed written plan for the Independent Development Activities then-contemplated, including the name of the MP Product then-available data regarding the proposed MP Combination Therapy, safety data and information on potential risks, a summary of the proposed development plan and Indications to be pursued.</w:t>
      </w:r>
    </w:p>
    <w:p>
      <w:pPr>
        <w:spacing w:after="0" w:line="186" w:lineRule="exact"/>
        <w:rPr>
          <w:rFonts w:ascii="Arial" w:cs="Arial" w:eastAsia="Arial" w:hAnsi="Arial"/>
          <w:sz w:val="22"/>
          <w:szCs w:val="22"/>
          <w:color w:val="auto"/>
        </w:rPr>
      </w:pPr>
    </w:p>
    <w:p>
      <w:pPr>
        <w:ind w:left="180" w:right="20" w:firstLine="1286"/>
        <w:spacing w:after="0" w:line="269" w:lineRule="auto"/>
        <w:tabs>
          <w:tab w:leader="none" w:pos="1944" w:val="left"/>
        </w:tabs>
        <w:numPr>
          <w:ilvl w:val="0"/>
          <w:numId w:val="567"/>
        </w:numPr>
        <w:rPr>
          <w:rFonts w:ascii="Arial" w:cs="Arial" w:eastAsia="Arial" w:hAnsi="Arial"/>
          <w:sz w:val="22"/>
          <w:szCs w:val="22"/>
          <w:color w:val="auto"/>
        </w:rPr>
      </w:pPr>
      <w:r>
        <w:rPr>
          <w:rFonts w:ascii="Arial" w:cs="Arial" w:eastAsia="Arial" w:hAnsi="Arial"/>
          <w:sz w:val="22"/>
          <w:szCs w:val="22"/>
          <w:b w:val="1"/>
          <w:bCs w:val="1"/>
          <w:color w:val="auto"/>
        </w:rPr>
        <w:t>Right of First Negotiation</w:t>
      </w:r>
      <w:r>
        <w:rPr>
          <w:rFonts w:ascii="Arial" w:cs="Arial" w:eastAsia="Arial" w:hAnsi="Arial"/>
          <w:sz w:val="22"/>
          <w:szCs w:val="22"/>
          <w:color w:val="auto"/>
        </w:rPr>
        <w:t>. If Molecular Partners proposes to grant a license to a Third Party to develop or</w:t>
      </w:r>
      <w:r>
        <w:rPr>
          <w:rFonts w:ascii="Arial" w:cs="Arial" w:eastAsia="Arial" w:hAnsi="Arial"/>
          <w:sz w:val="22"/>
          <w:szCs w:val="22"/>
          <w:b w:val="1"/>
          <w:bCs w:val="1"/>
          <w:color w:val="auto"/>
        </w:rPr>
        <w:t xml:space="preserve"> </w:t>
      </w:r>
      <w:r>
        <w:rPr>
          <w:rFonts w:ascii="Arial" w:cs="Arial" w:eastAsia="Arial" w:hAnsi="Arial"/>
          <w:sz w:val="22"/>
          <w:szCs w:val="22"/>
          <w:color w:val="auto"/>
        </w:rPr>
        <w:t>to commercialize an MP Combination Therapy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618" w:name="page619"/>
    <w:bookmarkEnd w:id="618"/>
    <w:p>
      <w:pPr>
        <w:jc w:val="both"/>
        <w:ind w:left="180"/>
        <w:spacing w:after="0" w:line="258" w:lineRule="auto"/>
        <w:rPr>
          <w:sz w:val="20"/>
          <w:szCs w:val="20"/>
          <w:color w:val="auto"/>
        </w:rPr>
      </w:pPr>
      <w:r>
        <w:rPr>
          <w:rFonts w:ascii="Arial" w:cs="Arial" w:eastAsia="Arial" w:hAnsi="Arial"/>
          <w:sz w:val="21"/>
          <w:szCs w:val="21"/>
          <w:color w:val="auto"/>
        </w:rPr>
        <w:t>be co-developed under the terms of this Agreement, then Molecular Partners shall notify Amgen. Amgen shall have [***] after receipt of such notice to inform Molecular Partners, in writing, that it wishes to enter into negotiations with Molecular Partners to co-develop such MP Combination Therapy. If Amgen does not inform Molecular Partners that it wishes to enter into negotiations with Molecular Partners for co-development of such MP Combination Therapy within such [***] period, then Molecular Partners shall have no further obligation under this Section 8.1(b). If Amgen informs Molecular Partners, in writing, within such [***] period, that it wishes to enter into negotiations with respect to such MP Combination Therapy then the Parties shall, for a period not to exceed the later of [***] (or such other period of time as may be mutually agreed by the Parties) and the date on which Molecular Partners enters into a definitive agreement with a Third Party for such rights, negotiate [***]with respect to the development and commercialization of such MP Combination Therapy [***]. If the Parties do not amend this Agreement or enter into a separate agreement within such time period, Molecular Partners shall have no further obligation under this Section 8.1(b).</w:t>
      </w:r>
    </w:p>
    <w:p>
      <w:pPr>
        <w:spacing w:after="0" w:line="176" w:lineRule="exact"/>
        <w:rPr>
          <w:sz w:val="20"/>
          <w:szCs w:val="20"/>
          <w:color w:val="auto"/>
        </w:rPr>
      </w:pPr>
    </w:p>
    <w:p>
      <w:pPr>
        <w:jc w:val="both"/>
        <w:ind w:left="180" w:firstLine="1286"/>
        <w:spacing w:after="0" w:line="288" w:lineRule="auto"/>
        <w:tabs>
          <w:tab w:leader="none" w:pos="2080" w:val="left"/>
        </w:tabs>
        <w:numPr>
          <w:ilvl w:val="0"/>
          <w:numId w:val="568"/>
        </w:numPr>
        <w:rPr>
          <w:rFonts w:ascii="Arial" w:cs="Arial" w:eastAsia="Arial" w:hAnsi="Arial"/>
          <w:sz w:val="19"/>
          <w:szCs w:val="19"/>
          <w:color w:val="auto"/>
        </w:rPr>
      </w:pPr>
      <w:r>
        <w:rPr>
          <w:rFonts w:ascii="Arial" w:cs="Arial" w:eastAsia="Arial" w:hAnsi="Arial"/>
          <w:sz w:val="19"/>
          <w:szCs w:val="19"/>
          <w:b w:val="1"/>
          <w:bCs w:val="1"/>
          <w:color w:val="auto"/>
        </w:rPr>
        <w:t>JSC Approval of Independent Development</w:t>
      </w:r>
      <w:r>
        <w:rPr>
          <w:rFonts w:ascii="Arial" w:cs="Arial" w:eastAsia="Arial" w:hAnsi="Arial"/>
          <w:sz w:val="19"/>
          <w:szCs w:val="19"/>
          <w:color w:val="auto"/>
        </w:rPr>
        <w:t>. The JSC shall review the submitted written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discuss the proposed Independent Development Activities provided under Section 8.1(a). Within [***] following the review and discussion of the proposed Independent Development Activities and presentation of the Specified Data (as defined below) at a meeting of the JSC, the JSC shall, in good faith, make a determination on the approval of the proposed Independent Development Activities, which approval may only be withheld if the JSC determines that [***]. The JSC shall make this determination based on then-available data, including data generated by Molecular Partners which will include monotherapy safety data for the MP Product in a Phase 1 Clinical Trial (collectively, “</w:t>
      </w:r>
      <w:r>
        <w:rPr>
          <w:rFonts w:ascii="Arial" w:cs="Arial" w:eastAsia="Arial" w:hAnsi="Arial"/>
          <w:sz w:val="19"/>
          <w:szCs w:val="19"/>
          <w:b w:val="1"/>
          <w:bCs w:val="1"/>
          <w:color w:val="auto"/>
        </w:rPr>
        <w:t>Specified Data</w:t>
      </w:r>
      <w:r>
        <w:rPr>
          <w:rFonts w:ascii="Arial" w:cs="Arial" w:eastAsia="Arial" w:hAnsi="Arial"/>
          <w:sz w:val="19"/>
          <w:szCs w:val="19"/>
          <w:color w:val="auto"/>
        </w:rPr>
        <w:t>”) and it shall not be sufficient to object solely on a DARPin Compound class-related basis associated with a MP Product without underlying specific data for such MP Product. Following approval by the JSC, Molecular Partners may conduct the Independent Development Activities at Molecular Partners’ sole discretion in accordance with the development plan provided to the JSC pursuant to Section 8.1(a), as may be updated from time to time by Molecular Partners, subject to this Article 8.</w:t>
      </w:r>
    </w:p>
    <w:p>
      <w:pPr>
        <w:spacing w:after="0" w:line="1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8.2 Restrictions</w:t>
      </w:r>
      <w:r>
        <w:rPr>
          <w:rFonts w:ascii="Arial" w:cs="Arial" w:eastAsia="Arial" w:hAnsi="Arial"/>
          <w:sz w:val="22"/>
          <w:szCs w:val="22"/>
          <w:color w:val="auto"/>
        </w:rPr>
        <w:t>. Molecular Partners shall be prohibited, itself or through a Third Party, from (a) commencing any</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Development Activities that, at the time of Molecular Partners’ notification to the JSC under Section 8.1(a) of proposed commencement of any preclinical Independent Development Activities, [***], and (b) continuing any Independent Development Activities following the initial JSC approval pursuant to Section 8.1(c), if at any time new data not available at the time of the initial JSC approval indicates that such Independent Development Activity would [***], with such determination made consistent with the factors described in Section 8.1(c). Following the consummation of any Change of Control of Molecular Partners, neither Molecular Partners nor any Affiliate thereof shall continue or commence any development or commercialization of [***].</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8.3 Supply</w:t>
      </w:r>
      <w:r>
        <w:rPr>
          <w:rFonts w:ascii="Arial" w:cs="Arial" w:eastAsia="Arial" w:hAnsi="Arial"/>
          <w:sz w:val="22"/>
          <w:szCs w:val="22"/>
          <w:color w:val="auto"/>
        </w:rPr>
        <w:t>. If Amgen is the Manufacturing Lead pursuant to Section 7.1(b), then upon Molecular Partners’ request,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consistent with the availability of clinical supply, Amgen shall use commercially reasonable efforts to supply Molecular Partners with quantities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619" w:name="page620"/>
    <w:bookmarkEnd w:id="619"/>
    <w:p>
      <w:pPr>
        <w:jc w:val="both"/>
        <w:spacing w:after="0" w:line="343" w:lineRule="auto"/>
        <w:rPr>
          <w:sz w:val="20"/>
          <w:szCs w:val="20"/>
          <w:color w:val="auto"/>
        </w:rPr>
      </w:pPr>
      <w:r>
        <w:rPr>
          <w:rFonts w:ascii="Arial" w:cs="Arial" w:eastAsia="Arial" w:hAnsi="Arial"/>
          <w:sz w:val="19"/>
          <w:szCs w:val="19"/>
          <w:color w:val="auto"/>
        </w:rPr>
        <w:t>Licensed Bispecific requested by Molecular Partners for the Independent Development Activities pursuant to the terms of a Clinical Supply Agreement and associated Clinical Product Quality Agreement agreed by the Parties pursuant to Section 7.4(b).</w:t>
      </w:r>
    </w:p>
    <w:p>
      <w:pPr>
        <w:spacing w:after="0" w:line="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8.4 JSC Update</w:t>
      </w:r>
      <w:r>
        <w:rPr>
          <w:rFonts w:ascii="Arial" w:cs="Arial" w:eastAsia="Arial" w:hAnsi="Arial"/>
          <w:sz w:val="21"/>
          <w:szCs w:val="21"/>
          <w:color w:val="auto"/>
        </w:rPr>
        <w:t>. If following the JSC approval described above, Molecular Partners proceeds with such Independent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Activities, Molecular Partners shall update the JSC (a) following any significant event (e.g., data readout or completion of a Clinical Trial), (b) following any event that would reasonably expected to have an adverse effect on the Licensed Bispecific, and (c) otherwise on [***] (or more frequently as reasonably requested by the JSC), with material information and general updates on the progress of the Independent Development Activities.</w:t>
      </w:r>
    </w:p>
    <w:p>
      <w:pPr>
        <w:spacing w:after="0" w:line="17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Regulatory Matters for MP Combination Therapies</w:t>
      </w:r>
      <w:r>
        <w:rPr>
          <w:rFonts w:ascii="Arial" w:cs="Arial" w:eastAsia="Arial" w:hAnsi="Arial"/>
          <w:sz w:val="19"/>
          <w:szCs w:val="19"/>
          <w:color w:val="auto"/>
        </w:rPr>
        <w:t>.</w:t>
      </w:r>
    </w:p>
    <w:p>
      <w:pPr>
        <w:spacing w:after="0" w:line="220" w:lineRule="exact"/>
        <w:rPr>
          <w:sz w:val="20"/>
          <w:szCs w:val="20"/>
          <w:color w:val="auto"/>
        </w:rPr>
      </w:pPr>
    </w:p>
    <w:p>
      <w:pPr>
        <w:jc w:val="both"/>
        <w:ind w:left="180" w:firstLine="1286"/>
        <w:spacing w:after="0" w:line="252" w:lineRule="auto"/>
        <w:tabs>
          <w:tab w:leader="none" w:pos="1932" w:val="left"/>
        </w:tabs>
        <w:numPr>
          <w:ilvl w:val="0"/>
          <w:numId w:val="569"/>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Molecular Partners is responsible for establishing the regulatory strategy for the MP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Therapies, and has full decision-making authority with respect thereto; </w:t>
      </w:r>
      <w:r>
        <w:rPr>
          <w:rFonts w:ascii="Arial" w:cs="Arial" w:eastAsia="Arial" w:hAnsi="Arial"/>
          <w:sz w:val="22"/>
          <w:szCs w:val="22"/>
          <w:i w:val="1"/>
          <w:iCs w:val="1"/>
          <w:color w:val="auto"/>
        </w:rPr>
        <w:t>provided</w:t>
      </w:r>
      <w:r>
        <w:rPr>
          <w:rFonts w:ascii="Arial" w:cs="Arial" w:eastAsia="Arial" w:hAnsi="Arial"/>
          <w:sz w:val="22"/>
          <w:szCs w:val="22"/>
          <w:color w:val="auto"/>
        </w:rPr>
        <w:t>, that Molecular Partners shall discuss with Amgen at the JSC the regulatory strategy for the Licensed Bispecific as it relates to MP Combination Therapies and shall consider in good faith Amgen’s comments with respect thereto.</w:t>
      </w:r>
    </w:p>
    <w:p>
      <w:pPr>
        <w:spacing w:after="0" w:line="179" w:lineRule="exact"/>
        <w:rPr>
          <w:rFonts w:ascii="Arial" w:cs="Arial" w:eastAsia="Arial" w:hAnsi="Arial"/>
          <w:sz w:val="22"/>
          <w:szCs w:val="22"/>
          <w:color w:val="auto"/>
        </w:rPr>
      </w:pPr>
    </w:p>
    <w:p>
      <w:pPr>
        <w:jc w:val="both"/>
        <w:ind w:left="180" w:firstLine="1286"/>
        <w:spacing w:after="0" w:line="286" w:lineRule="auto"/>
        <w:tabs>
          <w:tab w:leader="none" w:pos="1984" w:val="left"/>
        </w:tabs>
        <w:numPr>
          <w:ilvl w:val="0"/>
          <w:numId w:val="569"/>
        </w:numPr>
        <w:rPr>
          <w:rFonts w:ascii="Arial" w:cs="Arial" w:eastAsia="Arial" w:hAnsi="Arial"/>
          <w:sz w:val="19"/>
          <w:szCs w:val="19"/>
          <w:color w:val="auto"/>
        </w:rPr>
      </w:pPr>
      <w:r>
        <w:rPr>
          <w:rFonts w:ascii="Arial" w:cs="Arial" w:eastAsia="Arial" w:hAnsi="Arial"/>
          <w:sz w:val="19"/>
          <w:szCs w:val="19"/>
          <w:b w:val="1"/>
          <w:bCs w:val="1"/>
          <w:color w:val="auto"/>
        </w:rPr>
        <w:t>Regulatory Responsibilities</w:t>
      </w:r>
      <w:r>
        <w:rPr>
          <w:rFonts w:ascii="Arial" w:cs="Arial" w:eastAsia="Arial" w:hAnsi="Arial"/>
          <w:sz w:val="19"/>
          <w:szCs w:val="19"/>
          <w:color w:val="auto"/>
        </w:rPr>
        <w:t>. Molecular Partners shall prepare and file all Regulatory Materials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definition of Regulatory Approvals being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MP Products) for MP Products, shall be the holder of all Regulatory Materials for MP Products, and shall have sole operational and strategic responsibility for interactions with the applicable Regulatory Authorities with respect to MP Products. Upon the reasonable request of either Party, the Parties shall discuss and cooperate in good faith with each other to expand the label of the MP Combination Therapy or a Product, as applicable, to reflect Regulatory Materials filed by the other Party with respect to the MP Combination Therapy or a Product. Molecular Partners shall notify Amgen of any scheduled meeting with any Regulatory Authority that solely relates to the Licensed Bispecific reasonably in advance of such meeting, and Molecular Partners shall permit Amgen to, and Amgen may, be involved with such meetings and Molecular Partners shall reasonably consider a request of Amgen to attend such meetings, to the extent permitted by Applicable Laws. Molecular Partners shall promptly furnish Amgen with copies of all material correspondence to or from, and minutes of material meetings (including telephonic meetings) with, any Regulatory Authority relating to development of the Licensed Bispecific. Molecular Partners shall and hereby does grant Amgen a right to cross-reference, file or incorporate by reference any Regulatory Materials and any data contained therein made by Molecular Partners for any MP Combination Therapy that is reasonably necessary to support Regulatory Materials that Amgen is permitted to submit under this Agreement and to enable Amgen to fulfill its obligations or exercise its rights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however, Amgen shall not have the right to access directly Molecular Partners’ manufacturing, device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proprietary information within such Regulatory Material or data.</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80" w:firstLine="1286"/>
        <w:spacing w:after="0" w:line="269" w:lineRule="auto"/>
        <w:tabs>
          <w:tab w:leader="none" w:pos="2053" w:val="left"/>
        </w:tabs>
        <w:numPr>
          <w:ilvl w:val="0"/>
          <w:numId w:val="569"/>
        </w:numPr>
        <w:rPr>
          <w:rFonts w:ascii="Arial" w:cs="Arial" w:eastAsia="Arial" w:hAnsi="Arial"/>
          <w:sz w:val="22"/>
          <w:szCs w:val="22"/>
          <w:color w:val="auto"/>
        </w:rPr>
      </w:pPr>
      <w:r>
        <w:rPr>
          <w:rFonts w:ascii="Arial" w:cs="Arial" w:eastAsia="Arial" w:hAnsi="Arial"/>
          <w:sz w:val="22"/>
          <w:szCs w:val="22"/>
          <w:b w:val="1"/>
          <w:bCs w:val="1"/>
          <w:color w:val="auto"/>
        </w:rPr>
        <w:t>Reporting and Review</w:t>
      </w:r>
      <w:r>
        <w:rPr>
          <w:rFonts w:ascii="Arial" w:cs="Arial" w:eastAsia="Arial" w:hAnsi="Arial"/>
          <w:sz w:val="22"/>
          <w:szCs w:val="22"/>
          <w:color w:val="auto"/>
        </w:rPr>
        <w:t>. Molecular Partners shall provide Amgen with copies of proposed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Materials with respect to the Licensed Bispecific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620" w:name="page621"/>
    <w:bookmarkEnd w:id="620"/>
    <w:p>
      <w:pPr>
        <w:jc w:val="both"/>
        <w:ind w:left="180"/>
        <w:spacing w:after="0" w:line="261" w:lineRule="auto"/>
        <w:rPr>
          <w:sz w:val="20"/>
          <w:szCs w:val="20"/>
          <w:color w:val="auto"/>
        </w:rPr>
      </w:pPr>
      <w:r>
        <w:rPr>
          <w:rFonts w:ascii="Arial" w:cs="Arial" w:eastAsia="Arial" w:hAnsi="Arial"/>
          <w:sz w:val="21"/>
          <w:szCs w:val="21"/>
          <w:color w:val="auto"/>
        </w:rPr>
        <w:t xml:space="preserve">prior to submission to the applicable Regulatory Authority so that Amgen may review and comment on such Regulatory Materials. Molecular Partners shall consider Amgen’s comments on the portion of such Regulatory Materials related to the Licensed Bispecific in good faith. Molecular Partners shall promptly notify Amgen of all Regulatory Materials that it submits for the Licensed Bispecific included in MP Combination Therapies and shall promptly provide Amgen with a copy (which may be wholly or partly in electronic form) of such Regulatory Materials applicable to the Licensed Bispecific; </w:t>
      </w:r>
      <w:r>
        <w:rPr>
          <w:rFonts w:ascii="Arial" w:cs="Arial" w:eastAsia="Arial" w:hAnsi="Arial"/>
          <w:sz w:val="21"/>
          <w:szCs w:val="21"/>
          <w:i w:val="1"/>
          <w:iCs w:val="1"/>
          <w:color w:val="auto"/>
        </w:rPr>
        <w:t>provided</w:t>
      </w:r>
      <w:r>
        <w:rPr>
          <w:rFonts w:ascii="Arial" w:cs="Arial" w:eastAsia="Arial" w:hAnsi="Arial"/>
          <w:sz w:val="21"/>
          <w:szCs w:val="21"/>
          <w:color w:val="auto"/>
        </w:rPr>
        <w:t>, that Molecular Partners may redact information unrelated to the Licensed Bispecific.</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8.6 Commercialization of MP Combination Therapies</w:t>
      </w:r>
      <w:r>
        <w:rPr>
          <w:rFonts w:ascii="Arial" w:cs="Arial" w:eastAsia="Arial" w:hAnsi="Arial"/>
          <w:sz w:val="19"/>
          <w:szCs w:val="19"/>
          <w:color w:val="auto"/>
        </w:rPr>
        <w:t>. Molecular Partners retains the right to commercialize MP</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itself or through a Third Party. All decisions concerning the marketing and sales of MP Products, including the design, sale, price, and promotion of MP Products, is within the sole discretion of Molecular Partners. Molecular Partners may, itself or through a Third Party, promote the Licensed Bispecific in connection with the MP Combination Therapy and is responsible for booking all sales of the MP Product. Amgen may promote, itself or through a Third Party, the MP Combination Therapy and is responsible for booking all sales of the Licensed Bispecific. For clarity, Amgen obtains no other rights in any MP Product and has no right to receive royalties or any other payments on sales of MP Products by or on behalf of Molecular Partners. For the avoidance of doubt, Amgen has the right to price the Licensed Bispecific in accordance with Section 6.5.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FINANCIALS</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9.1 Upfront Fee</w:t>
      </w:r>
      <w:r>
        <w:rPr>
          <w:rFonts w:ascii="Arial" w:cs="Arial" w:eastAsia="Arial" w:hAnsi="Arial"/>
          <w:sz w:val="22"/>
          <w:szCs w:val="22"/>
          <w:color w:val="auto"/>
        </w:rPr>
        <w:t>. No later than [***] after the Effective Date, Amgen shall pay to Molecular Partners a nonrefundable,</w:t>
      </w:r>
      <w:r>
        <w:rPr>
          <w:rFonts w:ascii="Arial" w:cs="Arial" w:eastAsia="Arial" w:hAnsi="Arial"/>
          <w:sz w:val="22"/>
          <w:szCs w:val="22"/>
          <w:b w:val="1"/>
          <w:bCs w:val="1"/>
          <w:color w:val="auto"/>
        </w:rPr>
        <w:t xml:space="preserve"> </w:t>
      </w:r>
      <w:r>
        <w:rPr>
          <w:rFonts w:ascii="Arial" w:cs="Arial" w:eastAsia="Arial" w:hAnsi="Arial"/>
          <w:sz w:val="22"/>
          <w:szCs w:val="22"/>
          <w:color w:val="auto"/>
        </w:rPr>
        <w:t>non-creditable upfront fee of Fifty Million Dollars ($50,000,000).</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9.2 Development Costs</w:t>
      </w:r>
      <w:r>
        <w:rPr>
          <w:rFonts w:ascii="Arial" w:cs="Arial" w:eastAsia="Arial" w:hAnsi="Arial"/>
          <w:sz w:val="19"/>
          <w:szCs w:val="19"/>
          <w:color w:val="auto"/>
        </w:rPr>
        <w:t>. Within [***] after the end of each Calendar Quarter during which a Party (the “</w:t>
      </w:r>
      <w:r>
        <w:rPr>
          <w:rFonts w:ascii="Arial" w:cs="Arial" w:eastAsia="Arial" w:hAnsi="Arial"/>
          <w:sz w:val="19"/>
          <w:szCs w:val="19"/>
          <w:b w:val="1"/>
          <w:bCs w:val="1"/>
          <w:color w:val="auto"/>
        </w:rPr>
        <w:t>Incurring Party</w:t>
      </w:r>
      <w:r>
        <w:rPr>
          <w:rFonts w:ascii="Arial" w:cs="Arial" w:eastAsia="Arial" w:hAnsi="Arial"/>
          <w:sz w:val="19"/>
          <w:szCs w:val="19"/>
          <w:color w:val="auto"/>
        </w:rPr>
        <w:t>”) incurs any Development Costs that are subject to reimbursement by the other Party in accordance with Section 4.3, the</w:t>
      </w:r>
      <w:r>
        <w:rPr>
          <w:rFonts w:ascii="Arial" w:cs="Arial" w:eastAsia="Arial" w:hAnsi="Arial"/>
          <w:sz w:val="19"/>
          <w:szCs w:val="19"/>
          <w:b w:val="1"/>
          <w:bCs w:val="1"/>
          <w:color w:val="auto"/>
        </w:rPr>
        <w:t xml:space="preserve"> </w:t>
      </w:r>
      <w:r>
        <w:rPr>
          <w:rFonts w:ascii="Arial" w:cs="Arial" w:eastAsia="Arial" w:hAnsi="Arial"/>
          <w:sz w:val="19"/>
          <w:szCs w:val="19"/>
          <w:color w:val="auto"/>
        </w:rPr>
        <w:t>Incurring Party shall submit to the other Party a reasonably detailed report of the Development Costs incurred by such Incurring Party or its Affiliates in accordance with this Agreement in such Calendar Quarter together with reasonable supporting documentation and an invoice for such Development Costs. For the avoidance of doubt, no cost or expense shall be counted more than once in calculating Development Costs, even if such costs or expense falls into more than one of the cost categories that comprise Development Costs. Each Party shall record and account for its FTE effort to the extent that such FTE efforts are included in Development Costs that are shared under this Agreement, and shall report such FTE effort to the JSC, if requested (such request not to be more than on a [***] basis). Each Party shall calculate and maintain records of FTE effort incurred by it in the same manner as used for other products developed by such Party, unless instructed by the JSC to employ other procedures, in which case such other procedures shall be applied equally to both Parties. The other Party shall pay its portion of the Development Costs in the amount invoiced within [***] after receipt of such invoice. Each Party shall perform (or shall procure the performance of) such further acts, and to execute and deliver (or to procure the execution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621" w:name="page622"/>
    <w:bookmarkEnd w:id="621"/>
    <w:p>
      <w:pPr>
        <w:jc w:val="both"/>
        <w:ind w:right="20"/>
        <w:spacing w:after="0" w:line="250" w:lineRule="auto"/>
        <w:rPr>
          <w:sz w:val="20"/>
          <w:szCs w:val="20"/>
          <w:color w:val="auto"/>
        </w:rPr>
      </w:pPr>
      <w:r>
        <w:rPr>
          <w:rFonts w:ascii="Arial" w:cs="Arial" w:eastAsia="Arial" w:hAnsi="Arial"/>
          <w:sz w:val="22"/>
          <w:szCs w:val="22"/>
          <w:color w:val="auto"/>
        </w:rPr>
        <w:t>delivery of) such further agreements and documents, as may be required by Applicable Law or as the other Party may reasonably require to implement such payment. Notwithstanding the foregoing, a Party may withhold amounts that are subject to a good faith dispute. If the Parties cannot agree on the reimbursement of Development Costs, the Parties shall resolve such dispute in accordance with Article 15.</w:t>
      </w:r>
    </w:p>
    <w:p>
      <w:pPr>
        <w:spacing w:after="0" w:line="18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Development Milestone Payments</w:t>
      </w:r>
      <w:r>
        <w:rPr>
          <w:rFonts w:ascii="Arial" w:cs="Arial" w:eastAsia="Arial" w:hAnsi="Arial"/>
          <w:sz w:val="19"/>
          <w:szCs w:val="19"/>
          <w:color w:val="auto"/>
        </w:rPr>
        <w:t>.</w:t>
      </w:r>
    </w:p>
    <w:p>
      <w:pPr>
        <w:spacing w:after="0" w:line="220" w:lineRule="exact"/>
        <w:rPr>
          <w:sz w:val="20"/>
          <w:szCs w:val="20"/>
          <w:color w:val="auto"/>
        </w:rPr>
      </w:pPr>
    </w:p>
    <w:p>
      <w:pPr>
        <w:jc w:val="both"/>
        <w:ind w:left="180" w:right="20" w:firstLine="1286"/>
        <w:spacing w:after="0" w:line="315" w:lineRule="auto"/>
        <w:tabs>
          <w:tab w:leader="none" w:pos="1945" w:val="left"/>
        </w:tabs>
        <w:numPr>
          <w:ilvl w:val="0"/>
          <w:numId w:val="570"/>
        </w:numPr>
        <w:rPr>
          <w:rFonts w:ascii="Arial" w:cs="Arial" w:eastAsia="Arial" w:hAnsi="Arial"/>
          <w:sz w:val="19"/>
          <w:szCs w:val="19"/>
          <w:color w:val="auto"/>
        </w:rPr>
      </w:pPr>
      <w:r>
        <w:rPr>
          <w:rFonts w:ascii="Arial" w:cs="Arial" w:eastAsia="Arial" w:hAnsi="Arial"/>
          <w:sz w:val="19"/>
          <w:szCs w:val="19"/>
          <w:b w:val="1"/>
          <w:bCs w:val="1"/>
          <w:color w:val="auto"/>
        </w:rPr>
        <w:t>Events</w:t>
      </w:r>
      <w:r>
        <w:rPr>
          <w:rFonts w:ascii="Arial" w:cs="Arial" w:eastAsia="Arial" w:hAnsi="Arial"/>
          <w:sz w:val="19"/>
          <w:szCs w:val="19"/>
          <w:color w:val="auto"/>
        </w:rPr>
        <w:t>. Subject to the remainder of this Section 9.3, Amgen shall make each of the milestone payments to</w:t>
      </w:r>
      <w:r>
        <w:rPr>
          <w:rFonts w:ascii="Arial" w:cs="Arial" w:eastAsia="Arial" w:hAnsi="Arial"/>
          <w:sz w:val="19"/>
          <w:szCs w:val="19"/>
          <w:b w:val="1"/>
          <w:bCs w:val="1"/>
          <w:color w:val="auto"/>
        </w:rPr>
        <w:t xml:space="preserve"> </w:t>
      </w:r>
      <w:r>
        <w:rPr>
          <w:rFonts w:ascii="Arial" w:cs="Arial" w:eastAsia="Arial" w:hAnsi="Arial"/>
          <w:sz w:val="19"/>
          <w:szCs w:val="19"/>
          <w:color w:val="auto"/>
        </w:rPr>
        <w:t>Molecular Partners (“</w:t>
      </w:r>
      <w:r>
        <w:rPr>
          <w:rFonts w:ascii="Arial" w:cs="Arial" w:eastAsia="Arial" w:hAnsi="Arial"/>
          <w:sz w:val="19"/>
          <w:szCs w:val="19"/>
          <w:b w:val="1"/>
          <w:bCs w:val="1"/>
          <w:color w:val="auto"/>
        </w:rPr>
        <w:t>Milestone Payments</w:t>
      </w:r>
      <w:r>
        <w:rPr>
          <w:rFonts w:ascii="Arial" w:cs="Arial" w:eastAsia="Arial" w:hAnsi="Arial"/>
          <w:sz w:val="19"/>
          <w:szCs w:val="19"/>
          <w:color w:val="auto"/>
        </w:rPr>
        <w:t>”) based on achievement by Amgen, its Affiliate or a Sublicensee of certain Development and regulatory milestone events (a “</w:t>
      </w:r>
      <w:r>
        <w:rPr>
          <w:rFonts w:ascii="Arial" w:cs="Arial" w:eastAsia="Arial" w:hAnsi="Arial"/>
          <w:sz w:val="19"/>
          <w:szCs w:val="19"/>
          <w:b w:val="1"/>
          <w:bCs w:val="1"/>
          <w:color w:val="auto"/>
        </w:rPr>
        <w:t>Milestone Event</w:t>
      </w:r>
      <w:r>
        <w:rPr>
          <w:rFonts w:ascii="Arial" w:cs="Arial" w:eastAsia="Arial" w:hAnsi="Arial"/>
          <w:sz w:val="19"/>
          <w:szCs w:val="19"/>
          <w:color w:val="auto"/>
        </w:rPr>
        <w:t>”) set forth in the table below.</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580" w:type="dxa"/>
            <w:vAlign w:val="bottom"/>
            <w:tcBorders>
              <w:top w:val="single" w:sz="8" w:color="auto"/>
              <w:left w:val="single" w:sz="8" w:color="auto"/>
            </w:tcBorders>
            <w:shd w:val="clear" w:color="auto" w:fill="D9D9D9"/>
          </w:tcPr>
          <w:p>
            <w:pPr>
              <w:spacing w:after="0"/>
              <w:rPr>
                <w:sz w:val="24"/>
                <w:szCs w:val="24"/>
                <w:color w:val="auto"/>
              </w:rPr>
            </w:pPr>
          </w:p>
        </w:tc>
        <w:tc>
          <w:tcPr>
            <w:tcW w:w="3020" w:type="dxa"/>
            <w:vAlign w:val="bottom"/>
            <w:tcBorders>
              <w:top w:val="single" w:sz="8" w:color="auto"/>
              <w:right w:val="single" w:sz="8" w:color="auto"/>
            </w:tcBorders>
            <w:shd w:val="clear" w:color="auto" w:fill="D9D9D9"/>
          </w:tcPr>
          <w:p>
            <w:pPr>
              <w:jc w:val="right"/>
              <w:ind w:right="952"/>
              <w:spacing w:after="0"/>
              <w:rPr>
                <w:sz w:val="20"/>
                <w:szCs w:val="20"/>
                <w:color w:val="auto"/>
              </w:rPr>
            </w:pPr>
            <w:r>
              <w:rPr>
                <w:rFonts w:ascii="Arial" w:cs="Arial" w:eastAsia="Arial" w:hAnsi="Arial"/>
                <w:sz w:val="22"/>
                <w:szCs w:val="22"/>
                <w:b w:val="1"/>
                <w:bCs w:val="1"/>
                <w:color w:val="auto"/>
              </w:rPr>
              <w:t>Milestone Event</w:t>
            </w:r>
          </w:p>
        </w:tc>
        <w:tc>
          <w:tcPr>
            <w:tcW w:w="2580" w:type="dxa"/>
            <w:vAlign w:val="bottom"/>
            <w:tcBorders>
              <w:top w:val="single" w:sz="8" w:color="auto"/>
              <w:right w:val="single" w:sz="8" w:color="D9D9D9"/>
            </w:tcBorders>
            <w:shd w:val="clear" w:color="auto" w:fill="D9D9D9"/>
          </w:tcPr>
          <w:p>
            <w:pPr>
              <w:spacing w:after="0"/>
              <w:rPr>
                <w:sz w:val="24"/>
                <w:szCs w:val="24"/>
                <w:color w:val="auto"/>
              </w:rPr>
            </w:pPr>
          </w:p>
        </w:tc>
        <w:tc>
          <w:tcPr>
            <w:tcW w:w="2600" w:type="dxa"/>
            <w:vAlign w:val="bottom"/>
            <w:tcBorders>
              <w:top w:val="single" w:sz="8" w:color="auto"/>
              <w:right w:val="single" w:sz="8" w:color="D9D9D9"/>
            </w:tcBorders>
            <w:shd w:val="clear" w:color="auto" w:fill="D9D9D9"/>
          </w:tcPr>
          <w:p>
            <w:pPr>
              <w:jc w:val="center"/>
              <w:ind w:right="32"/>
              <w:spacing w:after="0"/>
              <w:rPr>
                <w:sz w:val="20"/>
                <w:szCs w:val="20"/>
                <w:color w:val="auto"/>
              </w:rPr>
            </w:pPr>
            <w:r>
              <w:rPr>
                <w:rFonts w:ascii="Arial" w:cs="Arial" w:eastAsia="Arial" w:hAnsi="Arial"/>
                <w:sz w:val="22"/>
                <w:szCs w:val="22"/>
                <w:b w:val="1"/>
                <w:bCs w:val="1"/>
                <w:color w:val="auto"/>
                <w:w w:val="89"/>
              </w:rPr>
              <w:t>Milestone Payment</w:t>
            </w:r>
          </w:p>
        </w:tc>
        <w:tc>
          <w:tcPr>
            <w:tcW w:w="2480" w:type="dxa"/>
            <w:vAlign w:val="bottom"/>
            <w:tcBorders>
              <w:top w:val="single" w:sz="8" w:color="auto"/>
              <w:right w:val="single" w:sz="8" w:color="auto"/>
            </w:tcBorders>
            <w:shd w:val="clear" w:color="auto" w:fill="D9D9D9"/>
          </w:tcPr>
          <w:p>
            <w:pPr>
              <w:spacing w:after="0"/>
              <w:rPr>
                <w:sz w:val="24"/>
                <w:szCs w:val="24"/>
                <w:color w:val="auto"/>
              </w:rPr>
            </w:pPr>
          </w:p>
        </w:tc>
      </w:tr>
      <w:tr>
        <w:trPr>
          <w:trHeight w:val="71"/>
        </w:trPr>
        <w:tc>
          <w:tcPr>
            <w:tcW w:w="580" w:type="dxa"/>
            <w:vAlign w:val="bottom"/>
            <w:tcBorders>
              <w:left w:val="single" w:sz="8" w:color="auto"/>
              <w:bottom w:val="single" w:sz="8" w:color="auto"/>
            </w:tcBorders>
            <w:shd w:val="clear" w:color="auto" w:fill="D9D9D9"/>
          </w:tcPr>
          <w:p>
            <w:pPr>
              <w:spacing w:after="0"/>
              <w:rPr>
                <w:sz w:val="6"/>
                <w:szCs w:val="6"/>
                <w:color w:val="auto"/>
              </w:rPr>
            </w:pPr>
          </w:p>
        </w:tc>
        <w:tc>
          <w:tcPr>
            <w:tcW w:w="3020" w:type="dxa"/>
            <w:vAlign w:val="bottom"/>
            <w:tcBorders>
              <w:bottom w:val="single" w:sz="8" w:color="auto"/>
              <w:right w:val="single" w:sz="8" w:color="auto"/>
            </w:tcBorders>
            <w:shd w:val="clear" w:color="auto" w:fill="D9D9D9"/>
          </w:tcPr>
          <w:p>
            <w:pPr>
              <w:spacing w:after="0"/>
              <w:rPr>
                <w:sz w:val="6"/>
                <w:szCs w:val="6"/>
                <w:color w:val="auto"/>
              </w:rPr>
            </w:pPr>
          </w:p>
        </w:tc>
        <w:tc>
          <w:tcPr>
            <w:tcW w:w="2580" w:type="dxa"/>
            <w:vAlign w:val="bottom"/>
            <w:tcBorders>
              <w:bottom w:val="single" w:sz="8" w:color="auto"/>
              <w:right w:val="single" w:sz="8" w:color="D9D9D9"/>
            </w:tcBorders>
            <w:shd w:val="clear" w:color="auto" w:fill="D9D9D9"/>
          </w:tcPr>
          <w:p>
            <w:pPr>
              <w:spacing w:after="0"/>
              <w:rPr>
                <w:sz w:val="6"/>
                <w:szCs w:val="6"/>
                <w:color w:val="auto"/>
              </w:rPr>
            </w:pPr>
          </w:p>
        </w:tc>
        <w:tc>
          <w:tcPr>
            <w:tcW w:w="2600" w:type="dxa"/>
            <w:vAlign w:val="bottom"/>
            <w:tcBorders>
              <w:bottom w:val="single" w:sz="8" w:color="auto"/>
              <w:right w:val="single" w:sz="8" w:color="D9D9D9"/>
            </w:tcBorders>
            <w:shd w:val="clear" w:color="auto" w:fill="D9D9D9"/>
          </w:tcPr>
          <w:p>
            <w:pPr>
              <w:spacing w:after="0"/>
              <w:rPr>
                <w:sz w:val="6"/>
                <w:szCs w:val="6"/>
                <w:color w:val="auto"/>
              </w:rPr>
            </w:pPr>
          </w:p>
        </w:tc>
        <w:tc>
          <w:tcPr>
            <w:tcW w:w="2480" w:type="dxa"/>
            <w:vAlign w:val="bottom"/>
            <w:tcBorders>
              <w:bottom w:val="single" w:sz="8" w:color="auto"/>
              <w:right w:val="single" w:sz="8" w:color="auto"/>
            </w:tcBorders>
            <w:shd w:val="clear" w:color="auto" w:fill="D9D9D9"/>
          </w:tcPr>
          <w:p>
            <w:pPr>
              <w:spacing w:after="0"/>
              <w:rPr>
                <w:sz w:val="6"/>
                <w:szCs w:val="6"/>
                <w:color w:val="auto"/>
              </w:rPr>
            </w:pPr>
          </w:p>
        </w:tc>
      </w:tr>
      <w:tr>
        <w:trPr>
          <w:trHeight w:val="298"/>
        </w:trPr>
        <w:tc>
          <w:tcPr>
            <w:tcW w:w="5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rPr>
              <w:t>[***]</w:t>
            </w:r>
          </w:p>
        </w:tc>
        <w:tc>
          <w:tcPr>
            <w:tcW w:w="2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c>
          <w:tcPr>
            <w:tcW w:w="2480" w:type="dxa"/>
            <w:vAlign w:val="bottom"/>
            <w:tcBorders>
              <w:bottom w:val="single" w:sz="8" w:color="auto"/>
              <w:right w:val="single" w:sz="8" w:color="auto"/>
            </w:tcBorders>
          </w:tcPr>
          <w:p>
            <w:pPr>
              <w:spacing w:after="0"/>
              <w:rPr>
                <w:sz w:val="24"/>
                <w:szCs w:val="24"/>
                <w:color w:val="auto"/>
              </w:rPr>
            </w:pPr>
          </w:p>
        </w:tc>
      </w:tr>
      <w:tr>
        <w:trPr>
          <w:trHeight w:val="304"/>
        </w:trPr>
        <w:tc>
          <w:tcPr>
            <w:tcW w:w="580" w:type="dxa"/>
            <w:vAlign w:val="bottom"/>
            <w:tcBorders>
              <w:left w:val="single" w:sz="8" w:color="auto"/>
              <w:bottom w:val="single" w:sz="8" w:color="auto"/>
            </w:tcBorders>
            <w:shd w:val="clear" w:color="auto" w:fill="F2F2F2"/>
          </w:tcPr>
          <w:p>
            <w:pPr>
              <w:spacing w:after="0"/>
              <w:rPr>
                <w:sz w:val="24"/>
                <w:szCs w:val="24"/>
                <w:color w:val="auto"/>
              </w:rPr>
            </w:pPr>
          </w:p>
        </w:tc>
        <w:tc>
          <w:tcPr>
            <w:tcW w:w="3020" w:type="dxa"/>
            <w:vAlign w:val="bottom"/>
            <w:tcBorders>
              <w:bottom w:val="single" w:sz="8" w:color="auto"/>
              <w:right w:val="single" w:sz="8" w:color="auto"/>
            </w:tcBorders>
            <w:shd w:val="clear" w:color="auto" w:fill="F2F2F2"/>
          </w:tcPr>
          <w:p>
            <w:pPr>
              <w:spacing w:after="0"/>
              <w:rPr>
                <w:sz w:val="24"/>
                <w:szCs w:val="24"/>
                <w:color w:val="auto"/>
              </w:rPr>
            </w:pPr>
          </w:p>
        </w:tc>
        <w:tc>
          <w:tcPr>
            <w:tcW w:w="25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2"/>
                <w:szCs w:val="22"/>
                <w:color w:val="auto"/>
                <w:w w:val="92"/>
              </w:rPr>
              <w:t>First Indication</w:t>
            </w:r>
          </w:p>
        </w:tc>
        <w:tc>
          <w:tcPr>
            <w:tcW w:w="260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2"/>
                <w:szCs w:val="22"/>
                <w:color w:val="auto"/>
                <w:w w:val="89"/>
              </w:rPr>
              <w:t>Second Indication</w:t>
            </w:r>
          </w:p>
        </w:tc>
        <w:tc>
          <w:tcPr>
            <w:tcW w:w="248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22"/>
                <w:szCs w:val="22"/>
                <w:color w:val="auto"/>
                <w:w w:val="93"/>
              </w:rPr>
              <w:t>Third Indication</w:t>
            </w:r>
          </w:p>
        </w:tc>
      </w:tr>
      <w:tr>
        <w:trPr>
          <w:trHeight w:val="304"/>
        </w:trPr>
        <w:tc>
          <w:tcPr>
            <w:tcW w:w="5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5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3.</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5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5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5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w:t>
            </w:r>
          </w:p>
        </w:tc>
        <w:tc>
          <w:tcPr>
            <w:tcW w:w="3020" w:type="dxa"/>
            <w:vAlign w:val="bottom"/>
            <w:tcBorders>
              <w:bottom w:val="single" w:sz="8" w:color="auto"/>
              <w:right w:val="single" w:sz="8" w:color="auto"/>
            </w:tcBorders>
          </w:tcPr>
          <w:p>
            <w:pPr>
              <w:jc w:val="right"/>
              <w:ind w:right="2352"/>
              <w:spacing w:after="0"/>
              <w:rPr>
                <w:sz w:val="20"/>
                <w:szCs w:val="20"/>
                <w:color w:val="auto"/>
              </w:rPr>
            </w:pPr>
            <w:r>
              <w:rPr>
                <w:rFonts w:ascii="Arial" w:cs="Arial" w:eastAsia="Arial" w:hAnsi="Arial"/>
                <w:sz w:val="22"/>
                <w:szCs w:val="22"/>
                <w:color w:val="auto"/>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97" w:lineRule="exact"/>
        <w:rPr>
          <w:sz w:val="20"/>
          <w:szCs w:val="20"/>
          <w:color w:val="auto"/>
        </w:rPr>
      </w:pPr>
    </w:p>
    <w:p>
      <w:pPr>
        <w:jc w:val="both"/>
        <w:ind w:left="180" w:right="20" w:firstLine="1286"/>
        <w:spacing w:after="0" w:line="287" w:lineRule="auto"/>
        <w:tabs>
          <w:tab w:leader="none" w:pos="1971" w:val="left"/>
        </w:tabs>
        <w:numPr>
          <w:ilvl w:val="1"/>
          <w:numId w:val="571"/>
        </w:numPr>
        <w:rPr>
          <w:rFonts w:ascii="Arial" w:cs="Arial" w:eastAsia="Arial" w:hAnsi="Arial"/>
          <w:sz w:val="19"/>
          <w:szCs w:val="19"/>
          <w:color w:val="auto"/>
        </w:rPr>
      </w:pPr>
      <w:r>
        <w:rPr>
          <w:rFonts w:ascii="Arial" w:cs="Arial" w:eastAsia="Arial" w:hAnsi="Arial"/>
          <w:sz w:val="19"/>
          <w:szCs w:val="19"/>
          <w:b w:val="1"/>
          <w:bCs w:val="1"/>
          <w:color w:val="auto"/>
        </w:rPr>
        <w:t>Clarifications</w:t>
      </w:r>
      <w:r>
        <w:rPr>
          <w:rFonts w:ascii="Arial" w:cs="Arial" w:eastAsia="Arial" w:hAnsi="Arial"/>
          <w:sz w:val="19"/>
          <w:szCs w:val="19"/>
          <w:color w:val="auto"/>
        </w:rPr>
        <w:t>. Notwithstanding anything to the contrary in this Agreement, (i) no Milestone Payment for</w:t>
      </w:r>
      <w:r>
        <w:rPr>
          <w:rFonts w:ascii="Arial" w:cs="Arial" w:eastAsia="Arial" w:hAnsi="Arial"/>
          <w:sz w:val="19"/>
          <w:szCs w:val="19"/>
          <w:b w:val="1"/>
          <w:bCs w:val="1"/>
          <w:color w:val="auto"/>
        </w:rPr>
        <w:t xml:space="preserve"> </w:t>
      </w:r>
      <w:r>
        <w:rPr>
          <w:rFonts w:ascii="Arial" w:cs="Arial" w:eastAsia="Arial" w:hAnsi="Arial"/>
          <w:sz w:val="19"/>
          <w:szCs w:val="19"/>
          <w:color w:val="auto"/>
        </w:rPr>
        <w:t>Milestone Event 2 or Milestone Event 3 will be due for [***], (ii) Milestone Payments for Milestone Event 2 and Milestone Event 3 are payable for [***], and (iii) subject to clause (i), Milestone Event 2 and Milestone Event 3 shall be due for the [***]. For clarity, for [***], the Milestone Event 2 will be deemed achieved on [***] and Milestone Event 3 will be deemed achieved on [***]. Further, (1) each Milestone Payment is payable only once for each achievement of the respective Milestone Events,</w:t>
      </w:r>
    </w:p>
    <w:p>
      <w:pPr>
        <w:jc w:val="both"/>
        <w:ind w:left="180" w:right="20" w:hanging="10"/>
        <w:spacing w:after="0" w:line="245" w:lineRule="auto"/>
        <w:tabs>
          <w:tab w:leader="none" w:pos="496" w:val="left"/>
        </w:tabs>
        <w:numPr>
          <w:ilvl w:val="0"/>
          <w:numId w:val="572"/>
        </w:numPr>
        <w:rPr>
          <w:rFonts w:ascii="Arial" w:cs="Arial" w:eastAsia="Arial" w:hAnsi="Arial"/>
          <w:sz w:val="22"/>
          <w:szCs w:val="22"/>
          <w:color w:val="auto"/>
        </w:rPr>
      </w:pPr>
      <w:r>
        <w:rPr>
          <w:rFonts w:ascii="Arial" w:cs="Arial" w:eastAsia="Arial" w:hAnsi="Arial"/>
          <w:sz w:val="22"/>
          <w:szCs w:val="22"/>
          <w:color w:val="auto"/>
        </w:rPr>
        <w:t>no Milestone Payment shall be payable for subsequent or repeated achievements of the same Milestone Event with respect to one or more of the same or different Indications, and (3) no more than [***] in the aggregate shall be payable by Amgen under this Section 9.3.</w:t>
      </w:r>
    </w:p>
    <w:p>
      <w:pPr>
        <w:spacing w:after="0" w:line="186" w:lineRule="exact"/>
        <w:rPr>
          <w:rFonts w:ascii="Arial" w:cs="Arial" w:eastAsia="Arial" w:hAnsi="Arial"/>
          <w:sz w:val="22"/>
          <w:szCs w:val="22"/>
          <w:color w:val="auto"/>
        </w:rPr>
      </w:pPr>
    </w:p>
    <w:p>
      <w:pPr>
        <w:jc w:val="both"/>
        <w:ind w:left="180" w:right="40" w:firstLine="1286"/>
        <w:spacing w:after="0" w:line="304" w:lineRule="auto"/>
        <w:tabs>
          <w:tab w:leader="none" w:pos="2148" w:val="left"/>
        </w:tabs>
        <w:numPr>
          <w:ilvl w:val="1"/>
          <w:numId w:val="572"/>
        </w:numPr>
        <w:rPr>
          <w:rFonts w:ascii="Arial" w:cs="Arial" w:eastAsia="Arial" w:hAnsi="Arial"/>
          <w:sz w:val="19"/>
          <w:szCs w:val="19"/>
          <w:color w:val="auto"/>
        </w:rPr>
      </w:pPr>
      <w:r>
        <w:rPr>
          <w:rFonts w:ascii="Arial" w:cs="Arial" w:eastAsia="Arial" w:hAnsi="Arial"/>
          <w:sz w:val="19"/>
          <w:szCs w:val="19"/>
          <w:b w:val="1"/>
          <w:bCs w:val="1"/>
          <w:color w:val="auto"/>
        </w:rPr>
        <w:t>Notice; Payment</w:t>
      </w:r>
      <w:r>
        <w:rPr>
          <w:rFonts w:ascii="Arial" w:cs="Arial" w:eastAsia="Arial" w:hAnsi="Arial"/>
          <w:sz w:val="19"/>
          <w:szCs w:val="19"/>
          <w:color w:val="auto"/>
        </w:rPr>
        <w:t>. Amgen shall notify Molecular Partners within [***] after achievement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Milestone Event in Section 9.3(a) by Amgen, its Affiliate, or a Sublicensee, and shall pay to Molecular Partners the corresponding Milestone Payment amount set forth in Section 9.3(a) within [***] after achievement of such Milestone Event. Subject to Section 4.4(b), each such payment is nonrefundable but may be set off against any Deferred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60"/>
          </w:cols>
          <w:pgMar w:left="320" w:top="1428" w:right="319" w:bottom="1440" w:gutter="0" w:footer="0" w:header="0"/>
        </w:sectPr>
      </w:pPr>
    </w:p>
    <w:bookmarkStart w:id="622" w:name="page623"/>
    <w:bookmarkEnd w:id="622"/>
    <w:p>
      <w:pPr>
        <w:ind w:left="660"/>
        <w:spacing w:after="0"/>
        <w:tabs>
          <w:tab w:leader="none" w:pos="1120" w:val="left"/>
        </w:tabs>
        <w:rPr>
          <w:sz w:val="20"/>
          <w:szCs w:val="20"/>
          <w:color w:val="auto"/>
        </w:rPr>
      </w:pPr>
      <w:r>
        <w:rPr>
          <w:rFonts w:ascii="Arial" w:cs="Arial" w:eastAsia="Arial" w:hAnsi="Arial"/>
          <w:sz w:val="22"/>
          <w:szCs w:val="22"/>
          <w:b w:val="1"/>
          <w:bCs w:val="1"/>
          <w:color w:val="auto"/>
        </w:rPr>
        <w:t>9.4</w:t>
      </w:r>
      <w:r>
        <w:rPr>
          <w:sz w:val="20"/>
          <w:szCs w:val="20"/>
          <w:color w:val="auto"/>
        </w:rPr>
        <w:tab/>
      </w:r>
      <w:r>
        <w:rPr>
          <w:rFonts w:ascii="Arial" w:cs="Arial" w:eastAsia="Arial" w:hAnsi="Arial"/>
          <w:sz w:val="19"/>
          <w:szCs w:val="19"/>
          <w:b w:val="1"/>
          <w:bCs w:val="1"/>
          <w:color w:val="auto"/>
        </w:rPr>
        <w:t>Sales Milestone Payments</w:t>
      </w:r>
      <w:r>
        <w:rPr>
          <w:rFonts w:ascii="Arial" w:cs="Arial" w:eastAsia="Arial" w:hAnsi="Arial"/>
          <w:sz w:val="19"/>
          <w:szCs w:val="19"/>
          <w:color w:val="auto"/>
        </w:rPr>
        <w:t>.</w:t>
      </w:r>
    </w:p>
    <w:p>
      <w:pPr>
        <w:spacing w:after="0" w:line="220" w:lineRule="exact"/>
        <w:rPr>
          <w:sz w:val="20"/>
          <w:szCs w:val="20"/>
          <w:color w:val="auto"/>
        </w:rPr>
      </w:pPr>
    </w:p>
    <w:p>
      <w:pPr>
        <w:ind w:left="180" w:right="20" w:firstLine="1286"/>
        <w:spacing w:after="0" w:line="269" w:lineRule="auto"/>
        <w:tabs>
          <w:tab w:leader="none" w:pos="2067" w:val="left"/>
        </w:tabs>
        <w:numPr>
          <w:ilvl w:val="0"/>
          <w:numId w:val="573"/>
        </w:numPr>
        <w:rPr>
          <w:rFonts w:ascii="Arial" w:cs="Arial" w:eastAsia="Arial" w:hAnsi="Arial"/>
          <w:sz w:val="22"/>
          <w:szCs w:val="22"/>
          <w:color w:val="auto"/>
        </w:rPr>
      </w:pPr>
      <w:r>
        <w:rPr>
          <w:rFonts w:ascii="Arial" w:cs="Arial" w:eastAsia="Arial" w:hAnsi="Arial"/>
          <w:sz w:val="22"/>
          <w:szCs w:val="22"/>
          <w:b w:val="1"/>
          <w:bCs w:val="1"/>
          <w:color w:val="auto"/>
        </w:rPr>
        <w:t>Events</w:t>
      </w:r>
      <w:r>
        <w:rPr>
          <w:rFonts w:ascii="Arial" w:cs="Arial" w:eastAsia="Arial" w:hAnsi="Arial"/>
          <w:sz w:val="22"/>
          <w:szCs w:val="22"/>
          <w:color w:val="auto"/>
        </w:rPr>
        <w:t>. Subject to the remainder of this Section 9.4, Amgen shall make each of the sales Milestone</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indicated below to Molecular Partners [***].</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8140" w:type="dxa"/>
            <w:vAlign w:val="bottom"/>
            <w:tcBorders>
              <w:top w:val="single" w:sz="8" w:color="auto"/>
              <w:left w:val="single" w:sz="8" w:color="auto"/>
              <w:right w:val="single" w:sz="8" w:color="auto"/>
            </w:tcBorders>
            <w:shd w:val="clear" w:color="auto" w:fill="D9D9D9"/>
          </w:tcPr>
          <w:p>
            <w:pPr>
              <w:jc w:val="right"/>
              <w:ind w:right="3212"/>
              <w:spacing w:after="0"/>
              <w:rPr>
                <w:sz w:val="20"/>
                <w:szCs w:val="20"/>
                <w:color w:val="auto"/>
              </w:rPr>
            </w:pPr>
            <w:r>
              <w:rPr>
                <w:rFonts w:ascii="Arial" w:cs="Arial" w:eastAsia="Arial" w:hAnsi="Arial"/>
                <w:sz w:val="22"/>
                <w:szCs w:val="22"/>
                <w:b w:val="1"/>
                <w:bCs w:val="1"/>
                <w:color w:val="auto"/>
              </w:rPr>
              <w:t>Milestone Event</w:t>
            </w:r>
          </w:p>
        </w:tc>
        <w:tc>
          <w:tcPr>
            <w:tcW w:w="3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Milestone Payment</w:t>
            </w:r>
          </w:p>
        </w:tc>
      </w:tr>
      <w:tr>
        <w:trPr>
          <w:trHeight w:val="71"/>
        </w:trPr>
        <w:tc>
          <w:tcPr>
            <w:tcW w:w="814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3120" w:type="dxa"/>
            <w:vAlign w:val="bottom"/>
            <w:tcBorders>
              <w:bottom w:val="single" w:sz="8" w:color="auto"/>
              <w:right w:val="single" w:sz="8" w:color="auto"/>
            </w:tcBorders>
            <w:shd w:val="clear" w:color="auto" w:fill="D9D9D9"/>
          </w:tcPr>
          <w:p>
            <w:pPr>
              <w:spacing w:after="0"/>
              <w:rPr>
                <w:sz w:val="6"/>
                <w:szCs w:val="6"/>
                <w:color w:val="auto"/>
              </w:rPr>
            </w:pPr>
          </w:p>
        </w:tc>
      </w:tr>
      <w:tr>
        <w:trPr>
          <w:trHeight w:val="298"/>
        </w:trPr>
        <w:tc>
          <w:tcPr>
            <w:tcW w:w="8140" w:type="dxa"/>
            <w:vAlign w:val="bottom"/>
            <w:tcBorders>
              <w:left w:val="single" w:sz="8" w:color="auto"/>
              <w:bottom w:val="single" w:sz="8" w:color="auto"/>
              <w:right w:val="single" w:sz="8" w:color="auto"/>
            </w:tcBorders>
          </w:tcPr>
          <w:p>
            <w:pPr>
              <w:jc w:val="right"/>
              <w:ind w:right="7532"/>
              <w:spacing w:after="0"/>
              <w:rPr>
                <w:sz w:val="20"/>
                <w:szCs w:val="20"/>
                <w:color w:val="auto"/>
              </w:rPr>
            </w:pPr>
            <w:r>
              <w:rPr>
                <w:rFonts w:ascii="Arial" w:cs="Arial" w:eastAsia="Arial" w:hAnsi="Arial"/>
                <w:sz w:val="22"/>
                <w:szCs w:val="22"/>
                <w:color w:val="auto"/>
              </w:rPr>
              <w:t>[***]</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140" w:type="dxa"/>
            <w:vAlign w:val="bottom"/>
            <w:tcBorders>
              <w:left w:val="single" w:sz="8" w:color="auto"/>
              <w:bottom w:val="single" w:sz="8" w:color="auto"/>
              <w:right w:val="single" w:sz="8" w:color="auto"/>
            </w:tcBorders>
          </w:tcPr>
          <w:p>
            <w:pPr>
              <w:jc w:val="right"/>
              <w:ind w:right="7532"/>
              <w:spacing w:after="0"/>
              <w:rPr>
                <w:sz w:val="20"/>
                <w:szCs w:val="20"/>
                <w:color w:val="auto"/>
              </w:rPr>
            </w:pPr>
            <w:r>
              <w:rPr>
                <w:rFonts w:ascii="Arial" w:cs="Arial" w:eastAsia="Arial" w:hAnsi="Arial"/>
                <w:sz w:val="22"/>
                <w:szCs w:val="22"/>
                <w:color w:val="auto"/>
              </w:rPr>
              <w:t>[***]</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304"/>
        </w:trPr>
        <w:tc>
          <w:tcPr>
            <w:tcW w:w="8140" w:type="dxa"/>
            <w:vAlign w:val="bottom"/>
            <w:tcBorders>
              <w:left w:val="single" w:sz="8" w:color="auto"/>
              <w:bottom w:val="single" w:sz="8" w:color="auto"/>
              <w:right w:val="single" w:sz="8" w:color="auto"/>
            </w:tcBorders>
          </w:tcPr>
          <w:p>
            <w:pPr>
              <w:jc w:val="right"/>
              <w:ind w:right="7532"/>
              <w:spacing w:after="0"/>
              <w:rPr>
                <w:sz w:val="20"/>
                <w:szCs w:val="20"/>
                <w:color w:val="auto"/>
              </w:rPr>
            </w:pPr>
            <w:r>
              <w:rPr>
                <w:rFonts w:ascii="Arial" w:cs="Arial" w:eastAsia="Arial" w:hAnsi="Arial"/>
                <w:sz w:val="22"/>
                <w:szCs w:val="22"/>
                <w:color w:val="auto"/>
              </w:rPr>
              <w:t>[***]</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97" w:lineRule="exact"/>
        <w:rPr>
          <w:sz w:val="20"/>
          <w:szCs w:val="20"/>
          <w:color w:val="auto"/>
        </w:rPr>
      </w:pPr>
    </w:p>
    <w:p>
      <w:pPr>
        <w:jc w:val="both"/>
        <w:ind w:left="180" w:right="20" w:firstLine="1286"/>
        <w:spacing w:after="0" w:line="252" w:lineRule="auto"/>
        <w:tabs>
          <w:tab w:leader="none" w:pos="1984" w:val="left"/>
        </w:tabs>
        <w:numPr>
          <w:ilvl w:val="0"/>
          <w:numId w:val="574"/>
        </w:numPr>
        <w:rPr>
          <w:rFonts w:ascii="Arial" w:cs="Arial" w:eastAsia="Arial" w:hAnsi="Arial"/>
          <w:sz w:val="22"/>
          <w:szCs w:val="22"/>
          <w:color w:val="auto"/>
        </w:rPr>
      </w:pPr>
      <w:r>
        <w:rPr>
          <w:rFonts w:ascii="Arial" w:cs="Arial" w:eastAsia="Arial" w:hAnsi="Arial"/>
          <w:sz w:val="22"/>
          <w:szCs w:val="22"/>
          <w:b w:val="1"/>
          <w:bCs w:val="1"/>
          <w:color w:val="auto"/>
        </w:rPr>
        <w:t>Clarification</w:t>
      </w:r>
      <w:r>
        <w:rPr>
          <w:rFonts w:ascii="Arial" w:cs="Arial" w:eastAsia="Arial" w:hAnsi="Arial"/>
          <w:sz w:val="22"/>
          <w:szCs w:val="22"/>
          <w:color w:val="auto"/>
        </w:rPr>
        <w:t>. Each milestone in this Section 9.4 shall be paid only once, and the maximum total amount</w:t>
      </w:r>
      <w:r>
        <w:rPr>
          <w:rFonts w:ascii="Arial" w:cs="Arial" w:eastAsia="Arial" w:hAnsi="Arial"/>
          <w:sz w:val="22"/>
          <w:szCs w:val="22"/>
          <w:b w:val="1"/>
          <w:bCs w:val="1"/>
          <w:color w:val="auto"/>
        </w:rPr>
        <w:t xml:space="preserve"> </w:t>
      </w:r>
      <w:r>
        <w:rPr>
          <w:rFonts w:ascii="Arial" w:cs="Arial" w:eastAsia="Arial" w:hAnsi="Arial"/>
          <w:sz w:val="22"/>
          <w:szCs w:val="22"/>
          <w:color w:val="auto"/>
        </w:rPr>
        <w:t>of payment to Molecular Partners pursuant to this Section 9.4 is [***]. The Milestone Payments in this Section 9.4 are additive, such that if more than one Milestone Event specified above is achieved in the same Calendar Year, then the Milestone Payments for all such Milestone Events are payable.</w:t>
      </w:r>
    </w:p>
    <w:p>
      <w:pPr>
        <w:spacing w:after="0" w:line="179" w:lineRule="exact"/>
        <w:rPr>
          <w:rFonts w:ascii="Arial" w:cs="Arial" w:eastAsia="Arial" w:hAnsi="Arial"/>
          <w:sz w:val="22"/>
          <w:szCs w:val="22"/>
          <w:color w:val="auto"/>
        </w:rPr>
      </w:pPr>
    </w:p>
    <w:p>
      <w:pPr>
        <w:jc w:val="both"/>
        <w:ind w:left="180" w:right="20" w:firstLine="1286"/>
        <w:spacing w:after="0" w:line="252" w:lineRule="auto"/>
        <w:tabs>
          <w:tab w:leader="none" w:pos="2148" w:val="left"/>
        </w:tabs>
        <w:numPr>
          <w:ilvl w:val="0"/>
          <w:numId w:val="574"/>
        </w:numPr>
        <w:rPr>
          <w:rFonts w:ascii="Arial" w:cs="Arial" w:eastAsia="Arial" w:hAnsi="Arial"/>
          <w:sz w:val="22"/>
          <w:szCs w:val="22"/>
          <w:color w:val="auto"/>
        </w:rPr>
      </w:pPr>
      <w:r>
        <w:rPr>
          <w:rFonts w:ascii="Arial" w:cs="Arial" w:eastAsia="Arial" w:hAnsi="Arial"/>
          <w:sz w:val="22"/>
          <w:szCs w:val="22"/>
          <w:b w:val="1"/>
          <w:bCs w:val="1"/>
          <w:color w:val="auto"/>
        </w:rPr>
        <w:t>Notice; Payment</w:t>
      </w:r>
      <w:r>
        <w:rPr>
          <w:rFonts w:ascii="Arial" w:cs="Arial" w:eastAsia="Arial" w:hAnsi="Arial"/>
          <w:sz w:val="22"/>
          <w:szCs w:val="22"/>
          <w:color w:val="auto"/>
        </w:rPr>
        <w:t>. Amgen shall notify Molecular Partners within [***] after achievement of each</w:t>
      </w:r>
      <w:r>
        <w:rPr>
          <w:rFonts w:ascii="Arial" w:cs="Arial" w:eastAsia="Arial" w:hAnsi="Arial"/>
          <w:sz w:val="22"/>
          <w:szCs w:val="22"/>
          <w:b w:val="1"/>
          <w:bCs w:val="1"/>
          <w:color w:val="auto"/>
        </w:rPr>
        <w:t xml:space="preserve"> </w:t>
      </w:r>
      <w:r>
        <w:rPr>
          <w:rFonts w:ascii="Arial" w:cs="Arial" w:eastAsia="Arial" w:hAnsi="Arial"/>
          <w:sz w:val="22"/>
          <w:szCs w:val="22"/>
          <w:color w:val="auto"/>
        </w:rPr>
        <w:t>Milestone Event in Section 9.4(a), and shall pay to Molecular Partners the corresponding Milestone Payment amount set forth in Section 9.4(a) within [***] after achievement of such Milestone Event. Subject to Section 4.4(b), each such payment is nonrefundable but may be set off against any Deferred Development Costs.</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9"/>
          <w:szCs w:val="19"/>
          <w:b w:val="1"/>
          <w:bCs w:val="1"/>
          <w:color w:val="auto"/>
        </w:rPr>
        <w:t>Royalties</w:t>
      </w:r>
      <w:r>
        <w:rPr>
          <w:rFonts w:ascii="Arial" w:cs="Arial" w:eastAsia="Arial" w:hAnsi="Arial"/>
          <w:sz w:val="19"/>
          <w:szCs w:val="19"/>
          <w:color w:val="auto"/>
        </w:rPr>
        <w:t>.</w:t>
      </w:r>
    </w:p>
    <w:p>
      <w:pPr>
        <w:spacing w:after="0" w:line="220" w:lineRule="exact"/>
        <w:rPr>
          <w:sz w:val="20"/>
          <w:szCs w:val="20"/>
          <w:color w:val="auto"/>
        </w:rPr>
      </w:pPr>
    </w:p>
    <w:p>
      <w:pPr>
        <w:jc w:val="both"/>
        <w:ind w:left="180" w:right="20" w:firstLine="1286"/>
        <w:spacing w:after="0" w:line="267" w:lineRule="auto"/>
        <w:tabs>
          <w:tab w:leader="none" w:pos="1932" w:val="left"/>
        </w:tabs>
        <w:numPr>
          <w:ilvl w:val="0"/>
          <w:numId w:val="575"/>
        </w:numPr>
        <w:rPr>
          <w:rFonts w:ascii="Arial" w:cs="Arial" w:eastAsia="Arial" w:hAnsi="Arial"/>
          <w:sz w:val="21"/>
          <w:szCs w:val="21"/>
          <w:color w:val="auto"/>
        </w:rPr>
      </w:pPr>
      <w:r>
        <w:rPr>
          <w:rFonts w:ascii="Arial" w:cs="Arial" w:eastAsia="Arial" w:hAnsi="Arial"/>
          <w:sz w:val="21"/>
          <w:szCs w:val="21"/>
          <w:b w:val="1"/>
          <w:bCs w:val="1"/>
          <w:color w:val="auto"/>
        </w:rPr>
        <w:t>Rates</w:t>
      </w:r>
      <w:r>
        <w:rPr>
          <w:rFonts w:ascii="Arial" w:cs="Arial" w:eastAsia="Arial" w:hAnsi="Arial"/>
          <w:sz w:val="21"/>
          <w:szCs w:val="21"/>
          <w:color w:val="auto"/>
        </w:rPr>
        <w:t>. Subject to the remainder of this Section 9.5, Amgen shall pay to Molecular Partners royalties on the</w:t>
      </w:r>
      <w:r>
        <w:rPr>
          <w:rFonts w:ascii="Arial" w:cs="Arial" w:eastAsia="Arial" w:hAnsi="Arial"/>
          <w:sz w:val="21"/>
          <w:szCs w:val="21"/>
          <w:b w:val="1"/>
          <w:bCs w:val="1"/>
          <w:color w:val="auto"/>
        </w:rPr>
        <w:t xml:space="preserve"> </w:t>
      </w:r>
      <w:r>
        <w:rPr>
          <w:rFonts w:ascii="Arial" w:cs="Arial" w:eastAsia="Arial" w:hAnsi="Arial"/>
          <w:sz w:val="21"/>
          <w:szCs w:val="21"/>
          <w:color w:val="auto"/>
        </w:rPr>
        <w:t>annual Net Sales of all Licensed Bispecifics in the Territory, as calculated by multiplying the applicable royalty rates set forth below by the corresponding amount of incremental annual Net Sales of Licensed Bispecifics in the Territory. Subject to Section 4.4(b), royalties may be set off against any Deferred Development Costs.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9500" w:type="dxa"/>
            <w:vAlign w:val="bottom"/>
            <w:tcBorders>
              <w:top w:val="single" w:sz="8" w:color="auto"/>
              <w:left w:val="single" w:sz="8" w:color="auto"/>
              <w:right w:val="single" w:sz="8" w:color="auto"/>
            </w:tcBorders>
            <w:shd w:val="clear" w:color="auto" w:fill="D9D9D9"/>
          </w:tcPr>
          <w:p>
            <w:pPr>
              <w:ind w:left="1660"/>
              <w:spacing w:after="0"/>
              <w:rPr>
                <w:sz w:val="20"/>
                <w:szCs w:val="20"/>
                <w:color w:val="auto"/>
              </w:rPr>
            </w:pPr>
            <w:r>
              <w:rPr>
                <w:rFonts w:ascii="Arial" w:cs="Arial" w:eastAsia="Arial" w:hAnsi="Arial"/>
                <w:sz w:val="22"/>
                <w:szCs w:val="22"/>
                <w:b w:val="1"/>
                <w:bCs w:val="1"/>
                <w:color w:val="auto"/>
              </w:rPr>
              <w:t>Aggregate Annual Net Sales of Licensed Bispecifics in the Territory</w:t>
            </w:r>
          </w:p>
        </w:tc>
        <w:tc>
          <w:tcPr>
            <w:tcW w:w="15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Royalty Rate</w:t>
            </w:r>
          </w:p>
        </w:tc>
        <w:tc>
          <w:tcPr>
            <w:tcW w:w="0" w:type="dxa"/>
            <w:vAlign w:val="bottom"/>
          </w:tcPr>
          <w:p>
            <w:pPr>
              <w:spacing w:after="0"/>
              <w:rPr>
                <w:sz w:val="1"/>
                <w:szCs w:val="1"/>
                <w:color w:val="auto"/>
              </w:rPr>
            </w:pPr>
          </w:p>
        </w:tc>
      </w:tr>
      <w:tr>
        <w:trPr>
          <w:trHeight w:val="71"/>
        </w:trPr>
        <w:tc>
          <w:tcPr>
            <w:tcW w:w="9500" w:type="dxa"/>
            <w:vAlign w:val="bottom"/>
            <w:tcBorders>
              <w:left w:val="single" w:sz="8" w:color="auto"/>
              <w:bottom w:val="single" w:sz="8" w:color="auto"/>
              <w:right w:val="single" w:sz="8" w:color="auto"/>
            </w:tcBorders>
            <w:shd w:val="clear" w:color="auto" w:fill="D9D9D9"/>
          </w:tcPr>
          <w:p>
            <w:pPr>
              <w:spacing w:after="0"/>
              <w:rPr>
                <w:sz w:val="6"/>
                <w:szCs w:val="6"/>
                <w:color w:val="auto"/>
              </w:rPr>
            </w:pPr>
          </w:p>
        </w:tc>
        <w:tc>
          <w:tcPr>
            <w:tcW w:w="150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95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w w:val="91"/>
              </w:rPr>
              <w:t>For that portion of aggregate annual Net Sales of Licensed Bispecifics in the Territory less than or equal to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0"/>
        </w:trPr>
        <w:tc>
          <w:tcPr>
            <w:tcW w:w="9500" w:type="dxa"/>
            <w:vAlign w:val="bottom"/>
            <w:tcBorders>
              <w:left w:val="single" w:sz="8" w:color="auto"/>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9500" w:type="dxa"/>
            <w:vAlign w:val="bottom"/>
            <w:tcBorders>
              <w:left w:val="single" w:sz="8" w:color="auto"/>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95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w w:val="90"/>
              </w:rPr>
              <w:t>For that portion of aggregate annual Net Sales of Licensed Bispecifics in the Territory greater than [***] and</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0"/>
        </w:trPr>
        <w:tc>
          <w:tcPr>
            <w:tcW w:w="9500" w:type="dxa"/>
            <w:vAlign w:val="bottom"/>
            <w:tcBorders>
              <w:left w:val="single" w:sz="8" w:color="auto"/>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or equal to [***]</w:t>
            </w:r>
          </w:p>
        </w:tc>
        <w:tc>
          <w:tcPr>
            <w:tcW w:w="1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9500" w:type="dxa"/>
            <w:vAlign w:val="bottom"/>
            <w:tcBorders>
              <w:left w:val="single" w:sz="8" w:color="auto"/>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95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w w:val="90"/>
              </w:rPr>
              <w:t>For that portion of aggregate annual Net Sales of Licensed Bispecifics in the Territory greater than [***] and</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0"/>
        </w:trPr>
        <w:tc>
          <w:tcPr>
            <w:tcW w:w="9500" w:type="dxa"/>
            <w:vAlign w:val="bottom"/>
            <w:tcBorders>
              <w:left w:val="single" w:sz="8" w:color="auto"/>
              <w:right w:val="single" w:sz="8" w:color="auto"/>
            </w:tcBorders>
            <w:vMerge w:val="continue"/>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or equal to [***]</w:t>
            </w:r>
          </w:p>
        </w:tc>
        <w:tc>
          <w:tcPr>
            <w:tcW w:w="15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9500" w:type="dxa"/>
            <w:vAlign w:val="bottom"/>
            <w:tcBorders>
              <w:left w:val="single" w:sz="8" w:color="auto"/>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95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w w:val="94"/>
              </w:rPr>
              <w:t>For that portion of aggregate annual Net Sales of Licensed Bispecifics in the Territory greater than [***]</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08"/>
        </w:trPr>
        <w:tc>
          <w:tcPr>
            <w:tcW w:w="9500" w:type="dxa"/>
            <w:vAlign w:val="bottom"/>
            <w:tcBorders>
              <w:left w:val="single" w:sz="8" w:color="auto"/>
              <w:right w:val="single" w:sz="8" w:color="auto"/>
            </w:tcBorders>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9500" w:type="dxa"/>
            <w:vAlign w:val="bottom"/>
            <w:tcBorders>
              <w:left w:val="single" w:sz="8" w:color="auto"/>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180" w:right="20" w:firstLine="1286"/>
        <w:spacing w:after="0" w:line="256" w:lineRule="auto"/>
        <w:tabs>
          <w:tab w:leader="none" w:pos="1971" w:val="left"/>
        </w:tabs>
        <w:numPr>
          <w:ilvl w:val="0"/>
          <w:numId w:val="576"/>
        </w:numPr>
        <w:rPr>
          <w:rFonts w:ascii="Arial" w:cs="Arial" w:eastAsia="Arial" w:hAnsi="Arial"/>
          <w:sz w:val="22"/>
          <w:szCs w:val="22"/>
          <w:color w:val="auto"/>
        </w:rPr>
      </w:pPr>
      <w:r>
        <w:rPr>
          <w:rFonts w:ascii="Arial" w:cs="Arial" w:eastAsia="Arial" w:hAnsi="Arial"/>
          <w:sz w:val="22"/>
          <w:szCs w:val="22"/>
          <w:b w:val="1"/>
          <w:bCs w:val="1"/>
          <w:color w:val="auto"/>
        </w:rPr>
        <w:t>Royalty Term</w:t>
      </w:r>
      <w:r>
        <w:rPr>
          <w:rFonts w:ascii="Arial" w:cs="Arial" w:eastAsia="Arial" w:hAnsi="Arial"/>
          <w:sz w:val="22"/>
          <w:szCs w:val="22"/>
          <w:color w:val="auto"/>
        </w:rPr>
        <w:t>. Amgen shall pay Molecular Partners royalties as set forth in this Section 9.5 on a country-by-country basis in the Territory during the period of time beginning on the First Commercial Sale of such Licensed Bispecific in such country and shall</w:t>
      </w:r>
    </w:p>
    <w:p>
      <w:pPr>
        <w:sectPr>
          <w:pgSz w:w="11900" w:h="16838" w:orient="portrait"/>
          <w:cols w:equalWidth="0" w:num="1">
            <w:col w:w="11260"/>
          </w:cols>
          <w:pgMar w:left="320" w:top="14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60"/>
          </w:cols>
          <w:pgMar w:left="320" w:top="1422" w:right="319" w:bottom="1440" w:gutter="0" w:footer="0" w:header="0"/>
          <w:type w:val="continuous"/>
        </w:sectPr>
      </w:pPr>
    </w:p>
    <w:bookmarkStart w:id="623" w:name="page624"/>
    <w:bookmarkEnd w:id="623"/>
    <w:p>
      <w:pPr>
        <w:spacing w:after="0" w:line="205" w:lineRule="exact"/>
        <w:rPr>
          <w:sz w:val="20"/>
          <w:szCs w:val="20"/>
          <w:color w:val="auto"/>
        </w:rPr>
      </w:pPr>
    </w:p>
    <w:p>
      <w:pPr>
        <w:jc w:val="both"/>
        <w:ind w:left="180"/>
        <w:spacing w:after="0" w:line="265" w:lineRule="auto"/>
        <w:rPr>
          <w:sz w:val="20"/>
          <w:szCs w:val="20"/>
          <w:color w:val="auto"/>
        </w:rPr>
      </w:pPr>
      <w:r>
        <w:rPr>
          <w:rFonts w:ascii="Arial" w:cs="Arial" w:eastAsia="Arial" w:hAnsi="Arial"/>
          <w:sz w:val="21"/>
          <w:szCs w:val="21"/>
          <w:color w:val="auto"/>
        </w:rPr>
        <w:t>expire on a country-by-country basis on the latest of: (i) the date on which the Exploitation of such Licensed Bispecific is no longer Covered by a Valid Claim of any Molecular Partners Patents or Royalty-Bearing Joint Patents in such country; (ii) the loss of Regulatory Exclusivity for the Licensed Bispecific in such country; and (iii) the tenth (10th) anniversary of the First Commercial Sale of such Licensed Bispecific in such country (the “</w:t>
      </w:r>
      <w:r>
        <w:rPr>
          <w:rFonts w:ascii="Arial" w:cs="Arial" w:eastAsia="Arial" w:hAnsi="Arial"/>
          <w:sz w:val="21"/>
          <w:szCs w:val="21"/>
          <w:b w:val="1"/>
          <w:bCs w:val="1"/>
          <w:color w:val="auto"/>
        </w:rPr>
        <w:t>Royalty Term</w:t>
      </w:r>
      <w:r>
        <w:rPr>
          <w:rFonts w:ascii="Arial" w:cs="Arial" w:eastAsia="Arial" w:hAnsi="Arial"/>
          <w:sz w:val="21"/>
          <w:szCs w:val="21"/>
          <w:color w:val="auto"/>
        </w:rPr>
        <w:t>”).</w:t>
      </w:r>
    </w:p>
    <w:p>
      <w:pPr>
        <w:spacing w:after="0" w:line="169" w:lineRule="exact"/>
        <w:rPr>
          <w:sz w:val="20"/>
          <w:szCs w:val="20"/>
          <w:color w:val="auto"/>
        </w:rPr>
      </w:pPr>
    </w:p>
    <w:p>
      <w:pPr>
        <w:ind w:left="1920" w:hanging="454"/>
        <w:spacing w:after="0"/>
        <w:tabs>
          <w:tab w:leader="none" w:pos="1920" w:val="left"/>
        </w:tabs>
        <w:numPr>
          <w:ilvl w:val="0"/>
          <w:numId w:val="577"/>
        </w:numPr>
        <w:rPr>
          <w:rFonts w:ascii="Arial" w:cs="Arial" w:eastAsia="Arial" w:hAnsi="Arial"/>
          <w:sz w:val="22"/>
          <w:szCs w:val="22"/>
          <w:color w:val="auto"/>
        </w:rPr>
      </w:pPr>
      <w:r>
        <w:rPr>
          <w:rFonts w:ascii="Arial" w:cs="Arial" w:eastAsia="Arial" w:hAnsi="Arial"/>
          <w:sz w:val="22"/>
          <w:szCs w:val="22"/>
          <w:b w:val="1"/>
          <w:bCs w:val="1"/>
          <w:color w:val="auto"/>
        </w:rPr>
        <w:t>Royalty Reductions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91" w:lineRule="auto"/>
        <w:tabs>
          <w:tab w:leader="none" w:pos="2445" w:val="left"/>
        </w:tabs>
        <w:numPr>
          <w:ilvl w:val="1"/>
          <w:numId w:val="577"/>
        </w:numPr>
        <w:rPr>
          <w:rFonts w:ascii="Arial" w:cs="Arial" w:eastAsia="Arial" w:hAnsi="Arial"/>
          <w:sz w:val="19"/>
          <w:szCs w:val="19"/>
          <w:color w:val="auto"/>
        </w:rPr>
      </w:pPr>
      <w:r>
        <w:rPr>
          <w:rFonts w:ascii="Arial" w:cs="Arial" w:eastAsia="Arial" w:hAnsi="Arial"/>
          <w:sz w:val="19"/>
          <w:szCs w:val="19"/>
          <w:b w:val="1"/>
          <w:bCs w:val="1"/>
          <w:color w:val="auto"/>
        </w:rPr>
        <w:t>No Valid Claim</w:t>
      </w:r>
      <w:r>
        <w:rPr>
          <w:rFonts w:ascii="Arial" w:cs="Arial" w:eastAsia="Arial" w:hAnsi="Arial"/>
          <w:sz w:val="19"/>
          <w:szCs w:val="19"/>
          <w:color w:val="auto"/>
        </w:rPr>
        <w:t>. On a country-by-country basis, in the event that the Exploitation of the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Bispecific (1) is not Covered by a Valid Claim of a Molecular Partners Patent in such country but is Covered by a Royalty-Bearing Joint Patent, then the royalty rate set forth in Section 9.5(a) with respect to Net Sales for such Licensed Bispecific in such country shall be reduced by [***], effective as of the date such Licensed Bispecific is no longer Covered by a Valid Claim of a Molecular Partners Patent in such country, or (2) is not Covered by a Valid Claim of either a Molecular Partners Patent or a Royalty-Bearing Joint Patent in such country, then the royalty rate set forth in Section 9.5(a) with respect to Net Sales for such Licensed Bispecific in such country shall be reduced by [***], effective as of the date such Licensed Bispecific is no longer Covered by a Valid Claim of both a Molecular Partners Patent and a Royalty-Bearing Joint Patent in such country.</w:t>
      </w:r>
    </w:p>
    <w:p>
      <w:pPr>
        <w:spacing w:after="0" w:line="148" w:lineRule="exact"/>
        <w:rPr>
          <w:rFonts w:ascii="Arial" w:cs="Arial" w:eastAsia="Arial" w:hAnsi="Arial"/>
          <w:sz w:val="19"/>
          <w:szCs w:val="19"/>
          <w:color w:val="auto"/>
        </w:rPr>
      </w:pPr>
    </w:p>
    <w:p>
      <w:pPr>
        <w:jc w:val="both"/>
        <w:ind w:firstLine="1952"/>
        <w:spacing w:after="0" w:line="259" w:lineRule="auto"/>
        <w:tabs>
          <w:tab w:leader="none" w:pos="2518" w:val="left"/>
        </w:tabs>
        <w:numPr>
          <w:ilvl w:val="1"/>
          <w:numId w:val="577"/>
        </w:numPr>
        <w:rPr>
          <w:rFonts w:ascii="Arial" w:cs="Arial" w:eastAsia="Arial" w:hAnsi="Arial"/>
          <w:sz w:val="21"/>
          <w:szCs w:val="21"/>
          <w:color w:val="auto"/>
        </w:rPr>
      </w:pPr>
      <w:r>
        <w:rPr>
          <w:rFonts w:ascii="Arial" w:cs="Arial" w:eastAsia="Arial" w:hAnsi="Arial"/>
          <w:sz w:val="21"/>
          <w:szCs w:val="21"/>
          <w:b w:val="1"/>
          <w:bCs w:val="1"/>
          <w:color w:val="auto"/>
        </w:rPr>
        <w:t>Third Party Royalty Offset</w:t>
      </w:r>
      <w:r>
        <w:rPr>
          <w:rFonts w:ascii="Arial" w:cs="Arial" w:eastAsia="Arial" w:hAnsi="Arial"/>
          <w:sz w:val="21"/>
          <w:szCs w:val="21"/>
          <w:color w:val="auto"/>
        </w:rPr>
        <w:t>. If (1) Amgen enters into an agreement with a Third Party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for a right or license under such Third Party’s Patents, Know-How, or other intellectual property right that is [***] to Exploit the Licensed Bispecific in the Field in the Territory or (2) elects to take a sublicense to Third Party IP pursuant to Section 9.6, then Amgen may deduct from any royalty payments to Molecular Partners under this Section 9.5 up to [***] of [***] actually paid by Amgen to such Third Party for such right or license based upon the sale of a Licensed Bispecific by or on behalf of Amgen. For the avoidance of doubt, Amgen may carry forward any amounts that Amgen is unable to credit against royalties due in a Calendar Quarter by reason of the royalty floor in Section 9.5(c)(iv). For clarity, Amgen has no right to deduct any amounts due to a Third Party in consideration for a right or license under such Third Party’s Patents that would be infringed by the Exploitation of the Amgen Product in the Field in the Territory.</w:t>
      </w:r>
    </w:p>
    <w:p>
      <w:pPr>
        <w:spacing w:after="0" w:line="179" w:lineRule="exact"/>
        <w:rPr>
          <w:rFonts w:ascii="Arial" w:cs="Arial" w:eastAsia="Arial" w:hAnsi="Arial"/>
          <w:sz w:val="21"/>
          <w:szCs w:val="21"/>
          <w:color w:val="auto"/>
        </w:rPr>
      </w:pPr>
    </w:p>
    <w:p>
      <w:pPr>
        <w:jc w:val="both"/>
        <w:ind w:firstLine="1952"/>
        <w:spacing w:after="0" w:line="298" w:lineRule="auto"/>
        <w:tabs>
          <w:tab w:leader="none" w:pos="2538" w:val="left"/>
        </w:tabs>
        <w:numPr>
          <w:ilvl w:val="1"/>
          <w:numId w:val="577"/>
        </w:numPr>
        <w:rPr>
          <w:rFonts w:ascii="Arial" w:cs="Arial" w:eastAsia="Arial" w:hAnsi="Arial"/>
          <w:sz w:val="19"/>
          <w:szCs w:val="19"/>
          <w:color w:val="auto"/>
        </w:rPr>
      </w:pPr>
      <w:r>
        <w:rPr>
          <w:rFonts w:ascii="Arial" w:cs="Arial" w:eastAsia="Arial" w:hAnsi="Arial"/>
          <w:sz w:val="19"/>
          <w:szCs w:val="19"/>
          <w:b w:val="1"/>
          <w:bCs w:val="1"/>
          <w:color w:val="auto"/>
        </w:rPr>
        <w:t>Biosimilar Product</w:t>
      </w:r>
      <w:r>
        <w:rPr>
          <w:rFonts w:ascii="Arial" w:cs="Arial" w:eastAsia="Arial" w:hAnsi="Arial"/>
          <w:sz w:val="19"/>
          <w:szCs w:val="19"/>
          <w:color w:val="auto"/>
        </w:rPr>
        <w:t>. On a country-by-country basis, the royalties due to Molecular Partners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9.5 shall be reduced (1) by [***] if a Third Party launches a Biosimilar Product in such country or (2) by [***] if a Third Party launches a Biosimilar Product in such country and the Net Sales of such Licensed Bispecific in a Calendar Quarter declines by at least [***] as compared with the average Net Sales of such Licensed Bispecific in such country for the [***] immediately preceding the Calendar Quarter in which the first Biosimilar Product is launched in such country.</w:t>
      </w:r>
    </w:p>
    <w:p>
      <w:pPr>
        <w:spacing w:after="0" w:line="142" w:lineRule="exact"/>
        <w:rPr>
          <w:rFonts w:ascii="Arial" w:cs="Arial" w:eastAsia="Arial" w:hAnsi="Arial"/>
          <w:sz w:val="19"/>
          <w:szCs w:val="19"/>
          <w:color w:val="auto"/>
        </w:rPr>
      </w:pPr>
    </w:p>
    <w:p>
      <w:pPr>
        <w:jc w:val="both"/>
        <w:ind w:firstLine="1952"/>
        <w:spacing w:after="0" w:line="252" w:lineRule="auto"/>
        <w:tabs>
          <w:tab w:leader="none" w:pos="2620" w:val="left"/>
        </w:tabs>
        <w:numPr>
          <w:ilvl w:val="1"/>
          <w:numId w:val="577"/>
        </w:numPr>
        <w:rPr>
          <w:rFonts w:ascii="Arial" w:cs="Arial" w:eastAsia="Arial" w:hAnsi="Arial"/>
          <w:sz w:val="22"/>
          <w:szCs w:val="22"/>
          <w:color w:val="auto"/>
        </w:rPr>
      </w:pPr>
      <w:r>
        <w:rPr>
          <w:rFonts w:ascii="Arial" w:cs="Arial" w:eastAsia="Arial" w:hAnsi="Arial"/>
          <w:sz w:val="22"/>
          <w:szCs w:val="22"/>
          <w:b w:val="1"/>
          <w:bCs w:val="1"/>
          <w:color w:val="auto"/>
        </w:rPr>
        <w:t>Royalty Floor</w:t>
      </w:r>
      <w:r>
        <w:rPr>
          <w:rFonts w:ascii="Arial" w:cs="Arial" w:eastAsia="Arial" w:hAnsi="Arial"/>
          <w:sz w:val="22"/>
          <w:szCs w:val="22"/>
          <w:color w:val="auto"/>
        </w:rPr>
        <w:t>. In no event will the royalty payment otherwise owed by Amgen to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Partners under this Section 9.5 be reduced by application of Sections 9.5(c)(i)–(iii) by more than [***] in any applicable Calendar Quarter; </w:t>
      </w:r>
      <w:r>
        <w:rPr>
          <w:rFonts w:ascii="Arial" w:cs="Arial" w:eastAsia="Arial" w:hAnsi="Arial"/>
          <w:sz w:val="22"/>
          <w:szCs w:val="22"/>
          <w:i w:val="1"/>
          <w:iCs w:val="1"/>
          <w:color w:val="auto"/>
        </w:rPr>
        <w:t>provided</w:t>
      </w:r>
      <w:r>
        <w:rPr>
          <w:rFonts w:ascii="Arial" w:cs="Arial" w:eastAsia="Arial" w:hAnsi="Arial"/>
          <w:sz w:val="22"/>
          <w:szCs w:val="22"/>
          <w:color w:val="auto"/>
        </w:rPr>
        <w:t>, that Amgen may carry forward any amounts that Amgen is unable to credit against royalties due in a Calendar Quarter by reason of the royalty floor in this Section 9.5(c)(iv).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624" w:name="page625"/>
    <w:bookmarkEnd w:id="624"/>
    <w:p>
      <w:pPr>
        <w:jc w:val="both"/>
        <w:ind w:left="180" w:firstLine="1286"/>
        <w:spacing w:after="0" w:line="293" w:lineRule="auto"/>
        <w:tabs>
          <w:tab w:leader="none" w:pos="1957" w:val="left"/>
        </w:tabs>
        <w:numPr>
          <w:ilvl w:val="0"/>
          <w:numId w:val="578"/>
        </w:numPr>
        <w:rPr>
          <w:rFonts w:ascii="Arial" w:cs="Arial" w:eastAsia="Arial" w:hAnsi="Arial"/>
          <w:sz w:val="19"/>
          <w:szCs w:val="19"/>
          <w:color w:val="auto"/>
        </w:rPr>
      </w:pPr>
      <w:r>
        <w:rPr>
          <w:rFonts w:ascii="Arial" w:cs="Arial" w:eastAsia="Arial" w:hAnsi="Arial"/>
          <w:sz w:val="19"/>
          <w:szCs w:val="19"/>
          <w:b w:val="1"/>
          <w:bCs w:val="1"/>
          <w:color w:val="auto"/>
        </w:rPr>
        <w:t>Royalty Payments and Reports</w:t>
      </w:r>
      <w:r>
        <w:rPr>
          <w:rFonts w:ascii="Arial" w:cs="Arial" w:eastAsia="Arial" w:hAnsi="Arial"/>
          <w:sz w:val="19"/>
          <w:szCs w:val="19"/>
          <w:color w:val="auto"/>
        </w:rPr>
        <w:t>. Amgen shall pay Molecular Partners all royalty amounts due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9.5 within [***] after the end of each Calendar Quarter with respect to Net Sales of the Licensed Bispecific in such Calendar Quarter. Amgen shall include with each payment of royalties due to Molecular Partners a financial report, on a country-by-country basis, of the amount of gross sales and Net Sales of each Licensed Bispecific in Territory during the applicable Calendar Quarter and a calculation of the amount of royalty payment due on such Net Sales, including any deduction taken pursuant to Section 9.5(c). Molecular Partners shall keep such reports confidential and shall not disclose them to any Third Party other than Molecular Partners’ consultants and accountants that are obligated to keep such information confidential.</w:t>
      </w:r>
    </w:p>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9.6 Third Party Intellectual Property</w:t>
      </w:r>
      <w:r>
        <w:rPr>
          <w:rFonts w:ascii="Arial" w:cs="Arial" w:eastAsia="Arial" w:hAnsi="Arial"/>
          <w:sz w:val="19"/>
          <w:szCs w:val="19"/>
          <w:color w:val="auto"/>
        </w:rPr>
        <w:t>. If, during the Term, Molecular Partners obtains a license to any Patents or</w:t>
      </w:r>
      <w:r>
        <w:rPr>
          <w:rFonts w:ascii="Arial" w:cs="Arial" w:eastAsia="Arial" w:hAnsi="Arial"/>
          <w:sz w:val="19"/>
          <w:szCs w:val="19"/>
          <w:b w:val="1"/>
          <w:bCs w:val="1"/>
          <w:color w:val="auto"/>
        </w:rPr>
        <w:t xml:space="preserve"> </w:t>
      </w:r>
      <w:r>
        <w:rPr>
          <w:rFonts w:ascii="Arial" w:cs="Arial" w:eastAsia="Arial" w:hAnsi="Arial"/>
          <w:sz w:val="19"/>
          <w:szCs w:val="19"/>
          <w:color w:val="auto"/>
        </w:rPr>
        <w:t>Know-How owned or Controlled by a Third Party that (a) is necessary to manufacture, use, offer to sell, or sell the Licensed Bispecific in the Field in the Territory or (b) is reasonably useful to Exploit the Licensed Bispecific in the Field in the Territory (“</w:t>
      </w:r>
      <w:r>
        <w:rPr>
          <w:rFonts w:ascii="Arial" w:cs="Arial" w:eastAsia="Arial" w:hAnsi="Arial"/>
          <w:sz w:val="19"/>
          <w:szCs w:val="19"/>
          <w:b w:val="1"/>
          <w:bCs w:val="1"/>
          <w:color w:val="auto"/>
        </w:rPr>
        <w:t>Third Party IP</w:t>
      </w:r>
      <w:r>
        <w:rPr>
          <w:rFonts w:ascii="Arial" w:cs="Arial" w:eastAsia="Arial" w:hAnsi="Arial"/>
          <w:sz w:val="19"/>
          <w:szCs w:val="19"/>
          <w:color w:val="auto"/>
        </w:rPr>
        <w:t>”), then Molecular Partners shall notify Amgen of the rights that Molecular Partners has obtained with respect such Third Party IP promptly after obtaining such rights. Amgen shall notify Molecular Partners within [***] after receipt of such notice whether Amgen desires to include such Third Party IP under the license granted to Amgen by Molecular Partners in Section 3.1. If Amgen notifies Molecular Partners that it desires to include Third Party IP under the license granted to Amgen by Molecular Partners in Section 3.1, then (i) such Third Party IP is and will be automatically included in the applicable definition of Molecular Partners Patents or Molecular Partners Know-How and included in the license under Section 3.1, and (ii) Amgen shall reimburse Molecular Partners for [***] of all amounts payable by Molecular Partners under such license to such Third Party directly as a result of the Exploitation of Products by Amgen, its Affiliates, and Sublicensees within [***] after receipt of an invoice therefor. For the avoidance of doubt, the obligations of Amgen to reimburse amounts payable by Molecular Partners to a Third Party as set forth in this Section 9.6 apply solely with respect to licenses that were entered into by Molecular Partners after the Effective Date and Molecular Partners is solely responsible for any amounts payable under any agreement entered into by Molecular Partners (or an Affiliate) prior to the Effective Date. For further avoidance of doubt, Amgen may in accordance with Section 9.5(c)(ii) and Section 9.5(c)(iv) deduct any such reimbursements made to Molecular Partners with respect to Third Party IP that are necessary to Exploit the Licensed Bispecific in the Field in the Territory. For clarity, Amgen shall have the sole right to obtain a license to any Patents or Know-How owned or Controlled by a Third Party that are solely necessary to Exploit the Amgen Products in the Field in the Territory.</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9.7 Method of Payment; Currency Conversion</w:t>
      </w:r>
      <w:r>
        <w:rPr>
          <w:rFonts w:ascii="Arial" w:cs="Arial" w:eastAsia="Arial" w:hAnsi="Arial"/>
          <w:sz w:val="21"/>
          <w:szCs w:val="21"/>
          <w:color w:val="auto"/>
        </w:rPr>
        <w:t>. Unless otherwise agreed by the Parties, all payments due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paid in Dollars by wire transfer or electronic funds transfer of immediately available funds to an account designated by the payee. Any sales of Licensed Bispecifics incurred in a currency other than Dollars shall be converted to the Dollar equivalent using Amgen’s then-current standard exchange rate methodology as applied to its external reporting for the conversion of foreign currency sales into Dollars consistent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2" w:right="339" w:bottom="1440" w:gutter="0" w:footer="0" w:header="0"/>
        </w:sectPr>
      </w:pPr>
    </w:p>
    <w:bookmarkStart w:id="625" w:name="page626"/>
    <w:bookmarkEnd w:id="625"/>
    <w:p>
      <w:pPr>
        <w:jc w:val="both"/>
        <w:ind w:firstLine="648"/>
        <w:spacing w:after="0" w:line="274" w:lineRule="auto"/>
        <w:rPr>
          <w:sz w:val="20"/>
          <w:szCs w:val="20"/>
          <w:color w:val="auto"/>
        </w:rPr>
      </w:pPr>
      <w:r>
        <w:rPr>
          <w:rFonts w:ascii="Arial" w:cs="Arial" w:eastAsia="Arial" w:hAnsi="Arial"/>
          <w:sz w:val="21"/>
          <w:szCs w:val="21"/>
          <w:b w:val="1"/>
          <w:bCs w:val="1"/>
          <w:color w:val="auto"/>
        </w:rPr>
        <w:t>9.8 Blocked Currency</w:t>
      </w:r>
      <w:r>
        <w:rPr>
          <w:rFonts w:ascii="Arial" w:cs="Arial" w:eastAsia="Arial" w:hAnsi="Arial"/>
          <w:sz w:val="21"/>
          <w:szCs w:val="21"/>
          <w:color w:val="auto"/>
        </w:rPr>
        <w:t>. If at any time legal restrictions in any country prevent the prompt remittance of any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with respect to sales therein, Amgen shall have the right and option to make such payments by depositing the amount thereof in local currency to a Molecular Partners’ account in a bank or depository institution in such country.</w:t>
      </w:r>
    </w:p>
    <w:p>
      <w:pPr>
        <w:spacing w:after="0" w:line="15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9.9 Late Payments</w:t>
      </w:r>
      <w:r>
        <w:rPr>
          <w:rFonts w:ascii="Arial" w:cs="Arial" w:eastAsia="Arial" w:hAnsi="Arial"/>
          <w:sz w:val="19"/>
          <w:szCs w:val="19"/>
          <w:color w:val="auto"/>
        </w:rPr>
        <w:t>. If any payment due under this Agreement is not paid when due in accordance with the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Agreement, the payment shall accrue interest from the date due at the rate of [***] or the maximum rate allowable by Applicable Law, whichever is less. The payment of such interest shall not limit the Party entitled to receive payment from exercising any other rights it may have as a consequence of the lateness of any payment.</w:t>
      </w:r>
    </w:p>
    <w:p>
      <w:pPr>
        <w:spacing w:after="0" w:line="13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9.10 Financial Records; Audits</w:t>
      </w:r>
      <w:r>
        <w:rPr>
          <w:rFonts w:ascii="Arial" w:cs="Arial" w:eastAsia="Arial" w:hAnsi="Arial"/>
          <w:sz w:val="19"/>
          <w:szCs w:val="19"/>
          <w:color w:val="auto"/>
        </w:rPr>
        <w:t>. Each Party shall maintain complete and accurate records in sufficient detail to permit</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to confirm the accuracy of the amount of Development Costs to be shared, achievement of sales milestones, royalties and other amounts to be shared or paid hereunder. Upon reasonable prior notice, such records shall be open during regular business hours for a period of [***] from the date of rendering of the report to which the audit relates for examination at the auditing Party’s expense, and not more often than [***], by an independent certified public accountant selected by the auditing Party and reasonably acceptable to the audited Party for the sole purpose of verifying for the auditing Party the accuracy of the financial reports furnished by the audited Party pursuant to this Agreement or of any payments made, or required to be made, by or to the audited Party to the other pursuant to this Agreement. The audited Party may require such accountant to enter into a reasonably acceptable confidentiality agreement and any such auditor shall not disclose the audited Party’s Confidential Information to the auditing Party, except to the extent such disclosure is necessary to verify the accuracy of the financial reports furnished by the audited Party or the amount of payments due by the audited Party under this Agreement. Any undisputed amounts shown to be owed but unpaid, or overpaid and in need of reimbursement, shall be paid or refunded (as the case may be) within [***] after the accountant’s report, plus interest (as set forth in Section 9.9) from the original due date. The auditing Party shall bear the full cost of such audit unless such audit reveals an overpayment to, or an underpayment by, the audited Party that resulted from a discrepancy in a report that the audited Party provided to the other Party during the applicable audit period, which underpayment or overpayment was more than [***] of the amount set forth in such report, in which case the audited Party shall bear the full cost of such audit. If the audited Party challenges the auditing results in good faith, the audited Party may select another independent certified public accountant to conduct another audit of its financial records. If the results of the [***] accountants are inconsistent, then the dispute shall be resolved in accordance with Article 15.</w:t>
      </w:r>
    </w:p>
    <w:p>
      <w:pPr>
        <w:spacing w:after="0" w:line="200" w:lineRule="exact"/>
        <w:rPr>
          <w:sz w:val="20"/>
          <w:szCs w:val="20"/>
          <w:color w:val="auto"/>
        </w:rPr>
      </w:pPr>
    </w:p>
    <w:p>
      <w:pPr>
        <w:spacing w:after="0" w:line="21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9.11</w:t>
      </w:r>
      <w:r>
        <w:rPr>
          <w:sz w:val="20"/>
          <w:szCs w:val="20"/>
          <w:color w:val="auto"/>
        </w:rPr>
        <w:tab/>
      </w:r>
      <w:r>
        <w:rPr>
          <w:rFonts w:ascii="Arial" w:cs="Arial" w:eastAsia="Arial" w:hAnsi="Arial"/>
          <w:sz w:val="17"/>
          <w:szCs w:val="17"/>
          <w:b w:val="1"/>
          <w:bCs w:val="1"/>
          <w:color w:val="auto"/>
        </w:rPr>
        <w:t>Taxes</w:t>
      </w:r>
      <w:r>
        <w:rPr>
          <w:rFonts w:ascii="Arial" w:cs="Arial" w:eastAsia="Arial" w:hAnsi="Arial"/>
          <w:sz w:val="17"/>
          <w:szCs w:val="17"/>
          <w:color w:val="auto"/>
        </w:rPr>
        <w:t>.</w:t>
      </w:r>
    </w:p>
    <w:p>
      <w:pPr>
        <w:spacing w:after="0" w:line="220" w:lineRule="exact"/>
        <w:rPr>
          <w:sz w:val="20"/>
          <w:szCs w:val="20"/>
          <w:color w:val="auto"/>
        </w:rPr>
      </w:pPr>
    </w:p>
    <w:p>
      <w:pPr>
        <w:ind w:left="180" w:firstLine="1286"/>
        <w:spacing w:after="0" w:line="293" w:lineRule="auto"/>
        <w:tabs>
          <w:tab w:leader="none" w:pos="1959" w:val="left"/>
        </w:tabs>
        <w:numPr>
          <w:ilvl w:val="0"/>
          <w:numId w:val="579"/>
        </w:numPr>
        <w:rPr>
          <w:rFonts w:ascii="Arial" w:cs="Arial" w:eastAsia="Arial" w:hAnsi="Arial"/>
          <w:sz w:val="21"/>
          <w:szCs w:val="21"/>
          <w:color w:val="auto"/>
        </w:rPr>
      </w:pPr>
      <w:r>
        <w:rPr>
          <w:rFonts w:ascii="Arial" w:cs="Arial" w:eastAsia="Arial" w:hAnsi="Arial"/>
          <w:sz w:val="21"/>
          <w:szCs w:val="21"/>
          <w:b w:val="1"/>
          <w:bCs w:val="1"/>
          <w:color w:val="auto"/>
        </w:rPr>
        <w:t>Taxes on Income</w:t>
      </w:r>
      <w:r>
        <w:rPr>
          <w:rFonts w:ascii="Arial" w:cs="Arial" w:eastAsia="Arial" w:hAnsi="Arial"/>
          <w:sz w:val="21"/>
          <w:szCs w:val="21"/>
          <w:color w:val="auto"/>
        </w:rPr>
        <w:t>. Each Party shall be solely responsible for the payment of all taxes imposed on its share</w:t>
      </w:r>
      <w:r>
        <w:rPr>
          <w:rFonts w:ascii="Arial" w:cs="Arial" w:eastAsia="Arial" w:hAnsi="Arial"/>
          <w:sz w:val="21"/>
          <w:szCs w:val="21"/>
          <w:b w:val="1"/>
          <w:bCs w:val="1"/>
          <w:color w:val="auto"/>
        </w:rPr>
        <w:t xml:space="preserve"> </w:t>
      </w:r>
      <w:r>
        <w:rPr>
          <w:rFonts w:ascii="Arial" w:cs="Arial" w:eastAsia="Arial" w:hAnsi="Arial"/>
          <w:sz w:val="21"/>
          <w:szCs w:val="21"/>
          <w:color w:val="auto"/>
        </w:rPr>
        <w:t>of income arising directly or indirectly from the collaborative efforts of the Parties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2" w:right="339" w:bottom="1440" w:gutter="0" w:footer="0" w:header="0"/>
        </w:sectPr>
      </w:pPr>
    </w:p>
    <w:bookmarkStart w:id="626" w:name="page627"/>
    <w:bookmarkEnd w:id="626"/>
    <w:p>
      <w:pPr>
        <w:jc w:val="both"/>
        <w:ind w:left="180" w:firstLine="1286"/>
        <w:spacing w:after="0" w:line="256" w:lineRule="auto"/>
        <w:tabs>
          <w:tab w:leader="none" w:pos="1998" w:val="left"/>
        </w:tabs>
        <w:numPr>
          <w:ilvl w:val="0"/>
          <w:numId w:val="580"/>
        </w:numPr>
        <w:rPr>
          <w:rFonts w:ascii="Arial" w:cs="Arial" w:eastAsia="Arial" w:hAnsi="Arial"/>
          <w:sz w:val="22"/>
          <w:szCs w:val="22"/>
          <w:color w:val="auto"/>
        </w:rPr>
      </w:pPr>
      <w:r>
        <w:rPr>
          <w:rFonts w:ascii="Arial" w:cs="Arial" w:eastAsia="Arial" w:hAnsi="Arial"/>
          <w:sz w:val="22"/>
          <w:szCs w:val="22"/>
          <w:b w:val="1"/>
          <w:bCs w:val="1"/>
          <w:color w:val="auto"/>
        </w:rPr>
        <w:t>Tax Cooperation</w:t>
      </w:r>
      <w:r>
        <w:rPr>
          <w:rFonts w:ascii="Arial" w:cs="Arial" w:eastAsia="Arial" w:hAnsi="Arial"/>
          <w:sz w:val="22"/>
          <w:szCs w:val="22"/>
          <w:color w:val="auto"/>
        </w:rPr>
        <w:t>. The Parties shall cooperate with one another and use reasonable efforts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Applicable Law to reduce value added tax or similar payments (“</w:t>
      </w:r>
      <w:r>
        <w:rPr>
          <w:rFonts w:ascii="Arial" w:cs="Arial" w:eastAsia="Arial" w:hAnsi="Arial"/>
          <w:sz w:val="22"/>
          <w:szCs w:val="22"/>
          <w:b w:val="1"/>
          <w:bCs w:val="1"/>
          <w:color w:val="auto"/>
        </w:rPr>
        <w:t>VAT</w:t>
      </w:r>
      <w:r>
        <w:rPr>
          <w:rFonts w:ascii="Arial" w:cs="Arial" w:eastAsia="Arial" w:hAnsi="Arial"/>
          <w:sz w:val="22"/>
          <w:szCs w:val="22"/>
          <w:color w:val="auto"/>
        </w:rPr>
        <w:t>”), Tax withholding and similar obligations on royalties, milestone payments, and other payments made under this Agreement.</w:t>
      </w:r>
    </w:p>
    <w:p>
      <w:pPr>
        <w:spacing w:after="0" w:line="176" w:lineRule="exact"/>
        <w:rPr>
          <w:rFonts w:ascii="Arial" w:cs="Arial" w:eastAsia="Arial" w:hAnsi="Arial"/>
          <w:sz w:val="22"/>
          <w:szCs w:val="22"/>
          <w:color w:val="auto"/>
        </w:rPr>
      </w:pPr>
    </w:p>
    <w:p>
      <w:pPr>
        <w:jc w:val="both"/>
        <w:ind w:left="180" w:firstLine="1286"/>
        <w:spacing w:after="0" w:line="293" w:lineRule="auto"/>
        <w:tabs>
          <w:tab w:leader="none" w:pos="1959" w:val="left"/>
        </w:tabs>
        <w:numPr>
          <w:ilvl w:val="0"/>
          <w:numId w:val="580"/>
        </w:numPr>
        <w:rPr>
          <w:rFonts w:ascii="Arial" w:cs="Arial" w:eastAsia="Arial" w:hAnsi="Arial"/>
          <w:sz w:val="19"/>
          <w:szCs w:val="19"/>
          <w:color w:val="auto"/>
        </w:rPr>
      </w:pPr>
      <w:r>
        <w:rPr>
          <w:rFonts w:ascii="Arial" w:cs="Arial" w:eastAsia="Arial" w:hAnsi="Arial"/>
          <w:sz w:val="19"/>
          <w:szCs w:val="19"/>
          <w:b w:val="1"/>
          <w:bCs w:val="1"/>
          <w:color w:val="auto"/>
        </w:rPr>
        <w:t>VAT</w:t>
      </w:r>
      <w:r>
        <w:rPr>
          <w:rFonts w:ascii="Arial" w:cs="Arial" w:eastAsia="Arial" w:hAnsi="Arial"/>
          <w:sz w:val="19"/>
          <w:szCs w:val="19"/>
          <w:color w:val="auto"/>
        </w:rPr>
        <w:t>. In the event that any VAT is owing in any jurisdiction in respect of any payment made by Amgen to</w:t>
      </w:r>
      <w:r>
        <w:rPr>
          <w:rFonts w:ascii="Arial" w:cs="Arial" w:eastAsia="Arial" w:hAnsi="Arial"/>
          <w:sz w:val="19"/>
          <w:szCs w:val="19"/>
          <w:b w:val="1"/>
          <w:bCs w:val="1"/>
          <w:color w:val="auto"/>
        </w:rPr>
        <w:t xml:space="preserve"> </w:t>
      </w:r>
      <w:r>
        <w:rPr>
          <w:rFonts w:ascii="Arial" w:cs="Arial" w:eastAsia="Arial" w:hAnsi="Arial"/>
          <w:sz w:val="19"/>
          <w:szCs w:val="19"/>
          <w:color w:val="auto"/>
        </w:rPr>
        <w:t>Molecular Partners under this Agreement, then Amgen shall pay such VAT. In the event that any VAT is owing in any jurisdiction in respect of any such payment, Molecular Partners will provide to Amgen tax invoices showing the correct amount of VAT in respect of such payments hereunder. In the event that any VAT is owing in any jurisdiction in respect of any payment made by Molecular Partners to Amgen under this Agreement, then Molecular Partners shall pay such VAT and provide Molecular Partners with invoices showing the correct amount of VAT in respect of such payments hereunder. Reimbursements of costs will be made net of VAT, unless VAT would not be recoverable by the Party that incurred the costs.</w:t>
      </w:r>
    </w:p>
    <w:p>
      <w:pPr>
        <w:spacing w:after="0" w:line="144" w:lineRule="exact"/>
        <w:rPr>
          <w:rFonts w:ascii="Arial" w:cs="Arial" w:eastAsia="Arial" w:hAnsi="Arial"/>
          <w:sz w:val="19"/>
          <w:szCs w:val="19"/>
          <w:color w:val="auto"/>
        </w:rPr>
      </w:pPr>
    </w:p>
    <w:p>
      <w:pPr>
        <w:jc w:val="both"/>
        <w:ind w:left="180" w:firstLine="1286"/>
        <w:spacing w:after="0" w:line="258" w:lineRule="auto"/>
        <w:tabs>
          <w:tab w:leader="none" w:pos="1984" w:val="left"/>
        </w:tabs>
        <w:numPr>
          <w:ilvl w:val="0"/>
          <w:numId w:val="580"/>
        </w:numPr>
        <w:rPr>
          <w:rFonts w:ascii="Arial" w:cs="Arial" w:eastAsia="Arial" w:hAnsi="Arial"/>
          <w:sz w:val="21"/>
          <w:szCs w:val="21"/>
          <w:color w:val="auto"/>
        </w:rPr>
      </w:pPr>
      <w:r>
        <w:rPr>
          <w:rFonts w:ascii="Arial" w:cs="Arial" w:eastAsia="Arial" w:hAnsi="Arial"/>
          <w:sz w:val="21"/>
          <w:szCs w:val="21"/>
          <w:b w:val="1"/>
          <w:bCs w:val="1"/>
          <w:color w:val="auto"/>
        </w:rPr>
        <w:t>Withholding Taxes</w:t>
      </w:r>
      <w:r>
        <w:rPr>
          <w:rFonts w:ascii="Arial" w:cs="Arial" w:eastAsia="Arial" w:hAnsi="Arial"/>
          <w:sz w:val="21"/>
          <w:szCs w:val="21"/>
          <w:color w:val="auto"/>
        </w:rPr>
        <w:t>. To the extent Amgen is required to deduct and withhold Taxes from any payment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Molecular Partners, Amgen shall pay the amounts of such Taxes to the proper Governmental Authority in a timely manner and promptly transmit to Molecular Partners an official Tax receipt or other evidence of timely payment sufficient to enable Molecular Partners to claim the payment of such Taxes as a deduction or Tax credit. Molecular Partners shall provide Amgen any Tax forms that may be reasonably necessary in order for Amgen to not withhold Tax or to withhold Tax at a reduced rate under an applicable bilateral income tax treaty and Amgen shall apply the reduced rate of withholding, or dispense with withholding, as the case may be,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Amgen has received evidence, in a form satisfactory to Amgen, of Molecular Partners’ delivery of all applicable forms (and, if necessary, its receipt of appropriate governmental authorization) at least [***] prior to the time the applicable payment is due. Each Party shall provide the other with reasonable assistance to enable the recovery, as permitted by Applicable Law, of withholding Taxes, value added Taxes, and similar obligations resulting from payments made under this Agreement, such recovery to be for the benefit of the Party bearing such withholding Tax or value added Tax.</w:t>
      </w:r>
    </w:p>
    <w:p>
      <w:pPr>
        <w:spacing w:after="0" w:line="178" w:lineRule="exact"/>
        <w:rPr>
          <w:rFonts w:ascii="Arial" w:cs="Arial" w:eastAsia="Arial" w:hAnsi="Arial"/>
          <w:sz w:val="21"/>
          <w:szCs w:val="21"/>
          <w:color w:val="auto"/>
        </w:rPr>
      </w:pPr>
    </w:p>
    <w:p>
      <w:pPr>
        <w:jc w:val="both"/>
        <w:ind w:firstLine="1952"/>
        <w:spacing w:after="0" w:line="290" w:lineRule="auto"/>
        <w:tabs>
          <w:tab w:leader="none" w:pos="2364" w:val="left"/>
        </w:tabs>
        <w:numPr>
          <w:ilvl w:val="1"/>
          <w:numId w:val="580"/>
        </w:numPr>
        <w:rPr>
          <w:rFonts w:ascii="Arial" w:cs="Arial" w:eastAsia="Arial" w:hAnsi="Arial"/>
          <w:sz w:val="19"/>
          <w:szCs w:val="19"/>
          <w:color w:val="auto"/>
        </w:rPr>
      </w:pPr>
      <w:r>
        <w:rPr>
          <w:rFonts w:ascii="Arial" w:cs="Arial" w:eastAsia="Arial" w:hAnsi="Arial"/>
          <w:sz w:val="19"/>
          <w:szCs w:val="19"/>
          <w:b w:val="1"/>
          <w:bCs w:val="1"/>
          <w:color w:val="auto"/>
        </w:rPr>
        <w:t>Taxes Resulting from Amgen Action</w:t>
      </w:r>
      <w:r>
        <w:rPr>
          <w:rFonts w:ascii="Arial" w:cs="Arial" w:eastAsia="Arial" w:hAnsi="Arial"/>
          <w:sz w:val="19"/>
          <w:szCs w:val="19"/>
          <w:color w:val="auto"/>
        </w:rPr>
        <w:t>. If Amgen is required to make a payment to Molecular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 deduction or withholding of Tax, then (A) if such deduction or withholding of Tax arises as a result of any action by Amgen, including an assignment of this Agreement, or any failure on the part of Amgen to comply with Applicable Law, that has the effect of modifying the Tax treatment or increasing the Tax of Molecular Partners (a “</w:t>
      </w:r>
      <w:r>
        <w:rPr>
          <w:rFonts w:ascii="Arial" w:cs="Arial" w:eastAsia="Arial" w:hAnsi="Arial"/>
          <w:sz w:val="19"/>
          <w:szCs w:val="19"/>
          <w:b w:val="1"/>
          <w:bCs w:val="1"/>
          <w:color w:val="auto"/>
        </w:rPr>
        <w:t>Amgen Withholding Tax Action</w:t>
      </w:r>
      <w:r>
        <w:rPr>
          <w:rFonts w:ascii="Arial" w:cs="Arial" w:eastAsia="Arial" w:hAnsi="Arial"/>
          <w:sz w:val="19"/>
          <w:szCs w:val="19"/>
          <w:color w:val="auto"/>
        </w:rPr>
        <w:t>”), then subject to Section 9.11(d)(ii), the payment by Amgen (in respect of which such deduction or withholding of Tax is required to be made) shall be increased by the amount necessary (the “</w:t>
      </w:r>
      <w:r>
        <w:rPr>
          <w:rFonts w:ascii="Arial" w:cs="Arial" w:eastAsia="Arial" w:hAnsi="Arial"/>
          <w:sz w:val="19"/>
          <w:szCs w:val="19"/>
          <w:b w:val="1"/>
          <w:bCs w:val="1"/>
          <w:color w:val="auto"/>
        </w:rPr>
        <w:t>Additional Tax</w:t>
      </w:r>
      <w:r>
        <w:rPr>
          <w:rFonts w:ascii="Arial" w:cs="Arial" w:eastAsia="Arial" w:hAnsi="Arial"/>
          <w:sz w:val="19"/>
          <w:szCs w:val="19"/>
          <w:color w:val="auto"/>
        </w:rPr>
        <w:t>”) to ensure that Molecular Partners receives an amount equal to the amount that it would have received had no such Amgen Withholding Tax Action occurred, and (B) the Additional Tax shall be deducted and withheld by Amgen from the payment made by Amgen to Molecular Partners. The Additional Tax, along with any other Tax deducted and withheld from the payment made by Amgen, shall be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2" w:right="339" w:bottom="1440" w:gutter="0" w:footer="0" w:header="0"/>
        </w:sectPr>
      </w:pPr>
    </w:p>
    <w:bookmarkStart w:id="627" w:name="page628"/>
    <w:bookmarkEnd w:id="627"/>
    <w:p>
      <w:pPr>
        <w:spacing w:after="0"/>
        <w:rPr>
          <w:sz w:val="20"/>
          <w:szCs w:val="20"/>
          <w:color w:val="auto"/>
        </w:rPr>
      </w:pPr>
      <w:r>
        <w:rPr>
          <w:rFonts w:ascii="Arial" w:cs="Arial" w:eastAsia="Arial" w:hAnsi="Arial"/>
          <w:sz w:val="21"/>
          <w:szCs w:val="21"/>
          <w:color w:val="auto"/>
        </w:rPr>
        <w:t>remitted to the proper Governmental Authority for the account of Molecular Partners in accordance with Applicable Law.</w:t>
      </w:r>
    </w:p>
    <w:p>
      <w:pPr>
        <w:spacing w:after="0" w:line="225" w:lineRule="exact"/>
        <w:rPr>
          <w:sz w:val="20"/>
          <w:szCs w:val="20"/>
          <w:color w:val="auto"/>
        </w:rPr>
      </w:pPr>
    </w:p>
    <w:p>
      <w:pPr>
        <w:jc w:val="both"/>
        <w:ind w:firstLine="1952"/>
        <w:spacing w:after="0" w:line="262" w:lineRule="auto"/>
        <w:tabs>
          <w:tab w:leader="none" w:pos="2451" w:val="left"/>
        </w:tabs>
        <w:numPr>
          <w:ilvl w:val="0"/>
          <w:numId w:val="581"/>
        </w:numPr>
        <w:rPr>
          <w:rFonts w:ascii="Arial" w:cs="Arial" w:eastAsia="Arial" w:hAnsi="Arial"/>
          <w:sz w:val="21"/>
          <w:szCs w:val="21"/>
          <w:color w:val="auto"/>
        </w:rPr>
      </w:pPr>
      <w:r>
        <w:rPr>
          <w:rFonts w:ascii="Arial" w:cs="Arial" w:eastAsia="Arial" w:hAnsi="Arial"/>
          <w:sz w:val="21"/>
          <w:szCs w:val="21"/>
          <w:b w:val="1"/>
          <w:bCs w:val="1"/>
          <w:color w:val="auto"/>
        </w:rPr>
        <w:t>Tax Credits and Tax Repayments</w:t>
      </w:r>
      <w:r>
        <w:rPr>
          <w:rFonts w:ascii="Arial" w:cs="Arial" w:eastAsia="Arial" w:hAnsi="Arial"/>
          <w:sz w:val="21"/>
          <w:szCs w:val="21"/>
          <w:color w:val="auto"/>
        </w:rPr>
        <w:t>. If any Additional Tax is paid pursuant to Section 9.11(d)(i) and</w:t>
      </w:r>
      <w:r>
        <w:rPr>
          <w:rFonts w:ascii="Arial" w:cs="Arial" w:eastAsia="Arial" w:hAnsi="Arial"/>
          <w:sz w:val="21"/>
          <w:szCs w:val="21"/>
          <w:b w:val="1"/>
          <w:bCs w:val="1"/>
          <w:color w:val="auto"/>
        </w:rPr>
        <w:t xml:space="preserve"> </w:t>
      </w:r>
      <w:r>
        <w:rPr>
          <w:rFonts w:ascii="Arial" w:cs="Arial" w:eastAsia="Arial" w:hAnsi="Arial"/>
          <w:sz w:val="21"/>
          <w:szCs w:val="21"/>
          <w:color w:val="auto"/>
        </w:rPr>
        <w:t>Molecular Partners determines that it has derived full use and benefit from a credit against the payment of any Tax for all or any portion of such Additional Tax, or it receives a repayment of all or any portion of such Additional Tax, then Molecular Partners shall, to the extent that it can do so without prejudice to the retention of the amount of such credit or repayment, pay to Amgen an amount that will leave Molecular Partners (after such payment) in no worse after-Tax financial position than it would have been in had it not made the payment to Amgen.</w:t>
      </w:r>
    </w:p>
    <w:p>
      <w:pPr>
        <w:spacing w:after="0" w:line="173" w:lineRule="exact"/>
        <w:rPr>
          <w:rFonts w:ascii="Arial" w:cs="Arial" w:eastAsia="Arial" w:hAnsi="Arial"/>
          <w:sz w:val="21"/>
          <w:szCs w:val="21"/>
          <w:color w:val="auto"/>
        </w:rPr>
      </w:pPr>
    </w:p>
    <w:p>
      <w:pPr>
        <w:jc w:val="both"/>
        <w:ind w:firstLine="1952"/>
        <w:spacing w:after="0" w:line="295" w:lineRule="auto"/>
        <w:tabs>
          <w:tab w:leader="none" w:pos="2619" w:val="left"/>
        </w:tabs>
        <w:numPr>
          <w:ilvl w:val="0"/>
          <w:numId w:val="581"/>
        </w:numPr>
        <w:rPr>
          <w:rFonts w:ascii="Arial" w:cs="Arial" w:eastAsia="Arial" w:hAnsi="Arial"/>
          <w:sz w:val="19"/>
          <w:szCs w:val="19"/>
          <w:color w:val="auto"/>
        </w:rPr>
      </w:pPr>
      <w:r>
        <w:rPr>
          <w:rFonts w:ascii="Arial" w:cs="Arial" w:eastAsia="Arial" w:hAnsi="Arial"/>
          <w:sz w:val="19"/>
          <w:szCs w:val="19"/>
          <w:b w:val="1"/>
          <w:bCs w:val="1"/>
          <w:color w:val="auto"/>
        </w:rPr>
        <w:t>Claw Back of Tax Credits and Tax Repayments</w:t>
      </w:r>
      <w:r>
        <w:rPr>
          <w:rFonts w:ascii="Arial" w:cs="Arial" w:eastAsia="Arial" w:hAnsi="Arial"/>
          <w:sz w:val="19"/>
          <w:szCs w:val="19"/>
          <w:color w:val="auto"/>
        </w:rPr>
        <w:t>. If Molecular Partners makes a payment to</w:t>
      </w:r>
      <w:r>
        <w:rPr>
          <w:rFonts w:ascii="Arial" w:cs="Arial" w:eastAsia="Arial" w:hAnsi="Arial"/>
          <w:sz w:val="19"/>
          <w:szCs w:val="19"/>
          <w:b w:val="1"/>
          <w:bCs w:val="1"/>
          <w:color w:val="auto"/>
        </w:rPr>
        <w:t xml:space="preserve"> </w:t>
      </w:r>
      <w:r>
        <w:rPr>
          <w:rFonts w:ascii="Arial" w:cs="Arial" w:eastAsia="Arial" w:hAnsi="Arial"/>
          <w:sz w:val="19"/>
          <w:szCs w:val="19"/>
          <w:color w:val="auto"/>
        </w:rPr>
        <w:t>Amgen pursuant to Section 9.11(d)(ii) and Molecular Partners subsequently determines that the credit or repayment in respect of which such payment was made was not available, or upon final settlement with an applicable Governmental Authority it is determined that the credit or repayment in respect of which such payment was made was not available, Amgen shall reimburse Molecular Partners the amount that Molecular Partners determines necessary to place Molecular Partners in the same after-Tax financial position as it would have been in had it not made the payment to Amgen pursuant to Section 9.11(d)(ii).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Ownership of Inventions</w:t>
      </w:r>
      <w:r>
        <w:rPr>
          <w:rFonts w:ascii="Arial" w:cs="Arial" w:eastAsia="Arial" w:hAnsi="Arial"/>
          <w:sz w:val="19"/>
          <w:szCs w:val="19"/>
          <w:color w:val="auto"/>
        </w:rPr>
        <w:t>.</w:t>
      </w:r>
    </w:p>
    <w:p>
      <w:pPr>
        <w:spacing w:after="0" w:line="220" w:lineRule="exact"/>
        <w:rPr>
          <w:sz w:val="20"/>
          <w:szCs w:val="20"/>
          <w:color w:val="auto"/>
        </w:rPr>
      </w:pPr>
    </w:p>
    <w:p>
      <w:pPr>
        <w:ind w:left="1920" w:hanging="454"/>
        <w:spacing w:after="0"/>
        <w:tabs>
          <w:tab w:leader="none" w:pos="1920" w:val="left"/>
        </w:tabs>
        <w:numPr>
          <w:ilvl w:val="1"/>
          <w:numId w:val="582"/>
        </w:numPr>
        <w:rPr>
          <w:rFonts w:ascii="Arial" w:cs="Arial" w:eastAsia="Arial" w:hAnsi="Arial"/>
          <w:sz w:val="22"/>
          <w:szCs w:val="22"/>
          <w:color w:val="auto"/>
        </w:rPr>
      </w:pPr>
      <w:r>
        <w:rPr>
          <w:rFonts w:ascii="Arial" w:cs="Arial" w:eastAsia="Arial" w:hAnsi="Arial"/>
          <w:sz w:val="22"/>
          <w:szCs w:val="22"/>
          <w:b w:val="1"/>
          <w:bCs w:val="1"/>
          <w:color w:val="auto"/>
        </w:rPr>
        <w:t>Background IP</w:t>
      </w:r>
      <w:r>
        <w:rPr>
          <w:rFonts w:ascii="Arial" w:cs="Arial" w:eastAsia="Arial" w:hAnsi="Arial"/>
          <w:sz w:val="22"/>
          <w:szCs w:val="22"/>
          <w:color w:val="auto"/>
        </w:rPr>
        <w:t>. Each Party owns all right, title and interest in its Background IP.</w:t>
      </w:r>
    </w:p>
    <w:p>
      <w:pPr>
        <w:spacing w:after="0" w:line="219" w:lineRule="exact"/>
        <w:rPr>
          <w:rFonts w:ascii="Arial" w:cs="Arial" w:eastAsia="Arial" w:hAnsi="Arial"/>
          <w:sz w:val="22"/>
          <w:szCs w:val="22"/>
          <w:color w:val="auto"/>
        </w:rPr>
      </w:pPr>
    </w:p>
    <w:p>
      <w:pPr>
        <w:ind w:left="1940" w:hanging="474"/>
        <w:spacing w:after="0"/>
        <w:tabs>
          <w:tab w:leader="none" w:pos="1940" w:val="left"/>
        </w:tabs>
        <w:numPr>
          <w:ilvl w:val="1"/>
          <w:numId w:val="582"/>
        </w:numPr>
        <w:rPr>
          <w:rFonts w:ascii="Arial" w:cs="Arial" w:eastAsia="Arial" w:hAnsi="Arial"/>
          <w:sz w:val="19"/>
          <w:szCs w:val="19"/>
          <w:color w:val="auto"/>
        </w:rPr>
      </w:pPr>
      <w:r>
        <w:rPr>
          <w:rFonts w:ascii="Arial" w:cs="Arial" w:eastAsia="Arial" w:hAnsi="Arial"/>
          <w:sz w:val="19"/>
          <w:szCs w:val="19"/>
          <w:b w:val="1"/>
          <w:bCs w:val="1"/>
          <w:color w:val="auto"/>
        </w:rPr>
        <w:t>Applicable Patent Laws</w:t>
      </w:r>
      <w:r>
        <w:rPr>
          <w:rFonts w:ascii="Arial" w:cs="Arial" w:eastAsia="Arial" w:hAnsi="Arial"/>
          <w:sz w:val="19"/>
          <w:szCs w:val="19"/>
          <w:color w:val="auto"/>
        </w:rPr>
        <w:t>. Inventorship shall be determined in accordance with United States patent laws.</w:t>
      </w:r>
    </w:p>
    <w:p>
      <w:pPr>
        <w:spacing w:after="0" w:line="254" w:lineRule="exact"/>
        <w:rPr>
          <w:rFonts w:ascii="Arial" w:cs="Arial" w:eastAsia="Arial" w:hAnsi="Arial"/>
          <w:sz w:val="19"/>
          <w:szCs w:val="19"/>
          <w:color w:val="auto"/>
        </w:rPr>
      </w:pPr>
    </w:p>
    <w:p>
      <w:pPr>
        <w:jc w:val="both"/>
        <w:ind w:left="180" w:firstLine="1286"/>
        <w:spacing w:after="0" w:line="315" w:lineRule="auto"/>
        <w:tabs>
          <w:tab w:leader="none" w:pos="1999" w:val="left"/>
        </w:tabs>
        <w:numPr>
          <w:ilvl w:val="1"/>
          <w:numId w:val="582"/>
        </w:numPr>
        <w:rPr>
          <w:rFonts w:ascii="Arial" w:cs="Arial" w:eastAsia="Arial" w:hAnsi="Arial"/>
          <w:sz w:val="19"/>
          <w:szCs w:val="19"/>
          <w:color w:val="auto"/>
        </w:rPr>
      </w:pPr>
      <w:r>
        <w:rPr>
          <w:rFonts w:ascii="Arial" w:cs="Arial" w:eastAsia="Arial" w:hAnsi="Arial"/>
          <w:sz w:val="19"/>
          <w:szCs w:val="19"/>
          <w:b w:val="1"/>
          <w:bCs w:val="1"/>
          <w:color w:val="auto"/>
        </w:rPr>
        <w:t>Sole Inventions</w:t>
      </w:r>
      <w:r>
        <w:rPr>
          <w:rFonts w:ascii="Arial" w:cs="Arial" w:eastAsia="Arial" w:hAnsi="Arial"/>
          <w:sz w:val="19"/>
          <w:szCs w:val="19"/>
          <w:color w:val="auto"/>
        </w:rPr>
        <w:t>. Each Party shall own all Inventions that (i) are made solely by it and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employees, agents, independent contractors, or sublicensees in the course of conducting such Party’s activities under this Agreement and (ii) are not Assigned Improvements or Combination Inventions (collectively, “</w:t>
      </w:r>
      <w:r>
        <w:rPr>
          <w:rFonts w:ascii="Arial" w:cs="Arial" w:eastAsia="Arial" w:hAnsi="Arial"/>
          <w:sz w:val="19"/>
          <w:szCs w:val="19"/>
          <w:b w:val="1"/>
          <w:bCs w:val="1"/>
          <w:color w:val="auto"/>
        </w:rPr>
        <w:t>Sole Inventions</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ind w:left="2060" w:hanging="594"/>
        <w:spacing w:after="0"/>
        <w:tabs>
          <w:tab w:leader="none" w:pos="2060" w:val="left"/>
        </w:tabs>
        <w:numPr>
          <w:ilvl w:val="1"/>
          <w:numId w:val="582"/>
        </w:numPr>
        <w:rPr>
          <w:rFonts w:ascii="Arial" w:cs="Arial" w:eastAsia="Arial" w:hAnsi="Arial"/>
          <w:sz w:val="19"/>
          <w:szCs w:val="19"/>
          <w:color w:val="auto"/>
        </w:rPr>
      </w:pPr>
      <w:r>
        <w:rPr>
          <w:rFonts w:ascii="Arial" w:cs="Arial" w:eastAsia="Arial" w:hAnsi="Arial"/>
          <w:sz w:val="19"/>
          <w:szCs w:val="19"/>
          <w:b w:val="1"/>
          <w:bCs w:val="1"/>
          <w:color w:val="auto"/>
        </w:rPr>
        <w:t>Joint Inventions</w:t>
      </w:r>
      <w:r>
        <w:rPr>
          <w:rFonts w:ascii="Arial" w:cs="Arial" w:eastAsia="Arial" w:hAnsi="Arial"/>
          <w:sz w:val="19"/>
          <w:szCs w:val="19"/>
          <w:color w:val="auto"/>
        </w:rPr>
        <w:t>. The Parties shall jointly own any Inventions that (i) are Combination Inventions or</w:t>
      </w:r>
    </w:p>
    <w:p>
      <w:pPr>
        <w:spacing w:after="0" w:line="61" w:lineRule="exact"/>
        <w:rPr>
          <w:rFonts w:ascii="Arial" w:cs="Arial" w:eastAsia="Arial" w:hAnsi="Arial"/>
          <w:sz w:val="19"/>
          <w:szCs w:val="19"/>
          <w:color w:val="auto"/>
        </w:rPr>
      </w:pPr>
    </w:p>
    <w:p>
      <w:pPr>
        <w:jc w:val="both"/>
        <w:ind w:left="180" w:hanging="10"/>
        <w:spacing w:after="0" w:line="258" w:lineRule="auto"/>
        <w:tabs>
          <w:tab w:leader="none" w:pos="514" w:val="left"/>
        </w:tabs>
        <w:numPr>
          <w:ilvl w:val="0"/>
          <w:numId w:val="583"/>
        </w:numPr>
        <w:rPr>
          <w:rFonts w:ascii="Arial" w:cs="Arial" w:eastAsia="Arial" w:hAnsi="Arial"/>
          <w:sz w:val="21"/>
          <w:szCs w:val="21"/>
          <w:color w:val="auto"/>
        </w:rPr>
      </w:pPr>
      <w:r>
        <w:rPr>
          <w:rFonts w:ascii="Arial" w:cs="Arial" w:eastAsia="Arial" w:hAnsi="Arial"/>
          <w:sz w:val="21"/>
          <w:szCs w:val="21"/>
          <w:color w:val="auto"/>
        </w:rPr>
        <w:t>(1) are made jointly by employees, agents, independent contractors, or sublicensees of one Party or its Affiliates together with employees, agents, independent contractors, or sublicensees of the other Party or its Affiliates and (2) are not Assigned Improvements ((i) and (ii) collectively, “</w:t>
      </w:r>
      <w:r>
        <w:rPr>
          <w:rFonts w:ascii="Arial" w:cs="Arial" w:eastAsia="Arial" w:hAnsi="Arial"/>
          <w:sz w:val="21"/>
          <w:szCs w:val="21"/>
          <w:b w:val="1"/>
          <w:bCs w:val="1"/>
          <w:color w:val="auto"/>
        </w:rPr>
        <w:t>Joint Inventions</w:t>
      </w:r>
      <w:r>
        <w:rPr>
          <w:rFonts w:ascii="Arial" w:cs="Arial" w:eastAsia="Arial" w:hAnsi="Arial"/>
          <w:sz w:val="21"/>
          <w:szCs w:val="21"/>
          <w:color w:val="auto"/>
        </w:rPr>
        <w:t>”). Except to the extent a Party is expressly limited by the terms of this Agreement, each Party may practice, license, assign and otherwise exploit the Joint Inventions and Joint Patents without the duty of accounting or seeking consent from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628" w:name="page629"/>
    <w:bookmarkEnd w:id="628"/>
    <w:p>
      <w:pPr>
        <w:jc w:val="both"/>
        <w:ind w:left="180" w:firstLine="1286"/>
        <w:spacing w:after="0" w:line="248" w:lineRule="auto"/>
        <w:tabs>
          <w:tab w:leader="none" w:pos="1986" w:val="left"/>
        </w:tabs>
        <w:numPr>
          <w:ilvl w:val="1"/>
          <w:numId w:val="584"/>
        </w:numPr>
        <w:rPr>
          <w:rFonts w:ascii="Arial" w:cs="Arial" w:eastAsia="Arial" w:hAnsi="Arial"/>
          <w:sz w:val="22"/>
          <w:szCs w:val="22"/>
          <w:color w:val="auto"/>
        </w:rPr>
      </w:pPr>
      <w:r>
        <w:rPr>
          <w:rFonts w:ascii="Arial" w:cs="Arial" w:eastAsia="Arial" w:hAnsi="Arial"/>
          <w:sz w:val="22"/>
          <w:szCs w:val="22"/>
          <w:b w:val="1"/>
          <w:bCs w:val="1"/>
          <w:color w:val="auto"/>
        </w:rPr>
        <w:t>Assigned Improvements</w:t>
      </w:r>
      <w:r>
        <w:rPr>
          <w:rFonts w:ascii="Arial" w:cs="Arial" w:eastAsia="Arial" w:hAnsi="Arial"/>
          <w:sz w:val="22"/>
          <w:szCs w:val="22"/>
          <w:color w:val="auto"/>
        </w:rPr>
        <w:t>. Notwithstanding Section 10.1(c) and Section 10.1(d), Molecular Partners shall</w:t>
      </w:r>
      <w:r>
        <w:rPr>
          <w:rFonts w:ascii="Arial" w:cs="Arial" w:eastAsia="Arial" w:hAnsi="Arial"/>
          <w:sz w:val="22"/>
          <w:szCs w:val="22"/>
          <w:b w:val="1"/>
          <w:bCs w:val="1"/>
          <w:color w:val="auto"/>
        </w:rPr>
        <w:t xml:space="preserve"> </w:t>
      </w:r>
      <w:r>
        <w:rPr>
          <w:rFonts w:ascii="Arial" w:cs="Arial" w:eastAsia="Arial" w:hAnsi="Arial"/>
          <w:sz w:val="22"/>
          <w:szCs w:val="22"/>
          <w:color w:val="auto"/>
        </w:rPr>
        <w:t>solely own all Inventions (developed solely by or on behalf of a Party or jointly by or on behalf of the Parties) that [***] (collectively, the “</w:t>
      </w:r>
      <w:r>
        <w:rPr>
          <w:rFonts w:ascii="Arial" w:cs="Arial" w:eastAsia="Arial" w:hAnsi="Arial"/>
          <w:sz w:val="22"/>
          <w:szCs w:val="22"/>
          <w:b w:val="1"/>
          <w:bCs w:val="1"/>
          <w:color w:val="auto"/>
        </w:rPr>
        <w:t>Assigned Improvements</w:t>
      </w:r>
      <w:r>
        <w:rPr>
          <w:rFonts w:ascii="Arial" w:cs="Arial" w:eastAsia="Arial" w:hAnsi="Arial"/>
          <w:sz w:val="22"/>
          <w:szCs w:val="22"/>
          <w:color w:val="auto"/>
        </w:rPr>
        <w:t>”). Amgen hereby assigns to Molecular Partners all of Amgen’s right, title and interest in and to all Assigned Improvements made by Amgen’s or its Affiliates’ employees, agents, independent contractors, or Sublicensees (whether solely or jointly with Molecular Partners). Amgen shall execute and record assignments and other necessary documents consistent with such ownership.</w:t>
      </w:r>
    </w:p>
    <w:p>
      <w:pPr>
        <w:spacing w:after="0" w:line="186" w:lineRule="exact"/>
        <w:rPr>
          <w:rFonts w:ascii="Arial" w:cs="Arial" w:eastAsia="Arial" w:hAnsi="Arial"/>
          <w:sz w:val="22"/>
          <w:szCs w:val="22"/>
          <w:color w:val="auto"/>
        </w:rPr>
      </w:pPr>
    </w:p>
    <w:p>
      <w:pPr>
        <w:jc w:val="both"/>
        <w:ind w:left="180" w:firstLine="1286"/>
        <w:spacing w:after="0" w:line="262" w:lineRule="auto"/>
        <w:tabs>
          <w:tab w:leader="none" w:pos="1989" w:val="left"/>
        </w:tabs>
        <w:numPr>
          <w:ilvl w:val="1"/>
          <w:numId w:val="584"/>
        </w:numPr>
        <w:rPr>
          <w:rFonts w:ascii="Arial" w:cs="Arial" w:eastAsia="Arial" w:hAnsi="Arial"/>
          <w:sz w:val="21"/>
          <w:szCs w:val="21"/>
          <w:color w:val="auto"/>
        </w:rPr>
      </w:pPr>
      <w:r>
        <w:rPr>
          <w:rFonts w:ascii="Arial" w:cs="Arial" w:eastAsia="Arial" w:hAnsi="Arial"/>
          <w:sz w:val="21"/>
          <w:szCs w:val="21"/>
          <w:b w:val="1"/>
          <w:bCs w:val="1"/>
          <w:color w:val="auto"/>
        </w:rPr>
        <w:t>Combination Inventions</w:t>
      </w:r>
      <w:r>
        <w:rPr>
          <w:rFonts w:ascii="Arial" w:cs="Arial" w:eastAsia="Arial" w:hAnsi="Arial"/>
          <w:sz w:val="21"/>
          <w:szCs w:val="21"/>
          <w:color w:val="auto"/>
        </w:rPr>
        <w:t>. Notwithstanding Section 10.1(c) and Section 10.1(e), the Parties shall jointly</w:t>
      </w:r>
      <w:r>
        <w:rPr>
          <w:rFonts w:ascii="Arial" w:cs="Arial" w:eastAsia="Arial" w:hAnsi="Arial"/>
          <w:sz w:val="21"/>
          <w:szCs w:val="21"/>
          <w:b w:val="1"/>
          <w:bCs w:val="1"/>
          <w:color w:val="auto"/>
        </w:rPr>
        <w:t xml:space="preserve"> </w:t>
      </w:r>
      <w:r>
        <w:rPr>
          <w:rFonts w:ascii="Arial" w:cs="Arial" w:eastAsia="Arial" w:hAnsi="Arial"/>
          <w:sz w:val="21"/>
          <w:szCs w:val="21"/>
          <w:color w:val="auto"/>
        </w:rPr>
        <w:t>own all Inventions (developed solely by or on behalf of a Party or jointly by or on behalf of the Parties) that [***] (collectively, the “</w:t>
      </w:r>
      <w:r>
        <w:rPr>
          <w:rFonts w:ascii="Arial" w:cs="Arial" w:eastAsia="Arial" w:hAnsi="Arial"/>
          <w:sz w:val="21"/>
          <w:szCs w:val="21"/>
          <w:b w:val="1"/>
          <w:bCs w:val="1"/>
          <w:color w:val="auto"/>
        </w:rPr>
        <w:t>Combination Inventions</w:t>
      </w:r>
      <w:r>
        <w:rPr>
          <w:rFonts w:ascii="Arial" w:cs="Arial" w:eastAsia="Arial" w:hAnsi="Arial"/>
          <w:sz w:val="21"/>
          <w:szCs w:val="21"/>
          <w:color w:val="auto"/>
        </w:rPr>
        <w:t>”). Each Party hereby assigns to the other Party an undivided [***] interest in such first Party’s right, title and interest in and to all Combination Inventions made by such Party’s or its Affiliates’ employees, agents, independent contractors, or sublicensees (whether solely or jointly with the other Party). Each Party shall execute and record assignments and other necessary documents consistent with such ownership.</w:t>
      </w:r>
    </w:p>
    <w:p>
      <w:pPr>
        <w:spacing w:after="0" w:line="173" w:lineRule="exact"/>
        <w:rPr>
          <w:rFonts w:ascii="Arial" w:cs="Arial" w:eastAsia="Arial" w:hAnsi="Arial"/>
          <w:sz w:val="21"/>
          <w:szCs w:val="21"/>
          <w:color w:val="auto"/>
        </w:rPr>
      </w:pPr>
    </w:p>
    <w:p>
      <w:pPr>
        <w:jc w:val="both"/>
        <w:ind w:left="180" w:firstLine="1286"/>
        <w:spacing w:after="0" w:line="290" w:lineRule="auto"/>
        <w:tabs>
          <w:tab w:leader="none" w:pos="1984" w:val="left"/>
        </w:tabs>
        <w:numPr>
          <w:ilvl w:val="1"/>
          <w:numId w:val="584"/>
        </w:numPr>
        <w:rPr>
          <w:rFonts w:ascii="Arial" w:cs="Arial" w:eastAsia="Arial" w:hAnsi="Arial"/>
          <w:sz w:val="19"/>
          <w:szCs w:val="19"/>
          <w:color w:val="auto"/>
        </w:rPr>
      </w:pPr>
      <w:r>
        <w:rPr>
          <w:rFonts w:ascii="Arial" w:cs="Arial" w:eastAsia="Arial" w:hAnsi="Arial"/>
          <w:sz w:val="19"/>
          <w:szCs w:val="19"/>
          <w:b w:val="1"/>
          <w:bCs w:val="1"/>
          <w:color w:val="auto"/>
        </w:rPr>
        <w:t>Enabling License</w:t>
      </w:r>
      <w:r>
        <w:rPr>
          <w:rFonts w:ascii="Arial" w:cs="Arial" w:eastAsia="Arial" w:hAnsi="Arial"/>
          <w:sz w:val="19"/>
          <w:szCs w:val="19"/>
          <w:color w:val="auto"/>
        </w:rPr>
        <w:t>. Amgen shall and hereby does grant to Molecular Partners a non-exclusive, worldwide</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under the Arising Amgen Patents that [***]. Molecular Partners may grant a sublicense through multiple tiers of the license in this Section 10.1(g) in each case where the sublicense is part of a grant of rights to one or more DARPin Compounds</w:t>
      </w:r>
    </w:p>
    <w:p>
      <w:pPr>
        <w:spacing w:after="0" w:line="1" w:lineRule="exact"/>
        <w:rPr>
          <w:rFonts w:ascii="Arial" w:cs="Arial" w:eastAsia="Arial" w:hAnsi="Arial"/>
          <w:sz w:val="19"/>
          <w:szCs w:val="19"/>
          <w:color w:val="auto"/>
        </w:rPr>
      </w:pPr>
    </w:p>
    <w:p>
      <w:pPr>
        <w:jc w:val="both"/>
        <w:ind w:left="180" w:hanging="10"/>
        <w:spacing w:after="0" w:line="262" w:lineRule="auto"/>
        <w:tabs>
          <w:tab w:leader="none" w:pos="510" w:val="left"/>
        </w:tabs>
        <w:numPr>
          <w:ilvl w:val="0"/>
          <w:numId w:val="585"/>
        </w:numPr>
        <w:rPr>
          <w:rFonts w:ascii="Arial" w:cs="Arial" w:eastAsia="Arial" w:hAnsi="Arial"/>
          <w:sz w:val="21"/>
          <w:szCs w:val="21"/>
          <w:color w:val="auto"/>
        </w:rPr>
      </w:pPr>
      <w:r>
        <w:rPr>
          <w:rFonts w:ascii="Arial" w:cs="Arial" w:eastAsia="Arial" w:hAnsi="Arial"/>
          <w:sz w:val="21"/>
          <w:szCs w:val="21"/>
          <w:color w:val="auto"/>
        </w:rPr>
        <w:t>with regard to claims in such Patents to the extent such claims are directed to the composition of matter or structure of DARPin Compounds, without Amgen’s prior written consent, and (2) with regard to all other claims in such Patents, with Amgen’s prior written consent, such consent not to be unreasonably withheld, conditioned, or delayed.</w:t>
      </w:r>
    </w:p>
    <w:p>
      <w:pPr>
        <w:spacing w:after="0" w:line="170" w:lineRule="exact"/>
        <w:rPr>
          <w:rFonts w:ascii="Arial" w:cs="Arial" w:eastAsia="Arial" w:hAnsi="Arial"/>
          <w:sz w:val="21"/>
          <w:szCs w:val="21"/>
          <w:color w:val="auto"/>
        </w:rPr>
      </w:pPr>
    </w:p>
    <w:p>
      <w:pPr>
        <w:jc w:val="both"/>
        <w:ind w:left="180" w:firstLine="1286"/>
        <w:spacing w:after="0" w:line="304" w:lineRule="auto"/>
        <w:tabs>
          <w:tab w:leader="none" w:pos="1998" w:val="left"/>
        </w:tabs>
        <w:numPr>
          <w:ilvl w:val="1"/>
          <w:numId w:val="585"/>
        </w:numPr>
        <w:rPr>
          <w:rFonts w:ascii="Arial" w:cs="Arial" w:eastAsia="Arial" w:hAnsi="Arial"/>
          <w:sz w:val="19"/>
          <w:szCs w:val="19"/>
          <w:color w:val="auto"/>
        </w:rPr>
      </w:pPr>
      <w:r>
        <w:rPr>
          <w:rFonts w:ascii="Arial" w:cs="Arial" w:eastAsia="Arial" w:hAnsi="Arial"/>
          <w:sz w:val="19"/>
          <w:szCs w:val="19"/>
          <w:b w:val="1"/>
          <w:bCs w:val="1"/>
          <w:color w:val="auto"/>
        </w:rPr>
        <w:t>Disclosure of Inventions</w:t>
      </w:r>
      <w:r>
        <w:rPr>
          <w:rFonts w:ascii="Arial" w:cs="Arial" w:eastAsia="Arial" w:hAnsi="Arial"/>
          <w:sz w:val="19"/>
          <w:szCs w:val="19"/>
          <w:color w:val="auto"/>
        </w:rPr>
        <w:t>. Each Party shall promptly disclose to the other Joint Inventions and Assigned</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Improvements, including all invention disclosures or other similar documents submitted to such Party by its or its Affiliates’ employees, agents, independent contractors, or sublicensees describing such Joint Inventions or Assigned Improvements. Such Party shall also respond promptly to reasonable requests from the other Party for more Information relating to such Inventions.</w:t>
      </w:r>
    </w:p>
    <w:p>
      <w:pPr>
        <w:spacing w:after="0" w:line="13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8"/>
          <w:szCs w:val="18"/>
          <w:b w:val="1"/>
          <w:bCs w:val="1"/>
          <w:color w:val="auto"/>
        </w:rPr>
        <w:t>Prosecution of Patents</w:t>
      </w:r>
      <w:r>
        <w:rPr>
          <w:rFonts w:ascii="Arial" w:cs="Arial" w:eastAsia="Arial" w:hAnsi="Arial"/>
          <w:sz w:val="18"/>
          <w:szCs w:val="18"/>
          <w:color w:val="auto"/>
        </w:rPr>
        <w:t>.</w:t>
      </w:r>
    </w:p>
    <w:p>
      <w:pPr>
        <w:spacing w:after="0" w:line="220" w:lineRule="exact"/>
        <w:rPr>
          <w:sz w:val="20"/>
          <w:szCs w:val="20"/>
          <w:color w:val="auto"/>
        </w:rPr>
      </w:pPr>
    </w:p>
    <w:p>
      <w:pPr>
        <w:ind w:left="1920" w:hanging="454"/>
        <w:spacing w:after="0"/>
        <w:tabs>
          <w:tab w:leader="none" w:pos="1920" w:val="left"/>
        </w:tabs>
        <w:numPr>
          <w:ilvl w:val="0"/>
          <w:numId w:val="586"/>
        </w:numPr>
        <w:rPr>
          <w:rFonts w:ascii="Arial" w:cs="Arial" w:eastAsia="Arial" w:hAnsi="Arial"/>
          <w:sz w:val="22"/>
          <w:szCs w:val="22"/>
          <w:color w:val="auto"/>
        </w:rPr>
      </w:pPr>
      <w:r>
        <w:rPr>
          <w:rFonts w:ascii="Arial" w:cs="Arial" w:eastAsia="Arial" w:hAnsi="Arial"/>
          <w:sz w:val="22"/>
          <w:szCs w:val="22"/>
          <w:b w:val="1"/>
          <w:bCs w:val="1"/>
          <w:color w:val="auto"/>
        </w:rPr>
        <w:t>Molecular Partners Patents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952"/>
        <w:spacing w:after="0" w:line="247" w:lineRule="auto"/>
        <w:tabs>
          <w:tab w:leader="none" w:pos="2431" w:val="left"/>
        </w:tabs>
        <w:numPr>
          <w:ilvl w:val="1"/>
          <w:numId w:val="586"/>
        </w:numPr>
        <w:rPr>
          <w:rFonts w:ascii="Arial" w:cs="Arial" w:eastAsia="Arial" w:hAnsi="Arial"/>
          <w:sz w:val="22"/>
          <w:szCs w:val="22"/>
          <w:color w:val="auto"/>
        </w:rPr>
      </w:pPr>
      <w:r>
        <w:rPr>
          <w:rFonts w:ascii="Arial" w:cs="Arial" w:eastAsia="Arial" w:hAnsi="Arial"/>
          <w:sz w:val="22"/>
          <w:szCs w:val="22"/>
          <w:i w:val="1"/>
          <w:iCs w:val="1"/>
          <w:color w:val="auto"/>
        </w:rPr>
        <w:t xml:space="preserve">Platform Patents. </w:t>
      </w:r>
      <w:r>
        <w:rPr>
          <w:rFonts w:ascii="Arial" w:cs="Arial" w:eastAsia="Arial" w:hAnsi="Arial"/>
          <w:sz w:val="22"/>
          <w:szCs w:val="22"/>
          <w:color w:val="auto"/>
        </w:rPr>
        <w:t>Molecular Partners has the sole right to prepare, file, prosecute, and maintain all</w:t>
      </w:r>
      <w:r>
        <w:rPr>
          <w:rFonts w:ascii="Arial" w:cs="Arial" w:eastAsia="Arial" w:hAnsi="Arial"/>
          <w:sz w:val="22"/>
          <w:szCs w:val="22"/>
          <w:i w:val="1"/>
          <w:iCs w:val="1"/>
          <w:color w:val="auto"/>
        </w:rPr>
        <w:t xml:space="preserve"> </w:t>
      </w:r>
      <w:r>
        <w:rPr>
          <w:rFonts w:ascii="Arial" w:cs="Arial" w:eastAsia="Arial" w:hAnsi="Arial"/>
          <w:sz w:val="22"/>
          <w:szCs w:val="22"/>
          <w:color w:val="auto"/>
        </w:rPr>
        <w:t>Molecular Partners Patents that are [***] (collectively, the “</w:t>
      </w:r>
      <w:r>
        <w:rPr>
          <w:rFonts w:ascii="Arial" w:cs="Arial" w:eastAsia="Arial" w:hAnsi="Arial"/>
          <w:sz w:val="22"/>
          <w:szCs w:val="22"/>
          <w:b w:val="1"/>
          <w:bCs w:val="1"/>
          <w:color w:val="auto"/>
        </w:rPr>
        <w:t>Platform Patents</w:t>
      </w:r>
      <w:r>
        <w:rPr>
          <w:rFonts w:ascii="Arial" w:cs="Arial" w:eastAsia="Arial" w:hAnsi="Arial"/>
          <w:sz w:val="22"/>
          <w:szCs w:val="22"/>
          <w:color w:val="auto"/>
        </w:rPr>
        <w:t>”) at Molecular Partners’ sole cost and expense. On at least a [***] basis, Molecular Partners shall reasonably inform and consult with Amgen, and shall consider Amgen’s comments in good faith, with respect to the preparation, filing, prosecution, and maintenance of the Platform Patents. Molecular Partners shall promptly respond to any reasonable requests of Amgen for additional information with respect to the prosecution and maintenance of the Platform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2" w:right="339" w:bottom="1440" w:gutter="0" w:footer="0" w:header="0"/>
        </w:sectPr>
      </w:pPr>
    </w:p>
    <w:bookmarkStart w:id="629" w:name="page630"/>
    <w:bookmarkEnd w:id="629"/>
    <w:p>
      <w:pPr>
        <w:jc w:val="both"/>
        <w:ind w:firstLine="1952"/>
        <w:spacing w:after="0" w:line="257" w:lineRule="auto"/>
        <w:tabs>
          <w:tab w:leader="none" w:pos="2491" w:val="left"/>
        </w:tabs>
        <w:numPr>
          <w:ilvl w:val="1"/>
          <w:numId w:val="587"/>
        </w:numPr>
        <w:rPr>
          <w:rFonts w:ascii="Arial" w:cs="Arial" w:eastAsia="Arial" w:hAnsi="Arial"/>
          <w:sz w:val="21"/>
          <w:szCs w:val="21"/>
          <w:color w:val="auto"/>
        </w:rPr>
      </w:pPr>
      <w:r>
        <w:rPr>
          <w:rFonts w:ascii="Arial" w:cs="Arial" w:eastAsia="Arial" w:hAnsi="Arial"/>
          <w:sz w:val="21"/>
          <w:szCs w:val="21"/>
          <w:i w:val="1"/>
          <w:iCs w:val="1"/>
          <w:color w:val="auto"/>
        </w:rPr>
        <w:t>FAP Patents and 4-1BB Patents</w:t>
      </w:r>
      <w:r>
        <w:rPr>
          <w:rFonts w:ascii="Arial" w:cs="Arial" w:eastAsia="Arial" w:hAnsi="Arial"/>
          <w:sz w:val="21"/>
          <w:szCs w:val="21"/>
          <w:color w:val="auto"/>
        </w:rPr>
        <w:t>. [***], at its sole cost and expense, has the first right, but not the</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 to prepare, file, prosecute, and maintain FAP Patents and 4-1BB Patents. [***] shall reasonably inform and consult with [***], and shall consider [***] comments in good faith, with respect to the preparation, filing, prosecution, and maintenance of the FAP Patents and 4-1BB Patents. [***] shall provide to [***]copies of any papers relating to the preparation, filing, prosecution, or maintenance of the FAP Patents and 4-1BB Patents reasonably in advance of submission or promptly upon their being received, including draft filings, so that [***]can review and comment on such draft filings. [***]shall consider [***] comments with respect thereto in good faith. [***]shall not make any filing with respect to a FAP Patent or 4-1BB Patent that could reasonably be expected to have a material adverse effect on the Licensed Bispecific. If [***]provides notice and an opinion of nationally recognized (in the country of such filing) outside patent counsel that any proposed filing would more likely than not have a material adverse effect on the Licensed Bispecific, then [***]shall refrain from making any such filing unless doing so could, in the opinion of nationally recognized (in the country of such filing) outside patent counsel more likely than not have a disproportionate material adverse effect on the DARPin Compounds generally. If [***] decides to cease the prosecution or maintenance of a FAP Patent or 4-1BB Patent, it shall notify [***] in writing sufficiently in advance so that [***] may, at its discretion, assume the responsibility for the prosecution or maintenance of such FAP Patent or 4-1BB Patents at [***] sole cost and expense.</w:t>
      </w:r>
    </w:p>
    <w:p>
      <w:pPr>
        <w:spacing w:after="0" w:line="184" w:lineRule="exact"/>
        <w:rPr>
          <w:rFonts w:ascii="Arial" w:cs="Arial" w:eastAsia="Arial" w:hAnsi="Arial"/>
          <w:sz w:val="21"/>
          <w:szCs w:val="21"/>
          <w:color w:val="auto"/>
        </w:rPr>
      </w:pPr>
    </w:p>
    <w:p>
      <w:pPr>
        <w:jc w:val="both"/>
        <w:ind w:firstLine="1952"/>
        <w:spacing w:after="0" w:line="258" w:lineRule="auto"/>
        <w:tabs>
          <w:tab w:leader="none" w:pos="2632" w:val="left"/>
        </w:tabs>
        <w:numPr>
          <w:ilvl w:val="1"/>
          <w:numId w:val="587"/>
        </w:numPr>
        <w:rPr>
          <w:rFonts w:ascii="Arial" w:cs="Arial" w:eastAsia="Arial" w:hAnsi="Arial"/>
          <w:sz w:val="21"/>
          <w:szCs w:val="21"/>
          <w:color w:val="auto"/>
        </w:rPr>
      </w:pPr>
      <w:r>
        <w:rPr>
          <w:rFonts w:ascii="Arial" w:cs="Arial" w:eastAsia="Arial" w:hAnsi="Arial"/>
          <w:sz w:val="21"/>
          <w:szCs w:val="21"/>
          <w:i w:val="1"/>
          <w:iCs w:val="1"/>
          <w:color w:val="auto"/>
        </w:rPr>
        <w:t>Licensed Bispecific Patents</w:t>
      </w:r>
      <w:r>
        <w:rPr>
          <w:rFonts w:ascii="Arial" w:cs="Arial" w:eastAsia="Arial" w:hAnsi="Arial"/>
          <w:sz w:val="21"/>
          <w:szCs w:val="21"/>
          <w:color w:val="auto"/>
        </w:rPr>
        <w:t>. [***], at its sole cost and expense, has the first right, but not the</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 to prepare, file, prosecute, and maintain Licensed Bispecific Patents. [***] shall reasonably inform and consult with [***], and shall consider [***]comments in good faith, with respect to the preparation, filing, prosecution, and maintenance of the Licensed Bispecific Patents. [***] shall provide to [***] copies of any papers relating to the preparation, filing, prosecution, or maintenance of the Licensed Bispecific Patents reasonably in advance of submission or promptly upon their being received, including draft filings, so that [***] can review and comment on such draft filings. [***] shall consider [***] comments with respect thereto in good faith. [***] shall not make any filing with respect to a Licensed Bispecific Patent that could reasonably be expected to have a material adverse effect on an FAP Patent, a 4-1BB Patent, or an MP Combination Therapy. If [***] decides to cease the prosecution or maintenance of a Licensed Bispecific Patent, it shall notify [***] in writing sufficiently in advance so that [***] may, at its discretion, assume the responsibility for the prosecution or maintenance of the Licensed Bispecific Patents at [***] sole cost and expense.</w:t>
      </w:r>
    </w:p>
    <w:p>
      <w:pPr>
        <w:spacing w:after="0" w:line="175" w:lineRule="exact"/>
        <w:rPr>
          <w:rFonts w:ascii="Arial" w:cs="Arial" w:eastAsia="Arial" w:hAnsi="Arial"/>
          <w:sz w:val="21"/>
          <w:szCs w:val="21"/>
          <w:color w:val="auto"/>
        </w:rPr>
      </w:pPr>
    </w:p>
    <w:p>
      <w:pPr>
        <w:jc w:val="both"/>
        <w:ind w:left="180" w:firstLine="1286"/>
        <w:spacing w:after="0" w:line="261" w:lineRule="auto"/>
        <w:tabs>
          <w:tab w:leader="none" w:pos="1957" w:val="left"/>
        </w:tabs>
        <w:numPr>
          <w:ilvl w:val="0"/>
          <w:numId w:val="588"/>
        </w:numPr>
        <w:rPr>
          <w:rFonts w:ascii="Arial" w:cs="Arial" w:eastAsia="Arial" w:hAnsi="Arial"/>
          <w:sz w:val="21"/>
          <w:szCs w:val="21"/>
          <w:color w:val="auto"/>
        </w:rPr>
      </w:pPr>
      <w:r>
        <w:rPr>
          <w:rFonts w:ascii="Arial" w:cs="Arial" w:eastAsia="Arial" w:hAnsi="Arial"/>
          <w:sz w:val="21"/>
          <w:szCs w:val="21"/>
          <w:b w:val="1"/>
          <w:bCs w:val="1"/>
          <w:color w:val="auto"/>
        </w:rPr>
        <w:t>Joint Patents</w:t>
      </w:r>
      <w:r>
        <w:rPr>
          <w:rFonts w:ascii="Arial" w:cs="Arial" w:eastAsia="Arial" w:hAnsi="Arial"/>
          <w:sz w:val="21"/>
          <w:szCs w:val="21"/>
          <w:color w:val="auto"/>
        </w:rPr>
        <w:t>. [***], at its sole cost and expense, has the first right, but not the obligation, to prepare, file,</w:t>
      </w:r>
      <w:r>
        <w:rPr>
          <w:rFonts w:ascii="Arial" w:cs="Arial" w:eastAsia="Arial" w:hAnsi="Arial"/>
          <w:sz w:val="21"/>
          <w:szCs w:val="21"/>
          <w:b w:val="1"/>
          <w:bCs w:val="1"/>
          <w:color w:val="auto"/>
        </w:rPr>
        <w:t xml:space="preserve"> </w:t>
      </w:r>
      <w:r>
        <w:rPr>
          <w:rFonts w:ascii="Arial" w:cs="Arial" w:eastAsia="Arial" w:hAnsi="Arial"/>
          <w:sz w:val="21"/>
          <w:szCs w:val="21"/>
          <w:color w:val="auto"/>
        </w:rPr>
        <w:t>prosecute, and maintain all Joint Patents that claim a Combination Invention. For all other Joint Patents, [***]. If a Party declines to file a Joint Patent in the first instance, then the other Party shall have the right to do so at its cost and expense. The Party prosecuting a Joint Patent pursuant to this Section 10.2(b) shall solely bear its own internal costs therefor and the Parties shall equally share external costs for such prosecution and maintenance (e.g., outside counsel, filing fees). The prosecuting Party shall reasonably inform and consult with the other Party, and shall take such other Party’s comments into good faith consideration, with respect to the preparation, filing, prosecution,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630" w:name="page631"/>
    <w:bookmarkEnd w:id="630"/>
    <w:p>
      <w:pPr>
        <w:jc w:val="both"/>
        <w:ind w:left="180"/>
        <w:spacing w:after="0" w:line="290" w:lineRule="auto"/>
        <w:rPr>
          <w:sz w:val="20"/>
          <w:szCs w:val="20"/>
          <w:color w:val="auto"/>
        </w:rPr>
      </w:pPr>
      <w:r>
        <w:rPr>
          <w:rFonts w:ascii="Arial" w:cs="Arial" w:eastAsia="Arial" w:hAnsi="Arial"/>
          <w:sz w:val="19"/>
          <w:szCs w:val="19"/>
          <w:color w:val="auto"/>
        </w:rPr>
        <w:t>maintenance of such Joint Patents. The prosecuting Party shall provide to the other Party copies of any papers relating to the filing, prosecution, or maintenance of such Joint Patents reasonably in advance of submission or promptly upon their being received, including draft filings, so that such other Party can comment and provide input with respect to such draft filings. The prosecuting Party shall discuss in good faith any changes reasonably requested by the other Party to such papers, including draft filings, promptly upon their being received. The prosecuting Party shall reasonably implement any such recommended changes toward the objective of optimizing overall patent protection for the Licensed Bispecific, Products, and other DARPin Compounds. In any event, neither Party shall finally abandon, disclaim, or dedicate to the public any claims or limit any claims specific to the Licensed Bispecific, Products, or DARPin Compounds without the other Party’s prior written consent.</w:t>
      </w:r>
    </w:p>
    <w:p>
      <w:pPr>
        <w:spacing w:after="0" w:line="150" w:lineRule="exact"/>
        <w:rPr>
          <w:sz w:val="20"/>
          <w:szCs w:val="20"/>
          <w:color w:val="auto"/>
        </w:rPr>
      </w:pPr>
    </w:p>
    <w:p>
      <w:pPr>
        <w:jc w:val="both"/>
        <w:ind w:left="180" w:firstLine="1286"/>
        <w:spacing w:after="0" w:line="247" w:lineRule="auto"/>
        <w:tabs>
          <w:tab w:leader="none" w:pos="2026" w:val="left"/>
        </w:tabs>
        <w:numPr>
          <w:ilvl w:val="0"/>
          <w:numId w:val="589"/>
        </w:numPr>
        <w:rPr>
          <w:rFonts w:ascii="Arial" w:cs="Arial" w:eastAsia="Arial" w:hAnsi="Arial"/>
          <w:sz w:val="22"/>
          <w:szCs w:val="22"/>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Each Party shall provide the other Party all reasonable assistance and cooperation, at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Party’s request and expense, in the patent prosecution efforts provided above in this Section 10.2, including providing any necessary powers of attorney and executing any other required documents or instruments for such prosecution. Each Party shall execute and deliver to the other assignments with respect to any Joint Inventions, in a mutually agreeable form and shall take whatever actions are reasonably necessary (including the appointment of the other Party as its attorney in fact solely to make such assignment) to effect such assignment. The prosecuting Party under this Section 10.2 shall conduct such prosecution toward the objective of optimizing overall patent protection for the Licensed Bispecific, Products, and other DARPin Compounds.</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Enforcement of Molecular Partners Patents and Joint Patents</w:t>
      </w:r>
      <w:r>
        <w:rPr>
          <w:rFonts w:ascii="Arial" w:cs="Arial" w:eastAsia="Arial" w:hAnsi="Arial"/>
          <w:sz w:val="19"/>
          <w:szCs w:val="19"/>
          <w:color w:val="auto"/>
        </w:rPr>
        <w:t>.</w:t>
      </w:r>
    </w:p>
    <w:p>
      <w:pPr>
        <w:spacing w:after="0" w:line="220" w:lineRule="exact"/>
        <w:rPr>
          <w:sz w:val="20"/>
          <w:szCs w:val="20"/>
          <w:color w:val="auto"/>
        </w:rPr>
      </w:pPr>
    </w:p>
    <w:p>
      <w:pPr>
        <w:jc w:val="both"/>
        <w:ind w:left="180" w:firstLine="1286"/>
        <w:spacing w:after="0" w:line="259" w:lineRule="auto"/>
        <w:tabs>
          <w:tab w:leader="none" w:pos="2026" w:val="left"/>
        </w:tabs>
        <w:numPr>
          <w:ilvl w:val="0"/>
          <w:numId w:val="590"/>
        </w:numPr>
        <w:rPr>
          <w:rFonts w:ascii="Arial" w:cs="Arial" w:eastAsia="Arial" w:hAnsi="Arial"/>
          <w:sz w:val="21"/>
          <w:szCs w:val="21"/>
          <w:color w:val="auto"/>
        </w:rPr>
      </w:pPr>
      <w:r>
        <w:rPr>
          <w:rFonts w:ascii="Arial" w:cs="Arial" w:eastAsia="Arial" w:hAnsi="Arial"/>
          <w:sz w:val="21"/>
          <w:szCs w:val="21"/>
          <w:b w:val="1"/>
          <w:bCs w:val="1"/>
          <w:color w:val="auto"/>
        </w:rPr>
        <w:t>Notification</w:t>
      </w:r>
      <w:r>
        <w:rPr>
          <w:rFonts w:ascii="Arial" w:cs="Arial" w:eastAsia="Arial" w:hAnsi="Arial"/>
          <w:sz w:val="21"/>
          <w:szCs w:val="21"/>
          <w:color w:val="auto"/>
        </w:rPr>
        <w:t>. If either Party become aware of any existing or threatened infringement of the Molecular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Partners Patents or Joint Patents in the Field in the Territory, which infringing activity involves the using, making, importing, offering for sale, or selling the Licensed Bispecific, in each case in the Field in the Territory, or any such Molecular Partners Patent or Joint Patent is challenged in any action or proceeding to the extent directly relating to the Licensed Bispecific in the Field in the Territory (other than any oppositions, cancellations, interferences, reissue proceedings, reexaminations,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reviews, and post-grant reviews, which are addressed in Section 10.6) (a “</w:t>
      </w:r>
      <w:r>
        <w:rPr>
          <w:rFonts w:ascii="Arial" w:cs="Arial" w:eastAsia="Arial" w:hAnsi="Arial"/>
          <w:sz w:val="21"/>
          <w:szCs w:val="21"/>
          <w:b w:val="1"/>
          <w:bCs w:val="1"/>
          <w:color w:val="auto"/>
        </w:rPr>
        <w:t>Product Infringement</w:t>
      </w:r>
      <w:r>
        <w:rPr>
          <w:rFonts w:ascii="Arial" w:cs="Arial" w:eastAsia="Arial" w:hAnsi="Arial"/>
          <w:sz w:val="21"/>
          <w:szCs w:val="21"/>
          <w:color w:val="auto"/>
        </w:rPr>
        <w:t>”), it shall promptly notify the other Party in writing to that effect and the Parties shall consult with each other regarding any actions to be taken with respect to such Product Infringement. Each Party shall share with the other Party all Information available to it regarding such alleged Product Infringement.</w:t>
      </w:r>
    </w:p>
    <w:p>
      <w:pPr>
        <w:spacing w:after="0" w:line="179" w:lineRule="exact"/>
        <w:rPr>
          <w:rFonts w:ascii="Arial" w:cs="Arial" w:eastAsia="Arial" w:hAnsi="Arial"/>
          <w:sz w:val="21"/>
          <w:szCs w:val="21"/>
          <w:color w:val="auto"/>
        </w:rPr>
      </w:pPr>
    </w:p>
    <w:p>
      <w:pPr>
        <w:ind w:left="1940" w:hanging="474"/>
        <w:spacing w:after="0"/>
        <w:tabs>
          <w:tab w:leader="none" w:pos="1940" w:val="left"/>
        </w:tabs>
        <w:numPr>
          <w:ilvl w:val="0"/>
          <w:numId w:val="590"/>
        </w:numPr>
        <w:rPr>
          <w:rFonts w:ascii="Arial" w:cs="Arial" w:eastAsia="Arial" w:hAnsi="Arial"/>
          <w:sz w:val="22"/>
          <w:szCs w:val="22"/>
          <w:color w:val="auto"/>
        </w:rPr>
      </w:pPr>
      <w:r>
        <w:rPr>
          <w:rFonts w:ascii="Arial" w:cs="Arial" w:eastAsia="Arial" w:hAnsi="Arial"/>
          <w:sz w:val="22"/>
          <w:szCs w:val="22"/>
          <w:b w:val="1"/>
          <w:bCs w:val="1"/>
          <w:color w:val="auto"/>
        </w:rPr>
        <w:t>Enforcement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952"/>
        <w:spacing w:after="0" w:line="248" w:lineRule="auto"/>
        <w:tabs>
          <w:tab w:leader="none" w:pos="2364" w:val="left"/>
        </w:tabs>
        <w:numPr>
          <w:ilvl w:val="1"/>
          <w:numId w:val="590"/>
        </w:numPr>
        <w:rPr>
          <w:rFonts w:ascii="Arial" w:cs="Arial" w:eastAsia="Arial" w:hAnsi="Arial"/>
          <w:sz w:val="22"/>
          <w:szCs w:val="22"/>
          <w:color w:val="auto"/>
        </w:rPr>
      </w:pPr>
      <w:r>
        <w:rPr>
          <w:rFonts w:ascii="Arial" w:cs="Arial" w:eastAsia="Arial" w:hAnsi="Arial"/>
          <w:sz w:val="22"/>
          <w:szCs w:val="22"/>
          <w:i w:val="1"/>
          <w:iCs w:val="1"/>
          <w:color w:val="auto"/>
        </w:rPr>
        <w:t>Platform Patents, FAP Patents and 4-1BB Patents</w:t>
      </w:r>
      <w:r>
        <w:rPr>
          <w:rFonts w:ascii="Arial" w:cs="Arial" w:eastAsia="Arial" w:hAnsi="Arial"/>
          <w:sz w:val="22"/>
          <w:szCs w:val="22"/>
          <w:color w:val="auto"/>
        </w:rPr>
        <w:t>. As between the Parties, [***]has the first right, but</w:t>
      </w:r>
      <w:r>
        <w:rPr>
          <w:rFonts w:ascii="Arial" w:cs="Arial" w:eastAsia="Arial" w:hAnsi="Arial"/>
          <w:sz w:val="22"/>
          <w:szCs w:val="22"/>
          <w:i w:val="1"/>
          <w:iCs w:val="1"/>
          <w:color w:val="auto"/>
        </w:rPr>
        <w:t xml:space="preserve"> </w:t>
      </w:r>
      <w:r>
        <w:rPr>
          <w:rFonts w:ascii="Arial" w:cs="Arial" w:eastAsia="Arial" w:hAnsi="Arial"/>
          <w:sz w:val="22"/>
          <w:szCs w:val="22"/>
          <w:color w:val="auto"/>
        </w:rPr>
        <w:t>not the obligation, to bring an appropriate suit or other action against any person or entity engaged in a Product Infringement of the Platform Patents, the FAP Patents, or the 4-1BB Patents, provided that (1) [***] shall seek and reasonably consider [***] comments before determining the strategy for enforcing the Platform Patents and (2) [***] shall not initiate any such action for the FAP Patents or the 4-1BB Patents without the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631" w:name="page632"/>
    <w:bookmarkEnd w:id="631"/>
    <w:p>
      <w:pPr>
        <w:jc w:val="both"/>
        <w:spacing w:after="0" w:line="285" w:lineRule="auto"/>
        <w:rPr>
          <w:sz w:val="20"/>
          <w:szCs w:val="20"/>
          <w:color w:val="auto"/>
        </w:rPr>
      </w:pPr>
      <w:r>
        <w:rPr>
          <w:rFonts w:ascii="Arial" w:cs="Arial" w:eastAsia="Arial" w:hAnsi="Arial"/>
          <w:sz w:val="19"/>
          <w:szCs w:val="19"/>
          <w:color w:val="auto"/>
        </w:rPr>
        <w:t>consent of [***], such consent not to be unreasonably withheld, conditioned, or delayed. [***] shall not take any action with respect to such enforcement of FAP Patents and 4-1BB Patents that is inconsistent with the strategy to be agreed by the Parties for such Patents. [***] shall keep [***] regularly informed of the status and progress of such enforcement efforts and shall reasonably consider [***] comments on any such efforts. In addition, [***] shall provide [***] with drafts of all material papers to be filed with the court and shall in good faith incorporate all reasonable comments thereto by [***] before filing such papers.</w:t>
      </w:r>
    </w:p>
    <w:p>
      <w:pPr>
        <w:spacing w:after="0" w:line="3" w:lineRule="exact"/>
        <w:rPr>
          <w:sz w:val="20"/>
          <w:szCs w:val="20"/>
          <w:color w:val="auto"/>
        </w:rPr>
      </w:pPr>
    </w:p>
    <w:p>
      <w:pPr>
        <w:jc w:val="both"/>
        <w:ind w:firstLine="8"/>
        <w:spacing w:after="0" w:line="286" w:lineRule="auto"/>
        <w:tabs>
          <w:tab w:leader="none" w:pos="529" w:val="left"/>
        </w:tabs>
        <w:numPr>
          <w:ilvl w:val="0"/>
          <w:numId w:val="591"/>
        </w:numPr>
        <w:rPr>
          <w:rFonts w:ascii="Arial" w:cs="Arial" w:eastAsia="Arial" w:hAnsi="Arial"/>
          <w:sz w:val="19"/>
          <w:szCs w:val="19"/>
          <w:color w:val="auto"/>
        </w:rPr>
      </w:pPr>
      <w:r>
        <w:rPr>
          <w:rFonts w:ascii="Arial" w:cs="Arial" w:eastAsia="Arial" w:hAnsi="Arial"/>
          <w:sz w:val="19"/>
          <w:szCs w:val="19"/>
          <w:color w:val="auto"/>
        </w:rPr>
        <w:t>shall not knowingly take any action during such litigation of any Platform Patent, FAP Patent, or 4-1BB Patent that would materially adversely affect such Platform Patent, FAP Patent, or 4-1BB Patent as it relates to the Exploitation of the Licensed Bispecific or Combination Therapies. [***] shall provide to [***] reasonable assistance in such enforcement pursuant to this Section 10.3(b)(i), at [***] request and expense, including joining such action as a party plaintiff if required by Applicable Laws to pursue such action. With respect to the FAP Patents and 4-1BB Patents, [***] shall not (A) grant to a Third Party a first right to enforce such Patents or any other enforcement right to such Patents that would limit or conflict with the enforcement rights of [***]hereunder or (B) assign or transfer all enforcement rights under such Patents to a Third Party except in connection with a transfer of all such enforcement rights in conjunction with a Change of Control of [***] and, for the avoidance of doubt, any successor following such Change of Control shall continue to be subject to the foregoing restrictions.</w:t>
      </w:r>
    </w:p>
    <w:p>
      <w:pPr>
        <w:spacing w:after="0" w:line="163" w:lineRule="exact"/>
        <w:rPr>
          <w:rFonts w:ascii="Arial" w:cs="Arial" w:eastAsia="Arial" w:hAnsi="Arial"/>
          <w:sz w:val="19"/>
          <w:szCs w:val="19"/>
          <w:color w:val="auto"/>
        </w:rPr>
      </w:pPr>
    </w:p>
    <w:p>
      <w:pPr>
        <w:jc w:val="both"/>
        <w:ind w:firstLine="1952"/>
        <w:spacing w:after="0" w:line="285" w:lineRule="auto"/>
        <w:tabs>
          <w:tab w:leader="none" w:pos="2518" w:val="left"/>
        </w:tabs>
        <w:numPr>
          <w:ilvl w:val="1"/>
          <w:numId w:val="591"/>
        </w:numPr>
        <w:rPr>
          <w:rFonts w:ascii="Arial" w:cs="Arial" w:eastAsia="Arial" w:hAnsi="Arial"/>
          <w:sz w:val="19"/>
          <w:szCs w:val="19"/>
          <w:color w:val="auto"/>
        </w:rPr>
      </w:pPr>
      <w:r>
        <w:rPr>
          <w:rFonts w:ascii="Arial" w:cs="Arial" w:eastAsia="Arial" w:hAnsi="Arial"/>
          <w:sz w:val="19"/>
          <w:szCs w:val="19"/>
          <w:i w:val="1"/>
          <w:iCs w:val="1"/>
          <w:color w:val="auto"/>
        </w:rPr>
        <w:t xml:space="preserve">Step-in Rights for Platform Patents, FAP Patents and 4-1BB Patents. </w:t>
      </w:r>
      <w:r>
        <w:rPr>
          <w:rFonts w:ascii="Arial" w:cs="Arial" w:eastAsia="Arial" w:hAnsi="Arial"/>
          <w:sz w:val="19"/>
          <w:szCs w:val="19"/>
          <w:color w:val="auto"/>
        </w:rPr>
        <w:t>[***] will have a period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[ninety (90) days (or one hundred twenty (120) days with respect to those Patents on </w:t>
      </w:r>
      <w:r>
        <w:rPr>
          <w:rFonts w:ascii="Arial" w:cs="Arial" w:eastAsia="Arial" w:hAnsi="Arial"/>
          <w:sz w:val="19"/>
          <w:szCs w:val="19"/>
          <w:u w:val="single" w:color="auto"/>
          <w:color w:val="auto"/>
        </w:rPr>
        <w:t>Exhibit 11.2(c)</w:t>
      </w:r>
      <w:r>
        <w:rPr>
          <w:rFonts w:ascii="Arial" w:cs="Arial" w:eastAsia="Arial" w:hAnsi="Arial"/>
          <w:sz w:val="19"/>
          <w:szCs w:val="19"/>
          <w:color w:val="auto"/>
        </w:rPr>
        <w:t>)] after its receipt or delivery of notice under Section 10.3(a) to elect to so enforce the Platform Patents, or with [***] prior written consent, the FAP Patents or the 4-1BB Patents (or to settle or otherwise secure the abatement of such Product Infringement). If [***] fails to commence a suit to enforce the applicable Platform Patents or the FAP Patents or 4-1BB Patents (where [***] provided its consent) or to settle or otherwise secure the abatement of such Product Infringement within such period, then [***] may commence a suit or take action to enforce such Platform Patent, FAP Patent, or 4-1BB Patent against such Product Infringement at its own cost and expense in accordance with this Section 10.3(b)(ii). In such event, promptly after the expiration of the applicable [ninety (90)-day period (or one hundred twenty (120)-day period, as applicable)] or [***] notice to [***] that it declines to enforce such Platform Patents, FAP Patents, or 4-1BB Patents, the Parties shall discuss in good faith and determine the strategy for enforcing such Platform Patents, FAP Patents, or 4-1BB Patents. [***] shall not take any action with respect to such enforcement that is inconsistent with the strategy agreed by the Parties. [***] acknowledges and agrees that the Platform Patents may be licensed to Third Parties who have rights with respect to the enforcement of such Platform Patents, and that [***] rights to conduct any enforcement activities are subject to such rights. [***] may consult with such Third-Party licensees prior to making any decisions with respect to enforcement activities under this Section 10.3(b)(ii). [***] shall provide [***] with drafts of all material papers to be filed with the court reasonably in advance of their being filed, so that [***] can comment and provide input with respect to such draft filings, and shall incorporate all reasonable comments thereto by [***] before filing such papers. [***] shall be entitled to separate representation in such matter by counsel of its own choice and at its own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632" w:name="page633"/>
    <w:bookmarkEnd w:id="632"/>
    <w:p>
      <w:pPr>
        <w:jc w:val="both"/>
        <w:ind w:firstLine="1952"/>
        <w:spacing w:after="0" w:line="286" w:lineRule="auto"/>
        <w:tabs>
          <w:tab w:leader="none" w:pos="2578" w:val="left"/>
        </w:tabs>
        <w:numPr>
          <w:ilvl w:val="1"/>
          <w:numId w:val="592"/>
        </w:numPr>
        <w:rPr>
          <w:rFonts w:ascii="Arial" w:cs="Arial" w:eastAsia="Arial" w:hAnsi="Arial"/>
          <w:sz w:val="19"/>
          <w:szCs w:val="19"/>
          <w:color w:val="auto"/>
        </w:rPr>
      </w:pPr>
      <w:r>
        <w:rPr>
          <w:rFonts w:ascii="Arial" w:cs="Arial" w:eastAsia="Arial" w:hAnsi="Arial"/>
          <w:sz w:val="19"/>
          <w:szCs w:val="19"/>
          <w:i w:val="1"/>
          <w:iCs w:val="1"/>
          <w:color w:val="auto"/>
        </w:rPr>
        <w:t>Licensed Bispecific Patents and Joint Patents</w:t>
      </w:r>
      <w:r>
        <w:rPr>
          <w:rFonts w:ascii="Arial" w:cs="Arial" w:eastAsia="Arial" w:hAnsi="Arial"/>
          <w:sz w:val="19"/>
          <w:szCs w:val="19"/>
          <w:color w:val="auto"/>
        </w:rPr>
        <w:t>. [***] has the first right, but not the obligation, to</w:t>
      </w:r>
      <w:r>
        <w:rPr>
          <w:rFonts w:ascii="Arial" w:cs="Arial" w:eastAsia="Arial" w:hAnsi="Arial"/>
          <w:sz w:val="19"/>
          <w:szCs w:val="19"/>
          <w:i w:val="1"/>
          <w:iCs w:val="1"/>
          <w:color w:val="auto"/>
        </w:rPr>
        <w:t xml:space="preserve"> </w:t>
      </w:r>
      <w:r>
        <w:rPr>
          <w:rFonts w:ascii="Arial" w:cs="Arial" w:eastAsia="Arial" w:hAnsi="Arial"/>
          <w:sz w:val="19"/>
          <w:szCs w:val="19"/>
          <w:color w:val="auto"/>
        </w:rPr>
        <w:t>bring and control an appropriate suit or other action against any person or entity engaged in a Product Infringement of a Licensed Bispecific Patent or Joint Patents, in its own name and entirely under its own direction and control, subject to the following. [***] shall keep [***] regularly informed of the status and progress of such enforcement efforts. [***] shall consult with [***] and take any [***] comments into good faith consideration with respect to the infringement, claim construction, or defense of the validity or enforceability of any claim in any Licensed Bispecific Patent or Joint Patent. [***] shall provide [***] with drafts of all material papers to be filed with the court reasonably in advance of their being filed, so that [***] can comment and provide input with respect to such draft filings, and shall incorporate all reasonable comments thereto by [***] before filing such papers. [***] shall provide to [***] reasonable assistance in such enforcement pursuant to this Section 10.3(b)(iii), at [***] request and expense, including joining such action as a party plaintiff if requested by [***] or required by Applicable Laws to pursue such action. [***] shall be entitled to separate representation in such matter by counsel of its own choice and at its own expense. [***] shall not knowingly take any action during such litigation of any Licensed Bispecific Patent that would materially adversely affect such Licensed Bispecific Patent or Joint Patent as it relates to the Exploitation of MP Combination Therapies.</w:t>
      </w:r>
    </w:p>
    <w:p>
      <w:pPr>
        <w:spacing w:after="0" w:line="165" w:lineRule="exact"/>
        <w:rPr>
          <w:rFonts w:ascii="Arial" w:cs="Arial" w:eastAsia="Arial" w:hAnsi="Arial"/>
          <w:sz w:val="19"/>
          <w:szCs w:val="19"/>
          <w:color w:val="auto"/>
        </w:rPr>
      </w:pPr>
    </w:p>
    <w:p>
      <w:pPr>
        <w:ind w:left="2500" w:hanging="548"/>
        <w:spacing w:after="0"/>
        <w:tabs>
          <w:tab w:leader="none" w:pos="2500" w:val="left"/>
        </w:tabs>
        <w:numPr>
          <w:ilvl w:val="1"/>
          <w:numId w:val="592"/>
        </w:numPr>
        <w:rPr>
          <w:rFonts w:ascii="Arial" w:cs="Arial" w:eastAsia="Arial" w:hAnsi="Arial"/>
          <w:sz w:val="19"/>
          <w:szCs w:val="19"/>
          <w:color w:val="auto"/>
        </w:rPr>
      </w:pPr>
      <w:r>
        <w:rPr>
          <w:rFonts w:ascii="Arial" w:cs="Arial" w:eastAsia="Arial" w:hAnsi="Arial"/>
          <w:sz w:val="19"/>
          <w:szCs w:val="19"/>
          <w:i w:val="1"/>
          <w:iCs w:val="1"/>
          <w:color w:val="auto"/>
        </w:rPr>
        <w:t>Step-in Rights for Licensed Bispecific Patents and Joint Patents</w:t>
      </w:r>
      <w:r>
        <w:rPr>
          <w:rFonts w:ascii="Arial" w:cs="Arial" w:eastAsia="Arial" w:hAnsi="Arial"/>
          <w:sz w:val="19"/>
          <w:szCs w:val="19"/>
          <w:color w:val="auto"/>
        </w:rPr>
        <w:t>. [***] will have a period of [ninety</w:t>
      </w:r>
    </w:p>
    <w:p>
      <w:pPr>
        <w:spacing w:after="0" w:line="55" w:lineRule="exact"/>
        <w:rPr>
          <w:rFonts w:ascii="Arial" w:cs="Arial" w:eastAsia="Arial" w:hAnsi="Arial"/>
          <w:sz w:val="19"/>
          <w:szCs w:val="19"/>
          <w:color w:val="auto"/>
        </w:rPr>
      </w:pPr>
    </w:p>
    <w:p>
      <w:pPr>
        <w:jc w:val="both"/>
        <w:ind w:firstLine="8"/>
        <w:spacing w:after="0" w:line="284" w:lineRule="auto"/>
        <w:tabs>
          <w:tab w:leader="none" w:pos="434" w:val="left"/>
        </w:tabs>
        <w:numPr>
          <w:ilvl w:val="0"/>
          <w:numId w:val="593"/>
        </w:numPr>
        <w:rPr>
          <w:rFonts w:ascii="Arial" w:cs="Arial" w:eastAsia="Arial" w:hAnsi="Arial"/>
          <w:sz w:val="19"/>
          <w:szCs w:val="19"/>
          <w:color w:val="auto"/>
        </w:rPr>
      </w:pPr>
      <w:r>
        <w:rPr>
          <w:rFonts w:ascii="Arial" w:cs="Arial" w:eastAsia="Arial" w:hAnsi="Arial"/>
          <w:sz w:val="19"/>
          <w:szCs w:val="19"/>
          <w:color w:val="auto"/>
        </w:rPr>
        <w:t>days] after its receipt or delivery of notice under Section 10.3(a) to elect to so enforce the Licensed Bispecific Patents or Joint Patents (or to settle or otherwise secure the abatement of such Product Infringement). If [***] fails to commence a suit to enforce the applicable Licensed Bispecific Patent or Joint Patent or to settle or otherwise secure the abatement of such Product Infringement within such period, then [***] may commence a suit or take action to enforce such Licensed Bispecific Patent or Joint Patent against such Product Infringement at its own cost and expense. [***] shall consult with [***] and take any [***] comments into good faith consideration with respect to the infringement, claim construction, or defense of the validity or enforceability of any claim in any Licensed Bispecific Patent or Joint Patent. [***] shall provide to [***] reasonable assistance in such enforcement pursuant to this Section 10.3(b)(iv), at [***] request and expense, including joining such action as a party plaintiff if requested by [***] or required by Applicable Laws to pursue such action. [***] may participate and be represented in any such suit by its own counsel at its own expense with respect to a Product Infringement. No settlement of any such action or proceeding that restricts the scope, or adversely affects the enforceability, of any Licensed Bispecific Patent or Joint Patent shall be entered into by [***] without the prior written consent of [***], which consent shall not be unreasonably withheld, conditioned, or delayed. [***] shall not knowingly take any action during such litigation of any Licensed Bispecific Patent or Joint Patent that would materially adversely affect such Licensed Bispecific Patent or Joint Patent without [***] prior written consent, not to be unreasonably withheld, conditioned, or delayed.</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firstLine="1952"/>
        <w:spacing w:after="0" w:line="263" w:lineRule="auto"/>
        <w:tabs>
          <w:tab w:leader="none" w:pos="2412" w:val="left"/>
        </w:tabs>
        <w:numPr>
          <w:ilvl w:val="1"/>
          <w:numId w:val="593"/>
        </w:numPr>
        <w:rPr>
          <w:rFonts w:ascii="Arial" w:cs="Arial" w:eastAsia="Arial" w:hAnsi="Arial"/>
          <w:sz w:val="22"/>
          <w:szCs w:val="22"/>
          <w:color w:val="auto"/>
        </w:rPr>
      </w:pPr>
      <w:r>
        <w:rPr>
          <w:rFonts w:ascii="Arial" w:cs="Arial" w:eastAsia="Arial" w:hAnsi="Arial"/>
          <w:sz w:val="22"/>
          <w:szCs w:val="22"/>
          <w:i w:val="1"/>
          <w:iCs w:val="1"/>
          <w:color w:val="auto"/>
        </w:rPr>
        <w:t>Biologics Application</w:t>
      </w:r>
      <w:r>
        <w:rPr>
          <w:rFonts w:ascii="Arial" w:cs="Arial" w:eastAsia="Arial" w:hAnsi="Arial"/>
          <w:sz w:val="22"/>
          <w:szCs w:val="22"/>
          <w:color w:val="auto"/>
        </w:rPr>
        <w:t>. Notwithstanding Section 10.3(b)(iv), if a Third Party submits an application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appropriate Regulatory Authority for approval to sell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633" w:name="page634"/>
    <w:bookmarkEnd w:id="633"/>
    <w:p>
      <w:pPr>
        <w:spacing w:after="0"/>
        <w:rPr>
          <w:sz w:val="20"/>
          <w:szCs w:val="20"/>
          <w:color w:val="auto"/>
        </w:rPr>
      </w:pPr>
      <w:r>
        <w:rPr>
          <w:rFonts w:ascii="Arial" w:cs="Arial" w:eastAsia="Arial" w:hAnsi="Arial"/>
          <w:sz w:val="19"/>
          <w:szCs w:val="19"/>
          <w:color w:val="auto"/>
        </w:rPr>
        <w:t>biological or drug product, and supports such application with safety, efficacy, or other data that either Party has generated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Developing the Licensed Bispecific, then:</w:t>
      </w:r>
    </w:p>
    <w:p>
      <w:pPr>
        <w:spacing w:after="0" w:line="202" w:lineRule="exact"/>
        <w:rPr>
          <w:sz w:val="20"/>
          <w:szCs w:val="20"/>
          <w:color w:val="auto"/>
        </w:rPr>
      </w:pPr>
    </w:p>
    <w:p>
      <w:pPr>
        <w:jc w:val="both"/>
        <w:ind w:firstLine="2600"/>
        <w:spacing w:after="0" w:line="246" w:lineRule="auto"/>
        <w:tabs>
          <w:tab w:leader="none" w:pos="3050" w:val="left"/>
        </w:tabs>
        <w:numPr>
          <w:ilvl w:val="1"/>
          <w:numId w:val="594"/>
        </w:numPr>
        <w:rPr>
          <w:rFonts w:ascii="Arial" w:cs="Arial" w:eastAsia="Arial" w:hAnsi="Arial"/>
          <w:sz w:val="22"/>
          <w:szCs w:val="22"/>
          <w:color w:val="auto"/>
        </w:rPr>
      </w:pPr>
      <w:r>
        <w:rPr>
          <w:rFonts w:ascii="Arial" w:cs="Arial" w:eastAsia="Arial" w:hAnsi="Arial"/>
          <w:sz w:val="22"/>
          <w:szCs w:val="22"/>
          <w:color w:val="auto"/>
        </w:rPr>
        <w:t>if a Party receives from the Third Party a notice alleging that the Third Party’s manufacture, use, or sale of the biological or drug product does not infringe a Molecular Partners Patent, or that such Patent is invalid or unenforceable (such as a certification under 21 U.S.C. §§ 355(b)(2)(A)(iv) or 355(j)(2)(A)(vii)(IV), 21 C.F.R. §§ 314.94 or 314.95, 42 U.S.C. § 262(l), or under any other law anywhere in the world that by its effect permits a Third Party to support its application for approval with any safety, efficacy, or other data that Amgen generates in Developing the Licensed Bispecific), then the Party receiving the notice shall provide it to the other Party as soon as practicable and at least within [***] after receiving the notice.</w:t>
      </w:r>
    </w:p>
    <w:p>
      <w:pPr>
        <w:spacing w:after="0" w:line="196" w:lineRule="exact"/>
        <w:rPr>
          <w:rFonts w:ascii="Arial" w:cs="Arial" w:eastAsia="Arial" w:hAnsi="Arial"/>
          <w:sz w:val="22"/>
          <w:szCs w:val="22"/>
          <w:color w:val="auto"/>
        </w:rPr>
      </w:pPr>
    </w:p>
    <w:p>
      <w:pPr>
        <w:jc w:val="both"/>
        <w:ind w:firstLine="2600"/>
        <w:spacing w:after="0" w:line="285" w:lineRule="auto"/>
        <w:tabs>
          <w:tab w:leader="none" w:pos="3147" w:val="left"/>
        </w:tabs>
        <w:numPr>
          <w:ilvl w:val="1"/>
          <w:numId w:val="594"/>
        </w:numPr>
        <w:rPr>
          <w:rFonts w:ascii="Arial" w:cs="Arial" w:eastAsia="Arial" w:hAnsi="Arial"/>
          <w:sz w:val="19"/>
          <w:szCs w:val="19"/>
          <w:color w:val="auto"/>
        </w:rPr>
      </w:pPr>
      <w:r>
        <w:rPr>
          <w:rFonts w:ascii="Arial" w:cs="Arial" w:eastAsia="Arial" w:hAnsi="Arial"/>
          <w:sz w:val="19"/>
          <w:szCs w:val="19"/>
          <w:color w:val="auto"/>
        </w:rPr>
        <w:t>[***]has the first right, but not the obligation, to institute and control (where [***] is a plaintiff) or defend and control (where [***] is a defen dant) an action before any government or private tribunal against the Third Party concerning the infringement, validity, and enforceability of any Platform Patent, FAP Patent, or 4-1BB Patent, and to settle any claims in connection with such Platform Patents, FAP Patents, and 4-1BB Patents. If [***] decides not to institute (or defend, as applicable) such action, [***] shall notify [***]of its decision within [twenty (20) days] of the deadline for initiating the action (or, if [***] is defending the action, within [twenty (20) days] of any deadline required to maintain the action), and if</w:t>
      </w:r>
    </w:p>
    <w:p>
      <w:pPr>
        <w:ind w:right="20" w:firstLine="8"/>
        <w:spacing w:after="0" w:line="246" w:lineRule="auto"/>
        <w:tabs>
          <w:tab w:leader="none" w:pos="538" w:val="left"/>
        </w:tabs>
        <w:numPr>
          <w:ilvl w:val="0"/>
          <w:numId w:val="594"/>
        </w:numPr>
        <w:rPr>
          <w:rFonts w:ascii="Arial" w:cs="Arial" w:eastAsia="Arial" w:hAnsi="Arial"/>
          <w:sz w:val="22"/>
          <w:szCs w:val="22"/>
          <w:color w:val="auto"/>
        </w:rPr>
      </w:pPr>
      <w:r>
        <w:rPr>
          <w:rFonts w:ascii="Arial" w:cs="Arial" w:eastAsia="Arial" w:hAnsi="Arial"/>
          <w:sz w:val="22"/>
          <w:szCs w:val="22"/>
          <w:color w:val="auto"/>
        </w:rPr>
        <w:t>consents in writing (such consent not to be unreasonably withheld, conditioned, or delayed), then [***] may institute (or defend, as applicable) and control such action.</w:t>
      </w:r>
    </w:p>
    <w:p>
      <w:pPr>
        <w:spacing w:after="0" w:line="192" w:lineRule="exact"/>
        <w:rPr>
          <w:rFonts w:ascii="Arial" w:cs="Arial" w:eastAsia="Arial" w:hAnsi="Arial"/>
          <w:sz w:val="22"/>
          <w:szCs w:val="22"/>
          <w:color w:val="auto"/>
        </w:rPr>
      </w:pPr>
    </w:p>
    <w:p>
      <w:pPr>
        <w:jc w:val="both"/>
        <w:ind w:firstLine="2600"/>
        <w:spacing w:after="0" w:line="246" w:lineRule="auto"/>
        <w:tabs>
          <w:tab w:leader="none" w:pos="3128" w:val="left"/>
        </w:tabs>
        <w:numPr>
          <w:ilvl w:val="1"/>
          <w:numId w:val="595"/>
        </w:numPr>
        <w:rPr>
          <w:rFonts w:ascii="Arial" w:cs="Arial" w:eastAsia="Arial" w:hAnsi="Arial"/>
          <w:sz w:val="22"/>
          <w:szCs w:val="22"/>
          <w:color w:val="auto"/>
        </w:rPr>
      </w:pPr>
      <w:r>
        <w:rPr>
          <w:rFonts w:ascii="Arial" w:cs="Arial" w:eastAsia="Arial" w:hAnsi="Arial"/>
          <w:sz w:val="22"/>
          <w:szCs w:val="22"/>
          <w:color w:val="auto"/>
        </w:rPr>
        <w:t>[* ** ]has the first right, but not the obligation, to institute and control (where [***]is a plaintiff) or defend and control (where [***] is a defendant) an action before any government or private tribunal against the Third Party concerning the infringement, validity, and enforceability of any Licensed Bispecific Patent or Joint Patent and to settle any claims in connection with such Licensed Bispecific Patents or Joint Patents. If [***] decides not to institute (or defend, as applicable) such action, [***] shall notify [***] of its decision within [twenty (20) days] of the deadline for initiating the action (or, if [***]is defending the action, within [twenty (20) days] of any deadline required to maintain the action), and [***] may institute (or defend, as applicable) and control such action.</w:t>
      </w:r>
    </w:p>
    <w:p>
      <w:pPr>
        <w:spacing w:after="0" w:line="196" w:lineRule="exact"/>
        <w:rPr>
          <w:rFonts w:ascii="Arial" w:cs="Arial" w:eastAsia="Arial" w:hAnsi="Arial"/>
          <w:sz w:val="22"/>
          <w:szCs w:val="22"/>
          <w:color w:val="auto"/>
        </w:rPr>
      </w:pPr>
    </w:p>
    <w:p>
      <w:pPr>
        <w:jc w:val="both"/>
        <w:ind w:firstLine="2600"/>
        <w:spacing w:after="0" w:line="260" w:lineRule="auto"/>
        <w:tabs>
          <w:tab w:leader="none" w:pos="3174" w:val="left"/>
        </w:tabs>
        <w:numPr>
          <w:ilvl w:val="1"/>
          <w:numId w:val="595"/>
        </w:numPr>
        <w:rPr>
          <w:rFonts w:ascii="Arial" w:cs="Arial" w:eastAsia="Arial" w:hAnsi="Arial"/>
          <w:sz w:val="21"/>
          <w:szCs w:val="21"/>
          <w:color w:val="auto"/>
        </w:rPr>
      </w:pPr>
      <w:r>
        <w:rPr>
          <w:rFonts w:ascii="Arial" w:cs="Arial" w:eastAsia="Arial" w:hAnsi="Arial"/>
          <w:sz w:val="21"/>
          <w:szCs w:val="21"/>
          <w:color w:val="auto"/>
        </w:rPr>
        <w:t>Each Party shall cooperate fully with the other Party in such actions and shall provide reasonable assistance (including making available to such other Party documents possessed by such Party that are reasonably required by such other Party and making available personnel for interviews and testimony) in any actions undertaken in accordance with this Section 10.3(b)(v). At the controlling Party’s request, the other Party shall join any such action, or, in the case of Molecular Partners, shall use reasonable efforts to cause any Third-Party licensor under any license agreement between Molecular Partners and such Third Party pursuant to which Molecular Partners has obtained rights to any Molecular Partners Patents to join any such action, for the purpose of establishing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634" w:name="page635"/>
    <w:bookmarkEnd w:id="634"/>
    <w:p>
      <w:pPr>
        <w:jc w:val="both"/>
        <w:ind w:left="180" w:firstLine="1286"/>
        <w:spacing w:after="0" w:line="252" w:lineRule="auto"/>
        <w:tabs>
          <w:tab w:leader="none" w:pos="1932" w:val="left"/>
        </w:tabs>
        <w:numPr>
          <w:ilvl w:val="1"/>
          <w:numId w:val="596"/>
        </w:numPr>
        <w:rPr>
          <w:rFonts w:ascii="Arial" w:cs="Arial" w:eastAsia="Arial" w:hAnsi="Arial"/>
          <w:sz w:val="22"/>
          <w:szCs w:val="22"/>
          <w:color w:val="auto"/>
        </w:rPr>
      </w:pPr>
      <w:r>
        <w:rPr>
          <w:rFonts w:ascii="Arial" w:cs="Arial" w:eastAsia="Arial" w:hAnsi="Arial"/>
          <w:sz w:val="22"/>
          <w:szCs w:val="22"/>
          <w:b w:val="1"/>
          <w:bCs w:val="1"/>
          <w:color w:val="auto"/>
        </w:rPr>
        <w:t>Settlement</w:t>
      </w:r>
      <w:r>
        <w:rPr>
          <w:rFonts w:ascii="Arial" w:cs="Arial" w:eastAsia="Arial" w:hAnsi="Arial"/>
          <w:sz w:val="22"/>
          <w:szCs w:val="22"/>
          <w:color w:val="auto"/>
        </w:rPr>
        <w:t>. Neither Party shall settle any claim, suit or action that it brought under Section 10.3(b)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the prior written consent of the other Party, not to be unreasonably withheld, conditioned, or delayed. Nothing in this Article 10 requires a Party to consent to any settlement that is reasonably anticipated by such Party to have a material adverse effect upon any Molecular Partners Patent or Joint Patent.</w:t>
      </w:r>
    </w:p>
    <w:p>
      <w:pPr>
        <w:spacing w:after="0" w:line="179" w:lineRule="exact"/>
        <w:rPr>
          <w:rFonts w:ascii="Arial" w:cs="Arial" w:eastAsia="Arial" w:hAnsi="Arial"/>
          <w:sz w:val="22"/>
          <w:szCs w:val="22"/>
          <w:color w:val="auto"/>
        </w:rPr>
      </w:pPr>
    </w:p>
    <w:p>
      <w:pPr>
        <w:jc w:val="both"/>
        <w:ind w:left="180" w:firstLine="1286"/>
        <w:spacing w:after="0" w:line="287" w:lineRule="auto"/>
        <w:tabs>
          <w:tab w:leader="none" w:pos="2011" w:val="left"/>
        </w:tabs>
        <w:numPr>
          <w:ilvl w:val="1"/>
          <w:numId w:val="596"/>
        </w:numPr>
        <w:rPr>
          <w:rFonts w:ascii="Arial" w:cs="Arial" w:eastAsia="Arial" w:hAnsi="Arial"/>
          <w:sz w:val="19"/>
          <w:szCs w:val="19"/>
          <w:color w:val="auto"/>
        </w:rPr>
      </w:pPr>
      <w:r>
        <w:rPr>
          <w:rFonts w:ascii="Arial" w:cs="Arial" w:eastAsia="Arial" w:hAnsi="Arial"/>
          <w:sz w:val="19"/>
          <w:szCs w:val="19"/>
          <w:b w:val="1"/>
          <w:bCs w:val="1"/>
          <w:color w:val="auto"/>
        </w:rPr>
        <w:t>Expenses and Recoveries</w:t>
      </w:r>
      <w:r>
        <w:rPr>
          <w:rFonts w:ascii="Arial" w:cs="Arial" w:eastAsia="Arial" w:hAnsi="Arial"/>
          <w:sz w:val="19"/>
          <w:szCs w:val="19"/>
          <w:color w:val="auto"/>
        </w:rPr>
        <w:t>. The enforcing Party bringing a claim, suit or action under Section 10.3(b) is</w:t>
      </w:r>
      <w:r>
        <w:rPr>
          <w:rFonts w:ascii="Arial" w:cs="Arial" w:eastAsia="Arial" w:hAnsi="Arial"/>
          <w:sz w:val="19"/>
          <w:szCs w:val="19"/>
          <w:b w:val="1"/>
          <w:bCs w:val="1"/>
          <w:color w:val="auto"/>
        </w:rPr>
        <w:t xml:space="preserve"> </w:t>
      </w:r>
      <w:r>
        <w:rPr>
          <w:rFonts w:ascii="Arial" w:cs="Arial" w:eastAsia="Arial" w:hAnsi="Arial"/>
          <w:sz w:val="19"/>
          <w:szCs w:val="19"/>
          <w:color w:val="auto"/>
        </w:rPr>
        <w:t>solely responsible for any expenses incurred by such Party as a result of such claim, suit, or action. If such Party recovers monetary damages in such claim, suit, or action, first such recovery will be allocated to the reimbursement of any out-of-pocket expenses incurred by the Parties in such litigation. If such recovery is insufficient to cover all such costs and expenses of both Parties, then [***]. If after such reimbursement any funds remain from such damages or other sums recovered, (i) [***], and</w:t>
      </w:r>
    </w:p>
    <w:p>
      <w:pPr>
        <w:ind w:left="480" w:hanging="310"/>
        <w:spacing w:after="0"/>
        <w:tabs>
          <w:tab w:leader="none" w:pos="480" w:val="left"/>
        </w:tabs>
        <w:numPr>
          <w:ilvl w:val="0"/>
          <w:numId w:val="597"/>
        </w:numPr>
        <w:rPr>
          <w:rFonts w:ascii="Arial" w:cs="Arial" w:eastAsia="Arial" w:hAnsi="Arial"/>
          <w:sz w:val="22"/>
          <w:szCs w:val="22"/>
          <w:color w:val="auto"/>
        </w:rPr>
      </w:pP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jc w:val="both"/>
        <w:ind w:left="180" w:firstLine="1286"/>
        <w:spacing w:after="0" w:line="260" w:lineRule="auto"/>
        <w:tabs>
          <w:tab w:leader="none" w:pos="2067" w:val="left"/>
        </w:tabs>
        <w:numPr>
          <w:ilvl w:val="1"/>
          <w:numId w:val="597"/>
        </w:numPr>
        <w:rPr>
          <w:rFonts w:ascii="Arial" w:cs="Arial" w:eastAsia="Arial" w:hAnsi="Arial"/>
          <w:sz w:val="21"/>
          <w:szCs w:val="21"/>
          <w:color w:val="auto"/>
        </w:rPr>
      </w:pPr>
      <w:r>
        <w:rPr>
          <w:rFonts w:ascii="Arial" w:cs="Arial" w:eastAsia="Arial" w:hAnsi="Arial"/>
          <w:sz w:val="21"/>
          <w:szCs w:val="21"/>
          <w:b w:val="1"/>
          <w:bCs w:val="1"/>
          <w:color w:val="auto"/>
        </w:rPr>
        <w:t>Infringement Other Than a Product Infringement</w:t>
      </w:r>
      <w:r>
        <w:rPr>
          <w:rFonts w:ascii="Arial" w:cs="Arial" w:eastAsia="Arial" w:hAnsi="Arial"/>
          <w:sz w:val="21"/>
          <w:szCs w:val="21"/>
          <w:color w:val="auto"/>
        </w:rPr>
        <w:t>. For any and all infringement of any Molecular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Partners Patents or Joint Patents other than a Product Infringement, as between the Parties, (i) Molecular Partners shall have the sole and exclusive right to bring an appropriate suit or other action against any person or entity engaged in such other infringement of a Molecular Partners Patent, in its sole discretion, and shall bear all related expenses and retain all related recoveries, and (ii) each Party shall have the right to bring an appropriate suit or other action against any person or entity engaged in such other infringement of a Joint Patent, in its sole discretion, and shall bear all related expenses and retain all related recoveries; </w:t>
      </w:r>
      <w:r>
        <w:rPr>
          <w:rFonts w:ascii="Arial" w:cs="Arial" w:eastAsia="Arial" w:hAnsi="Arial"/>
          <w:sz w:val="21"/>
          <w:szCs w:val="21"/>
          <w:i w:val="1"/>
          <w:iCs w:val="1"/>
          <w:color w:val="auto"/>
        </w:rPr>
        <w:t>provided</w:t>
      </w:r>
      <w:r>
        <w:rPr>
          <w:rFonts w:ascii="Arial" w:cs="Arial" w:eastAsia="Arial" w:hAnsi="Arial"/>
          <w:sz w:val="21"/>
          <w:szCs w:val="21"/>
          <w:color w:val="auto"/>
        </w:rPr>
        <w:t>, that, Amgen shall have the first right to bring a suit for infringement if the infringement of the Joint Patent involves an Amgen Product.</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10.4 Patents Licensed from Third Parties</w:t>
      </w:r>
      <w:r>
        <w:rPr>
          <w:rFonts w:ascii="Arial" w:cs="Arial" w:eastAsia="Arial" w:hAnsi="Arial"/>
          <w:sz w:val="21"/>
          <w:szCs w:val="21"/>
          <w:color w:val="auto"/>
        </w:rPr>
        <w:t>. Each Party’s rights under this Article 10 with respect to the prosecution,</w:t>
      </w:r>
      <w:r>
        <w:rPr>
          <w:rFonts w:ascii="Arial" w:cs="Arial" w:eastAsia="Arial" w:hAnsi="Arial"/>
          <w:sz w:val="21"/>
          <w:szCs w:val="21"/>
          <w:b w:val="1"/>
          <w:bCs w:val="1"/>
          <w:color w:val="auto"/>
        </w:rPr>
        <w:t xml:space="preserve"> </w:t>
      </w:r>
      <w:r>
        <w:rPr>
          <w:rFonts w:ascii="Arial" w:cs="Arial" w:eastAsia="Arial" w:hAnsi="Arial"/>
          <w:sz w:val="21"/>
          <w:szCs w:val="21"/>
          <w:color w:val="auto"/>
        </w:rPr>
        <w:t>maintenance and enforcement of any Molecular Partners Patent that is licensed by Molecular Partners from a Third Party shall be subject to the rights of such Third Party to prosecute, maintain, and enforce such Patent.</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10.5 Infringement of Third Party Rights in the Territory</w:t>
      </w:r>
      <w:r>
        <w:rPr>
          <w:rFonts w:ascii="Arial" w:cs="Arial" w:eastAsia="Arial" w:hAnsi="Arial"/>
          <w:sz w:val="21"/>
          <w:szCs w:val="21"/>
          <w:color w:val="auto"/>
        </w:rPr>
        <w:t>. If any Product used or sold by Amgen, its Affiliates, or</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becomes the subject of a Third Party’s claim or assertion of infringement of a Patent granted by a jurisdiction within the Territory, [***] shall promptly notify [***]and the Parties shall agree on and enter into a “common interest agreement” wherein the Parties agree to their shared, mutual interest in the outcome of such potential dispute, and, thereafter, the Parties shall promptly meet to consider the claim or assertion and the appropriate course of action. [***] shall be solely responsible for the defense of any such infringement claims, provided that [***] shall provide to [***]the ability to join such action, at [***] request and expense, to pursue such action in which a patent asserted by a Party under this Section 10.5 claims [***] of the Licensed Bispecifics (any such patent, a “</w:t>
      </w:r>
      <w:r>
        <w:rPr>
          <w:rFonts w:ascii="Arial" w:cs="Arial" w:eastAsia="Arial" w:hAnsi="Arial"/>
          <w:sz w:val="21"/>
          <w:szCs w:val="21"/>
          <w:b w:val="1"/>
          <w:bCs w:val="1"/>
          <w:color w:val="auto"/>
        </w:rPr>
        <w:t>Subject Patent</w:t>
      </w:r>
      <w:r>
        <w:rPr>
          <w:rFonts w:ascii="Arial" w:cs="Arial" w:eastAsia="Arial" w:hAnsi="Arial"/>
          <w:sz w:val="21"/>
          <w:szCs w:val="21"/>
          <w:color w:val="auto"/>
        </w:rPr>
        <w:t>”). To the extent directly related to the Subject Patent, [***]shall keep [***] regularly informed of the status and progress of any action to the extent involving a Subject Patent, shall reasonably consider [***]’ comments on any such action with respect to such Subject Patent, and shall seek consent of [***] in any important aspects of such action with respect to such Subject Patent, including determination of litigation strategy and filing of material papers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2" w:right="339" w:bottom="1440" w:gutter="0" w:footer="0" w:header="0"/>
        </w:sectPr>
      </w:pPr>
    </w:p>
    <w:bookmarkStart w:id="635" w:name="page636"/>
    <w:bookmarkEnd w:id="635"/>
    <w:p>
      <w:pPr>
        <w:jc w:val="both"/>
        <w:spacing w:after="0" w:line="248" w:lineRule="auto"/>
        <w:rPr>
          <w:sz w:val="20"/>
          <w:szCs w:val="20"/>
          <w:color w:val="auto"/>
        </w:rPr>
      </w:pPr>
      <w:r>
        <w:rPr>
          <w:rFonts w:ascii="Arial" w:cs="Arial" w:eastAsia="Arial" w:hAnsi="Arial"/>
          <w:sz w:val="22"/>
          <w:szCs w:val="22"/>
          <w:color w:val="auto"/>
        </w:rPr>
        <w:t>competent court, which consent will not be unreasonably withheld, conditioned, or delayed. In addition, [***] shall provide [***] with drafts of all material papers to be filed with the court to the extent directly related to the Subject Patent and shall in good faith incorporate all reasonable comments thereto by [***] before filing such papers. [***] shall not settle any claim, suit or action under this Section 10.5 to the extent involving a Subject Patent without the prior written consent of [***], not to be unreasonably withheld, conditioned, or delayed.</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10.6 Defense of Patents</w:t>
      </w:r>
      <w:r>
        <w:rPr>
          <w:rFonts w:ascii="Arial" w:cs="Arial" w:eastAsia="Arial" w:hAnsi="Arial"/>
          <w:sz w:val="19"/>
          <w:szCs w:val="19"/>
          <w:color w:val="auto"/>
        </w:rPr>
        <w:t>. If any Molecular Partners Patent or Joint Patent becomes the subject of any proceeding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commenced by a Third Party in connection with an opposition, reexamination request, action for declaratory judgment, nullity action, interference,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post-grant review, or other attack upon the validity, title, or enforceability thereof (except insofar as such action is a counterclaim to or defense of, or accompanies a defense of, an action for infringement against a Third Party under Section 10.3, in which case the provisions of Section 10.3 shall govern), then [***] shall control such defense with respect to the FAP Patents, 4-1BB Patents, and Platform Patents and [***] shall control such defense with respect to the Licensed Bispecific Patents and Joint Patents. The defending Party shall be responsible for all reasonable and documented costs and expenses incurred by such Party under this Section 10.6. The defending Party shall provide to the other Party copies of any papers relating to any such opposition, reexamination request, action for declaratory judgment, nullity action, interference or other attack upon any Molecular Partners Patents or Joint Patents, as applicable, reasonably in advance of their being filed or promptly upon their being received, including draft filings reasonably in advance of their being filed so that the other Party can comment and provide input with respect to such draft filings. The defending Party agrees to discuss in good faith any changes reasonably requested by the other Party to such papers, including draft filings, promptly upon their being received. The defending Party shall, in good faith, implement any reasonable recommended changes toward the objective of optimizing overall patent protection for the Products and DARPin Compounds. The defending Party shall permit the other Party to participate in the proceeding for a Licensed Bispecific Patent or Joint Patent, as applicable, to the extent permissible under Applicable Laws, and to be represented by its own counsel in such proceeding, at such other Party’s expense. If [***]decides that it does not wish to defend against such action, then [***] may assume defense of such Third Party action at its own expense. Any awards or amounts received in defending any such Third Party action will be allocated between the Parties as provided in Section 10.3(d).</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10.7 Patent Term Extension</w:t>
      </w:r>
      <w:r>
        <w:rPr>
          <w:rFonts w:ascii="Arial" w:cs="Arial" w:eastAsia="Arial" w:hAnsi="Arial"/>
          <w:sz w:val="21"/>
          <w:szCs w:val="21"/>
          <w:color w:val="auto"/>
        </w:rPr>
        <w:t>. Upon Amgen’s request, with respect to any Licensed Bispecific Patent specified by</w:t>
      </w:r>
      <w:r>
        <w:rPr>
          <w:rFonts w:ascii="Arial" w:cs="Arial" w:eastAsia="Arial" w:hAnsi="Arial"/>
          <w:sz w:val="21"/>
          <w:szCs w:val="21"/>
          <w:b w:val="1"/>
          <w:bCs w:val="1"/>
          <w:color w:val="auto"/>
        </w:rPr>
        <w:t xml:space="preserve"> </w:t>
      </w:r>
      <w:r>
        <w:rPr>
          <w:rFonts w:ascii="Arial" w:cs="Arial" w:eastAsia="Arial" w:hAnsi="Arial"/>
          <w:sz w:val="21"/>
          <w:szCs w:val="21"/>
          <w:color w:val="auto"/>
        </w:rPr>
        <w:t>Amgen, Molecular Partners shall seek a patent term extension or supplemental protection certificates or their equivalents in any country with respect to such Licensed Bispecific Patent, as applicable. If Amgen desires to seek any of the foregoing extensions for any FAP Patent, 4-1BB Patent, or Platform Patent, then the Parties shall meet and discuss such request in good faith and Molecular Partners shall not unreasonably withhold consent to such extension, provided that it shall not be unreasonable for Molecular Partners to withhold its consent if such extension would have a material adverse effect on Molecular Partners’ Patent portfolio. Molecular Partners shall not seek any patent term extension or supplemental protection for any Licensed Bispecific Patent without the prior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8" w:right="339" w:bottom="1440" w:gutter="0" w:footer="0" w:header="0"/>
        </w:sectPr>
      </w:pPr>
    </w:p>
    <w:bookmarkStart w:id="636" w:name="page637"/>
    <w:bookmarkEnd w:id="636"/>
    <w:p>
      <w:pPr>
        <w:jc w:val="both"/>
        <w:spacing w:after="0" w:line="263" w:lineRule="auto"/>
        <w:rPr>
          <w:sz w:val="20"/>
          <w:szCs w:val="20"/>
          <w:color w:val="auto"/>
        </w:rPr>
      </w:pPr>
      <w:r>
        <w:rPr>
          <w:rFonts w:ascii="Arial" w:cs="Arial" w:eastAsia="Arial" w:hAnsi="Arial"/>
          <w:sz w:val="22"/>
          <w:szCs w:val="22"/>
          <w:color w:val="auto"/>
        </w:rPr>
        <w:t xml:space="preserve">Amgen, such consent not to be unreasonably withheld, conditioned, or delayed,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Amgen shall not withhold such consent primarily for the purpose of limiting the Royalty Term.</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10.8 Patent Marking</w:t>
      </w:r>
      <w:r>
        <w:rPr>
          <w:rFonts w:ascii="Arial" w:cs="Arial" w:eastAsia="Arial" w:hAnsi="Arial"/>
          <w:sz w:val="22"/>
          <w:szCs w:val="22"/>
          <w:color w:val="auto"/>
        </w:rPr>
        <w:t>. Amgen shall, and shall require its Affiliates and Sublicensees, to, mark Products sold by it</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(in a reasonable manner consistent with industry custom and practice) with appropriate patent numbers or indicia to the extent permitted by Applicable Law, in those countries in which such markings or such notices impact recoveries of damages or equitable remedies available with respect to infringements of patents.</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10.9 Personnel Obligations</w:t>
      </w:r>
      <w:r>
        <w:rPr>
          <w:rFonts w:ascii="Arial" w:cs="Arial" w:eastAsia="Arial" w:hAnsi="Arial"/>
          <w:sz w:val="19"/>
          <w:szCs w:val="19"/>
          <w:color w:val="auto"/>
        </w:rPr>
        <w:t>. Prior to beginning work under this Agreement relating to any research, Development or</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of a Product, Amgen and Molecular Partners shall ensure that each employee, agent, or independent contractor of such Party or of its Affiliates is bound by non-disclosure and invention assignment obligations that are consistent with the obligations of Amgen or Molecular Partners, as appropriate, in this Article 10, including: (a) promptly reporting any invention, discovery, process or other intellectual property right; (b) assigning to Amgen or Molecular Partners, as appropriate, all right, title, and interest in and to any invention, discovery, process or other intellectual property right; (c) cooperating in the preparation, filing, prosecution, maintenance and enforcement of any patent and patent application; (d) performing all acts and signing, executing, acknowledging and delivering any and all documents required for effecting the obligations and purposes of this Agreement; and (e) abiding by the obligations of confidentiality and non-use set forth in Article 13.</w:t>
      </w:r>
    </w:p>
    <w:p>
      <w:pPr>
        <w:spacing w:after="0" w:line="1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10.10 Trademarks, Corporate Logos and other Intellectual Property Rights</w:t>
      </w:r>
      <w:r>
        <w:rPr>
          <w:rFonts w:ascii="Arial" w:cs="Arial" w:eastAsia="Arial" w:hAnsi="Arial"/>
          <w:sz w:val="19"/>
          <w:szCs w:val="19"/>
          <w:color w:val="auto"/>
        </w:rPr>
        <w:t>. [***]is responsible for the selection,</w:t>
      </w:r>
      <w:r>
        <w:rPr>
          <w:rFonts w:ascii="Arial" w:cs="Arial" w:eastAsia="Arial" w:hAnsi="Arial"/>
          <w:sz w:val="19"/>
          <w:szCs w:val="19"/>
          <w:b w:val="1"/>
          <w:bCs w:val="1"/>
          <w:color w:val="auto"/>
        </w:rPr>
        <w:t xml:space="preserve"> </w:t>
      </w:r>
      <w:r>
        <w:rPr>
          <w:rFonts w:ascii="Arial" w:cs="Arial" w:eastAsia="Arial" w:hAnsi="Arial"/>
          <w:sz w:val="19"/>
          <w:szCs w:val="19"/>
          <w:color w:val="auto"/>
        </w:rPr>
        <w:t>searching, clearance, filing, registration, maintenance, and defense of the trademarks [***], and all trademarks, logos, taglines, trade dress, domain names, and indicia of origin for use in connection with the sale or marketing [***] (the “</w:t>
      </w:r>
      <w:r>
        <w:rPr>
          <w:rFonts w:ascii="Arial" w:cs="Arial" w:eastAsia="Arial" w:hAnsi="Arial"/>
          <w:sz w:val="19"/>
          <w:szCs w:val="19"/>
          <w:b w:val="1"/>
          <w:bCs w:val="1"/>
          <w:color w:val="auto"/>
        </w:rPr>
        <w:t>Marks</w:t>
      </w:r>
      <w:r>
        <w:rPr>
          <w:rFonts w:ascii="Arial" w:cs="Arial" w:eastAsia="Arial" w:hAnsi="Arial"/>
          <w:sz w:val="19"/>
          <w:szCs w:val="19"/>
          <w:color w:val="auto"/>
        </w:rPr>
        <w:t>”), as well as all expenses associated therewith. [***] owns all right, title, and interest in and to such Marks. [***] shall comply with all Applicable Laws in use of the Marks (including those laws and regulations particularly applying to the proper use and designation of trademarks in the applicable countries). Neither Party shall, without the other Party’s prior written consent, use any trademarks or house marks of the other Party (including the other Party’s corporate name), or marks confusingly similar thereto, in connection with such Party’s marketing or promotion of Products under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COVENANTS</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11.1 Mutual Representations and Warranties</w:t>
      </w:r>
      <w:r>
        <w:rPr>
          <w:rFonts w:ascii="Arial" w:cs="Arial" w:eastAsia="Arial" w:hAnsi="Arial"/>
          <w:sz w:val="22"/>
          <w:szCs w:val="22"/>
          <w:color w:val="auto"/>
        </w:rPr>
        <w:t>. Each Party hereby represents and warrants to the other Party that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w:t>
      </w:r>
    </w:p>
    <w:p>
      <w:pPr>
        <w:spacing w:after="0" w:line="168" w:lineRule="exact"/>
        <w:rPr>
          <w:sz w:val="20"/>
          <w:szCs w:val="20"/>
          <w:color w:val="auto"/>
        </w:rPr>
      </w:pPr>
    </w:p>
    <w:p>
      <w:pPr>
        <w:jc w:val="both"/>
        <w:ind w:left="180" w:firstLine="1286"/>
        <w:spacing w:after="0" w:line="250" w:lineRule="auto"/>
        <w:tabs>
          <w:tab w:leader="none" w:pos="1956" w:val="left"/>
        </w:tabs>
        <w:numPr>
          <w:ilvl w:val="0"/>
          <w:numId w:val="598"/>
        </w:numPr>
        <w:rPr>
          <w:rFonts w:ascii="Arial" w:cs="Arial" w:eastAsia="Arial" w:hAnsi="Arial"/>
          <w:sz w:val="22"/>
          <w:szCs w:val="22"/>
          <w:color w:val="auto"/>
        </w:rPr>
      </w:pPr>
      <w:r>
        <w:rPr>
          <w:rFonts w:ascii="Arial" w:cs="Arial" w:eastAsia="Arial" w:hAnsi="Arial"/>
          <w:sz w:val="22"/>
          <w:szCs w:val="22"/>
          <w:color w:val="auto"/>
        </w:rPr>
        <w:t>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637" w:name="page638"/>
    <w:bookmarkEnd w:id="637"/>
    <w:p>
      <w:pPr>
        <w:jc w:val="both"/>
        <w:ind w:left="180" w:firstLine="1286"/>
        <w:spacing w:after="0" w:line="289" w:lineRule="auto"/>
        <w:tabs>
          <w:tab w:leader="none" w:pos="1965" w:val="left"/>
        </w:tabs>
        <w:numPr>
          <w:ilvl w:val="0"/>
          <w:numId w:val="599"/>
        </w:numPr>
        <w:rPr>
          <w:rFonts w:ascii="Arial" w:cs="Arial" w:eastAsia="Arial" w:hAnsi="Arial"/>
          <w:sz w:val="19"/>
          <w:szCs w:val="19"/>
          <w:color w:val="auto"/>
        </w:rPr>
      </w:pPr>
      <w:r>
        <w:rPr>
          <w:rFonts w:ascii="Arial" w:cs="Arial" w:eastAsia="Arial" w:hAnsi="Arial"/>
          <w:sz w:val="19"/>
          <w:szCs w:val="19"/>
          <w:color w:val="auto"/>
        </w:rPr>
        <w:t>(i)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(iii) it has taken all other action necessary to authorize such execution, delivery and performance as required by Applicable Law, its certificate of incorporation, by-laws or other organizational documents or any agreement to which it is a party or to which it may be subject; (iv) this Agreement has been duly executed and delivered on behalf of such Party, and constitutes a legal, valid, and binding obligation of such Party that is enforceable against it in accordance with its terms; and (v) and the execution, delivery and performance of this Agreement do not and will not (1) conflict with, or constitute a default under, any agreement, instrument or understanding, oral or written, to which it is a party or by which it may be bound or (2) require any consent or approval of its stockholders or similar action.</w:t>
      </w:r>
    </w:p>
    <w:p>
      <w:pPr>
        <w:spacing w:after="0" w:line="156" w:lineRule="exact"/>
        <w:rPr>
          <w:rFonts w:ascii="Arial" w:cs="Arial" w:eastAsia="Arial" w:hAnsi="Arial"/>
          <w:sz w:val="19"/>
          <w:szCs w:val="19"/>
          <w:color w:val="auto"/>
        </w:rPr>
      </w:pPr>
    </w:p>
    <w:p>
      <w:pPr>
        <w:ind w:left="180" w:firstLine="1286"/>
        <w:spacing w:after="0" w:line="263" w:lineRule="auto"/>
        <w:tabs>
          <w:tab w:leader="none" w:pos="1974" w:val="left"/>
        </w:tabs>
        <w:numPr>
          <w:ilvl w:val="0"/>
          <w:numId w:val="599"/>
        </w:numPr>
        <w:rPr>
          <w:rFonts w:ascii="Arial" w:cs="Arial" w:eastAsia="Arial" w:hAnsi="Arial"/>
          <w:sz w:val="22"/>
          <w:szCs w:val="22"/>
          <w:color w:val="auto"/>
        </w:rPr>
      </w:pPr>
      <w:r>
        <w:rPr>
          <w:rFonts w:ascii="Arial" w:cs="Arial" w:eastAsia="Arial" w:hAnsi="Arial"/>
          <w:sz w:val="22"/>
          <w:szCs w:val="22"/>
          <w:color w:val="auto"/>
        </w:rPr>
        <w:t>It is not a party to any agreement that would prevent it from granting the rights granted to the other Party under this Agreement or performing its obligations under this Agreement.</w:t>
      </w:r>
    </w:p>
    <w:p>
      <w:pPr>
        <w:spacing w:after="0" w:line="174" w:lineRule="exact"/>
        <w:rPr>
          <w:rFonts w:ascii="Arial" w:cs="Arial" w:eastAsia="Arial" w:hAnsi="Arial"/>
          <w:sz w:val="22"/>
          <w:szCs w:val="22"/>
          <w:color w:val="auto"/>
        </w:rPr>
      </w:pPr>
    </w:p>
    <w:p>
      <w:pPr>
        <w:jc w:val="both"/>
        <w:ind w:left="180" w:firstLine="1286"/>
        <w:spacing w:after="0" w:line="312" w:lineRule="auto"/>
        <w:tabs>
          <w:tab w:leader="none" w:pos="1945" w:val="left"/>
        </w:tabs>
        <w:numPr>
          <w:ilvl w:val="0"/>
          <w:numId w:val="599"/>
        </w:numPr>
        <w:rPr>
          <w:rFonts w:ascii="Arial" w:cs="Arial" w:eastAsia="Arial" w:hAnsi="Arial"/>
          <w:sz w:val="19"/>
          <w:szCs w:val="19"/>
          <w:color w:val="auto"/>
        </w:rPr>
      </w:pPr>
      <w:r>
        <w:rPr>
          <w:rFonts w:ascii="Arial" w:cs="Arial" w:eastAsia="Arial" w:hAnsi="Arial"/>
          <w:sz w:val="19"/>
          <w:szCs w:val="19"/>
          <w:color w:val="auto"/>
        </w:rPr>
        <w:t>The execution and delivery of this Agreement by it and the performance by it contemplated hereunder does not and will not violate any Applicable Laws or any order of any court or Governmental Authority, except for such violations that would not have an adverse effect on the ability of the Party to perform its obligation under this Agreement.</w:t>
      </w:r>
    </w:p>
    <w:p>
      <w:pPr>
        <w:spacing w:after="0" w:line="133" w:lineRule="exact"/>
        <w:rPr>
          <w:rFonts w:ascii="Arial" w:cs="Arial" w:eastAsia="Arial" w:hAnsi="Arial"/>
          <w:sz w:val="19"/>
          <w:szCs w:val="19"/>
          <w:color w:val="auto"/>
        </w:rPr>
      </w:pPr>
    </w:p>
    <w:p>
      <w:pPr>
        <w:jc w:val="both"/>
        <w:ind w:left="180" w:firstLine="1286"/>
        <w:spacing w:after="0" w:line="246" w:lineRule="auto"/>
        <w:tabs>
          <w:tab w:leader="none" w:pos="1955" w:val="left"/>
        </w:tabs>
        <w:numPr>
          <w:ilvl w:val="0"/>
          <w:numId w:val="599"/>
        </w:numPr>
        <w:rPr>
          <w:rFonts w:ascii="Arial" w:cs="Arial" w:eastAsia="Arial" w:hAnsi="Arial"/>
          <w:sz w:val="22"/>
          <w:szCs w:val="22"/>
          <w:color w:val="auto"/>
        </w:rPr>
      </w:pPr>
      <w:r>
        <w:rPr>
          <w:rFonts w:ascii="Arial" w:cs="Arial" w:eastAsia="Arial" w:hAnsi="Arial"/>
          <w:sz w:val="22"/>
          <w:szCs w:val="22"/>
          <w:color w:val="auto"/>
        </w:rPr>
        <w:t>Neither the execution and delivery of this Agreement nor the performance hereof by it requires it to obtain any permits, authorizations or consents from any Governmental Authority (other than any Regulatory Approvals relating to the manufacture, use, importation or sale of any Licensed Bispecifics or Products) or from any other person, firm or corporation, and such execution, delivery and performance will not result in the breach of or give rise to any right of termination, rescission, renegotiation or acceleration under, or trigger any other rights under, any agreement or contract to which it is a party or to which it may be subject that relates to Molecular Partners Technology in the case of Molecular Partners, or to Amgen Technology in the case of Amgen.</w:t>
      </w:r>
    </w:p>
    <w:p>
      <w:pPr>
        <w:spacing w:after="0" w:line="19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Representations and Warranties by Molecular Partners</w:t>
      </w:r>
      <w:r>
        <w:rPr>
          <w:rFonts w:ascii="Arial" w:cs="Arial" w:eastAsia="Arial" w:hAnsi="Arial"/>
          <w:sz w:val="19"/>
          <w:szCs w:val="19"/>
          <w:color w:val="auto"/>
        </w:rPr>
        <w:t>. Molecular Partners hereby represents and warrants 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Amgen as of the Effective Date that:</w:t>
      </w:r>
    </w:p>
    <w:p>
      <w:pPr>
        <w:spacing w:after="0" w:line="202" w:lineRule="exact"/>
        <w:rPr>
          <w:sz w:val="20"/>
          <w:szCs w:val="20"/>
          <w:color w:val="auto"/>
        </w:rPr>
      </w:pPr>
    </w:p>
    <w:p>
      <w:pPr>
        <w:ind w:left="1920" w:hanging="454"/>
        <w:spacing w:after="0"/>
        <w:tabs>
          <w:tab w:leader="none" w:pos="1920" w:val="left"/>
        </w:tabs>
        <w:numPr>
          <w:ilvl w:val="0"/>
          <w:numId w:val="600"/>
        </w:numPr>
        <w:rPr>
          <w:rFonts w:ascii="Arial" w:cs="Arial" w:eastAsia="Arial" w:hAnsi="Arial"/>
          <w:sz w:val="22"/>
          <w:szCs w:val="22"/>
          <w:color w:val="auto"/>
        </w:rPr>
      </w:pPr>
      <w:r>
        <w:rPr>
          <w:rFonts w:ascii="Arial" w:cs="Arial" w:eastAsia="Arial" w:hAnsi="Arial"/>
          <w:sz w:val="22"/>
          <w:szCs w:val="22"/>
          <w:color w:val="auto"/>
        </w:rPr>
        <w:t>it Controls all rights in and to the Molecular Partners Patents;</w:t>
      </w:r>
    </w:p>
    <w:p>
      <w:pPr>
        <w:spacing w:after="0" w:line="219" w:lineRule="exact"/>
        <w:rPr>
          <w:rFonts w:ascii="Arial" w:cs="Arial" w:eastAsia="Arial" w:hAnsi="Arial"/>
          <w:sz w:val="22"/>
          <w:szCs w:val="22"/>
          <w:color w:val="auto"/>
        </w:rPr>
      </w:pPr>
    </w:p>
    <w:p>
      <w:pPr>
        <w:jc w:val="both"/>
        <w:ind w:left="180" w:firstLine="1286"/>
        <w:spacing w:after="0" w:line="253" w:lineRule="auto"/>
        <w:tabs>
          <w:tab w:leader="none" w:pos="1944" w:val="left"/>
        </w:tabs>
        <w:numPr>
          <w:ilvl w:val="0"/>
          <w:numId w:val="600"/>
        </w:numPr>
        <w:rPr>
          <w:rFonts w:ascii="Arial" w:cs="Arial" w:eastAsia="Arial" w:hAnsi="Arial"/>
          <w:sz w:val="22"/>
          <w:szCs w:val="22"/>
          <w:color w:val="auto"/>
        </w:rPr>
      </w:pPr>
      <w:r>
        <w:rPr>
          <w:rFonts w:ascii="Arial" w:cs="Arial" w:eastAsia="Arial" w:hAnsi="Arial"/>
          <w:sz w:val="22"/>
          <w:szCs w:val="22"/>
          <w:color w:val="auto"/>
        </w:rPr>
        <w:t>it has the right to grant the license and rights granted to Amgen under this Agreement and it has not granted any license, option, right or interest in, to or under the Molecular Partners Technology to any Third Party that is in conflict with the licenses and rights granted to Amgen under this Agreement;</w:t>
      </w:r>
    </w:p>
    <w:p>
      <w:pPr>
        <w:spacing w:after="0" w:line="185" w:lineRule="exact"/>
        <w:rPr>
          <w:rFonts w:ascii="Arial" w:cs="Arial" w:eastAsia="Arial" w:hAnsi="Arial"/>
          <w:sz w:val="22"/>
          <w:szCs w:val="22"/>
          <w:color w:val="auto"/>
        </w:rPr>
      </w:pPr>
    </w:p>
    <w:p>
      <w:pPr>
        <w:ind w:left="180" w:right="20" w:firstLine="1286"/>
        <w:spacing w:after="0" w:line="263" w:lineRule="auto"/>
        <w:tabs>
          <w:tab w:leader="none" w:pos="1974" w:val="left"/>
        </w:tabs>
        <w:numPr>
          <w:ilvl w:val="0"/>
          <w:numId w:val="600"/>
        </w:numPr>
        <w:rPr>
          <w:rFonts w:ascii="Arial" w:cs="Arial" w:eastAsia="Arial" w:hAnsi="Arial"/>
          <w:sz w:val="22"/>
          <w:szCs w:val="22"/>
          <w:color w:val="auto"/>
        </w:rPr>
      </w:pPr>
      <w:r>
        <w:rPr>
          <w:rFonts w:ascii="Arial" w:cs="Arial" w:eastAsia="Arial" w:hAnsi="Arial"/>
          <w:sz w:val="22"/>
          <w:szCs w:val="22"/>
          <w:color w:val="auto"/>
        </w:rPr>
        <w:t xml:space="preserve">except as expressly identified on </w:t>
      </w:r>
      <w:r>
        <w:rPr>
          <w:rFonts w:ascii="Arial" w:cs="Arial" w:eastAsia="Arial" w:hAnsi="Arial"/>
          <w:sz w:val="22"/>
          <w:szCs w:val="22"/>
          <w:u w:val="single" w:color="auto"/>
          <w:color w:val="auto"/>
        </w:rPr>
        <w:t>Exhibit 11.2(c)</w:t>
      </w:r>
      <w:r>
        <w:rPr>
          <w:rFonts w:ascii="Arial" w:cs="Arial" w:eastAsia="Arial" w:hAnsi="Arial"/>
          <w:sz w:val="22"/>
          <w:szCs w:val="22"/>
          <w:color w:val="auto"/>
        </w:rPr>
        <w:t>, none of the Molecular Partners Patents is in-licensed by Molecular Partners from a Third Party(ies);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8" w:right="339" w:bottom="1440" w:gutter="0" w:footer="0" w:header="0"/>
        </w:sectPr>
      </w:pPr>
    </w:p>
    <w:bookmarkStart w:id="638" w:name="page639"/>
    <w:bookmarkEnd w:id="638"/>
    <w:p>
      <w:pPr>
        <w:jc w:val="both"/>
        <w:ind w:firstLine="1286"/>
        <w:spacing w:after="0" w:line="253" w:lineRule="auto"/>
        <w:tabs>
          <w:tab w:leader="none" w:pos="1791" w:val="left"/>
        </w:tabs>
        <w:numPr>
          <w:ilvl w:val="0"/>
          <w:numId w:val="601"/>
        </w:numPr>
        <w:rPr>
          <w:rFonts w:ascii="Arial" w:cs="Arial" w:eastAsia="Arial" w:hAnsi="Arial"/>
          <w:sz w:val="22"/>
          <w:szCs w:val="22"/>
          <w:color w:val="auto"/>
        </w:rPr>
      </w:pPr>
      <w:r>
        <w:rPr>
          <w:rFonts w:ascii="Arial" w:cs="Arial" w:eastAsia="Arial" w:hAnsi="Arial"/>
          <w:sz w:val="22"/>
          <w:szCs w:val="22"/>
          <w:color w:val="auto"/>
        </w:rPr>
        <w:t>the Molecular Partners Patents owned by it and its Affiliates, and, to Molecular Partners and its Affiliates’ knowledge, the Molecular Partners Patents licensed to Molecular Partners and its Affiliates, are not subject to any liens or encumbrances;</w:t>
      </w:r>
    </w:p>
    <w:p>
      <w:pPr>
        <w:spacing w:after="0" w:line="185" w:lineRule="exact"/>
        <w:rPr>
          <w:rFonts w:ascii="Arial" w:cs="Arial" w:eastAsia="Arial" w:hAnsi="Arial"/>
          <w:sz w:val="22"/>
          <w:szCs w:val="22"/>
          <w:color w:val="auto"/>
        </w:rPr>
      </w:pPr>
    </w:p>
    <w:p>
      <w:pPr>
        <w:jc w:val="both"/>
        <w:ind w:firstLine="1286"/>
        <w:spacing w:after="0" w:line="253" w:lineRule="auto"/>
        <w:tabs>
          <w:tab w:leader="none" w:pos="1817" w:val="left"/>
        </w:tabs>
        <w:numPr>
          <w:ilvl w:val="0"/>
          <w:numId w:val="601"/>
        </w:numPr>
        <w:rPr>
          <w:rFonts w:ascii="Arial" w:cs="Arial" w:eastAsia="Arial" w:hAnsi="Arial"/>
          <w:sz w:val="22"/>
          <w:szCs w:val="22"/>
          <w:color w:val="auto"/>
        </w:rPr>
      </w:pPr>
      <w:r>
        <w:rPr>
          <w:rFonts w:ascii="Arial" w:cs="Arial" w:eastAsia="Arial" w:hAnsi="Arial"/>
          <w:sz w:val="22"/>
          <w:szCs w:val="22"/>
          <w:color w:val="auto"/>
        </w:rPr>
        <w:t>it and its Affiliates have not granted any right to any Third Party under or with respect to the Molecular Partners Technology that would conflict with the rights granted to Amgen hereunder or terminate any rights granted by a Third Party to Molecular Partners or its Affiliates that are further granted to Amgen hereunder;</w:t>
      </w:r>
    </w:p>
    <w:p>
      <w:pPr>
        <w:spacing w:after="0" w:line="185" w:lineRule="exact"/>
        <w:rPr>
          <w:rFonts w:ascii="Arial" w:cs="Arial" w:eastAsia="Arial" w:hAnsi="Arial"/>
          <w:sz w:val="22"/>
          <w:szCs w:val="22"/>
          <w:color w:val="auto"/>
        </w:rPr>
      </w:pPr>
    </w:p>
    <w:p>
      <w:pPr>
        <w:jc w:val="both"/>
        <w:ind w:firstLine="1286"/>
        <w:spacing w:after="0" w:line="253" w:lineRule="auto"/>
        <w:tabs>
          <w:tab w:leader="none" w:pos="1744" w:val="left"/>
        </w:tabs>
        <w:numPr>
          <w:ilvl w:val="0"/>
          <w:numId w:val="601"/>
        </w:numPr>
        <w:rPr>
          <w:rFonts w:ascii="Arial" w:cs="Arial" w:eastAsia="Arial" w:hAnsi="Arial"/>
          <w:sz w:val="22"/>
          <w:szCs w:val="22"/>
          <w:color w:val="auto"/>
        </w:rPr>
      </w:pPr>
      <w:r>
        <w:rPr>
          <w:rFonts w:ascii="Arial" w:cs="Arial" w:eastAsia="Arial" w:hAnsi="Arial"/>
          <w:sz w:val="22"/>
          <w:szCs w:val="22"/>
          <w:color w:val="auto"/>
        </w:rPr>
        <w:t>it has shared with Amgen complete and accurate copies of all material Third Party licenses and agreements pursuant to which Molecular Partners or its Affiliates has obtained rights to Molecular Partners Patents and Molecular Partners Know-How;</w:t>
      </w:r>
    </w:p>
    <w:p>
      <w:pPr>
        <w:spacing w:after="0" w:line="185" w:lineRule="exact"/>
        <w:rPr>
          <w:rFonts w:ascii="Arial" w:cs="Arial" w:eastAsia="Arial" w:hAnsi="Arial"/>
          <w:sz w:val="22"/>
          <w:szCs w:val="22"/>
          <w:color w:val="auto"/>
        </w:rPr>
      </w:pPr>
    </w:p>
    <w:p>
      <w:pPr>
        <w:jc w:val="both"/>
        <w:ind w:firstLine="1286"/>
        <w:spacing w:after="0" w:line="253" w:lineRule="auto"/>
        <w:tabs>
          <w:tab w:leader="none" w:pos="1837" w:val="left"/>
        </w:tabs>
        <w:numPr>
          <w:ilvl w:val="0"/>
          <w:numId w:val="601"/>
        </w:numPr>
        <w:rPr>
          <w:rFonts w:ascii="Arial" w:cs="Arial" w:eastAsia="Arial" w:hAnsi="Arial"/>
          <w:sz w:val="22"/>
          <w:szCs w:val="22"/>
          <w:color w:val="auto"/>
        </w:rPr>
      </w:pPr>
      <w:r>
        <w:rPr>
          <w:rFonts w:ascii="Arial" w:cs="Arial" w:eastAsia="Arial" w:hAnsi="Arial"/>
          <w:sz w:val="22"/>
          <w:szCs w:val="22"/>
          <w:color w:val="auto"/>
        </w:rPr>
        <w:t>it has not received any correspondence from any Third Party asserting or alleging that (i) the Molecular Partners Patents are invalid or unenforceable or (ii) the development of the Licensed Bispecific prior to the Effective Date infringes any patents of such Third Party;</w:t>
      </w:r>
    </w:p>
    <w:p>
      <w:pPr>
        <w:spacing w:after="0" w:line="185" w:lineRule="exact"/>
        <w:rPr>
          <w:rFonts w:ascii="Arial" w:cs="Arial" w:eastAsia="Arial" w:hAnsi="Arial"/>
          <w:sz w:val="22"/>
          <w:szCs w:val="22"/>
          <w:color w:val="auto"/>
        </w:rPr>
      </w:pPr>
    </w:p>
    <w:p>
      <w:pPr>
        <w:jc w:val="both"/>
        <w:ind w:firstLine="1286"/>
        <w:spacing w:after="0" w:line="253" w:lineRule="auto"/>
        <w:tabs>
          <w:tab w:leader="none" w:pos="1810" w:val="left"/>
        </w:tabs>
        <w:numPr>
          <w:ilvl w:val="0"/>
          <w:numId w:val="601"/>
        </w:numPr>
        <w:rPr>
          <w:rFonts w:ascii="Arial" w:cs="Arial" w:eastAsia="Arial" w:hAnsi="Arial"/>
          <w:sz w:val="22"/>
          <w:szCs w:val="22"/>
          <w:color w:val="auto"/>
        </w:rPr>
      </w:pPr>
      <w:r>
        <w:rPr>
          <w:rFonts w:ascii="Arial" w:cs="Arial" w:eastAsia="Arial" w:hAnsi="Arial"/>
          <w:sz w:val="22"/>
          <w:szCs w:val="22"/>
          <w:color w:val="auto"/>
        </w:rPr>
        <w:t>to its knowledge, the research and development of the Licensed Bispecific prior to the Effective Date did not infringe any valid patents owned or possessed by any Third Party that would be in effect as of the anticipated First Commercial Sale of the Licensed Bispecific;</w:t>
      </w:r>
    </w:p>
    <w:p>
      <w:pPr>
        <w:spacing w:after="0" w:line="185" w:lineRule="exact"/>
        <w:rPr>
          <w:rFonts w:ascii="Arial" w:cs="Arial" w:eastAsia="Arial" w:hAnsi="Arial"/>
          <w:sz w:val="22"/>
          <w:szCs w:val="22"/>
          <w:color w:val="auto"/>
        </w:rPr>
      </w:pPr>
    </w:p>
    <w:p>
      <w:pPr>
        <w:ind w:firstLine="1286"/>
        <w:spacing w:after="0" w:line="263" w:lineRule="auto"/>
        <w:tabs>
          <w:tab w:leader="none" w:pos="1767" w:val="left"/>
        </w:tabs>
        <w:numPr>
          <w:ilvl w:val="0"/>
          <w:numId w:val="601"/>
        </w:numPr>
        <w:rPr>
          <w:rFonts w:ascii="Arial" w:cs="Arial" w:eastAsia="Arial" w:hAnsi="Arial"/>
          <w:sz w:val="22"/>
          <w:szCs w:val="22"/>
          <w:color w:val="auto"/>
        </w:rPr>
      </w:pPr>
      <w:r>
        <w:rPr>
          <w:rFonts w:ascii="Arial" w:cs="Arial" w:eastAsia="Arial" w:hAnsi="Arial"/>
          <w:sz w:val="22"/>
          <w:szCs w:val="22"/>
          <w:color w:val="auto"/>
        </w:rPr>
        <w:t>the Molecular Partners Know-How constitutes all Know-How owned or used by Molecular Partners as of the Effective Date that is necessary or useful for the Exploitation of the Licensed Bispecific;</w:t>
      </w:r>
    </w:p>
    <w:p>
      <w:pPr>
        <w:spacing w:after="0" w:line="174" w:lineRule="exact"/>
        <w:rPr>
          <w:rFonts w:ascii="Arial" w:cs="Arial" w:eastAsia="Arial" w:hAnsi="Arial"/>
          <w:sz w:val="22"/>
          <w:szCs w:val="22"/>
          <w:color w:val="auto"/>
        </w:rPr>
      </w:pPr>
    </w:p>
    <w:p>
      <w:pPr>
        <w:ind w:firstLine="1286"/>
        <w:spacing w:after="0" w:line="263" w:lineRule="auto"/>
        <w:tabs>
          <w:tab w:leader="none" w:pos="1748" w:val="left"/>
        </w:tabs>
        <w:numPr>
          <w:ilvl w:val="0"/>
          <w:numId w:val="601"/>
        </w:numPr>
        <w:rPr>
          <w:rFonts w:ascii="Arial" w:cs="Arial" w:eastAsia="Arial" w:hAnsi="Arial"/>
          <w:sz w:val="22"/>
          <w:szCs w:val="22"/>
          <w:color w:val="auto"/>
        </w:rPr>
      </w:pPr>
      <w:r>
        <w:rPr>
          <w:rFonts w:ascii="Arial" w:cs="Arial" w:eastAsia="Arial" w:hAnsi="Arial"/>
          <w:sz w:val="22"/>
          <w:szCs w:val="22"/>
          <w:color w:val="auto"/>
        </w:rPr>
        <w:t>there is no pending, and to its knowledge, no threatened, adverse action, suits, or proceedings against such Party involving the Licensed Bispecific;</w:t>
      </w:r>
    </w:p>
    <w:p>
      <w:pPr>
        <w:spacing w:after="0" w:line="174" w:lineRule="exact"/>
        <w:rPr>
          <w:rFonts w:ascii="Arial" w:cs="Arial" w:eastAsia="Arial" w:hAnsi="Arial"/>
          <w:sz w:val="22"/>
          <w:szCs w:val="22"/>
          <w:color w:val="auto"/>
        </w:rPr>
      </w:pPr>
    </w:p>
    <w:p>
      <w:pPr>
        <w:jc w:val="both"/>
        <w:ind w:firstLine="1286"/>
        <w:spacing w:after="0" w:line="263" w:lineRule="auto"/>
        <w:tabs>
          <w:tab w:leader="none" w:pos="1964" w:val="left"/>
        </w:tabs>
        <w:numPr>
          <w:ilvl w:val="0"/>
          <w:numId w:val="601"/>
        </w:numPr>
        <w:rPr>
          <w:rFonts w:ascii="Arial" w:cs="Arial" w:eastAsia="Arial" w:hAnsi="Arial"/>
          <w:sz w:val="21"/>
          <w:szCs w:val="21"/>
          <w:color w:val="auto"/>
        </w:rPr>
      </w:pPr>
      <w:r>
        <w:rPr>
          <w:rFonts w:ascii="Arial" w:cs="Arial" w:eastAsia="Arial" w:hAnsi="Arial"/>
          <w:sz w:val="21"/>
          <w:szCs w:val="21"/>
          <w:color w:val="auto"/>
        </w:rPr>
        <w:t>to its knowledge, there are no pending actions, claims, investigations, suits or proceedings against Molecular Partners or its Affiliates, at law or in equity, or before or by any Regulatory Authority, and neither Molecular Partners nor any of its Affiliates has received any written notice regarding any pending or threatened actions, claims, investigations, suits or proceedings against Molecular Partners or such Affiliate, at law or in equity, or before or by any Regulatory Authority, in either case with respect to the Molecular Partners Technology;</w:t>
      </w:r>
    </w:p>
    <w:p>
      <w:pPr>
        <w:spacing w:after="0" w:line="175" w:lineRule="exact"/>
        <w:rPr>
          <w:rFonts w:ascii="Arial" w:cs="Arial" w:eastAsia="Arial" w:hAnsi="Arial"/>
          <w:sz w:val="21"/>
          <w:szCs w:val="21"/>
          <w:color w:val="auto"/>
        </w:rPr>
      </w:pPr>
    </w:p>
    <w:p>
      <w:pPr>
        <w:jc w:val="both"/>
        <w:ind w:firstLine="1286"/>
        <w:spacing w:after="0" w:line="253" w:lineRule="auto"/>
        <w:tabs>
          <w:tab w:leader="none" w:pos="1755" w:val="left"/>
        </w:tabs>
        <w:numPr>
          <w:ilvl w:val="0"/>
          <w:numId w:val="601"/>
        </w:numPr>
        <w:rPr>
          <w:rFonts w:ascii="Arial" w:cs="Arial" w:eastAsia="Arial" w:hAnsi="Arial"/>
          <w:sz w:val="22"/>
          <w:szCs w:val="22"/>
          <w:color w:val="auto"/>
        </w:rPr>
      </w:pPr>
      <w:r>
        <w:rPr>
          <w:rFonts w:ascii="Arial" w:cs="Arial" w:eastAsia="Arial" w:hAnsi="Arial"/>
          <w:sz w:val="22"/>
          <w:szCs w:val="22"/>
          <w:color w:val="auto"/>
        </w:rPr>
        <w:t>all research and development (including preclinical studies and clinical studies) conducted by or on behalf of Molecular Partners related to the Licensed Bispecific prior to the Effective Date has been in all material respects in accordance with Applicable Laws;</w:t>
      </w:r>
    </w:p>
    <w:p>
      <w:pPr>
        <w:spacing w:after="0" w:line="185" w:lineRule="exact"/>
        <w:rPr>
          <w:rFonts w:ascii="Arial" w:cs="Arial" w:eastAsia="Arial" w:hAnsi="Arial"/>
          <w:sz w:val="22"/>
          <w:szCs w:val="22"/>
          <w:color w:val="auto"/>
        </w:rPr>
      </w:pPr>
    </w:p>
    <w:p>
      <w:pPr>
        <w:jc w:val="both"/>
        <w:ind w:firstLine="1286"/>
        <w:spacing w:after="0" w:line="253" w:lineRule="auto"/>
        <w:tabs>
          <w:tab w:leader="none" w:pos="1837" w:val="left"/>
        </w:tabs>
        <w:numPr>
          <w:ilvl w:val="0"/>
          <w:numId w:val="601"/>
        </w:numPr>
        <w:rPr>
          <w:rFonts w:ascii="Arial" w:cs="Arial" w:eastAsia="Arial" w:hAnsi="Arial"/>
          <w:sz w:val="22"/>
          <w:szCs w:val="22"/>
          <w:color w:val="auto"/>
        </w:rPr>
      </w:pPr>
      <w:r>
        <w:rPr>
          <w:rFonts w:ascii="Arial" w:cs="Arial" w:eastAsia="Arial" w:hAnsi="Arial"/>
          <w:sz w:val="22"/>
          <w:szCs w:val="22"/>
          <w:color w:val="auto"/>
        </w:rPr>
        <w:t>during the research and development of the Licensed Bispecific prior to the Effective Date, it has not used any employee, agent or independent contractor who has been debarred, excluded or disqualified by any Regulatory Authority or, to its knowledge,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060"/>
          </w:cols>
          <w:pgMar w:left="500" w:top="1428" w:right="339" w:bottom="1440" w:gutter="0" w:footer="0" w:header="0"/>
        </w:sectPr>
      </w:pPr>
    </w:p>
    <w:bookmarkStart w:id="639" w:name="page640"/>
    <w:bookmarkEnd w:id="639"/>
    <w:p>
      <w:pPr>
        <w:ind w:left="180"/>
        <w:spacing w:after="0"/>
        <w:rPr>
          <w:sz w:val="20"/>
          <w:szCs w:val="20"/>
          <w:color w:val="auto"/>
        </w:rPr>
      </w:pPr>
      <w:r>
        <w:rPr>
          <w:rFonts w:ascii="Arial" w:cs="Arial" w:eastAsia="Arial" w:hAnsi="Arial"/>
          <w:sz w:val="22"/>
          <w:szCs w:val="22"/>
          <w:color w:val="auto"/>
        </w:rPr>
        <w:t>subject of a debarment, exclusion or disqualification proceeding by any Regulatory Authority; and</w:t>
      </w:r>
    </w:p>
    <w:p>
      <w:pPr>
        <w:spacing w:after="0" w:line="220" w:lineRule="exact"/>
        <w:rPr>
          <w:sz w:val="20"/>
          <w:szCs w:val="20"/>
          <w:color w:val="auto"/>
        </w:rPr>
      </w:pPr>
    </w:p>
    <w:p>
      <w:pPr>
        <w:ind w:left="180" w:firstLine="1286"/>
        <w:spacing w:after="0" w:line="263" w:lineRule="auto"/>
        <w:tabs>
          <w:tab w:leader="none" w:pos="1952" w:val="left"/>
        </w:tabs>
        <w:numPr>
          <w:ilvl w:val="0"/>
          <w:numId w:val="602"/>
        </w:numPr>
        <w:rPr>
          <w:rFonts w:ascii="Arial" w:cs="Arial" w:eastAsia="Arial" w:hAnsi="Arial"/>
          <w:sz w:val="22"/>
          <w:szCs w:val="22"/>
          <w:color w:val="auto"/>
        </w:rPr>
      </w:pPr>
      <w:r>
        <w:rPr>
          <w:rFonts w:ascii="Arial" w:cs="Arial" w:eastAsia="Arial" w:hAnsi="Arial"/>
          <w:sz w:val="22"/>
          <w:szCs w:val="22"/>
          <w:color w:val="auto"/>
        </w:rPr>
        <w:t>to its knowledge, no Third Party, including any current or former employee or consultant of it, is infringing or misappropriating or has infringed or misappropriated the Molecular Partners Technology.</w:t>
      </w:r>
    </w:p>
    <w:p>
      <w:pPr>
        <w:spacing w:after="0" w:line="16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8"/>
          <w:szCs w:val="18"/>
          <w:b w:val="1"/>
          <w:bCs w:val="1"/>
          <w:color w:val="auto"/>
        </w:rPr>
        <w:t>Covenants</w:t>
      </w:r>
      <w:r>
        <w:rPr>
          <w:rFonts w:ascii="Arial" w:cs="Arial" w:eastAsia="Arial" w:hAnsi="Arial"/>
          <w:sz w:val="18"/>
          <w:szCs w:val="18"/>
          <w:color w:val="auto"/>
        </w:rPr>
        <w:t>.</w:t>
      </w:r>
    </w:p>
    <w:p>
      <w:pPr>
        <w:spacing w:after="0" w:line="226" w:lineRule="exact"/>
        <w:rPr>
          <w:sz w:val="20"/>
          <w:szCs w:val="20"/>
          <w:color w:val="auto"/>
        </w:rPr>
      </w:pPr>
    </w:p>
    <w:p>
      <w:pPr>
        <w:jc w:val="both"/>
        <w:ind w:left="180" w:firstLine="1286"/>
        <w:spacing w:after="0" w:line="250" w:lineRule="auto"/>
        <w:tabs>
          <w:tab w:leader="none" w:pos="2253" w:val="left"/>
        </w:tabs>
        <w:numPr>
          <w:ilvl w:val="0"/>
          <w:numId w:val="603"/>
        </w:numPr>
        <w:rPr>
          <w:rFonts w:ascii="Arial" w:cs="Arial" w:eastAsia="Arial" w:hAnsi="Arial"/>
          <w:sz w:val="22"/>
          <w:szCs w:val="22"/>
          <w:color w:val="auto"/>
        </w:rPr>
      </w:pPr>
      <w:r>
        <w:rPr>
          <w:rFonts w:ascii="Arial" w:cs="Arial" w:eastAsia="Arial" w:hAnsi="Arial"/>
          <w:sz w:val="22"/>
          <w:szCs w:val="22"/>
          <w:color w:val="auto"/>
        </w:rPr>
        <w:t>Each Party hereby covenants to the other Party that it shall carry out the Development and Commercialization of the Products and its other obligations or activities hereunder in accordance with: (i) the terms of this Agreement and the Development Plan, and (ii) GCPs, GLPs and GMPs and all other Applicable Laws and Regulatory Approvals;</w:t>
      </w:r>
    </w:p>
    <w:p>
      <w:pPr>
        <w:spacing w:after="0" w:line="187" w:lineRule="exact"/>
        <w:rPr>
          <w:rFonts w:ascii="Arial" w:cs="Arial" w:eastAsia="Arial" w:hAnsi="Arial"/>
          <w:sz w:val="22"/>
          <w:szCs w:val="22"/>
          <w:color w:val="auto"/>
        </w:rPr>
      </w:pPr>
    </w:p>
    <w:p>
      <w:pPr>
        <w:jc w:val="both"/>
        <w:ind w:left="180" w:firstLine="1286"/>
        <w:spacing w:after="0" w:line="288" w:lineRule="auto"/>
        <w:tabs>
          <w:tab w:leader="none" w:pos="2137" w:val="left"/>
        </w:tabs>
        <w:numPr>
          <w:ilvl w:val="0"/>
          <w:numId w:val="603"/>
        </w:numPr>
        <w:rPr>
          <w:rFonts w:ascii="Arial" w:cs="Arial" w:eastAsia="Arial" w:hAnsi="Arial"/>
          <w:sz w:val="19"/>
          <w:szCs w:val="19"/>
          <w:color w:val="auto"/>
        </w:rPr>
      </w:pPr>
      <w:r>
        <w:rPr>
          <w:rFonts w:ascii="Arial" w:cs="Arial" w:eastAsia="Arial" w:hAnsi="Arial"/>
          <w:sz w:val="19"/>
          <w:szCs w:val="19"/>
          <w:color w:val="auto"/>
        </w:rPr>
        <w:t>Each Party represents, warrants and covenants to the other Party that it is not debarred, excluded, disqualified, or the subject of disbarment, exclusion or disqualification proceedings under the FD&amp;C Act or comparable Applicable Laws in any country or jurisdiction other than the United States and, to its knowledge, does not, and will not during the Term knowingly, employ or use, directly or indirectly, including through Affiliates or Sublicensees, the services of any person who is debarred, excluded, disqualified, or the subject of disbarment, exclusion or disqualification proceedings in connection with activities relating to any Product. In the event that either Party becomes aware of the debarment, exclusion or disqualification or threatened debarment, exclusion or disqualification of any person providing services to such Party, directly or indirectly, including through Affiliates or Sublicensees, which directly or indirectly relate to activities contemplated by this Agreement, such Party shall promptly notify the other Party in writing and such Party shall cease employing, contracting with, or retaining any such person to perform any such services.</w:t>
      </w:r>
    </w:p>
    <w:p>
      <w:pPr>
        <w:spacing w:after="0" w:line="159" w:lineRule="exact"/>
        <w:rPr>
          <w:rFonts w:ascii="Arial" w:cs="Arial" w:eastAsia="Arial" w:hAnsi="Arial"/>
          <w:sz w:val="19"/>
          <w:szCs w:val="19"/>
          <w:color w:val="auto"/>
        </w:rPr>
      </w:pPr>
    </w:p>
    <w:p>
      <w:pPr>
        <w:jc w:val="both"/>
        <w:ind w:left="180" w:firstLine="1286"/>
        <w:spacing w:after="0" w:line="250" w:lineRule="auto"/>
        <w:tabs>
          <w:tab w:leader="none" w:pos="2022" w:val="left"/>
        </w:tabs>
        <w:numPr>
          <w:ilvl w:val="0"/>
          <w:numId w:val="603"/>
        </w:numPr>
        <w:rPr>
          <w:rFonts w:ascii="Arial" w:cs="Arial" w:eastAsia="Arial" w:hAnsi="Arial"/>
          <w:sz w:val="22"/>
          <w:szCs w:val="22"/>
          <w:color w:val="auto"/>
        </w:rPr>
      </w:pPr>
      <w:r>
        <w:rPr>
          <w:rFonts w:ascii="Arial" w:cs="Arial" w:eastAsia="Arial" w:hAnsi="Arial"/>
          <w:sz w:val="22"/>
          <w:szCs w:val="22"/>
          <w:color w:val="auto"/>
        </w:rPr>
        <w:t>Molecular Partners hereby covenants to Amgen that Molecular Partners and its Affiliates will not grant during the Term any license, option, right or interest in, to or under the Molecular Partners Technology to any Third Party that would conflict with the rights granted to Amgen hereunder or terminate any rights granted by a Third Party to Molecular Partners or its Affiliates that are further granted to Amgen hereunder; and</w:t>
      </w:r>
    </w:p>
    <w:p>
      <w:pPr>
        <w:spacing w:after="0" w:line="187" w:lineRule="exact"/>
        <w:rPr>
          <w:rFonts w:ascii="Arial" w:cs="Arial" w:eastAsia="Arial" w:hAnsi="Arial"/>
          <w:sz w:val="22"/>
          <w:szCs w:val="22"/>
          <w:color w:val="auto"/>
        </w:rPr>
      </w:pPr>
    </w:p>
    <w:p>
      <w:pPr>
        <w:jc w:val="both"/>
        <w:ind w:left="180" w:firstLine="1286"/>
        <w:spacing w:after="0" w:line="253" w:lineRule="auto"/>
        <w:tabs>
          <w:tab w:leader="none" w:pos="2014" w:val="left"/>
        </w:tabs>
        <w:numPr>
          <w:ilvl w:val="0"/>
          <w:numId w:val="603"/>
        </w:numPr>
        <w:rPr>
          <w:rFonts w:ascii="Arial" w:cs="Arial" w:eastAsia="Arial" w:hAnsi="Arial"/>
          <w:sz w:val="22"/>
          <w:szCs w:val="22"/>
          <w:color w:val="auto"/>
        </w:rPr>
      </w:pPr>
      <w:r>
        <w:rPr>
          <w:rFonts w:ascii="Arial" w:cs="Arial" w:eastAsia="Arial" w:hAnsi="Arial"/>
          <w:sz w:val="22"/>
          <w:szCs w:val="22"/>
          <w:color w:val="auto"/>
        </w:rPr>
        <w:t>Each Party hereby covenants to the other Party, on behalf of itself and its officers, directors, employees, Affiliates and agents, that, in connection with the matters that are the subject of this Agreement, and the performance of its obligations hereunder:</w:t>
      </w:r>
    </w:p>
    <w:p>
      <w:pPr>
        <w:spacing w:after="0" w:line="185" w:lineRule="exact"/>
        <w:rPr>
          <w:rFonts w:ascii="Arial" w:cs="Arial" w:eastAsia="Arial" w:hAnsi="Arial"/>
          <w:sz w:val="22"/>
          <w:szCs w:val="22"/>
          <w:color w:val="auto"/>
        </w:rPr>
      </w:pPr>
    </w:p>
    <w:p>
      <w:pPr>
        <w:jc w:val="both"/>
        <w:ind w:firstLine="1952"/>
        <w:spacing w:after="0" w:line="302" w:lineRule="auto"/>
        <w:tabs>
          <w:tab w:leader="none" w:pos="2379" w:val="left"/>
        </w:tabs>
        <w:numPr>
          <w:ilvl w:val="1"/>
          <w:numId w:val="603"/>
        </w:numPr>
        <w:rPr>
          <w:rFonts w:ascii="Arial" w:cs="Arial" w:eastAsia="Arial" w:hAnsi="Arial"/>
          <w:sz w:val="19"/>
          <w:szCs w:val="19"/>
          <w:color w:val="auto"/>
        </w:rPr>
      </w:pPr>
      <w:r>
        <w:rPr>
          <w:rFonts w:ascii="Arial" w:cs="Arial" w:eastAsia="Arial" w:hAnsi="Arial"/>
          <w:sz w:val="19"/>
          <w:szCs w:val="19"/>
          <w:color w:val="auto"/>
        </w:rPr>
        <w:t>It will comply with the U.S. Foreign Corrupt Practices Act, as amended, the UK Bribery Act 2010, as amended, and any other applicable Law relating to or concerning public or commercial bribery or corruption (collectively, “</w:t>
      </w:r>
      <w:r>
        <w:rPr>
          <w:rFonts w:ascii="Arial" w:cs="Arial" w:eastAsia="Arial" w:hAnsi="Arial"/>
          <w:sz w:val="19"/>
          <w:szCs w:val="19"/>
          <w:b w:val="1"/>
          <w:bCs w:val="1"/>
          <w:color w:val="auto"/>
        </w:rPr>
        <w:t>Anti-Bribery and Anti-Corruption Laws</w:t>
      </w:r>
      <w:r>
        <w:rPr>
          <w:rFonts w:ascii="Arial" w:cs="Arial" w:eastAsia="Arial" w:hAnsi="Arial"/>
          <w:sz w:val="19"/>
          <w:szCs w:val="19"/>
          <w:color w:val="auto"/>
        </w:rPr>
        <w:t>”) and its applicable anti-corruption policies (“</w:t>
      </w:r>
      <w:r>
        <w:rPr>
          <w:rFonts w:ascii="Arial" w:cs="Arial" w:eastAsia="Arial" w:hAnsi="Arial"/>
          <w:sz w:val="19"/>
          <w:szCs w:val="19"/>
          <w:b w:val="1"/>
          <w:bCs w:val="1"/>
          <w:color w:val="auto"/>
        </w:rPr>
        <w:t>Anti-Corruption Policies</w:t>
      </w:r>
      <w:r>
        <w:rPr>
          <w:rFonts w:ascii="Arial" w:cs="Arial" w:eastAsia="Arial" w:hAnsi="Arial"/>
          <w:sz w:val="19"/>
          <w:szCs w:val="19"/>
          <w:color w:val="auto"/>
        </w:rPr>
        <w:t>”), and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take any action that will cause the other Party or its Affiliates to be in violation of any such laws 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640" w:name="page641"/>
    <w:bookmarkEnd w:id="640"/>
    <w:p>
      <w:pPr>
        <w:jc w:val="both"/>
        <w:ind w:firstLine="1952"/>
        <w:spacing w:after="0" w:line="263" w:lineRule="auto"/>
        <w:tabs>
          <w:tab w:leader="none" w:pos="2434" w:val="left"/>
        </w:tabs>
        <w:numPr>
          <w:ilvl w:val="0"/>
          <w:numId w:val="604"/>
        </w:numPr>
        <w:rPr>
          <w:rFonts w:ascii="Arial" w:cs="Arial" w:eastAsia="Arial" w:hAnsi="Arial"/>
          <w:sz w:val="21"/>
          <w:szCs w:val="21"/>
          <w:color w:val="auto"/>
        </w:rPr>
      </w:pPr>
      <w:r>
        <w:rPr>
          <w:rFonts w:ascii="Arial" w:cs="Arial" w:eastAsia="Arial" w:hAnsi="Arial"/>
          <w:sz w:val="21"/>
          <w:szCs w:val="21"/>
          <w:color w:val="auto"/>
        </w:rPr>
        <w:t>It will not, directly or indirectly, pay, offer or promise to pay, or authorize the payment of any money, or give, offer or promise to give or authorize the giving of anything of value to any Public Official or Entity for the purpose of influencing the acts of such Public Official or Entity to induce them to use their influence with any Governmental Authority, or obtaining or retaining business or any improper advantage in connection with this Agreement, or that would otherwise violate any Anti-Bribery and Anti-Corruption Laws or Anti-Corruption Policies.</w:t>
      </w:r>
    </w:p>
    <w:p>
      <w:pPr>
        <w:spacing w:after="0" w:line="175" w:lineRule="exact"/>
        <w:rPr>
          <w:rFonts w:ascii="Arial" w:cs="Arial" w:eastAsia="Arial" w:hAnsi="Arial"/>
          <w:sz w:val="21"/>
          <w:szCs w:val="21"/>
          <w:color w:val="auto"/>
        </w:rPr>
      </w:pPr>
    </w:p>
    <w:p>
      <w:pPr>
        <w:ind w:firstLine="1952"/>
        <w:spacing w:after="0" w:line="263" w:lineRule="auto"/>
        <w:tabs>
          <w:tab w:leader="none" w:pos="2499" w:val="left"/>
        </w:tabs>
        <w:numPr>
          <w:ilvl w:val="0"/>
          <w:numId w:val="604"/>
        </w:numPr>
        <w:rPr>
          <w:rFonts w:ascii="Arial" w:cs="Arial" w:eastAsia="Arial" w:hAnsi="Arial"/>
          <w:sz w:val="22"/>
          <w:szCs w:val="22"/>
          <w:color w:val="auto"/>
        </w:rPr>
      </w:pPr>
      <w:r>
        <w:rPr>
          <w:rFonts w:ascii="Arial" w:cs="Arial" w:eastAsia="Arial" w:hAnsi="Arial"/>
          <w:sz w:val="22"/>
          <w:szCs w:val="22"/>
          <w:color w:val="auto"/>
        </w:rPr>
        <w:t>It will not directly or indirectly solicit, receive or agree to accept any payment of money or anything else of value in violation of the Anti-Bribery and Anti-Corruption Laws or the Anti-Corruption Policies.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Each Party shall keep and maintain accurate books, accounts, invoices and reasonably detailed records in connection with the performance of its obligations under, and payments made in connection with, this Agreement, including all records required to establish compliance with the provisions of this Section 11.3(d), until the later of (1) [***] after the end of the period to which such books and records pertain and (2) the expiration of the applicable statute of limitations (or any extension thereof).</w:t>
      </w:r>
    </w:p>
    <w:p>
      <w:pPr>
        <w:spacing w:after="0" w:line="142" w:lineRule="exact"/>
        <w:rPr>
          <w:sz w:val="20"/>
          <w:szCs w:val="20"/>
          <w:color w:val="auto"/>
        </w:rPr>
      </w:pPr>
    </w:p>
    <w:p>
      <w:pPr>
        <w:jc w:val="both"/>
        <w:ind w:left="180" w:firstLine="1286"/>
        <w:spacing w:after="0" w:line="246" w:lineRule="auto"/>
        <w:tabs>
          <w:tab w:leader="none" w:pos="1949" w:val="left"/>
        </w:tabs>
        <w:numPr>
          <w:ilvl w:val="1"/>
          <w:numId w:val="605"/>
        </w:numPr>
        <w:rPr>
          <w:rFonts w:ascii="Arial" w:cs="Arial" w:eastAsia="Arial" w:hAnsi="Arial"/>
          <w:sz w:val="22"/>
          <w:szCs w:val="22"/>
          <w:color w:val="auto"/>
        </w:rPr>
      </w:pPr>
      <w:r>
        <w:rPr>
          <w:rFonts w:ascii="Arial" w:cs="Arial" w:eastAsia="Arial" w:hAnsi="Arial"/>
          <w:sz w:val="22"/>
          <w:szCs w:val="22"/>
          <w:color w:val="auto"/>
        </w:rPr>
        <w:t>If a Party becomes aware that any of its officers, directors or employees becomes during the Term a Public Official or Entity in a position to take or influence official action for or against a Party in connection with the performance of its obligations under this Agreement, that Party shall promptly notify the other Party. A Party shall notify the other Party upon receiving a formal notification that it is the target of a formal investigation by a Governmental Authority for a Material Anti-Corruption Law Violation or upon receipt of information from any of its representatives that any of them is the target of a formal investigation by a Governmental Authority for a Material Anti-Corruption Law Violation in connection, in either case in connection with this Agreement.</w:t>
      </w:r>
    </w:p>
    <w:p>
      <w:pPr>
        <w:spacing w:after="0" w:line="196" w:lineRule="exact"/>
        <w:rPr>
          <w:rFonts w:ascii="Arial" w:cs="Arial" w:eastAsia="Arial" w:hAnsi="Arial"/>
          <w:sz w:val="22"/>
          <w:szCs w:val="22"/>
          <w:color w:val="auto"/>
        </w:rPr>
      </w:pPr>
    </w:p>
    <w:p>
      <w:pPr>
        <w:jc w:val="both"/>
        <w:ind w:left="180" w:firstLine="1286"/>
        <w:spacing w:after="0" w:line="286" w:lineRule="auto"/>
        <w:tabs>
          <w:tab w:leader="none" w:pos="2005" w:val="left"/>
        </w:tabs>
        <w:numPr>
          <w:ilvl w:val="1"/>
          <w:numId w:val="605"/>
        </w:numPr>
        <w:rPr>
          <w:rFonts w:ascii="Arial" w:cs="Arial" w:eastAsia="Arial" w:hAnsi="Arial"/>
          <w:sz w:val="19"/>
          <w:szCs w:val="19"/>
          <w:color w:val="auto"/>
        </w:rPr>
      </w:pPr>
      <w:r>
        <w:rPr>
          <w:rFonts w:ascii="Arial" w:cs="Arial" w:eastAsia="Arial" w:hAnsi="Arial"/>
          <w:sz w:val="19"/>
          <w:szCs w:val="19"/>
          <w:color w:val="auto"/>
        </w:rPr>
        <w:t>In the event one or more Covered Individuals and Entities contributes to or performs any of Molecular Partners’ obligations hereunder, payments made by or on behalf of Molecular Partners to each such Covered Individual and Entity or other compensation or consideration received by each such Covered Individual and Entity on account of its contributions to or performance of any of Molecular Partners’ obligations hereunder shall (i) comply with all Applicable Laws,</w:t>
      </w:r>
    </w:p>
    <w:p>
      <w:pPr>
        <w:spacing w:after="0" w:line="2" w:lineRule="exact"/>
        <w:rPr>
          <w:rFonts w:ascii="Arial" w:cs="Arial" w:eastAsia="Arial" w:hAnsi="Arial"/>
          <w:sz w:val="19"/>
          <w:szCs w:val="19"/>
          <w:color w:val="auto"/>
        </w:rPr>
      </w:pPr>
    </w:p>
    <w:p>
      <w:pPr>
        <w:jc w:val="both"/>
        <w:ind w:left="180" w:hanging="10"/>
        <w:spacing w:after="0" w:line="287" w:lineRule="auto"/>
        <w:tabs>
          <w:tab w:leader="none" w:pos="524" w:val="left"/>
        </w:tabs>
        <w:numPr>
          <w:ilvl w:val="0"/>
          <w:numId w:val="606"/>
        </w:numPr>
        <w:rPr>
          <w:rFonts w:ascii="Arial" w:cs="Arial" w:eastAsia="Arial" w:hAnsi="Arial"/>
          <w:sz w:val="19"/>
          <w:szCs w:val="19"/>
          <w:color w:val="auto"/>
        </w:rPr>
      </w:pPr>
      <w:r>
        <w:rPr>
          <w:rFonts w:ascii="Arial" w:cs="Arial" w:eastAsia="Arial" w:hAnsi="Arial"/>
          <w:sz w:val="19"/>
          <w:szCs w:val="19"/>
          <w:color w:val="auto"/>
        </w:rPr>
        <w:t>represent fair market value, (iii) not be determined in a manner that that takes into account the volume or value of any future business that might be generated between the Parties, and (iv) not be construed to require a Covered Individual or Entity to promote, purchase, prescribe, or otherwise recommend an Amgen Therapeutic Product being marketed or under development. For the purposes of this Section 11.3(f): (1) “</w:t>
      </w:r>
      <w:r>
        <w:rPr>
          <w:rFonts w:ascii="Arial" w:cs="Arial" w:eastAsia="Arial" w:hAnsi="Arial"/>
          <w:sz w:val="19"/>
          <w:szCs w:val="19"/>
          <w:b w:val="1"/>
          <w:bCs w:val="1"/>
          <w:color w:val="auto"/>
        </w:rPr>
        <w:t>Covered Individuals and Entities</w:t>
      </w:r>
      <w:r>
        <w:rPr>
          <w:rFonts w:ascii="Arial" w:cs="Arial" w:eastAsia="Arial" w:hAnsi="Arial"/>
          <w:sz w:val="19"/>
          <w:szCs w:val="19"/>
          <w:color w:val="auto"/>
        </w:rPr>
        <w:t>” (or, in the singular, “</w:t>
      </w:r>
      <w:r>
        <w:rPr>
          <w:rFonts w:ascii="Arial" w:cs="Arial" w:eastAsia="Arial" w:hAnsi="Arial"/>
          <w:sz w:val="19"/>
          <w:szCs w:val="19"/>
          <w:b w:val="1"/>
          <w:bCs w:val="1"/>
          <w:color w:val="auto"/>
        </w:rPr>
        <w:t>Covered</w:t>
      </w:r>
      <w:r>
        <w:rPr>
          <w:rFonts w:ascii="Arial" w:cs="Arial" w:eastAsia="Arial" w:hAnsi="Arial"/>
          <w:sz w:val="19"/>
          <w:szCs w:val="19"/>
          <w:color w:val="auto"/>
        </w:rPr>
        <w:t xml:space="preserve"> </w:t>
      </w:r>
      <w:r>
        <w:rPr>
          <w:rFonts w:ascii="Arial" w:cs="Arial" w:eastAsia="Arial" w:hAnsi="Arial"/>
          <w:sz w:val="19"/>
          <w:szCs w:val="19"/>
          <w:b w:val="1"/>
          <w:bCs w:val="1"/>
          <w:color w:val="auto"/>
        </w:rPr>
        <w:t>Individual and Entity</w:t>
      </w:r>
      <w:r>
        <w:rPr>
          <w:rFonts w:ascii="Arial" w:cs="Arial" w:eastAsia="Arial" w:hAnsi="Arial"/>
          <w:sz w:val="19"/>
          <w:szCs w:val="19"/>
          <w:color w:val="auto"/>
        </w:rPr>
        <w:t>”) means any one or more of an HCP or HCI and entities owned or operated by one or more HCP or</w:t>
      </w:r>
      <w:r>
        <w:rPr>
          <w:rFonts w:ascii="Arial" w:cs="Arial" w:eastAsia="Arial" w:hAnsi="Arial"/>
          <w:sz w:val="19"/>
          <w:szCs w:val="19"/>
          <w:b w:val="1"/>
          <w:bCs w:val="1"/>
          <w:color w:val="auto"/>
        </w:rPr>
        <w:t xml:space="preserve"> </w:t>
      </w:r>
      <w:r>
        <w:rPr>
          <w:rFonts w:ascii="Arial" w:cs="Arial" w:eastAsia="Arial" w:hAnsi="Arial"/>
          <w:sz w:val="19"/>
          <w:szCs w:val="19"/>
          <w:color w:val="auto"/>
        </w:rPr>
        <w:t>HCI; (2) ”</w:t>
      </w:r>
      <w:r>
        <w:rPr>
          <w:rFonts w:ascii="Arial" w:cs="Arial" w:eastAsia="Arial" w:hAnsi="Arial"/>
          <w:sz w:val="19"/>
          <w:szCs w:val="19"/>
          <w:b w:val="1"/>
          <w:bCs w:val="1"/>
          <w:color w:val="auto"/>
        </w:rPr>
        <w:t>Healthcare Professional</w:t>
      </w:r>
      <w:r>
        <w:rPr>
          <w:rFonts w:ascii="Arial" w:cs="Arial" w:eastAsia="Arial" w:hAnsi="Arial"/>
          <w:sz w:val="19"/>
          <w:szCs w:val="19"/>
          <w:color w:val="auto"/>
        </w:rPr>
        <w:t>” or “</w:t>
      </w:r>
      <w:r>
        <w:rPr>
          <w:rFonts w:ascii="Arial" w:cs="Arial" w:eastAsia="Arial" w:hAnsi="Arial"/>
          <w:sz w:val="19"/>
          <w:szCs w:val="19"/>
          <w:b w:val="1"/>
          <w:bCs w:val="1"/>
          <w:color w:val="auto"/>
        </w:rPr>
        <w:t>HCP</w:t>
      </w:r>
      <w:r>
        <w:rPr>
          <w:rFonts w:ascii="Arial" w:cs="Arial" w:eastAsia="Arial" w:hAnsi="Arial"/>
          <w:sz w:val="19"/>
          <w:szCs w:val="19"/>
          <w:color w:val="auto"/>
        </w:rPr>
        <w:t>” means any person licensed to prescribe an Amgen product, as well as anyone working for a person licensed to prescribe an Amgen product and in a position to influence a purchasing decision, including physicians and other providers (e.g., nurses, pharmacists, dialysis providers, and other medical office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8" w:right="339" w:bottom="1440" w:gutter="0" w:footer="0" w:header="0"/>
        </w:sectPr>
      </w:pPr>
    </w:p>
    <w:bookmarkStart w:id="641" w:name="page642"/>
    <w:bookmarkEnd w:id="641"/>
    <w:p>
      <w:pPr>
        <w:jc w:val="both"/>
        <w:ind w:left="180" w:hanging="10"/>
        <w:spacing w:after="0" w:line="264" w:lineRule="auto"/>
        <w:tabs>
          <w:tab w:leader="none" w:pos="486" w:val="left"/>
        </w:tabs>
        <w:numPr>
          <w:ilvl w:val="0"/>
          <w:numId w:val="60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Healthcare Institution</w:t>
      </w:r>
      <w:r>
        <w:rPr>
          <w:rFonts w:ascii="Arial" w:cs="Arial" w:eastAsia="Arial" w:hAnsi="Arial"/>
          <w:sz w:val="21"/>
          <w:szCs w:val="21"/>
          <w:color w:val="auto"/>
        </w:rPr>
        <w:t>” or “</w:t>
      </w:r>
      <w:r>
        <w:rPr>
          <w:rFonts w:ascii="Arial" w:cs="Arial" w:eastAsia="Arial" w:hAnsi="Arial"/>
          <w:sz w:val="21"/>
          <w:szCs w:val="21"/>
          <w:b w:val="1"/>
          <w:bCs w:val="1"/>
          <w:color w:val="auto"/>
        </w:rPr>
        <w:t>HCI</w:t>
      </w:r>
      <w:r>
        <w:rPr>
          <w:rFonts w:ascii="Arial" w:cs="Arial" w:eastAsia="Arial" w:hAnsi="Arial"/>
          <w:sz w:val="21"/>
          <w:szCs w:val="21"/>
          <w:color w:val="auto"/>
        </w:rPr>
        <w:t>” means a facility that provides health maintenance, or treats illness and injury, and can include any hospital, convalescent hospital, dialysis center, health clinic, nursing home, extended care facility, or other institution devoted to the care of sick, infirm, or aged persons, and is in a position to purchase or influence a purchasing decision for any human therapeutic product marketed, distributed, or sold or any service related thereto provided by or on behalf of Amgen or any of its Affiliates (hereinafter an “</w:t>
      </w:r>
      <w:r>
        <w:rPr>
          <w:rFonts w:ascii="Arial" w:cs="Arial" w:eastAsia="Arial" w:hAnsi="Arial"/>
          <w:sz w:val="21"/>
          <w:szCs w:val="21"/>
          <w:b w:val="1"/>
          <w:bCs w:val="1"/>
          <w:color w:val="auto"/>
        </w:rPr>
        <w:t>Amgen Therapeutic Product</w:t>
      </w:r>
      <w:r>
        <w:rPr>
          <w:rFonts w:ascii="Arial" w:cs="Arial" w:eastAsia="Arial" w:hAnsi="Arial"/>
          <w:sz w:val="21"/>
          <w:szCs w:val="21"/>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11.4 Disclaimer</w:t>
      </w:r>
      <w:r>
        <w:rPr>
          <w:rFonts w:ascii="Arial" w:cs="Arial" w:eastAsia="Arial" w:hAnsi="Arial"/>
          <w:sz w:val="22"/>
          <w:szCs w:val="22"/>
          <w:color w:val="auto"/>
        </w:rPr>
        <w:t>. Each Party understands that the Products are the subject of ongoing clinical research and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that the other Party cannot assure the safety, usefulness, of efficacy of Products.</w:t>
      </w:r>
    </w:p>
    <w:p>
      <w:pPr>
        <w:spacing w:after="0" w:line="16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11.5 No Other Representations or Warranties</w:t>
      </w:r>
      <w:r>
        <w:rPr>
          <w:rFonts w:ascii="Arial" w:cs="Arial" w:eastAsia="Arial" w:hAnsi="Arial"/>
          <w:sz w:val="22"/>
          <w:szCs w:val="22"/>
          <w:color w:val="auto"/>
        </w:rPr>
        <w:t>. EXCEPT AS EXPRESSLY STATED IN THIS AGREEMENT, NO</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REPRESENTATIONS OR WARRANTIES WHATSOEVER, WHETHER EXPRESS OR IMPLIED, INCLUDING WARRANTIES OF MERCHANTABILITY, FITNESS FOR A PARTICULAR PURPOSE, NON-INFRINGEMENT, OR NON-MISAPPROPRIATION OF THIRD PARTY INTELLECTUAL PROPERTY RIGHTS, IS MADE OR GIVEN BY OR ON BEHALF OF A PARTY. EXCEPT AS EXPRESSLY STATED IN THIS AGREEMENT, ALL REPRESENTATIONS AND WARRANTIES, WHETHER ARISING BY OPERATION OF LAW OR OTHERWISE, ARE HEREBY EXPRESSLY EXCLUDED.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12.1 Indemnification by Molecular Partners</w:t>
      </w:r>
      <w:r>
        <w:rPr>
          <w:rFonts w:ascii="Arial" w:cs="Arial" w:eastAsia="Arial" w:hAnsi="Arial"/>
          <w:sz w:val="19"/>
          <w:szCs w:val="19"/>
          <w:color w:val="auto"/>
        </w:rPr>
        <w:t>. Molecular Partners shall defend, indemnify, and hold Amgen,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each of their respective officers, directors, employees, and agents (the “</w:t>
      </w:r>
      <w:r>
        <w:rPr>
          <w:rFonts w:ascii="Arial" w:cs="Arial" w:eastAsia="Arial" w:hAnsi="Arial"/>
          <w:sz w:val="19"/>
          <w:szCs w:val="19"/>
          <w:b w:val="1"/>
          <w:bCs w:val="1"/>
          <w:color w:val="auto"/>
        </w:rPr>
        <w:t>Amgen Indemnitees</w:t>
      </w:r>
      <w:r>
        <w:rPr>
          <w:rFonts w:ascii="Arial" w:cs="Arial" w:eastAsia="Arial" w:hAnsi="Arial"/>
          <w:sz w:val="19"/>
          <w:szCs w:val="19"/>
          <w:color w:val="auto"/>
        </w:rPr>
        <w:t>”) harmless from and against any and all costs, fees, expenses, losses, liabilities and damages (including reasonable attorneys’ fees) (collectively, “</w:t>
      </w:r>
      <w:r>
        <w:rPr>
          <w:rFonts w:ascii="Arial" w:cs="Arial" w:eastAsia="Arial" w:hAnsi="Arial"/>
          <w:sz w:val="19"/>
          <w:szCs w:val="19"/>
          <w:b w:val="1"/>
          <w:bCs w:val="1"/>
          <w:color w:val="auto"/>
        </w:rPr>
        <w:t>Losses</w:t>
      </w:r>
      <w:r>
        <w:rPr>
          <w:rFonts w:ascii="Arial" w:cs="Arial" w:eastAsia="Arial" w:hAnsi="Arial"/>
          <w:sz w:val="19"/>
          <w:szCs w:val="19"/>
          <w:color w:val="auto"/>
        </w:rPr>
        <w:t>”) to the extent resulting from claims, suits, proceedings, or causes of action brought by a Third Party (“Claims”) against such Amgen Indemnitee that arise from or are based on (a) the Exploitation of MP Combination Therapies or the Licensed Bispecific by Molecular Partners or on behalf of Molecular Partners, its Affiliates, sublicensees (excluding Amgen), or distributors; (b) a material breach by Molecular Partners of this Agreement; (c) the willful misconduct, recklessness, gross negligence or fraud of Molecular Partners, its Affiliates, or the officers, directors, employees, agents, consultants, or contractors of Molecular Partners or its Affiliates; or (d) the failure of any Licensed Bispecific supplied by Molecular Partners pursuant to this Agreement to have been manufactured (i) in compliance with the applicable specifications with respect thereto or (ii) in compliance with GMP and any other Applicable Law. The foregoing indemnity obligation does not apply to the extent that such Losses results from any activities set forth in Section 12.2 for which Amgen is obligated to indemnify Molecular Partners Indemnitees. Any amounts paid as indemnification pursuant to this Section 12.1 shall be borne solely by Molecular Partners and shall not be included in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2" w:right="339" w:bottom="1440" w:gutter="0" w:footer="0" w:header="0"/>
        </w:sectPr>
      </w:pPr>
    </w:p>
    <w:bookmarkStart w:id="642" w:name="page643"/>
    <w:bookmarkEnd w:id="642"/>
    <w:p>
      <w:pPr>
        <w:jc w:val="both"/>
        <w:ind w:firstLine="648"/>
        <w:spacing w:after="0" w:line="258" w:lineRule="auto"/>
        <w:rPr>
          <w:sz w:val="20"/>
          <w:szCs w:val="20"/>
          <w:color w:val="auto"/>
        </w:rPr>
      </w:pPr>
      <w:r>
        <w:rPr>
          <w:rFonts w:ascii="Arial" w:cs="Arial" w:eastAsia="Arial" w:hAnsi="Arial"/>
          <w:sz w:val="21"/>
          <w:szCs w:val="21"/>
          <w:b w:val="1"/>
          <w:bCs w:val="1"/>
          <w:color w:val="auto"/>
        </w:rPr>
        <w:t>12.2 Indemnification by Amgen</w:t>
      </w:r>
      <w:r>
        <w:rPr>
          <w:rFonts w:ascii="Arial" w:cs="Arial" w:eastAsia="Arial" w:hAnsi="Arial"/>
          <w:sz w:val="21"/>
          <w:szCs w:val="21"/>
          <w:color w:val="auto"/>
        </w:rPr>
        <w:t>. Amgen shall defend, indemnify, and hold Molecular Partners, its Affiliates, and each</w:t>
      </w:r>
      <w:r>
        <w:rPr>
          <w:rFonts w:ascii="Arial" w:cs="Arial" w:eastAsia="Arial" w:hAnsi="Arial"/>
          <w:sz w:val="21"/>
          <w:szCs w:val="21"/>
          <w:b w:val="1"/>
          <w:bCs w:val="1"/>
          <w:color w:val="auto"/>
        </w:rPr>
        <w:t xml:space="preserve"> </w:t>
      </w:r>
      <w:r>
        <w:rPr>
          <w:rFonts w:ascii="Arial" w:cs="Arial" w:eastAsia="Arial" w:hAnsi="Arial"/>
          <w:sz w:val="21"/>
          <w:szCs w:val="21"/>
          <w:color w:val="auto"/>
        </w:rPr>
        <w:t>of their respective officers, directors, employees, and agents, (the “</w:t>
      </w:r>
      <w:r>
        <w:rPr>
          <w:rFonts w:ascii="Arial" w:cs="Arial" w:eastAsia="Arial" w:hAnsi="Arial"/>
          <w:sz w:val="21"/>
          <w:szCs w:val="21"/>
          <w:b w:val="1"/>
          <w:bCs w:val="1"/>
          <w:color w:val="auto"/>
        </w:rPr>
        <w:t>Molecular Partners Indemnitees</w:t>
      </w:r>
      <w:r>
        <w:rPr>
          <w:rFonts w:ascii="Arial" w:cs="Arial" w:eastAsia="Arial" w:hAnsi="Arial"/>
          <w:sz w:val="21"/>
          <w:szCs w:val="21"/>
          <w:color w:val="auto"/>
        </w:rPr>
        <w:t>”) harmless from and against any and all Losses to the extent resulting from any Claims against such Molecular Partners Indemnitee that arise from or are based on (a) the Exploitation of Combination Therapies or the Licensed Bispecific by Amgen or on behalf of Amgen, its Affiliates, Sublicensees, or distributors; (b) a material breach by Amgen of this Agreement; (c) the willful misconduct, recklessness, gross negligence or fraud of Amgen, its Affiliates, Sublicensees, or the officers, directors, employees, agents, consultants, or contractors of Amgen, its Affiliates, or Sublicensees; (d) the failure of any Licensed Bispecific supplied by Amgen pursuant to this Agreement to have been manufactured (i) in compliance with the applicable specifications with respect thereto or (ii) in compliance with GMP and any other Applicable Law. The foregoing indemnity obligation shall not apply to the extent that such Losses results from any activities set forth in Section 12.1 for which is Molecular Partners obligated to indemnify Amgen Indemnitees. Any amounts paid as indemnification pursuant to this Section 12.2 shall be borne solely by Amgen and shall not be included in Development Costs.</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12.3 Indemnification Procedures</w:t>
      </w:r>
      <w:r>
        <w:rPr>
          <w:rFonts w:ascii="Arial" w:cs="Arial" w:eastAsia="Arial" w:hAnsi="Arial"/>
          <w:sz w:val="19"/>
          <w:szCs w:val="19"/>
          <w:color w:val="auto"/>
        </w:rPr>
        <w:t>. The foregoing indemnity obligations shall be conditioned upon (a) the indemnified</w:t>
      </w:r>
      <w:r>
        <w:rPr>
          <w:rFonts w:ascii="Arial" w:cs="Arial" w:eastAsia="Arial" w:hAnsi="Arial"/>
          <w:sz w:val="19"/>
          <w:szCs w:val="19"/>
          <w:b w:val="1"/>
          <w:bCs w:val="1"/>
          <w:color w:val="auto"/>
        </w:rPr>
        <w:t xml:space="preserve"> </w:t>
      </w:r>
      <w:r>
        <w:rPr>
          <w:rFonts w:ascii="Arial" w:cs="Arial" w:eastAsia="Arial" w:hAnsi="Arial"/>
          <w:sz w:val="19"/>
          <w:szCs w:val="19"/>
          <w:color w:val="auto"/>
        </w:rPr>
        <w:t>Party (“</w:t>
      </w:r>
      <w:r>
        <w:rPr>
          <w:rFonts w:ascii="Arial" w:cs="Arial" w:eastAsia="Arial" w:hAnsi="Arial"/>
          <w:sz w:val="19"/>
          <w:szCs w:val="19"/>
          <w:b w:val="1"/>
          <w:bCs w:val="1"/>
          <w:color w:val="auto"/>
        </w:rPr>
        <w:t>Indemnified Party</w:t>
      </w:r>
      <w:r>
        <w:rPr>
          <w:rFonts w:ascii="Arial" w:cs="Arial" w:eastAsia="Arial" w:hAnsi="Arial"/>
          <w:sz w:val="19"/>
          <w:szCs w:val="19"/>
          <w:color w:val="auto"/>
        </w:rPr>
        <w:t>”) promptly notifying the indemnifying Party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of the assertion or the commencement of the relevant Claims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failure or delay to notify shall not excuse any obligation of the Indemnifying Party, except to the extent the Indemnifying Party is actually prejudiced thereby), (b) the Indemnified Party granting the Indemnifying Party sole management and control, at the Indemnifying Party’s sole expense, of the defense of such Claims and its settlement,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Indemnifying Party shall not settle any such Claims without the prior written consent of the Indemnified Party if such settlement does not include a complete release from liability or if such settlement would involve the Indemnified Party undertaking an obligation (including the payment of money by the Indemnified Party), would bind or impair the Indemnified Party, or includes any admission of wrongdoing by the Indemnified Party or that any intellectual property or proprietary right of Indemnified Party or this Agreement is invalid, narrowed in scope or unenforceable, and (c) the Indemnified Party reasonably cooperating with the Indemnifying Party (at the Indemnified Party’s expense). The Indemnified Party shall have the right (at its own expense) to be present in person or through counsel at all legal proceedings giving rise to the right of indemnification. Notwithstanding the foregoing, the Indemnified Party may employ separate counsel reasonably acceptable to the Indemnifying Party at the Indemnifying Party’s expense and to control its own defense of the applicable Claims if: (i) there are or may be legal defenses available to the Indemnified Party that are different from or additional to those available to the Indemnifying Party or (ii) in the reasonable opinion of counsel to the Indemnified Party, a conflict or potential conflict exists between the Indemnified Party and the Indemnifying Party that would make such separate representation advisable;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will the Indemnifying Party be required to pay fees and expenses under this sentence for more than one firm of attorneys in any jurisdiction in any one legal action or group of related legal actions. In such event, the Indemnified Party shall not settle or compromise such Claims without the prior written consent of the Indemnifying Party, such consent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2" w:right="339" w:bottom="1440" w:gutter="0" w:footer="0" w:header="0"/>
        </w:sectPr>
      </w:pPr>
    </w:p>
    <w:bookmarkStart w:id="643" w:name="page644"/>
    <w:bookmarkEnd w:id="643"/>
    <w:p>
      <w:pPr>
        <w:jc w:val="both"/>
        <w:ind w:firstLine="648"/>
        <w:spacing w:after="0" w:line="259" w:lineRule="auto"/>
        <w:rPr>
          <w:sz w:val="20"/>
          <w:szCs w:val="20"/>
          <w:color w:val="auto"/>
        </w:rPr>
      </w:pPr>
      <w:r>
        <w:rPr>
          <w:rFonts w:ascii="Arial" w:cs="Arial" w:eastAsia="Arial" w:hAnsi="Arial"/>
          <w:sz w:val="21"/>
          <w:szCs w:val="21"/>
          <w:b w:val="1"/>
          <w:bCs w:val="1"/>
          <w:color w:val="auto"/>
        </w:rPr>
        <w:t>12.4 Insurance</w:t>
      </w:r>
      <w:r>
        <w:rPr>
          <w:rFonts w:ascii="Arial" w:cs="Arial" w:eastAsia="Arial" w:hAnsi="Arial"/>
          <w:sz w:val="21"/>
          <w:szCs w:val="21"/>
          <w:color w:val="auto"/>
        </w:rPr>
        <w:t>. Each Party shall self-insure or procure and maintain insurance, including product liability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and clinical trials insurance, with minimum limits with respect to its activities hereunder that are consistent with normal business practices of prudent companies similarly situated at all times during which any Product is being clinically tested in human subjects or commercially distributed or sold. Such insurance does not create a limit of either Party’s liability with respect to its indemnification obligations under this Article 12. Each Party shall provide the other with written evidence of such insurance upon request. Each Party’s products liability policy shall include the other Party as an additional insured. Each Party shall provide the other with written notice at least [***] prior to the cancellation, nonrenewal or material change in such insurance or selfinsurance which materially adversely affects the rights of the other Party hereunder. All required policies of each Party must have a minimum [***] rating.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13.1 Confidentiality</w:t>
      </w:r>
      <w:r>
        <w:rPr>
          <w:rFonts w:ascii="Arial" w:cs="Arial" w:eastAsia="Arial" w:hAnsi="Arial"/>
          <w:sz w:val="22"/>
          <w:szCs w:val="22"/>
          <w:color w:val="auto"/>
        </w:rPr>
        <w:t>. Except to the extent expressly authorized by this Agreement or otherwise agreed in writing by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during the Term and for the [***] period following the expiration or termination of this Agreement each Party shall keep 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except for that portion of such information or materials that the receiving Party can demonstrate:</w:t>
      </w:r>
    </w:p>
    <w:p>
      <w:pPr>
        <w:spacing w:after="0" w:line="193" w:lineRule="exact"/>
        <w:rPr>
          <w:sz w:val="20"/>
          <w:szCs w:val="20"/>
          <w:color w:val="auto"/>
        </w:rPr>
      </w:pPr>
    </w:p>
    <w:p>
      <w:pPr>
        <w:ind w:left="180" w:firstLine="1286"/>
        <w:spacing w:after="0" w:line="263" w:lineRule="auto"/>
        <w:tabs>
          <w:tab w:leader="none" w:pos="1964" w:val="left"/>
        </w:tabs>
        <w:numPr>
          <w:ilvl w:val="0"/>
          <w:numId w:val="608"/>
        </w:numPr>
        <w:rPr>
          <w:rFonts w:ascii="Arial" w:cs="Arial" w:eastAsia="Arial" w:hAnsi="Arial"/>
          <w:sz w:val="22"/>
          <w:szCs w:val="22"/>
          <w:color w:val="auto"/>
        </w:rPr>
      </w:pPr>
      <w:r>
        <w:rPr>
          <w:rFonts w:ascii="Arial" w:cs="Arial" w:eastAsia="Arial" w:hAnsi="Arial"/>
          <w:sz w:val="22"/>
          <w:szCs w:val="22"/>
          <w:color w:val="auto"/>
        </w:rPr>
        <w:t>was already known to the receiving Party or its Affiliate, other than under an obligation of confidentiality, at the time of disclosure by the other Party;</w:t>
      </w:r>
    </w:p>
    <w:p>
      <w:pPr>
        <w:spacing w:after="0" w:line="174" w:lineRule="exact"/>
        <w:rPr>
          <w:rFonts w:ascii="Arial" w:cs="Arial" w:eastAsia="Arial" w:hAnsi="Arial"/>
          <w:sz w:val="22"/>
          <w:szCs w:val="22"/>
          <w:color w:val="auto"/>
        </w:rPr>
      </w:pPr>
    </w:p>
    <w:p>
      <w:pPr>
        <w:ind w:left="1960" w:hanging="494"/>
        <w:spacing w:after="0"/>
        <w:tabs>
          <w:tab w:leader="none" w:pos="1960" w:val="left"/>
        </w:tabs>
        <w:numPr>
          <w:ilvl w:val="0"/>
          <w:numId w:val="608"/>
        </w:numPr>
        <w:rPr>
          <w:rFonts w:ascii="Arial" w:cs="Arial" w:eastAsia="Arial" w:hAnsi="Arial"/>
          <w:sz w:val="19"/>
          <w:szCs w:val="19"/>
          <w:color w:val="auto"/>
        </w:rPr>
      </w:pPr>
      <w:r>
        <w:rPr>
          <w:rFonts w:ascii="Arial" w:cs="Arial" w:eastAsia="Arial" w:hAnsi="Arial"/>
          <w:sz w:val="19"/>
          <w:szCs w:val="19"/>
          <w:color w:val="auto"/>
        </w:rPr>
        <w:t>was generally available to the public or otherwise part of the public domain at the time of its disclosure to</w:t>
      </w:r>
    </w:p>
    <w:p>
      <w:pPr>
        <w:spacing w:after="0" w:line="55"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the receiving Party;</w:t>
      </w:r>
    </w:p>
    <w:p>
      <w:pPr>
        <w:spacing w:after="0" w:line="201" w:lineRule="exact"/>
        <w:rPr>
          <w:rFonts w:ascii="Arial" w:cs="Arial" w:eastAsia="Arial" w:hAnsi="Arial"/>
          <w:sz w:val="19"/>
          <w:szCs w:val="19"/>
          <w:color w:val="auto"/>
        </w:rPr>
      </w:pPr>
    </w:p>
    <w:p>
      <w:pPr>
        <w:ind w:left="180" w:firstLine="1286"/>
        <w:spacing w:after="0" w:line="263" w:lineRule="auto"/>
        <w:tabs>
          <w:tab w:leader="none" w:pos="2024" w:val="left"/>
        </w:tabs>
        <w:numPr>
          <w:ilvl w:val="0"/>
          <w:numId w:val="608"/>
        </w:numPr>
        <w:rPr>
          <w:rFonts w:ascii="Arial" w:cs="Arial" w:eastAsia="Arial" w:hAnsi="Arial"/>
          <w:sz w:val="22"/>
          <w:szCs w:val="22"/>
          <w:color w:val="auto"/>
        </w:rPr>
      </w:pPr>
      <w:r>
        <w:rPr>
          <w:rFonts w:ascii="Arial" w:cs="Arial" w:eastAsia="Arial" w:hAnsi="Arial"/>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74" w:lineRule="exact"/>
        <w:rPr>
          <w:rFonts w:ascii="Arial" w:cs="Arial" w:eastAsia="Arial" w:hAnsi="Arial"/>
          <w:sz w:val="22"/>
          <w:szCs w:val="22"/>
          <w:color w:val="auto"/>
        </w:rPr>
      </w:pPr>
    </w:p>
    <w:p>
      <w:pPr>
        <w:ind w:left="180" w:firstLine="1286"/>
        <w:spacing w:after="0" w:line="263" w:lineRule="auto"/>
        <w:tabs>
          <w:tab w:leader="none" w:pos="2046" w:val="left"/>
        </w:tabs>
        <w:numPr>
          <w:ilvl w:val="0"/>
          <w:numId w:val="608"/>
        </w:numPr>
        <w:rPr>
          <w:rFonts w:ascii="Arial" w:cs="Arial" w:eastAsia="Arial" w:hAnsi="Arial"/>
          <w:sz w:val="22"/>
          <w:szCs w:val="22"/>
          <w:color w:val="auto"/>
        </w:rPr>
      </w:pPr>
      <w:r>
        <w:rPr>
          <w:rFonts w:ascii="Arial" w:cs="Arial" w:eastAsia="Arial" w:hAnsi="Arial"/>
          <w:sz w:val="22"/>
          <w:szCs w:val="22"/>
          <w:color w:val="auto"/>
        </w:rPr>
        <w:t>is subsequently disclosed to the receiving Party or its Affiliate by a Third Party without obligations of confidentiality with respect thereto; or</w:t>
      </w:r>
    </w:p>
    <w:p>
      <w:pPr>
        <w:spacing w:after="0" w:line="174" w:lineRule="exact"/>
        <w:rPr>
          <w:rFonts w:ascii="Arial" w:cs="Arial" w:eastAsia="Arial" w:hAnsi="Arial"/>
          <w:sz w:val="22"/>
          <w:szCs w:val="22"/>
          <w:color w:val="auto"/>
        </w:rPr>
      </w:pPr>
    </w:p>
    <w:p>
      <w:pPr>
        <w:ind w:left="180" w:firstLine="1286"/>
        <w:spacing w:after="0" w:line="263" w:lineRule="auto"/>
        <w:tabs>
          <w:tab w:leader="none" w:pos="1949" w:val="left"/>
        </w:tabs>
        <w:numPr>
          <w:ilvl w:val="0"/>
          <w:numId w:val="608"/>
        </w:numPr>
        <w:rPr>
          <w:rFonts w:ascii="Arial" w:cs="Arial" w:eastAsia="Arial" w:hAnsi="Arial"/>
          <w:sz w:val="22"/>
          <w:szCs w:val="22"/>
          <w:color w:val="auto"/>
        </w:rPr>
      </w:pPr>
      <w:r>
        <w:rPr>
          <w:rFonts w:ascii="Arial" w:cs="Arial" w:eastAsia="Arial" w:hAnsi="Arial"/>
          <w:sz w:val="22"/>
          <w:szCs w:val="22"/>
          <w:color w:val="auto"/>
        </w:rPr>
        <w:t>is independently discovered or developed by the receiving Party or its Affiliate without the aid, application or use of Confidential Information.</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Section 1.45, (i) all Information with respect to Assigned Improvements is the Confidential Information of Molecular Partners and (ii) all Information with respect to Joint Inventions is the Confidential Information of both Parties. The terms of this Agreement are the Confidential Information of both Parties. The exceptions set forth in subsections (a)–(e) above apply to such Confidential Information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2" w:right="339" w:bottom="1440" w:gutter="0" w:footer="0" w:header="0"/>
        </w:sectPr>
      </w:pPr>
    </w:p>
    <w:bookmarkStart w:id="644" w:name="page645"/>
    <w:bookmarkEnd w:id="644"/>
    <w:p>
      <w:pPr>
        <w:jc w:val="both"/>
        <w:ind w:firstLine="648"/>
        <w:spacing w:after="0" w:line="258" w:lineRule="auto"/>
        <w:rPr>
          <w:sz w:val="20"/>
          <w:szCs w:val="20"/>
          <w:color w:val="auto"/>
        </w:rPr>
      </w:pPr>
      <w:r>
        <w:rPr>
          <w:rFonts w:ascii="Arial" w:cs="Arial" w:eastAsia="Arial" w:hAnsi="Arial"/>
          <w:sz w:val="21"/>
          <w:szCs w:val="21"/>
          <w:b w:val="1"/>
          <w:bCs w:val="1"/>
          <w:color w:val="auto"/>
        </w:rPr>
        <w:t>13.2 Restrictions</w:t>
      </w:r>
      <w:r>
        <w:rPr>
          <w:rFonts w:ascii="Arial" w:cs="Arial" w:eastAsia="Arial" w:hAnsi="Arial"/>
          <w:sz w:val="21"/>
          <w:szCs w:val="21"/>
          <w:color w:val="auto"/>
        </w:rPr>
        <w:t>. The receiving Party shall keep all of the disclosing Party’s Confidential Information in confidence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same degree of care with which the receiving Party holds its own Confidential Information (but in no event less than a commercially reasonable degree of care). The receiving Party shall not use the disclosing Party’s Confidential Information except in connection with the performance of its obligations and exercise of its rights under this Agreement. The receiving Party has the right to disclose the disclosing Party’s Confidential Information without the disclosing Party’s prior written consent to the receiving Party’s Affiliates and their employees, subcontractors, consultants or agents who have a need to know such Confidential Information in order to perform its obligations and exercise its rights under this Agreement and who are bound by restrictions on use and disclosure consistent with this Article 13. The receiving Party shall use diligent efforts to cause those entities and persons to comply with the restrictions on use and disclosure in this Section 13.2. The receiving Party assumes responsibility for those entities and persons maintaining the disclosing Party’s Confidential Information in confidence and using same only for the purposes described herein.</w:t>
      </w:r>
    </w:p>
    <w:p>
      <w:pPr>
        <w:spacing w:after="0" w:line="18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13.3 Authorized Disclosure</w:t>
      </w:r>
      <w:r>
        <w:rPr>
          <w:rFonts w:ascii="Arial" w:cs="Arial" w:eastAsia="Arial" w:hAnsi="Arial"/>
          <w:sz w:val="22"/>
          <w:szCs w:val="22"/>
          <w:color w:val="auto"/>
        </w:rPr>
        <w:t>. Each Party may disclose Confidential Information belonging to the other Party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(and only to the extent) such disclosure is reasonably necessary in the following situations:</w:t>
      </w:r>
    </w:p>
    <w:p>
      <w:pPr>
        <w:spacing w:after="0" w:line="168" w:lineRule="exact"/>
        <w:rPr>
          <w:sz w:val="20"/>
          <w:szCs w:val="20"/>
          <w:color w:val="auto"/>
        </w:rPr>
      </w:pPr>
    </w:p>
    <w:p>
      <w:pPr>
        <w:ind w:left="1920" w:hanging="454"/>
        <w:spacing w:after="0"/>
        <w:tabs>
          <w:tab w:leader="none" w:pos="1920" w:val="left"/>
        </w:tabs>
        <w:numPr>
          <w:ilvl w:val="0"/>
          <w:numId w:val="609"/>
        </w:numPr>
        <w:rPr>
          <w:rFonts w:ascii="Arial" w:cs="Arial" w:eastAsia="Arial" w:hAnsi="Arial"/>
          <w:sz w:val="22"/>
          <w:szCs w:val="22"/>
          <w:color w:val="auto"/>
        </w:rPr>
      </w:pPr>
      <w:r>
        <w:rPr>
          <w:rFonts w:ascii="Arial" w:cs="Arial" w:eastAsia="Arial" w:hAnsi="Arial"/>
          <w:sz w:val="22"/>
          <w:szCs w:val="22"/>
          <w:color w:val="auto"/>
        </w:rPr>
        <w:t>filing or prosecuting Patents in accordance with Section 10.2;</w:t>
      </w:r>
    </w:p>
    <w:p>
      <w:pPr>
        <w:spacing w:after="0" w:line="219" w:lineRule="exact"/>
        <w:rPr>
          <w:rFonts w:ascii="Arial" w:cs="Arial" w:eastAsia="Arial" w:hAnsi="Arial"/>
          <w:sz w:val="22"/>
          <w:szCs w:val="22"/>
          <w:color w:val="auto"/>
        </w:rPr>
      </w:pPr>
    </w:p>
    <w:p>
      <w:pPr>
        <w:ind w:left="180" w:firstLine="1286"/>
        <w:spacing w:after="0" w:line="263" w:lineRule="auto"/>
        <w:tabs>
          <w:tab w:leader="none" w:pos="2079" w:val="left"/>
        </w:tabs>
        <w:numPr>
          <w:ilvl w:val="0"/>
          <w:numId w:val="609"/>
        </w:numPr>
        <w:rPr>
          <w:rFonts w:ascii="Arial" w:cs="Arial" w:eastAsia="Arial" w:hAnsi="Arial"/>
          <w:sz w:val="22"/>
          <w:szCs w:val="22"/>
          <w:color w:val="auto"/>
        </w:rPr>
      </w:pPr>
      <w:r>
        <w:rPr>
          <w:rFonts w:ascii="Arial" w:cs="Arial" w:eastAsia="Arial" w:hAnsi="Arial"/>
          <w:sz w:val="22"/>
          <w:szCs w:val="22"/>
          <w:color w:val="auto"/>
        </w:rPr>
        <w:t>regulatory filings and other filings with Governmental Authorities (including Regulatory Authorities), including filings with the SEC or FDA, with respect to a Product;</w:t>
      </w:r>
    </w:p>
    <w:p>
      <w:pPr>
        <w:spacing w:after="0" w:line="174" w:lineRule="exact"/>
        <w:rPr>
          <w:rFonts w:ascii="Arial" w:cs="Arial" w:eastAsia="Arial" w:hAnsi="Arial"/>
          <w:sz w:val="22"/>
          <w:szCs w:val="22"/>
          <w:color w:val="auto"/>
        </w:rPr>
      </w:pPr>
    </w:p>
    <w:p>
      <w:pPr>
        <w:ind w:left="1920" w:hanging="454"/>
        <w:spacing w:after="0"/>
        <w:tabs>
          <w:tab w:leader="none" w:pos="1920" w:val="left"/>
        </w:tabs>
        <w:numPr>
          <w:ilvl w:val="0"/>
          <w:numId w:val="609"/>
        </w:numPr>
        <w:rPr>
          <w:rFonts w:ascii="Arial" w:cs="Arial" w:eastAsia="Arial" w:hAnsi="Arial"/>
          <w:sz w:val="22"/>
          <w:szCs w:val="22"/>
          <w:color w:val="auto"/>
        </w:rPr>
      </w:pPr>
      <w:r>
        <w:rPr>
          <w:rFonts w:ascii="Arial" w:cs="Arial" w:eastAsia="Arial" w:hAnsi="Arial"/>
          <w:sz w:val="22"/>
          <w:szCs w:val="22"/>
          <w:color w:val="auto"/>
        </w:rPr>
        <w:t>prosecuting or defending litigation;</w:t>
      </w:r>
    </w:p>
    <w:p>
      <w:pPr>
        <w:spacing w:after="0" w:line="219" w:lineRule="exact"/>
        <w:rPr>
          <w:rFonts w:ascii="Arial" w:cs="Arial" w:eastAsia="Arial" w:hAnsi="Arial"/>
          <w:sz w:val="22"/>
          <w:szCs w:val="22"/>
          <w:color w:val="auto"/>
        </w:rPr>
      </w:pPr>
    </w:p>
    <w:p>
      <w:pPr>
        <w:ind w:left="1940" w:hanging="474"/>
        <w:spacing w:after="0"/>
        <w:tabs>
          <w:tab w:leader="none" w:pos="1940" w:val="left"/>
        </w:tabs>
        <w:numPr>
          <w:ilvl w:val="0"/>
          <w:numId w:val="609"/>
        </w:numPr>
        <w:rPr>
          <w:rFonts w:ascii="Arial" w:cs="Arial" w:eastAsia="Arial" w:hAnsi="Arial"/>
          <w:sz w:val="22"/>
          <w:szCs w:val="22"/>
          <w:color w:val="auto"/>
        </w:rPr>
      </w:pPr>
      <w:r>
        <w:rPr>
          <w:rFonts w:ascii="Arial" w:cs="Arial" w:eastAsia="Arial" w:hAnsi="Arial"/>
          <w:sz w:val="22"/>
          <w:szCs w:val="22"/>
          <w:color w:val="auto"/>
        </w:rPr>
        <w:t>complying with Applicable Laws, including regulations promulgated by securities exchanges;</w:t>
      </w:r>
    </w:p>
    <w:p>
      <w:pPr>
        <w:spacing w:after="0" w:line="219" w:lineRule="exact"/>
        <w:rPr>
          <w:rFonts w:ascii="Arial" w:cs="Arial" w:eastAsia="Arial" w:hAnsi="Arial"/>
          <w:sz w:val="22"/>
          <w:szCs w:val="22"/>
          <w:color w:val="auto"/>
        </w:rPr>
      </w:pPr>
    </w:p>
    <w:p>
      <w:pPr>
        <w:jc w:val="both"/>
        <w:ind w:left="180" w:firstLine="1286"/>
        <w:spacing w:after="0" w:line="312" w:lineRule="auto"/>
        <w:tabs>
          <w:tab w:leader="none" w:pos="1969" w:val="left"/>
        </w:tabs>
        <w:numPr>
          <w:ilvl w:val="0"/>
          <w:numId w:val="609"/>
        </w:numPr>
        <w:rPr>
          <w:rFonts w:ascii="Arial" w:cs="Arial" w:eastAsia="Arial" w:hAnsi="Arial"/>
          <w:sz w:val="19"/>
          <w:szCs w:val="19"/>
          <w:color w:val="auto"/>
        </w:rPr>
      </w:pPr>
      <w:r>
        <w:rPr>
          <w:rFonts w:ascii="Arial" w:cs="Arial" w:eastAsia="Arial" w:hAnsi="Arial"/>
          <w:sz w:val="19"/>
          <w:szCs w:val="19"/>
          <w:color w:val="auto"/>
        </w:rPr>
        <w:t xml:space="preserve">disclosure of the terms of this Agreement to any bona fide [***] collaborator so long as such Person does not have a competing product to any Product,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disclosee must be bound by obligations of confidentiality and non-use at least as restrictive in scope to those set forth in this Article 13 prior to any such disclosure; and</w:t>
      </w:r>
    </w:p>
    <w:p>
      <w:pPr>
        <w:spacing w:after="0" w:line="133" w:lineRule="exact"/>
        <w:rPr>
          <w:rFonts w:ascii="Arial" w:cs="Arial" w:eastAsia="Arial" w:hAnsi="Arial"/>
          <w:sz w:val="19"/>
          <w:szCs w:val="19"/>
          <w:color w:val="auto"/>
        </w:rPr>
      </w:pPr>
    </w:p>
    <w:p>
      <w:pPr>
        <w:jc w:val="both"/>
        <w:ind w:left="180" w:firstLine="1286"/>
        <w:spacing w:after="0" w:line="297" w:lineRule="auto"/>
        <w:tabs>
          <w:tab w:leader="none" w:pos="1962" w:val="left"/>
        </w:tabs>
        <w:numPr>
          <w:ilvl w:val="0"/>
          <w:numId w:val="609"/>
        </w:numPr>
        <w:rPr>
          <w:rFonts w:ascii="Arial" w:cs="Arial" w:eastAsia="Arial" w:hAnsi="Arial"/>
          <w:sz w:val="19"/>
          <w:szCs w:val="19"/>
          <w:color w:val="auto"/>
        </w:rPr>
      </w:pPr>
      <w:r>
        <w:rPr>
          <w:rFonts w:ascii="Arial" w:cs="Arial" w:eastAsia="Arial" w:hAnsi="Arial"/>
          <w:sz w:val="19"/>
          <w:szCs w:val="19"/>
          <w:color w:val="auto"/>
        </w:rPr>
        <w:t xml:space="preserve">disclosure of any results or status reports (including data from any Clinical Trials) to any bona fide [***] collaborator,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disclosee must be bound by obligations of confidentiality and non-use at least as restrictive in scope as those set forth in this Article 13 prior to any such disclosure,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such Party shall notify the other Party of any disclosure under this Section 13.3(f), including, a reasonably detailed description of the type of information to be disclosed and, solely if permitted by the terms of a written agreement with the disclosee, the name of the disclosee.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foregoing, if a Party is required to make a disclosure of the other Party’s Confidential Information pursuant to Sections 13.3(a), 13.3(b), 13.3(c) or 13.3(d), such Party shall, except where impracticable, give reasonable advance notice to the other Party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2" w:right="339" w:bottom="1440" w:gutter="0" w:footer="0" w:header="0"/>
        </w:sectPr>
      </w:pPr>
    </w:p>
    <w:bookmarkStart w:id="645" w:name="page646"/>
    <w:bookmarkEnd w:id="645"/>
    <w:p>
      <w:pPr>
        <w:spacing w:after="0" w:line="263" w:lineRule="auto"/>
        <w:rPr>
          <w:sz w:val="20"/>
          <w:szCs w:val="20"/>
          <w:color w:val="auto"/>
        </w:rPr>
      </w:pPr>
      <w:r>
        <w:rPr>
          <w:rFonts w:ascii="Arial" w:cs="Arial" w:eastAsia="Arial" w:hAnsi="Arial"/>
          <w:sz w:val="22"/>
          <w:szCs w:val="22"/>
          <w:color w:val="auto"/>
        </w:rPr>
        <w:t>disclosure and shall use reasonable efforts to obtain, or to assist the other Party in obtaining, a protective order preventing or limiting the required disclosure.</w:t>
      </w:r>
    </w:p>
    <w:p>
      <w:pPr>
        <w:spacing w:after="0" w:line="16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b w:val="1"/>
          <w:bCs w:val="1"/>
          <w:color w:val="auto"/>
        </w:rPr>
        <w:t>Publicity</w:t>
      </w:r>
      <w:r>
        <w:rPr>
          <w:rFonts w:ascii="Arial" w:cs="Arial" w:eastAsia="Arial" w:hAnsi="Arial"/>
          <w:sz w:val="19"/>
          <w:szCs w:val="19"/>
          <w:color w:val="auto"/>
        </w:rPr>
        <w:t>.</w:t>
      </w:r>
    </w:p>
    <w:p>
      <w:pPr>
        <w:spacing w:after="0" w:line="226" w:lineRule="exact"/>
        <w:rPr>
          <w:sz w:val="20"/>
          <w:szCs w:val="20"/>
          <w:color w:val="auto"/>
        </w:rPr>
      </w:pPr>
    </w:p>
    <w:p>
      <w:pPr>
        <w:jc w:val="both"/>
        <w:ind w:left="180" w:firstLine="1286"/>
        <w:spacing w:after="0" w:line="287" w:lineRule="auto"/>
        <w:tabs>
          <w:tab w:leader="none" w:pos="1972" w:val="left"/>
        </w:tabs>
        <w:numPr>
          <w:ilvl w:val="0"/>
          <w:numId w:val="610"/>
        </w:numPr>
        <w:rPr>
          <w:rFonts w:ascii="Arial" w:cs="Arial" w:eastAsia="Arial" w:hAnsi="Arial"/>
          <w:sz w:val="19"/>
          <w:szCs w:val="19"/>
          <w:color w:val="auto"/>
        </w:rPr>
      </w:pPr>
      <w:r>
        <w:rPr>
          <w:rFonts w:ascii="Arial" w:cs="Arial" w:eastAsia="Arial" w:hAnsi="Arial"/>
          <w:sz w:val="19"/>
          <w:szCs w:val="19"/>
          <w:i w:val="1"/>
          <w:iCs w:val="1"/>
          <w:color w:val="auto"/>
        </w:rPr>
        <w:t xml:space="preserve">Press Release. </w:t>
      </w:r>
      <w:r>
        <w:rPr>
          <w:rFonts w:ascii="Arial" w:cs="Arial" w:eastAsia="Arial" w:hAnsi="Arial"/>
          <w:sz w:val="19"/>
          <w:szCs w:val="19"/>
          <w:color w:val="auto"/>
        </w:rPr>
        <w:t>The Parties shall make a joint public announcement of the execution of this Agreement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form attached as </w:t>
      </w:r>
      <w:r>
        <w:rPr>
          <w:rFonts w:ascii="Arial" w:cs="Arial" w:eastAsia="Arial" w:hAnsi="Arial"/>
          <w:sz w:val="19"/>
          <w:szCs w:val="19"/>
          <w:u w:val="single" w:color="auto"/>
          <w:color w:val="auto"/>
        </w:rPr>
        <w:t>Exhibit 13.4(a)</w:t>
      </w:r>
      <w:r>
        <w:rPr>
          <w:rFonts w:ascii="Arial" w:cs="Arial" w:eastAsia="Arial" w:hAnsi="Arial"/>
          <w:sz w:val="19"/>
          <w:szCs w:val="19"/>
          <w:color w:val="auto"/>
        </w:rPr>
        <w:t>, which shall be issued on or immediately after the Effective Date. After release of such press release, neither Party shall make any public announcements concerning the material terms of this Agreement or any activities hereunder without the other Party’s prior written consent. If a Party desires to subsequently make a public announcement concerning the material terms of this Agreement or any activities hereunder, such Party shall give reasonable (at least [***]) prior advance notice of the proposed text of such announcement to the other Party for its prior review and approval (except as otherwise provided herein), except that in the case of a press release or governmental filing required by law, the disclosing Party shall provide the other Party with such advance notice as it reasonably can and shall not be required to obtain approval therefor. A Party commenting on such a proposed press release shall provide its comments, if any, within [***] after receiving the press release for review. Neither Party shall be required to seek the permission of the other Party to repeat any information that has already been publicly disclosed by such Party or by the other Party, provided such information remains accurate as of such time.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180" w:firstLine="1286"/>
        <w:spacing w:after="0" w:line="285" w:lineRule="auto"/>
        <w:tabs>
          <w:tab w:leader="none" w:pos="1984" w:val="left"/>
        </w:tabs>
        <w:numPr>
          <w:ilvl w:val="0"/>
          <w:numId w:val="610"/>
        </w:numPr>
        <w:rPr>
          <w:rFonts w:ascii="Arial" w:cs="Arial" w:eastAsia="Arial" w:hAnsi="Arial"/>
          <w:sz w:val="19"/>
          <w:szCs w:val="19"/>
          <w:color w:val="auto"/>
        </w:rPr>
      </w:pPr>
      <w:r>
        <w:rPr>
          <w:rFonts w:ascii="Arial" w:cs="Arial" w:eastAsia="Arial" w:hAnsi="Arial"/>
          <w:sz w:val="19"/>
          <w:szCs w:val="19"/>
          <w:i w:val="1"/>
          <w:iCs w:val="1"/>
          <w:color w:val="auto"/>
        </w:rPr>
        <w:t xml:space="preserve">Public Filings. </w:t>
      </w:r>
      <w:r>
        <w:rPr>
          <w:rFonts w:ascii="Arial" w:cs="Arial" w:eastAsia="Arial" w:hAnsi="Arial"/>
          <w:sz w:val="19"/>
          <w:szCs w:val="19"/>
          <w:color w:val="auto"/>
        </w:rPr>
        <w:t>The Parties acknowledge that either or both Parties may be obligated to file a copy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with the SEC or other Governmental Authorities. Each Party may make such a required filing,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it initially file a redacted copy of this Agreement approved by both Parties (“</w:t>
      </w:r>
      <w:r>
        <w:rPr>
          <w:rFonts w:ascii="Arial" w:cs="Arial" w:eastAsia="Arial" w:hAnsi="Arial"/>
          <w:sz w:val="19"/>
          <w:szCs w:val="19"/>
          <w:b w:val="1"/>
          <w:bCs w:val="1"/>
          <w:color w:val="auto"/>
        </w:rPr>
        <w:t>Redacted Agreement</w:t>
      </w:r>
      <w:r>
        <w:rPr>
          <w:rFonts w:ascii="Arial" w:cs="Arial" w:eastAsia="Arial" w:hAnsi="Arial"/>
          <w:sz w:val="19"/>
          <w:szCs w:val="19"/>
          <w:color w:val="auto"/>
        </w:rPr>
        <w:t>”) and request confidential treatment of the terms redacted from this Agreement for a reasonable period of time. In the event of any such filing, each Party shall (i) permit the other Party to review and comment upon such request for confidential treatment and any subsequent correspondence with respect thereto at least [***] in advance of its submission to the SEC or such other Governmental Authorities, (ii) reasonably consider and incorporate the other Party’s comments thereon to the extent consistent with the then-current legal requirements governing redaction of information from material agreements that must be publicly filed, (iii) promptly deliver to the other Party any written correspondence received by it or its representatives from such Governmental Authority, if any, solely with respect to such confidential treatment request and promptly advise the other Party of any other communications between it or its representatives with such Governmental Authority with respect to such confidential treatment request, (iv) upon the written request of the other Party, request an appropriate extension of the term of the confidential treatment period, where available, and (v) if such Governmental Authority requests any changes to the redactions set forth in the Redacted Agreement, use commercially reasonable efforts to support the redactions in the Redacted Agreement as originally filed (to the extent consistent with the then-current legal requirements governing redaction of information from material agreements that must be publicly filed) and, to the extent reasonably practicable, not agree to any changes to the Redacted Agreement without first discussing such changes with the other Party and taking the other Party’s comments into consideration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646" w:name="page647"/>
    <w:bookmarkEnd w:id="646"/>
    <w:p>
      <w:pPr>
        <w:spacing w:after="0" w:line="263" w:lineRule="auto"/>
        <w:rPr>
          <w:sz w:val="20"/>
          <w:szCs w:val="20"/>
          <w:color w:val="auto"/>
        </w:rPr>
      </w:pPr>
      <w:r>
        <w:rPr>
          <w:rFonts w:ascii="Arial" w:cs="Arial" w:eastAsia="Arial" w:hAnsi="Arial"/>
          <w:sz w:val="22"/>
          <w:szCs w:val="22"/>
          <w:color w:val="auto"/>
        </w:rPr>
        <w:t>deciding whether to agree to such changes. Each Party shall be responsible for its own legal and other external costs in connection with any such filing, registration or notification.</w:t>
      </w:r>
    </w:p>
    <w:p>
      <w:pPr>
        <w:spacing w:after="0" w:line="169" w:lineRule="exact"/>
        <w:rPr>
          <w:sz w:val="20"/>
          <w:szCs w:val="20"/>
          <w:color w:val="auto"/>
        </w:rPr>
      </w:pPr>
    </w:p>
    <w:p>
      <w:pPr>
        <w:ind w:left="480"/>
        <w:spacing w:after="0"/>
        <w:tabs>
          <w:tab w:leader="none" w:pos="106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8"/>
          <w:szCs w:val="18"/>
          <w:b w:val="1"/>
          <w:bCs w:val="1"/>
          <w:color w:val="auto"/>
        </w:rPr>
        <w:t>Publications</w:t>
      </w:r>
      <w:r>
        <w:rPr>
          <w:rFonts w:ascii="Arial" w:cs="Arial" w:eastAsia="Arial" w:hAnsi="Arial"/>
          <w:sz w:val="18"/>
          <w:szCs w:val="18"/>
          <w:color w:val="auto"/>
        </w:rPr>
        <w:t>.</w:t>
      </w:r>
    </w:p>
    <w:p>
      <w:pPr>
        <w:spacing w:after="0" w:line="220" w:lineRule="exact"/>
        <w:rPr>
          <w:sz w:val="20"/>
          <w:szCs w:val="20"/>
          <w:color w:val="auto"/>
        </w:rPr>
      </w:pPr>
    </w:p>
    <w:p>
      <w:pPr>
        <w:jc w:val="both"/>
        <w:ind w:firstLine="1286"/>
        <w:spacing w:after="0" w:line="286" w:lineRule="auto"/>
        <w:tabs>
          <w:tab w:leader="none" w:pos="1752" w:val="left"/>
        </w:tabs>
        <w:numPr>
          <w:ilvl w:val="0"/>
          <w:numId w:val="611"/>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The Parties shall coordinate on the general publication strategy and presentation calendar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JSC;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Molecular Partners may publish the publications set forth on </w:t>
      </w:r>
      <w:r>
        <w:rPr>
          <w:rFonts w:ascii="Arial" w:cs="Arial" w:eastAsia="Arial" w:hAnsi="Arial"/>
          <w:sz w:val="19"/>
          <w:szCs w:val="19"/>
          <w:u w:val="single" w:color="auto"/>
          <w:color w:val="auto"/>
        </w:rPr>
        <w:t>Exhibit 13.5(a)</w:t>
      </w:r>
      <w:r>
        <w:rPr>
          <w:rFonts w:ascii="Arial" w:cs="Arial" w:eastAsia="Arial" w:hAnsi="Arial"/>
          <w:sz w:val="19"/>
          <w:szCs w:val="19"/>
          <w:color w:val="auto"/>
        </w:rPr>
        <w:t xml:space="preserve">, which are pending as of the Effective Date. No publication shall include the other Party’s Confidential Information without the prior written consent of such other Party. A Party seeking publication shall provide the other Party the opportunity to review and comment on any proposed publication that relates to a Product at least [***] prior to its intended submission for publication. The other Party shall provide the Party seeking publication with its comments in writing, if any, within [***] after receipt of such proposed publication. The Party seeking publication shall consider in good faith any comments thereto provided by the other Party and shall comply with the other Party’s request to remove any and all of such other Party’s Confidential Information from the proposed publication. In addition, the Party seeking publication shall delay the submission for a period up to [***] if the other Party can demonstrate reasonable need for such delay, including the preparation and filing of a patent application. If the other Party fails to provide its comments to the Party seeking publication within such [***] period, such other Party shall be deemed not to have any comments, and the Party seeking publication may publish in accordance with this Section 13.5 after the [***] period has elapsed;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publication does not include Confidential Information of the other Party. The Party seeking publication shall provide the other Party a copy of the abstract, presentation or manuscript at the time of the submission. Each Party shall acknowledge the contributions of the other Party and its employees in all publications as scientifically appropriate. The Parties agree that such publications will be consistent with International Committee of Medical Journal Editors authorship guidelines.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286"/>
        <w:spacing w:after="0" w:line="291" w:lineRule="auto"/>
        <w:tabs>
          <w:tab w:leader="none" w:pos="1912" w:val="left"/>
        </w:tabs>
        <w:numPr>
          <w:ilvl w:val="0"/>
          <w:numId w:val="611"/>
        </w:numPr>
        <w:rPr>
          <w:rFonts w:ascii="Arial" w:cs="Arial" w:eastAsia="Arial" w:hAnsi="Arial"/>
          <w:sz w:val="19"/>
          <w:szCs w:val="19"/>
          <w:color w:val="auto"/>
        </w:rPr>
      </w:pPr>
      <w:r>
        <w:rPr>
          <w:rFonts w:ascii="Arial" w:cs="Arial" w:eastAsia="Arial" w:hAnsi="Arial"/>
          <w:sz w:val="19"/>
          <w:szCs w:val="19"/>
          <w:b w:val="1"/>
          <w:bCs w:val="1"/>
          <w:color w:val="auto"/>
        </w:rPr>
        <w:t>Licensed Bispecific and Combination Therapies</w:t>
      </w:r>
      <w:r>
        <w:rPr>
          <w:rFonts w:ascii="Arial" w:cs="Arial" w:eastAsia="Arial" w:hAnsi="Arial"/>
          <w:sz w:val="19"/>
          <w:szCs w:val="19"/>
          <w:color w:val="auto"/>
        </w:rPr>
        <w:t>. Amgen has the sole right to approve in advance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publications and scientific presentations related to the Licensed Bispecific or Combination Therapies, such approval not to be unreasonably withheld, conditioned or delayed, and to issue press releases (except with respect to the terms of this Agreement, which is governed by Section 13.4(a)) and to make other public disclosures regarding the Licensed Bispecific or Combination Therapies (including with respect to Development, Commercialization and regulatory matters), and Molecular Partners will not do so without Amgen’s prior written consent, not to be unreasonably withheld, conditioned or delayed, except as required by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publication or presentation to be made by Amgen that names Molecular Partners will require the prior consent of Molecular Partners, such consent not to be unreasonably withheld, conditioned or delayed.</w:t>
      </w:r>
    </w:p>
    <w:p>
      <w:pPr>
        <w:spacing w:after="0" w:line="148" w:lineRule="exact"/>
        <w:rPr>
          <w:rFonts w:ascii="Arial" w:cs="Arial" w:eastAsia="Arial" w:hAnsi="Arial"/>
          <w:sz w:val="19"/>
          <w:szCs w:val="19"/>
          <w:color w:val="auto"/>
        </w:rPr>
      </w:pPr>
    </w:p>
    <w:p>
      <w:pPr>
        <w:jc w:val="both"/>
        <w:ind w:firstLine="1286"/>
        <w:spacing w:after="0" w:line="267" w:lineRule="auto"/>
        <w:tabs>
          <w:tab w:leader="none" w:pos="1860" w:val="left"/>
        </w:tabs>
        <w:numPr>
          <w:ilvl w:val="0"/>
          <w:numId w:val="611"/>
        </w:numPr>
        <w:rPr>
          <w:rFonts w:ascii="Arial" w:cs="Arial" w:eastAsia="Arial" w:hAnsi="Arial"/>
          <w:sz w:val="21"/>
          <w:szCs w:val="21"/>
          <w:color w:val="auto"/>
        </w:rPr>
      </w:pPr>
      <w:r>
        <w:rPr>
          <w:rFonts w:ascii="Arial" w:cs="Arial" w:eastAsia="Arial" w:hAnsi="Arial"/>
          <w:sz w:val="21"/>
          <w:szCs w:val="21"/>
          <w:b w:val="1"/>
          <w:bCs w:val="1"/>
          <w:color w:val="auto"/>
        </w:rPr>
        <w:t>MP Combination Therapies</w:t>
      </w:r>
      <w:r>
        <w:rPr>
          <w:rFonts w:ascii="Arial" w:cs="Arial" w:eastAsia="Arial" w:hAnsi="Arial"/>
          <w:sz w:val="21"/>
          <w:szCs w:val="21"/>
          <w:color w:val="auto"/>
        </w:rPr>
        <w:t>. Subject to this Section 13.5(c), Molecular Partners has the sole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publish and make scientific presentations related to the MP Combination Therapies, and to make other public disclosures regarding the MP Combination Therapies (including with respect to development, commercialization and regulatory matters);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Amgen shall have the right to approve the portions of such 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060"/>
          </w:cols>
          <w:pgMar w:left="500" w:top="1428" w:right="339" w:bottom="1440" w:gutter="0" w:footer="0" w:header="0"/>
        </w:sectPr>
      </w:pPr>
    </w:p>
    <w:bookmarkStart w:id="647" w:name="page648"/>
    <w:bookmarkEnd w:id="647"/>
    <w:p>
      <w:pPr>
        <w:jc w:val="both"/>
        <w:ind w:left="180"/>
        <w:spacing w:after="0" w:line="297" w:lineRule="auto"/>
        <w:rPr>
          <w:sz w:val="20"/>
          <w:szCs w:val="20"/>
          <w:color w:val="auto"/>
        </w:rPr>
      </w:pPr>
      <w:r>
        <w:rPr>
          <w:rFonts w:ascii="Arial" w:cs="Arial" w:eastAsia="Arial" w:hAnsi="Arial"/>
          <w:sz w:val="19"/>
          <w:szCs w:val="19"/>
          <w:color w:val="auto"/>
        </w:rPr>
        <w:t xml:space="preserve">disclosures related to the Licensed Bispecific, such consent not to be unreasonably withheld, conditioned or delayed; </w:t>
      </w:r>
      <w:r>
        <w:rPr>
          <w:rFonts w:ascii="Arial" w:cs="Arial" w:eastAsia="Arial" w:hAnsi="Arial"/>
          <w:sz w:val="19"/>
          <w:szCs w:val="19"/>
          <w:i w:val="1"/>
          <w:iCs w:val="1"/>
          <w:color w:val="auto"/>
        </w:rPr>
        <w:t>provided</w:t>
      </w:r>
      <w:r>
        <w:rPr>
          <w:rFonts w:ascii="Arial" w:cs="Arial" w:eastAsia="Arial" w:hAnsi="Arial"/>
          <w:sz w:val="19"/>
          <w:szCs w:val="19"/>
          <w:color w:val="auto"/>
        </w:rPr>
        <w:t>, that if Amgen does not approve any portion of a presentation or disclosure related to the Licensed Bispecific, Amgen shall reasonably cooperate with Molecular Partners to identify alternative language reasonably suitable to the Parties. If Amgen is required by Applicable Law to make any publication related to the MP Combination Therapies, then it shall notify Molecular Partners and Molecular Partners shall reasonably cooperate with Amgen on making such required disclosure.</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13.6 Attorney-Client Privilege</w:t>
      </w:r>
      <w:r>
        <w:rPr>
          <w:rFonts w:ascii="Arial" w:cs="Arial" w:eastAsia="Arial" w:hAnsi="Arial"/>
          <w:sz w:val="21"/>
          <w:szCs w:val="21"/>
          <w:color w:val="auto"/>
        </w:rPr>
        <w:t>. Neither Party is waiving, nor will be deemed to have waived or diminished, any of its</w:t>
      </w:r>
      <w:r>
        <w:rPr>
          <w:rFonts w:ascii="Arial" w:cs="Arial" w:eastAsia="Arial" w:hAnsi="Arial"/>
          <w:sz w:val="21"/>
          <w:szCs w:val="21"/>
          <w:b w:val="1"/>
          <w:bCs w:val="1"/>
          <w:color w:val="auto"/>
        </w:rPr>
        <w:t xml:space="preserve"> </w:t>
      </w:r>
      <w:r>
        <w:rPr>
          <w:rFonts w:ascii="Arial" w:cs="Arial" w:eastAsia="Arial" w:hAnsi="Arial"/>
          <w:sz w:val="21"/>
          <w:szCs w:val="21"/>
          <w:color w:val="auto"/>
        </w:rPr>
        <w:t>attorney work 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96"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14.1 Term</w:t>
      </w:r>
      <w:r>
        <w:rPr>
          <w:rFonts w:ascii="Arial" w:cs="Arial" w:eastAsia="Arial" w:hAnsi="Arial"/>
          <w:sz w:val="19"/>
          <w:szCs w:val="19"/>
          <w:color w:val="auto"/>
        </w:rPr>
        <w:t>. This Agreement is effective on the Effective Date and, unless earlier terminated pursuant to this Article 14,</w:t>
      </w:r>
      <w:r>
        <w:rPr>
          <w:rFonts w:ascii="Arial" w:cs="Arial" w:eastAsia="Arial" w:hAnsi="Arial"/>
          <w:sz w:val="19"/>
          <w:szCs w:val="19"/>
          <w:b w:val="1"/>
          <w:bCs w:val="1"/>
          <w:color w:val="auto"/>
        </w:rPr>
        <w:t xml:space="preserve"> </w:t>
      </w:r>
      <w:r>
        <w:rPr>
          <w:rFonts w:ascii="Arial" w:cs="Arial" w:eastAsia="Arial" w:hAnsi="Arial"/>
          <w:sz w:val="19"/>
          <w:szCs w:val="19"/>
          <w:color w:val="auto"/>
        </w:rPr>
        <w:t>will expire on a country-by-country basis upon the expiration of the Royalty Term for all Products in such country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14.2 Termination by Amgen at Will</w:t>
      </w:r>
      <w:r>
        <w:rPr>
          <w:rFonts w:ascii="Arial" w:cs="Arial" w:eastAsia="Arial" w:hAnsi="Arial"/>
          <w:sz w:val="22"/>
          <w:szCs w:val="22"/>
          <w:color w:val="auto"/>
        </w:rPr>
        <w:t>. Amgen may terminate this Agreement in its entirety upon [***]. During such</w:t>
      </w:r>
      <w:r>
        <w:rPr>
          <w:rFonts w:ascii="Arial" w:cs="Arial" w:eastAsia="Arial" w:hAnsi="Arial"/>
          <w:sz w:val="22"/>
          <w:szCs w:val="22"/>
          <w:b w:val="1"/>
          <w:bCs w:val="1"/>
          <w:color w:val="auto"/>
        </w:rPr>
        <w:t xml:space="preserve"> </w:t>
      </w:r>
      <w:r>
        <w:rPr>
          <w:rFonts w:ascii="Arial" w:cs="Arial" w:eastAsia="Arial" w:hAnsi="Arial"/>
          <w:sz w:val="22"/>
          <w:szCs w:val="22"/>
          <w:color w:val="auto"/>
        </w:rPr>
        <w:t>notice period, (i) Amgen shall continue to perform all of its obligations under this Agreement, including performing all Development activities allocated to it the Development Plan then in effect in accordance with the terms and conditions of this Agreement and bearing its share of all Development Costs incurred during such notice period, and (ii) Amgen shall not take any action that would reasonably be expected to materially adversely affect or impair the further Development or Commercialization of the Products.</w:t>
      </w:r>
    </w:p>
    <w:p>
      <w:pPr>
        <w:spacing w:after="0" w:line="18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14.3</w:t>
      </w:r>
      <w:r>
        <w:rPr>
          <w:sz w:val="20"/>
          <w:szCs w:val="20"/>
          <w:color w:val="auto"/>
        </w:rPr>
        <w:tab/>
      </w:r>
      <w:r>
        <w:rPr>
          <w:rFonts w:ascii="Arial" w:cs="Arial" w:eastAsia="Arial" w:hAnsi="Arial"/>
          <w:sz w:val="19"/>
          <w:szCs w:val="19"/>
          <w:b w:val="1"/>
          <w:bCs w:val="1"/>
          <w:color w:val="auto"/>
        </w:rPr>
        <w:t>Termination by Either Party for Breach</w:t>
      </w:r>
      <w:r>
        <w:rPr>
          <w:rFonts w:ascii="Arial" w:cs="Arial" w:eastAsia="Arial" w:hAnsi="Arial"/>
          <w:sz w:val="19"/>
          <w:szCs w:val="19"/>
          <w:color w:val="auto"/>
        </w:rPr>
        <w:t>.</w:t>
      </w:r>
    </w:p>
    <w:p>
      <w:pPr>
        <w:spacing w:after="0" w:line="220" w:lineRule="exact"/>
        <w:rPr>
          <w:sz w:val="20"/>
          <w:szCs w:val="20"/>
          <w:color w:val="auto"/>
        </w:rPr>
      </w:pPr>
    </w:p>
    <w:p>
      <w:pPr>
        <w:jc w:val="both"/>
        <w:ind w:left="180" w:firstLine="1286"/>
        <w:spacing w:after="0" w:line="249" w:lineRule="auto"/>
        <w:tabs>
          <w:tab w:leader="none" w:pos="1959" w:val="left"/>
        </w:tabs>
        <w:numPr>
          <w:ilvl w:val="0"/>
          <w:numId w:val="612"/>
        </w:numPr>
        <w:rPr>
          <w:rFonts w:ascii="Arial" w:cs="Arial" w:eastAsia="Arial" w:hAnsi="Arial"/>
          <w:sz w:val="22"/>
          <w:szCs w:val="22"/>
          <w:color w:val="auto"/>
        </w:rPr>
      </w:pPr>
      <w:r>
        <w:rPr>
          <w:rFonts w:ascii="Arial" w:cs="Arial" w:eastAsia="Arial" w:hAnsi="Arial"/>
          <w:sz w:val="22"/>
          <w:szCs w:val="22"/>
          <w:b w:val="1"/>
          <w:bCs w:val="1"/>
          <w:color w:val="auto"/>
        </w:rPr>
        <w:t>Breach</w:t>
      </w:r>
      <w:r>
        <w:rPr>
          <w:rFonts w:ascii="Arial" w:cs="Arial" w:eastAsia="Arial" w:hAnsi="Arial"/>
          <w:sz w:val="22"/>
          <w:szCs w:val="22"/>
          <w:color w:val="auto"/>
        </w:rPr>
        <w:t>. Subject to Section 14.3(b), either Party may terminate this Agreement in its entirety upon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the other Party if the other Party materially breaches its obligations under this Agreement and, after receiving written notice from the non-breaching Party identifying such material breach by the alleged breaching Party in reasonable detail, fails to cure such material breach within [ninety (90) days] from the date of such notice (or within [thirty (30) days] from the date of such notice with respect to payments due under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648" w:name="page649"/>
    <w:bookmarkEnd w:id="648"/>
    <w:p>
      <w:pPr>
        <w:jc w:val="both"/>
        <w:ind w:left="180" w:firstLine="1286"/>
        <w:spacing w:after="0" w:line="259" w:lineRule="auto"/>
        <w:tabs>
          <w:tab w:leader="none" w:pos="2011" w:val="left"/>
        </w:tabs>
        <w:numPr>
          <w:ilvl w:val="0"/>
          <w:numId w:val="613"/>
        </w:numPr>
        <w:rPr>
          <w:rFonts w:ascii="Arial" w:cs="Arial" w:eastAsia="Arial" w:hAnsi="Arial"/>
          <w:sz w:val="21"/>
          <w:szCs w:val="21"/>
          <w:color w:val="auto"/>
        </w:rPr>
      </w:pPr>
      <w:r>
        <w:rPr>
          <w:rFonts w:ascii="Arial" w:cs="Arial" w:eastAsia="Arial" w:hAnsi="Arial"/>
          <w:sz w:val="21"/>
          <w:szCs w:val="21"/>
          <w:b w:val="1"/>
          <w:bCs w:val="1"/>
          <w:color w:val="auto"/>
        </w:rPr>
        <w:t>Disputed Breach</w:t>
      </w:r>
      <w:r>
        <w:rPr>
          <w:rFonts w:ascii="Arial" w:cs="Arial" w:eastAsia="Arial" w:hAnsi="Arial"/>
          <w:sz w:val="21"/>
          <w:szCs w:val="21"/>
          <w:color w:val="auto"/>
        </w:rPr>
        <w:t>. If the alleged breaching Party disputes in good faith the existence or materiality of a</w:t>
      </w:r>
      <w:r>
        <w:rPr>
          <w:rFonts w:ascii="Arial" w:cs="Arial" w:eastAsia="Arial" w:hAnsi="Arial"/>
          <w:sz w:val="21"/>
          <w:szCs w:val="21"/>
          <w:b w:val="1"/>
          <w:bCs w:val="1"/>
          <w:color w:val="auto"/>
        </w:rPr>
        <w:t xml:space="preserve"> </w:t>
      </w:r>
      <w:r>
        <w:rPr>
          <w:rFonts w:ascii="Arial" w:cs="Arial" w:eastAsia="Arial" w:hAnsi="Arial"/>
          <w:sz w:val="21"/>
          <w:szCs w:val="21"/>
          <w:color w:val="auto"/>
        </w:rPr>
        <w:t>breach specified in a notice provided by the other Party in accordance with Section 14.3(a), and such alleged breaching Party provides the other Party notice of such dispute and its intention to seek arbitration pursuant to Article 15 within the cure period, then the non-breaching Party may not terminate this Agreement under Section 14.3(a) unless and until an arbitrator, in accordance with Article 15, has determined (and without possibility of appeal) that the alleged breaching Party has materially breached this Agreement and such Party fails to cure such breach within [***] following such decision of such arbitrator or court (or within [***]from the dat e of such decision with respect to payments due hereunder). During the pendency of any such dispute, the terms and conditions of this Agreement remain in effect and the Parties shall continue to perform all of their respective obligations hereunder.</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14.4 Termination for Insolvency</w:t>
      </w:r>
      <w:r>
        <w:rPr>
          <w:rFonts w:ascii="Arial" w:cs="Arial" w:eastAsia="Arial" w:hAnsi="Arial"/>
          <w:sz w:val="19"/>
          <w:szCs w:val="19"/>
          <w:color w:val="auto"/>
        </w:rPr>
        <w:t>. If, at any time during the Term (a) a case is commenced by or against 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under Title 11, United States Code, as amended, or analogous provisions of Applicable Law outside the United States (the “</w:t>
      </w:r>
      <w:r>
        <w:rPr>
          <w:rFonts w:ascii="Arial" w:cs="Arial" w:eastAsia="Arial" w:hAnsi="Arial"/>
          <w:sz w:val="19"/>
          <w:szCs w:val="19"/>
          <w:b w:val="1"/>
          <w:bCs w:val="1"/>
          <w:color w:val="auto"/>
        </w:rPr>
        <w:t>Bankruptcy Code</w:t>
      </w:r>
      <w:r>
        <w:rPr>
          <w:rFonts w:ascii="Arial" w:cs="Arial" w:eastAsia="Arial" w:hAnsi="Arial"/>
          <w:sz w:val="19"/>
          <w:szCs w:val="19"/>
          <w:color w:val="auto"/>
        </w:rPr>
        <w:t>”) and, in the event of an involuntary case under the Bankruptcy Code, such case is not dismissed within</w:t>
      </w:r>
    </w:p>
    <w:p>
      <w:pPr>
        <w:spacing w:after="0" w:line="1" w:lineRule="exact"/>
        <w:rPr>
          <w:sz w:val="20"/>
          <w:szCs w:val="20"/>
          <w:color w:val="auto"/>
        </w:rPr>
      </w:pPr>
    </w:p>
    <w:p>
      <w:pPr>
        <w:jc w:val="both"/>
        <w:ind w:firstLine="8"/>
        <w:spacing w:after="0" w:line="292" w:lineRule="auto"/>
        <w:tabs>
          <w:tab w:leader="none" w:pos="557" w:val="left"/>
        </w:tabs>
        <w:numPr>
          <w:ilvl w:val="0"/>
          <w:numId w:val="614"/>
        </w:numPr>
        <w:rPr>
          <w:rFonts w:ascii="Arial" w:cs="Arial" w:eastAsia="Arial" w:hAnsi="Arial"/>
          <w:sz w:val="19"/>
          <w:szCs w:val="19"/>
          <w:color w:val="auto"/>
        </w:rPr>
      </w:pPr>
      <w:r>
        <w:rPr>
          <w:rFonts w:ascii="Arial" w:cs="Arial" w:eastAsia="Arial" w:hAnsi="Arial"/>
          <w:sz w:val="19"/>
          <w:szCs w:val="19"/>
          <w:color w:val="auto"/>
        </w:rPr>
        <w:t>after the commencement thereof, (b) either Party files for or is subject to the institution of bankruptcy, liquidation or receivership proceedings (other than a case under the Bankruptcy Code), (c) either Party assigns all or a substantial portion of its assets for the benefit of creditors, (d) a receiver or custodian is appointed for either Party’s business, or (e) a substantial portion of either Party’s business is subject to attachment or similar process, then, in any such case ((a), (b), (c), (d) or (e)), the other Party may terminate this Agreement in its entirety upon written notice to the extent permitted under Applicable Law.</w:t>
      </w:r>
    </w:p>
    <w:p>
      <w:pPr>
        <w:spacing w:after="0" w:line="145"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14.5 Effects of Termination of this Agreement</w:t>
      </w:r>
      <w:r>
        <w:rPr>
          <w:rFonts w:ascii="Arial" w:cs="Arial" w:eastAsia="Arial" w:hAnsi="Arial"/>
          <w:sz w:val="22"/>
          <w:szCs w:val="22"/>
          <w:color w:val="auto"/>
        </w:rPr>
        <w:t>. Upon any termination of this Agreement, the following shall apply (in</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 to any other rights and obligations under this Agreement with respect to such termination):</w:t>
      </w:r>
    </w:p>
    <w:p>
      <w:pPr>
        <w:spacing w:after="0" w:line="162" w:lineRule="exact"/>
        <w:rPr>
          <w:sz w:val="20"/>
          <w:szCs w:val="20"/>
          <w:color w:val="auto"/>
        </w:rPr>
      </w:pPr>
    </w:p>
    <w:p>
      <w:pPr>
        <w:ind w:left="1920" w:hanging="454"/>
        <w:spacing w:after="0"/>
        <w:tabs>
          <w:tab w:leader="none" w:pos="1920" w:val="left"/>
        </w:tabs>
        <w:numPr>
          <w:ilvl w:val="0"/>
          <w:numId w:val="615"/>
        </w:numPr>
        <w:rPr>
          <w:rFonts w:ascii="Arial" w:cs="Arial" w:eastAsia="Arial" w:hAnsi="Arial"/>
          <w:sz w:val="22"/>
          <w:szCs w:val="22"/>
          <w:color w:val="auto"/>
        </w:rPr>
      </w:pPr>
      <w:r>
        <w:rPr>
          <w:rFonts w:ascii="Arial" w:cs="Arial" w:eastAsia="Arial" w:hAnsi="Arial"/>
          <w:sz w:val="22"/>
          <w:szCs w:val="22"/>
          <w:b w:val="1"/>
          <w:bCs w:val="1"/>
          <w:color w:val="auto"/>
        </w:rPr>
        <w:t>Licenses</w:t>
      </w:r>
      <w:r>
        <w:rPr>
          <w:rFonts w:ascii="Arial" w:cs="Arial" w:eastAsia="Arial" w:hAnsi="Arial"/>
          <w:sz w:val="22"/>
          <w:szCs w:val="22"/>
          <w:color w:val="auto"/>
        </w:rPr>
        <w:t>. The licenses granted in Article 3 shall terminate.</w:t>
      </w:r>
    </w:p>
    <w:p>
      <w:pPr>
        <w:spacing w:after="0" w:line="219" w:lineRule="exact"/>
        <w:rPr>
          <w:rFonts w:ascii="Arial" w:cs="Arial" w:eastAsia="Arial" w:hAnsi="Arial"/>
          <w:sz w:val="22"/>
          <w:szCs w:val="22"/>
          <w:color w:val="auto"/>
        </w:rPr>
      </w:pPr>
    </w:p>
    <w:p>
      <w:pPr>
        <w:jc w:val="both"/>
        <w:ind w:left="180" w:firstLine="1286"/>
        <w:spacing w:after="0" w:line="249" w:lineRule="auto"/>
        <w:tabs>
          <w:tab w:leader="none" w:pos="1971" w:val="left"/>
        </w:tabs>
        <w:numPr>
          <w:ilvl w:val="0"/>
          <w:numId w:val="615"/>
        </w:numPr>
        <w:rPr>
          <w:rFonts w:ascii="Arial" w:cs="Arial" w:eastAsia="Arial" w:hAnsi="Arial"/>
          <w:sz w:val="22"/>
          <w:szCs w:val="22"/>
          <w:color w:val="auto"/>
        </w:rPr>
      </w:pPr>
      <w:r>
        <w:rPr>
          <w:rFonts w:ascii="Arial" w:cs="Arial" w:eastAsia="Arial" w:hAnsi="Arial"/>
          <w:sz w:val="22"/>
          <w:szCs w:val="22"/>
          <w:b w:val="1"/>
          <w:bCs w:val="1"/>
          <w:color w:val="auto"/>
        </w:rPr>
        <w:t>Assignment of Sublicenses</w:t>
      </w:r>
      <w:r>
        <w:rPr>
          <w:rFonts w:ascii="Arial" w:cs="Arial" w:eastAsia="Arial" w:hAnsi="Arial"/>
          <w:sz w:val="22"/>
          <w:szCs w:val="22"/>
          <w:color w:val="auto"/>
        </w:rPr>
        <w:t>. Any sublicense granted by Amgen pursuant to Section 3.3 will automatically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unless Molecular Partners has explicitly approved survival of such sublicense in writing, in which case all rights under such sublicense shall be deemed to survive termination as long as such Sublicensee complies with its obligations thereunder, and provided that in no event will Molecular Partners be obligated to fulfill any of Amgen’s obligations under such sublicense.</w:t>
      </w:r>
    </w:p>
    <w:p>
      <w:pPr>
        <w:spacing w:after="0" w:line="186" w:lineRule="exact"/>
        <w:rPr>
          <w:rFonts w:ascii="Arial" w:cs="Arial" w:eastAsia="Arial" w:hAnsi="Arial"/>
          <w:sz w:val="22"/>
          <w:szCs w:val="22"/>
          <w:color w:val="auto"/>
        </w:rPr>
      </w:pPr>
    </w:p>
    <w:p>
      <w:pPr>
        <w:ind w:left="180" w:firstLine="1286"/>
        <w:spacing w:after="0" w:line="269" w:lineRule="auto"/>
        <w:tabs>
          <w:tab w:leader="none" w:pos="1972" w:val="left"/>
        </w:tabs>
        <w:numPr>
          <w:ilvl w:val="0"/>
          <w:numId w:val="615"/>
        </w:numPr>
        <w:rPr>
          <w:rFonts w:ascii="Arial" w:cs="Arial" w:eastAsia="Arial" w:hAnsi="Arial"/>
          <w:sz w:val="22"/>
          <w:szCs w:val="22"/>
          <w:color w:val="auto"/>
        </w:rPr>
      </w:pPr>
      <w:r>
        <w:rPr>
          <w:rFonts w:ascii="Arial" w:cs="Arial" w:eastAsia="Arial" w:hAnsi="Arial"/>
          <w:sz w:val="22"/>
          <w:szCs w:val="22"/>
          <w:b w:val="1"/>
          <w:bCs w:val="1"/>
          <w:color w:val="auto"/>
        </w:rPr>
        <w:t>Grant-Back Licenses</w:t>
      </w:r>
      <w:r>
        <w:rPr>
          <w:rFonts w:ascii="Arial" w:cs="Arial" w:eastAsia="Arial" w:hAnsi="Arial"/>
          <w:sz w:val="22"/>
          <w:szCs w:val="22"/>
          <w:color w:val="auto"/>
        </w:rPr>
        <w:t>. At Molecular Partner’s election, Amgen shall and hereby does grant to Molecular</w:t>
      </w:r>
      <w:r>
        <w:rPr>
          <w:rFonts w:ascii="Arial" w:cs="Arial" w:eastAsia="Arial" w:hAnsi="Arial"/>
          <w:sz w:val="22"/>
          <w:szCs w:val="22"/>
          <w:b w:val="1"/>
          <w:bCs w:val="1"/>
          <w:color w:val="auto"/>
        </w:rPr>
        <w:t xml:space="preserve"> </w:t>
      </w:r>
      <w:r>
        <w:rPr>
          <w:rFonts w:ascii="Arial" w:cs="Arial" w:eastAsia="Arial" w:hAnsi="Arial"/>
          <w:sz w:val="22"/>
          <w:szCs w:val="22"/>
          <w:color w:val="auto"/>
        </w:rPr>
        <w:t>Partners, effective upon such termination:</w:t>
      </w:r>
    </w:p>
    <w:p>
      <w:pPr>
        <w:spacing w:after="0" w:line="167" w:lineRule="exact"/>
        <w:rPr>
          <w:rFonts w:ascii="Arial" w:cs="Arial" w:eastAsia="Arial" w:hAnsi="Arial"/>
          <w:sz w:val="22"/>
          <w:szCs w:val="22"/>
          <w:color w:val="auto"/>
        </w:rPr>
      </w:pPr>
    </w:p>
    <w:p>
      <w:pPr>
        <w:jc w:val="both"/>
        <w:ind w:firstLine="1952"/>
        <w:spacing w:after="0" w:line="253" w:lineRule="auto"/>
        <w:tabs>
          <w:tab w:leader="none" w:pos="2367" w:val="left"/>
        </w:tabs>
        <w:numPr>
          <w:ilvl w:val="1"/>
          <w:numId w:val="615"/>
        </w:numPr>
        <w:rPr>
          <w:rFonts w:ascii="Arial" w:cs="Arial" w:eastAsia="Arial" w:hAnsi="Arial"/>
          <w:sz w:val="22"/>
          <w:szCs w:val="22"/>
          <w:color w:val="auto"/>
        </w:rPr>
      </w:pPr>
      <w:r>
        <w:rPr>
          <w:rFonts w:ascii="Arial" w:cs="Arial" w:eastAsia="Arial" w:hAnsi="Arial"/>
          <w:sz w:val="22"/>
          <w:szCs w:val="22"/>
          <w:color w:val="auto"/>
        </w:rPr>
        <w:t>an exclusive, worldwide license, with the right to grant multiple tiers of sublicenses, under the Arising Amgen Patents [***] for the [***] the Licensed Bispecific (as it existed on the date of such termination), and would be infringed by Molecular Partners’ [***], absent a license,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2" w:right="339" w:bottom="1440" w:gutter="0" w:footer="0" w:header="0"/>
        </w:sectPr>
      </w:pPr>
    </w:p>
    <w:bookmarkStart w:id="649" w:name="page650"/>
    <w:bookmarkEnd w:id="649"/>
    <w:p>
      <w:pPr>
        <w:ind w:firstLine="1952"/>
        <w:spacing w:after="0" w:line="263" w:lineRule="auto"/>
        <w:tabs>
          <w:tab w:leader="none" w:pos="2508" w:val="left"/>
        </w:tabs>
        <w:numPr>
          <w:ilvl w:val="0"/>
          <w:numId w:val="616"/>
        </w:numPr>
        <w:rPr>
          <w:rFonts w:ascii="Arial" w:cs="Arial" w:eastAsia="Arial" w:hAnsi="Arial"/>
          <w:sz w:val="22"/>
          <w:szCs w:val="22"/>
          <w:color w:val="auto"/>
        </w:rPr>
      </w:pPr>
      <w:r>
        <w:rPr>
          <w:rFonts w:ascii="Arial" w:cs="Arial" w:eastAsia="Arial" w:hAnsi="Arial"/>
          <w:sz w:val="22"/>
          <w:szCs w:val="22"/>
          <w:color w:val="auto"/>
        </w:rPr>
        <w:t>a non-exclusive, worldwide license, with the right to grant multiple tiers of sublicenses, under the Data from [***] the Licensed Bispecific (as it existed on the date of such termination);</w:t>
      </w:r>
    </w:p>
    <w:p>
      <w:pPr>
        <w:spacing w:after="0" w:line="174" w:lineRule="exact"/>
        <w:rPr>
          <w:rFonts w:ascii="Arial" w:cs="Arial" w:eastAsia="Arial" w:hAnsi="Arial"/>
          <w:sz w:val="22"/>
          <w:szCs w:val="22"/>
          <w:color w:val="auto"/>
        </w:rPr>
      </w:pPr>
    </w:p>
    <w:p>
      <w:pPr>
        <w:ind w:firstLine="1952"/>
        <w:spacing w:after="0" w:line="343" w:lineRule="auto"/>
        <w:tabs>
          <w:tab w:leader="none" w:pos="2553" w:val="left"/>
        </w:tabs>
        <w:numPr>
          <w:ilvl w:val="0"/>
          <w:numId w:val="616"/>
        </w:numPr>
        <w:rPr>
          <w:rFonts w:ascii="Arial" w:cs="Arial" w:eastAsia="Arial" w:hAnsi="Arial"/>
          <w:sz w:val="19"/>
          <w:szCs w:val="19"/>
          <w:color w:val="auto"/>
        </w:rPr>
      </w:pPr>
      <w:r>
        <w:rPr>
          <w:rFonts w:ascii="Arial" w:cs="Arial" w:eastAsia="Arial" w:hAnsi="Arial"/>
          <w:sz w:val="19"/>
          <w:szCs w:val="19"/>
          <w:color w:val="auto"/>
        </w:rPr>
        <w:t>a non-exclusive, worldwide license, with the right to grant multiple tiers of sublicenses, under the Amgen Know-How [***]for the manufacture of the Licensed Bispecific (as it existed on the date of such termination[***]; and</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 however, that any costs payable by Amgen to a Third Party licensor (whether as royalty or milestone payments or any</w:t>
      </w:r>
      <w:r>
        <w:rPr>
          <w:rFonts w:ascii="Arial" w:cs="Arial" w:eastAsia="Arial" w:hAnsi="Arial"/>
          <w:sz w:val="19"/>
          <w:szCs w:val="19"/>
          <w:i w:val="1"/>
          <w:iCs w:val="1"/>
          <w:color w:val="auto"/>
        </w:rPr>
        <w:t xml:space="preserve"> </w:t>
      </w:r>
      <w:r>
        <w:rPr>
          <w:rFonts w:ascii="Arial" w:cs="Arial" w:eastAsia="Arial" w:hAnsi="Arial"/>
          <w:sz w:val="19"/>
          <w:szCs w:val="19"/>
          <w:color w:val="auto"/>
        </w:rPr>
        <w:t>other costs) as a result of the Exploitation of Licensed Bispecifics by Molecular Partners, its Affiliates, or sublicensees shall be borne by Molecular Partners and Molecular Partners shall be responsible for any other Third Party costs incurred in association with such license grant. [***]. The Parties shall negotiate in good faith a license agreement on commercially reasonable terms within [***] of the effective date of termination. The terms of such license agreement shall take into account the comparable market terms from other transactions [***] for an exclusive license agreement. If the Parties are unable to agree on the terms of such royalty-bearing license within such [***] period, the Parties shall resolve the matter through baseball arbitration pursuant to Section 15.11. Irrespective of whether the Licensed Bispecific has achieved Proof of Concept, if this Agreement is terminated by Amgen pursuant to Section 14.3 following a final determination pursuant to Article 15 that Molecular Partners materially breached its obligations under this Agreement and Molecular Partners elects to take a license under this Section 14.5(c), then Molecular Partners shall pay Amgen a [***] royalty on Net Sales of Licensed Bispecific sold by or on behalf of Molecular Partners (which royalty will be in addition to any applicable royalty amount negotiated by the Parties pursuant to this Section 14.5(c)). The foregoing remedy shall not be deemed to be the exclusive remedy for breach of this Agreement by Molecular Partners but shall be in addition to any and all other remedies available at law or in equity.</w:t>
      </w:r>
    </w:p>
    <w:p>
      <w:pPr>
        <w:spacing w:after="0" w:line="156" w:lineRule="exact"/>
        <w:rPr>
          <w:sz w:val="20"/>
          <w:szCs w:val="20"/>
          <w:color w:val="auto"/>
        </w:rPr>
      </w:pPr>
    </w:p>
    <w:p>
      <w:pPr>
        <w:jc w:val="both"/>
        <w:ind w:left="180" w:firstLine="1286"/>
        <w:spacing w:after="0" w:line="287" w:lineRule="auto"/>
        <w:tabs>
          <w:tab w:leader="none" w:pos="2052" w:val="left"/>
        </w:tabs>
        <w:numPr>
          <w:ilvl w:val="0"/>
          <w:numId w:val="617"/>
        </w:numPr>
        <w:rPr>
          <w:rFonts w:ascii="Arial" w:cs="Arial" w:eastAsia="Arial" w:hAnsi="Arial"/>
          <w:sz w:val="19"/>
          <w:szCs w:val="19"/>
          <w:color w:val="auto"/>
        </w:rPr>
      </w:pPr>
      <w:r>
        <w:rPr>
          <w:rFonts w:ascii="Arial" w:cs="Arial" w:eastAsia="Arial" w:hAnsi="Arial"/>
          <w:sz w:val="19"/>
          <w:szCs w:val="19"/>
          <w:b w:val="1"/>
          <w:bCs w:val="1"/>
          <w:color w:val="auto"/>
        </w:rPr>
        <w:t>Ongoing Clinical Trials</w:t>
      </w:r>
      <w:r>
        <w:rPr>
          <w:rFonts w:ascii="Arial" w:cs="Arial" w:eastAsia="Arial" w:hAnsi="Arial"/>
          <w:sz w:val="19"/>
          <w:szCs w:val="19"/>
          <w:color w:val="auto"/>
        </w:rPr>
        <w:t>. Unless this Agreement was terminated by Amgen for good faith medical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scientific safety reasons with respect to the Licensed Bispecific, Amgen shall endeavor in good faith to advance to a reasonable conclusion or transition point any Phase 1 Clinical Trials or Phase 2 Clinical Trials ongoing as of the applicable notice of termination. After the applicable notice of termination but prior to the effective date of termination, the Parties shall each be responsible for Development Costs of such Clinical Trial as is set forth in Section 4.3. After the effective date of termination, Molecular Partners shall be responsible for all Development Costs incurred by Amgen to advance to a reasonable conclusion or transition point any ongoing Phase 1 Clinical Trials or Phase 2 Clinical Trials. Amgen shall otherwise responsibly wind-down all Clinical Trials ongoing as of the applicable notice of termination, in accordance with accepted pharmaceutical industry norms and ethical practices and all Applicable Laws; </w:t>
      </w:r>
      <w:r>
        <w:rPr>
          <w:rFonts w:ascii="Arial" w:cs="Arial" w:eastAsia="Arial" w:hAnsi="Arial"/>
          <w:sz w:val="19"/>
          <w:szCs w:val="19"/>
          <w:i w:val="1"/>
          <w:iCs w:val="1"/>
          <w:color w:val="auto"/>
        </w:rPr>
        <w:t>provided, however</w:t>
      </w:r>
      <w:r>
        <w:rPr>
          <w:rFonts w:ascii="Arial" w:cs="Arial" w:eastAsia="Arial" w:hAnsi="Arial"/>
          <w:sz w:val="19"/>
          <w:szCs w:val="19"/>
          <w:color w:val="auto"/>
        </w:rPr>
        <w:t>, that, upon reasonable request of Molecular Partners, Amgen shall reasonably consider transferring such Phase 1 Clinical Trials and Phase 2 Clinical Trials to Molecular Partners, including assignment of Third Party contracts and supply of Licensed Bispecific and Amgen Products, on terms to be agreed by the Parties, with the objective of minimizing disruption to the Development and Commercialization of the Licensed Bispecific.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650" w:name="page651"/>
    <w:bookmarkEnd w:id="650"/>
    <w:p>
      <w:pPr>
        <w:jc w:val="both"/>
        <w:ind w:firstLine="1286"/>
        <w:spacing w:after="0" w:line="287" w:lineRule="auto"/>
        <w:tabs>
          <w:tab w:leader="none" w:pos="1792" w:val="left"/>
        </w:tabs>
        <w:numPr>
          <w:ilvl w:val="0"/>
          <w:numId w:val="618"/>
        </w:numPr>
        <w:rPr>
          <w:rFonts w:ascii="Arial" w:cs="Arial" w:eastAsia="Arial" w:hAnsi="Arial"/>
          <w:sz w:val="19"/>
          <w:szCs w:val="19"/>
          <w:color w:val="auto"/>
        </w:rPr>
      </w:pPr>
      <w:r>
        <w:rPr>
          <w:rFonts w:ascii="Arial" w:cs="Arial" w:eastAsia="Arial" w:hAnsi="Arial"/>
          <w:sz w:val="19"/>
          <w:szCs w:val="19"/>
          <w:b w:val="1"/>
          <w:bCs w:val="1"/>
          <w:color w:val="auto"/>
        </w:rPr>
        <w:t>Transition</w:t>
      </w:r>
      <w:r>
        <w:rPr>
          <w:rFonts w:ascii="Arial" w:cs="Arial" w:eastAsia="Arial" w:hAnsi="Arial"/>
          <w:sz w:val="19"/>
          <w:szCs w:val="19"/>
          <w:color w:val="auto"/>
        </w:rPr>
        <w:t>. Amgen shall reasonably cooperate with Molecular Partners and its designee(s) to facilitate an</w:t>
      </w:r>
      <w:r>
        <w:rPr>
          <w:rFonts w:ascii="Arial" w:cs="Arial" w:eastAsia="Arial" w:hAnsi="Arial"/>
          <w:sz w:val="19"/>
          <w:szCs w:val="19"/>
          <w:b w:val="1"/>
          <w:bCs w:val="1"/>
          <w:color w:val="auto"/>
        </w:rPr>
        <w:t xml:space="preserve"> </w:t>
      </w:r>
      <w:r>
        <w:rPr>
          <w:rFonts w:ascii="Arial" w:cs="Arial" w:eastAsia="Arial" w:hAnsi="Arial"/>
          <w:sz w:val="19"/>
          <w:szCs w:val="19"/>
          <w:color w:val="auto"/>
        </w:rPr>
        <w:t>orderly and prompt transition of the Exploitation of the Licensed Bispecific to Molecular Partners and its designees in accordance with a transition plan to be reasonably agreed by the Parties, such plan not to exceed a period of [***] following the effective date of termination and for which Molecular Partners will reimburse Amgen for its reasonable internal costs (at the FTE Rate) and external costs incurred in connection with completing such transfer. The Parties shall include in such transition plan (i) the transfer to Molecular Partners or its designee the Amgen Know-How to which Molecular Partners is granted a license under Section 14.5(c), (ii) an obligation of Amgen to assign to Molecular Partners all then-existing Third Party agreements that relate solely to the Licensed Bispecific that specifically permit the assignment by Amgen to Molecular Partners without payment (or if such assignment is not permitted by such Agreement, to reasonably advise Molecular Partners with respect to their negotiation for the continuation of such services from such entity), and (iii) the transfer to Molecular Partners of prosecution, maintenance, and enforcement rights with respect to Joint Patents claiming Combination Inventions (for which Amgen will retain the consultation rights and rights of review and comment set forth in Section 10.2(b) and 10.3(b)(iii)).</w:t>
      </w:r>
    </w:p>
    <w:p>
      <w:pPr>
        <w:spacing w:after="0" w:line="158" w:lineRule="exact"/>
        <w:rPr>
          <w:rFonts w:ascii="Arial" w:cs="Arial" w:eastAsia="Arial" w:hAnsi="Arial"/>
          <w:sz w:val="19"/>
          <w:szCs w:val="19"/>
          <w:color w:val="auto"/>
        </w:rPr>
      </w:pPr>
    </w:p>
    <w:p>
      <w:pPr>
        <w:jc w:val="both"/>
        <w:ind w:firstLine="1286"/>
        <w:spacing w:after="0" w:line="247" w:lineRule="auto"/>
        <w:tabs>
          <w:tab w:leader="none" w:pos="1795" w:val="left"/>
        </w:tabs>
        <w:numPr>
          <w:ilvl w:val="0"/>
          <w:numId w:val="618"/>
        </w:numPr>
        <w:rPr>
          <w:rFonts w:ascii="Arial" w:cs="Arial" w:eastAsia="Arial" w:hAnsi="Arial"/>
          <w:sz w:val="22"/>
          <w:szCs w:val="22"/>
          <w:color w:val="auto"/>
        </w:rPr>
      </w:pPr>
      <w:r>
        <w:rPr>
          <w:rFonts w:ascii="Arial" w:cs="Arial" w:eastAsia="Arial" w:hAnsi="Arial"/>
          <w:sz w:val="22"/>
          <w:szCs w:val="22"/>
          <w:b w:val="1"/>
          <w:bCs w:val="1"/>
          <w:color w:val="auto"/>
        </w:rPr>
        <w:t>Marks</w:t>
      </w:r>
      <w:r>
        <w:rPr>
          <w:rFonts w:ascii="Arial" w:cs="Arial" w:eastAsia="Arial" w:hAnsi="Arial"/>
          <w:sz w:val="22"/>
          <w:szCs w:val="22"/>
          <w:color w:val="auto"/>
        </w:rPr>
        <w:t>. Upon Molecular Partners’ request, Amgen shall and hereby does grant to Molecular Partners an</w:t>
      </w:r>
      <w:r>
        <w:rPr>
          <w:rFonts w:ascii="Arial" w:cs="Arial" w:eastAsia="Arial" w:hAnsi="Arial"/>
          <w:sz w:val="22"/>
          <w:szCs w:val="22"/>
          <w:b w:val="1"/>
          <w:bCs w:val="1"/>
          <w:color w:val="auto"/>
        </w:rPr>
        <w:t xml:space="preserve"> </w:t>
      </w:r>
      <w:r>
        <w:rPr>
          <w:rFonts w:ascii="Arial" w:cs="Arial" w:eastAsia="Arial" w:hAnsi="Arial"/>
          <w:sz w:val="22"/>
          <w:szCs w:val="22"/>
          <w:color w:val="auto"/>
        </w:rPr>
        <w:t>exclusive license to the Marks used or to be used solely with the Licensed Bispecific (excluding any such Marks that relate to Amgen Products or Combination Therapies or that include, in whole or part, any corporate name or logo of Amgen or its Affiliate or Sublicensee), including any goodwill associated therewith. Molecular Partners shall record such assignment in the Territory with the appropriate Governmental Authority and shall bear all costs associated with such assignment and recordation. Amgen shall cooperate in facilitating such assignment and recordation by timely executing all necessary documents provided to it by Molecular Partners.</w:t>
      </w:r>
    </w:p>
    <w:p>
      <w:pPr>
        <w:spacing w:after="0" w:line="189" w:lineRule="exact"/>
        <w:rPr>
          <w:rFonts w:ascii="Arial" w:cs="Arial" w:eastAsia="Arial" w:hAnsi="Arial"/>
          <w:sz w:val="22"/>
          <w:szCs w:val="22"/>
          <w:color w:val="auto"/>
        </w:rPr>
      </w:pPr>
    </w:p>
    <w:p>
      <w:pPr>
        <w:jc w:val="both"/>
        <w:ind w:firstLine="1286"/>
        <w:spacing w:after="0" w:line="289" w:lineRule="auto"/>
        <w:tabs>
          <w:tab w:leader="none" w:pos="1899" w:val="left"/>
        </w:tabs>
        <w:numPr>
          <w:ilvl w:val="0"/>
          <w:numId w:val="618"/>
        </w:numPr>
        <w:rPr>
          <w:rFonts w:ascii="Arial" w:cs="Arial" w:eastAsia="Arial" w:hAnsi="Arial"/>
          <w:sz w:val="19"/>
          <w:szCs w:val="19"/>
          <w:color w:val="auto"/>
        </w:rPr>
      </w:pPr>
      <w:r>
        <w:rPr>
          <w:rFonts w:ascii="Arial" w:cs="Arial" w:eastAsia="Arial" w:hAnsi="Arial"/>
          <w:sz w:val="19"/>
          <w:szCs w:val="19"/>
          <w:b w:val="1"/>
          <w:bCs w:val="1"/>
          <w:color w:val="auto"/>
        </w:rPr>
        <w:t>Regulatory Materials</w:t>
      </w:r>
      <w:r>
        <w:rPr>
          <w:rFonts w:ascii="Arial" w:cs="Arial" w:eastAsia="Arial" w:hAnsi="Arial"/>
          <w:sz w:val="19"/>
          <w:szCs w:val="19"/>
          <w:color w:val="auto"/>
        </w:rPr>
        <w:t>. Upon Molecular Partners’ request, Amgen shall and hereby does transfer and</w:t>
      </w:r>
      <w:r>
        <w:rPr>
          <w:rFonts w:ascii="Arial" w:cs="Arial" w:eastAsia="Arial" w:hAnsi="Arial"/>
          <w:sz w:val="19"/>
          <w:szCs w:val="19"/>
          <w:b w:val="1"/>
          <w:bCs w:val="1"/>
          <w:color w:val="auto"/>
        </w:rPr>
        <w:t xml:space="preserve"> </w:t>
      </w:r>
      <w:r>
        <w:rPr>
          <w:rFonts w:ascii="Arial" w:cs="Arial" w:eastAsia="Arial" w:hAnsi="Arial"/>
          <w:sz w:val="19"/>
          <w:szCs w:val="19"/>
          <w:color w:val="auto"/>
        </w:rPr>
        <w:t>assign to Molecular Partners, to the extent it is legally permitted to do so, (i) any material Regulatory Materials that are solely and exclusively related to the Licensed Bispecific and (ii) any other Regulatory Approvals that are solely and exclusively related to Licensed Bispecific, in each case, owned by Amgen (or any of its Affiliates) as of the effective date of termination and necessary to further Exploit the Licensed Bispecific. All expenses in relation to such transfer and assignment will be borne by Molecular Partners. Amgen hereby consents and grants to Molecular Partners the right to reference (without any further action required on the part of Amgen, whose authorization to file this consent with any Regulatory Authority is hereby granted) to (1) any Regulatory Materials and other Regulatory Approvals Amgen is not legally permitted to transfer and assign to Molecular Partners or for which Molecular Partners otherwise fails to obtain assignment and (2) any material Regulatory Materials related to the Licensed Bispecific that are not solely and exclusively related to the Licensed Bispecific.</w:t>
      </w:r>
    </w:p>
    <w:p>
      <w:pPr>
        <w:spacing w:after="0" w:line="150" w:lineRule="exact"/>
        <w:rPr>
          <w:rFonts w:ascii="Arial" w:cs="Arial" w:eastAsia="Arial" w:hAnsi="Arial"/>
          <w:sz w:val="19"/>
          <w:szCs w:val="19"/>
          <w:color w:val="auto"/>
        </w:rPr>
      </w:pPr>
    </w:p>
    <w:p>
      <w:pPr>
        <w:ind w:firstLine="1286"/>
        <w:spacing w:after="0" w:line="269" w:lineRule="auto"/>
        <w:tabs>
          <w:tab w:leader="none" w:pos="1872" w:val="left"/>
        </w:tabs>
        <w:numPr>
          <w:ilvl w:val="0"/>
          <w:numId w:val="618"/>
        </w:numPr>
        <w:rPr>
          <w:rFonts w:ascii="Arial" w:cs="Arial" w:eastAsia="Arial" w:hAnsi="Arial"/>
          <w:sz w:val="22"/>
          <w:szCs w:val="22"/>
          <w:color w:val="auto"/>
        </w:rPr>
      </w:pPr>
      <w:r>
        <w:rPr>
          <w:rFonts w:ascii="Arial" w:cs="Arial" w:eastAsia="Arial" w:hAnsi="Arial"/>
          <w:sz w:val="22"/>
          <w:szCs w:val="22"/>
          <w:b w:val="1"/>
          <w:bCs w:val="1"/>
          <w:color w:val="auto"/>
        </w:rPr>
        <w:t>Remaining Inventories</w:t>
      </w:r>
      <w:r>
        <w:rPr>
          <w:rFonts w:ascii="Arial" w:cs="Arial" w:eastAsia="Arial" w:hAnsi="Arial"/>
          <w:sz w:val="22"/>
          <w:szCs w:val="22"/>
          <w:color w:val="auto"/>
        </w:rPr>
        <w:t>. Molecular Partners may purchase from Amgen any or all of the inventory of</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Bispecific held by Amgen as of the effective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060"/>
          </w:cols>
          <w:pgMar w:left="500" w:top="1422" w:right="339" w:bottom="1440" w:gutter="0" w:footer="0" w:header="0"/>
        </w:sectPr>
      </w:pPr>
    </w:p>
    <w:bookmarkStart w:id="651" w:name="page652"/>
    <w:bookmarkEnd w:id="651"/>
    <w:p>
      <w:pPr>
        <w:ind w:left="180"/>
        <w:spacing w:after="0" w:line="263" w:lineRule="auto"/>
        <w:rPr>
          <w:sz w:val="20"/>
          <w:szCs w:val="20"/>
          <w:color w:val="auto"/>
        </w:rPr>
      </w:pPr>
      <w:r>
        <w:rPr>
          <w:rFonts w:ascii="Arial" w:cs="Arial" w:eastAsia="Arial" w:hAnsi="Arial"/>
          <w:sz w:val="22"/>
          <w:szCs w:val="22"/>
          <w:color w:val="auto"/>
        </w:rPr>
        <w:t>termination at a price equal to [***]. Molecular Partners shall notify Amgen within [***] after the effective date of termination whether Molecular Partners elects to exercise such right.</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14.6 Other Remedies</w:t>
      </w:r>
      <w:r>
        <w:rPr>
          <w:rFonts w:ascii="Arial" w:cs="Arial" w:eastAsia="Arial" w:hAnsi="Arial"/>
          <w:sz w:val="22"/>
          <w:szCs w:val="22"/>
          <w:color w:val="auto"/>
        </w:rPr>
        <w:t>. Termination or expiration of this Agreement for any reason shall not release either Party from</w:t>
      </w:r>
      <w:r>
        <w:rPr>
          <w:rFonts w:ascii="Arial" w:cs="Arial" w:eastAsia="Arial" w:hAnsi="Arial"/>
          <w:sz w:val="22"/>
          <w:szCs w:val="22"/>
          <w:b w:val="1"/>
          <w:bCs w:val="1"/>
          <w:color w:val="auto"/>
        </w:rPr>
        <w:t xml:space="preserve"> </w:t>
      </w:r>
      <w:r>
        <w:rPr>
          <w:rFonts w:ascii="Arial" w:cs="Arial" w:eastAsia="Arial" w:hAnsi="Arial"/>
          <w:sz w:val="22"/>
          <w:szCs w:val="22"/>
          <w:color w:val="auto"/>
        </w:rPr>
        <w:t>any liability or obligation that already has accrued prior to such expiration or termination, nor affect the survival of any provision hereof to the extent it is expressly stated to survive such termination. Termination or expiration of this Agreement for any reason shall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14.7 Rights in Bankruptcy</w:t>
      </w:r>
      <w:r>
        <w:rPr>
          <w:rFonts w:ascii="Arial" w:cs="Arial" w:eastAsia="Arial" w:hAnsi="Arial"/>
          <w:sz w:val="19"/>
          <w:szCs w:val="19"/>
          <w:color w:val="auto"/>
        </w:rPr>
        <w:t>. All rights and licenses granted under or pursuant to this Agreement by Molecular Partners</w:t>
      </w:r>
      <w:r>
        <w:rPr>
          <w:rFonts w:ascii="Arial" w:cs="Arial" w:eastAsia="Arial" w:hAnsi="Arial"/>
          <w:sz w:val="19"/>
          <w:szCs w:val="19"/>
          <w:b w:val="1"/>
          <w:bCs w:val="1"/>
          <w:color w:val="auto"/>
        </w:rPr>
        <w:t xml:space="preserve"> </w:t>
      </w:r>
      <w:r>
        <w:rPr>
          <w:rFonts w:ascii="Arial" w:cs="Arial" w:eastAsia="Arial" w:hAnsi="Arial"/>
          <w:sz w:val="19"/>
          <w:szCs w:val="19"/>
          <w:color w:val="auto"/>
        </w:rPr>
        <w:t>and Amgen are, and shall otherwise be deemed to be, for purposes of Section 365(n) of the United States Bankruptcy Code, licenses of right to “intellectual property” as defined under Section 101(35A) of the United States Bankruptcy Code. Each Party, as licensee of certain rights under this Agreement, shall retain and may fully exercise all of its rights and elections under the United States Bankruptcy Code. The Parties further agree that, in the event of the commencement of a bankruptcy proceeding by or against a Party (such Party, the “</w:t>
      </w:r>
      <w:r>
        <w:rPr>
          <w:rFonts w:ascii="Arial" w:cs="Arial" w:eastAsia="Arial" w:hAnsi="Arial"/>
          <w:sz w:val="19"/>
          <w:szCs w:val="19"/>
          <w:b w:val="1"/>
          <w:bCs w:val="1"/>
          <w:color w:val="auto"/>
        </w:rPr>
        <w:t>Bankrupt Party</w:t>
      </w:r>
      <w:r>
        <w:rPr>
          <w:rFonts w:ascii="Arial" w:cs="Arial" w:eastAsia="Arial" w:hAnsi="Arial"/>
          <w:sz w:val="19"/>
          <w:szCs w:val="19"/>
          <w:color w:val="auto"/>
        </w:rPr>
        <w:t>”) under the United States Bankruptcy Code, (a) the other Party shall be entitled to a complete duplicate of (or complete access to, as appropriate) any intellectual property licensed to such other Party and all embodiments of such intellectual property, which, if not already in such other Party’s possession, shall be promptly delivered to it (i) upon any such commencement of a bankruptcy proceeding upon such other Party’s written request therefor, unless the Bankrupt Party elects to continue to perform all of its obligations under this Agreement or (ii) if not delivered under clause (i), following the rejection of this Agreement by the Bankrupt Party upon written request therefor by the other Party and</w:t>
      </w:r>
    </w:p>
    <w:p>
      <w:pPr>
        <w:spacing w:after="0" w:line="1" w:lineRule="exact"/>
        <w:rPr>
          <w:sz w:val="20"/>
          <w:szCs w:val="20"/>
          <w:color w:val="auto"/>
        </w:rPr>
      </w:pPr>
    </w:p>
    <w:p>
      <w:pPr>
        <w:jc w:val="both"/>
        <w:ind w:firstLine="8"/>
        <w:spacing w:after="0" w:line="290" w:lineRule="auto"/>
        <w:tabs>
          <w:tab w:leader="none" w:pos="313" w:val="left"/>
        </w:tabs>
        <w:numPr>
          <w:ilvl w:val="0"/>
          <w:numId w:val="619"/>
        </w:numPr>
        <w:rPr>
          <w:rFonts w:ascii="Arial" w:cs="Arial" w:eastAsia="Arial" w:hAnsi="Arial"/>
          <w:sz w:val="19"/>
          <w:szCs w:val="19"/>
          <w:color w:val="auto"/>
        </w:rPr>
      </w:pPr>
      <w:r>
        <w:rPr>
          <w:rFonts w:ascii="Arial" w:cs="Arial" w:eastAsia="Arial" w:hAnsi="Arial"/>
          <w:sz w:val="19"/>
          <w:szCs w:val="19"/>
          <w:color w:val="auto"/>
        </w:rPr>
        <w:t>the Bankrupt Party shall not interfere with the other Party’s rights to intellectual property and all embodiments of intellectual property, and shall assist and not interfere with the other Party in obtaining intellectual property and all embodiments of intellectual property from another entity. The “embodiments” of intellectual property includes all tangible, intangible, electronic or other embodiments of rights and licenses hereunder, including all compounds and products embodying intellectual property, Products, filings with Regulatory Authorities and related rights and Molecular Partners Know-How in the case that Molecular Partners is the Bankrupt Party and Amgen Know-How in the case Amgen is the Bankrupt Party.</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14.8 Survival</w:t>
      </w:r>
      <w:r>
        <w:rPr>
          <w:rFonts w:ascii="Arial" w:cs="Arial" w:eastAsia="Arial" w:hAnsi="Arial"/>
          <w:sz w:val="19"/>
          <w:szCs w:val="19"/>
          <w:color w:val="auto"/>
        </w:rPr>
        <w:t>. In addition to the expiration consequences set forth in Section 14.1 or the termination consequences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Section 14.5, the following provisions shall survive termination or expiration of this Agreement: Article 1 (to the extent such definitions are used in surviving provisions), Article 12 (with respect to claims for which the cause of action arose prior to the effective date of termination), and Article 15, and Section 4.6, Section 7.3, Section 9.3 (with respect to a Milestone Event reached prior to such expiration or termination), Sections 9.4 and 9.5 (each with respect to sales of the Licensed Bispecific made before such expiration or termination), Sections 9.7 through 9.11 inclusive (with respect to periods with sales of Licensed Bispecific made before such expiration or termination), Sections 10.1(a)–(g) (inclusive), Sections 10.3, 10.5 and 10.6 (with respect to any enforcement, infringement or defense action initiated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652" w:name="page653"/>
    <w:bookmarkEnd w:id="652"/>
    <w:p>
      <w:pPr>
        <w:jc w:val="both"/>
        <w:spacing w:after="0" w:line="245" w:lineRule="auto"/>
        <w:rPr>
          <w:sz w:val="20"/>
          <w:szCs w:val="20"/>
          <w:color w:val="auto"/>
        </w:rPr>
      </w:pPr>
      <w:r>
        <w:rPr>
          <w:rFonts w:ascii="Arial" w:cs="Arial" w:eastAsia="Arial" w:hAnsi="Arial"/>
          <w:sz w:val="22"/>
          <w:szCs w:val="22"/>
          <w:color w:val="auto"/>
        </w:rPr>
        <w:t>good faith prior to such expiration or termination), Sections 13.1, 13.2, and 13.3 (each for the [***] period following the expiration or termination of this Agreement), this Section 14.8, Section 16.1, Section 16.4, Section 16.5, Section 16.12, Section 16.13, Section 16.15, and Section 16.17. For any surviving provisions requiring action or decision by the JSC or an Executive Officer, each Party shall appoint representatives to act as its JSC members or Executive Officer, as applicable. Termination or expiration of this Agreement are neither Party’s excusive remedy. Termination or expiration of this Agreement shall not affect rights or obligations of the Parties under this Agreement that have accrued prior to the date of termination or expiration of this Agreement, nor preclude either Party from pursuing all rights and remedies it may have hereunder or at law or in equity with respect to any breach of this Agreement, nor prejudice either Party’s right to obtain performance of any obligation. All provisions not surviving in accordance with the foregoing shall terminate upon expiration or termination of this Agreement and be of no further force and effect. All other rights and obligations will terminate upon termination or expiration of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15.1 Disputes</w:t>
      </w:r>
      <w:r>
        <w:rPr>
          <w:rFonts w:ascii="Arial" w:cs="Arial" w:eastAsia="Arial" w:hAnsi="Arial"/>
          <w:sz w:val="22"/>
          <w:szCs w:val="22"/>
          <w:color w:val="auto"/>
        </w:rPr>
        <w:t>. The Parties recognize that controversies or claims arising out of, relating to or in connection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this Agreement as to certain matters may from time to time arise that relate to either Party’s rights or obligations hereunder (collectively, “</w:t>
      </w:r>
      <w:r>
        <w:rPr>
          <w:rFonts w:ascii="Arial" w:cs="Arial" w:eastAsia="Arial" w:hAnsi="Arial"/>
          <w:sz w:val="22"/>
          <w:szCs w:val="22"/>
          <w:b w:val="1"/>
          <w:bCs w:val="1"/>
          <w:color w:val="auto"/>
        </w:rPr>
        <w:t>Disputes</w:t>
      </w:r>
      <w:r>
        <w:rPr>
          <w:rFonts w:ascii="Arial" w:cs="Arial" w:eastAsia="Arial" w:hAnsi="Arial"/>
          <w:sz w:val="22"/>
          <w:szCs w:val="22"/>
          <w:color w:val="auto"/>
        </w:rPr>
        <w:t>”). It is the objective of the Parties to establish procedures to facilitate the resolution of Disputes in an expedient manner by mutual cooperation and without resort to litigation. To accomplish this objective, except as provided otherwise in Sections 2.2(f) and 15.10, the Parties shall follow the procedures set forth in this Article 15 to resolve any Dispute.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15.2 Internal Resolution</w:t>
      </w:r>
      <w:r>
        <w:rPr>
          <w:rFonts w:ascii="Arial" w:cs="Arial" w:eastAsia="Arial" w:hAnsi="Arial"/>
          <w:sz w:val="19"/>
          <w:szCs w:val="19"/>
          <w:color w:val="auto"/>
        </w:rPr>
        <w:t>. With respect to all Disputes, including any alleged breach under this Agreement or any issue</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interpretation or application of this Agreement, if the Parties are unable to resolve such Dispute within [***] after such Dispute is first identified by either Party in writing to the other, the Parties shall refer such Dispute to the Executive Officers of the Parties for attempted resolution by good faith negotiations within [***] after such referral, including at least [***] in-person meeting of the Executive Officers within [***] after such notice is received. Any Disputes that are not resolved under this Section 15.2 within [***] after referral to the Executive Officers shall be finally resolved in accordance with Section 15.3. The time periods set forth in this Section 15.2 may be extended by mutual written agreement of the Parties.</w:t>
      </w:r>
    </w:p>
    <w:p>
      <w:pPr>
        <w:spacing w:after="0" w:line="14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15.3 Submission to Arbitration for Resolution</w:t>
      </w:r>
      <w:r>
        <w:rPr>
          <w:rFonts w:ascii="Arial" w:cs="Arial" w:eastAsia="Arial" w:hAnsi="Arial"/>
          <w:sz w:val="19"/>
          <w:szCs w:val="19"/>
          <w:color w:val="auto"/>
        </w:rPr>
        <w:t>. If the Executive Officers are not able to resolve such Dispute referred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them under Section 15.2, then such Dispute shall be resolved by final and binding arbitration conducted in accordance with the terms of this Section 15.3; </w:t>
      </w:r>
      <w:r>
        <w:rPr>
          <w:rFonts w:ascii="Arial" w:cs="Arial" w:eastAsia="Arial" w:hAnsi="Arial"/>
          <w:sz w:val="19"/>
          <w:szCs w:val="19"/>
          <w:i w:val="1"/>
          <w:iCs w:val="1"/>
          <w:color w:val="auto"/>
        </w:rPr>
        <w:t>provided</w:t>
      </w:r>
      <w:r>
        <w:rPr>
          <w:rFonts w:ascii="Arial" w:cs="Arial" w:eastAsia="Arial" w:hAnsi="Arial"/>
          <w:sz w:val="19"/>
          <w:szCs w:val="19"/>
          <w:color w:val="auto"/>
        </w:rPr>
        <w:t>, that Disputes arising from Section 14.5(c) will be resolved pursuant to Section 15.11. The arbitration will be submitted to the International Institute for Conflict Prevention and Resolution and conducted in accordance with that entity’s Administered Arbitration of International Disputes (the “</w:t>
      </w:r>
      <w:r>
        <w:rPr>
          <w:rFonts w:ascii="Arial" w:cs="Arial" w:eastAsia="Arial" w:hAnsi="Arial"/>
          <w:sz w:val="19"/>
          <w:szCs w:val="19"/>
          <w:b w:val="1"/>
          <w:bCs w:val="1"/>
          <w:color w:val="auto"/>
        </w:rPr>
        <w:t>Rules</w:t>
      </w:r>
      <w:r>
        <w:rPr>
          <w:rFonts w:ascii="Arial" w:cs="Arial" w:eastAsia="Arial" w:hAnsi="Arial"/>
          <w:sz w:val="19"/>
          <w:szCs w:val="19"/>
          <w:color w:val="auto"/>
        </w:rPr>
        <w:t>”) then in effect, except as modified herein. The arbitration hearing shall be held in New York. The arbitration will be conducted by a panel of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653" w:name="page654"/>
    <w:bookmarkEnd w:id="653"/>
    <w:p>
      <w:pPr>
        <w:jc w:val="both"/>
        <w:spacing w:after="0" w:line="259" w:lineRule="auto"/>
        <w:rPr>
          <w:sz w:val="20"/>
          <w:szCs w:val="20"/>
          <w:color w:val="auto"/>
        </w:rPr>
      </w:pPr>
      <w:r>
        <w:rPr>
          <w:rFonts w:ascii="Arial" w:cs="Arial" w:eastAsia="Arial" w:hAnsi="Arial"/>
          <w:sz w:val="21"/>
          <w:szCs w:val="21"/>
          <w:color w:val="auto"/>
        </w:rPr>
        <w:t xml:space="preserve">independent arbitrators with significant experience in the pharmaceutical industry. Each Party shall select [***] arbitrator and those [***] arbitrators shall select the [***] arbitrator within [***] of the [***] arbitrator’s appointment. The arbitration will be conducted in English. The Parties shall make reasonable efforts to conclude the arbitration as promptly as possible. The Parties shall require the arbitrators to render a written decision no later than [***]following the selection of the [***] arbitrator, including a basis for any damages awarded and a statement of how the damages were calculated;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time period may be extended by agreement of the Parties or upon petition by either Party to extend such time period to avoid manifest injustice. If the final award is rendered after this time period expires, the Parties agree this shall not be a basis to seek to vacate, set aside or resist enforcement of the award.</w:t>
      </w:r>
    </w:p>
    <w:p>
      <w:pPr>
        <w:spacing w:after="0" w:line="1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15.4 Governing Law</w:t>
      </w:r>
      <w:r>
        <w:rPr>
          <w:rFonts w:ascii="Arial" w:cs="Arial" w:eastAsia="Arial" w:hAnsi="Arial"/>
          <w:sz w:val="22"/>
          <w:szCs w:val="22"/>
          <w:color w:val="auto"/>
        </w:rPr>
        <w:t>. This Agreement shall be governed by and construed under the substantive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United States of America, excluding any conflicts or choice of law rule or principle that might otherwise refer construction or interpretation of this Agreement to the substantive law of another jurisdiction. The provisions of the United Nations Convention on the International Sale of Goods shall not apply to this Agreement.</w:t>
      </w:r>
    </w:p>
    <w:p>
      <w:pPr>
        <w:spacing w:after="0" w:line="18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Award</w:t>
      </w:r>
    </w:p>
    <w:p>
      <w:pPr>
        <w:spacing w:after="0" w:line="226" w:lineRule="exact"/>
        <w:rPr>
          <w:sz w:val="20"/>
          <w:szCs w:val="20"/>
          <w:color w:val="auto"/>
        </w:rPr>
      </w:pPr>
    </w:p>
    <w:p>
      <w:pPr>
        <w:jc w:val="both"/>
        <w:ind w:firstLine="8"/>
        <w:spacing w:after="0" w:line="289" w:lineRule="auto"/>
        <w:tabs>
          <w:tab w:leader="none" w:pos="111" w:val="left"/>
        </w:tabs>
        <w:numPr>
          <w:ilvl w:val="0"/>
          <w:numId w:val="620"/>
        </w:numPr>
        <w:rPr>
          <w:rFonts w:ascii="Arial" w:cs="Arial" w:eastAsia="Arial" w:hAnsi="Arial"/>
          <w:sz w:val="19"/>
          <w:szCs w:val="19"/>
          <w:color w:val="auto"/>
        </w:rPr>
      </w:pPr>
      <w:r>
        <w:rPr>
          <w:rFonts w:ascii="Arial" w:cs="Arial" w:eastAsia="Arial" w:hAnsi="Arial"/>
          <w:sz w:val="19"/>
          <w:szCs w:val="19"/>
          <w:color w:val="auto"/>
        </w:rPr>
        <w:t>Any award to be paid by one Party to the other Party as determined by the arbitrators as set forth above under Section 15.3 shall be promptly paid in Dollars; and any costs incident to enforcing the award shall, to the maximum extent permitted by law, be charged against the Party resisting enforcement. Each Party agrees to abide by the award rendered in any arbitration conducted pursuant to this Article 15, and agrees that judgment may be entered upon the final award in the United States District Court in New York (Southern District) or any other court of competent jurisdiction and that other courts may award full faith and credit to such judgment in order to enforce such award. The award shall include interest from the date of any damages incurred for breach of this Agreement, and from the date of the award until paid in full, at a rate fixed by the arbitrators. With respect to money damages, nothing contained herein shall be construed to permit the arbitrators or any court or any other forum to award any damages excluded by the limitations of liabilities set forth in Section 16.12.</w:t>
      </w:r>
    </w:p>
    <w:p>
      <w:pPr>
        <w:spacing w:after="0" w:line="15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9"/>
          <w:szCs w:val="19"/>
          <w:b w:val="1"/>
          <w:bCs w:val="1"/>
          <w:color w:val="auto"/>
        </w:rPr>
        <w:t>Costs</w:t>
      </w:r>
      <w:r>
        <w:rPr>
          <w:rFonts w:ascii="Arial" w:cs="Arial" w:eastAsia="Arial" w:hAnsi="Arial"/>
          <w:sz w:val="19"/>
          <w:szCs w:val="19"/>
          <w:color w:val="auto"/>
        </w:rPr>
        <w:t>. Each Party shall bear its own legal fees.</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15.7 Injunctive Relief</w:t>
      </w:r>
      <w:r>
        <w:rPr>
          <w:rFonts w:ascii="Arial" w:cs="Arial" w:eastAsia="Arial" w:hAnsi="Arial"/>
          <w:sz w:val="19"/>
          <w:szCs w:val="19"/>
          <w:color w:val="auto"/>
        </w:rPr>
        <w:t>. Nothing in this Article 15 precludes either Party from seeking interim equitable relief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interim or provisional relief from a court of competent jurisdiction, including a temporary restraining order or preliminary injunction, concerning a Dispute either prior to or during any arbitration if necessary to protect the interests of such Party or to preserve the status quo pending the arbitration proceeding. For the avoidance of doubt, nothing in this Section 15.7 limits a breaching Party’s opportunity to cure a material breach as permitted in accordance with Section 14.3.</w:t>
      </w:r>
    </w:p>
    <w:p>
      <w:pPr>
        <w:spacing w:after="0" w:line="14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15.8 Confidentiality</w:t>
      </w:r>
      <w:r>
        <w:rPr>
          <w:rFonts w:ascii="Arial" w:cs="Arial" w:eastAsia="Arial" w:hAnsi="Arial"/>
          <w:sz w:val="19"/>
          <w:szCs w:val="19"/>
          <w:color w:val="auto"/>
        </w:rPr>
        <w:t>. The arbitration proceeding shall be confidential and the arbitrators shall issue appropriate</w:t>
      </w:r>
      <w:r>
        <w:rPr>
          <w:rFonts w:ascii="Arial" w:cs="Arial" w:eastAsia="Arial" w:hAnsi="Arial"/>
          <w:sz w:val="19"/>
          <w:szCs w:val="19"/>
          <w:b w:val="1"/>
          <w:bCs w:val="1"/>
          <w:color w:val="auto"/>
        </w:rPr>
        <w:t xml:space="preserve"> </w:t>
      </w:r>
      <w:r>
        <w:rPr>
          <w:rFonts w:ascii="Arial" w:cs="Arial" w:eastAsia="Arial" w:hAnsi="Arial"/>
          <w:sz w:val="19"/>
          <w:szCs w:val="19"/>
          <w:color w:val="auto"/>
        </w:rPr>
        <w:t>protective orders to safeguard each Party’s Confidential Information. Except as required by law, no Party shall make (or instruct the arbitrators to make) any public announcement with respect to the proceedings or decision of the arbitrators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8" w:right="339" w:bottom="1440" w:gutter="0" w:footer="0" w:header="0"/>
        </w:sectPr>
      </w:pPr>
    </w:p>
    <w:bookmarkStart w:id="654" w:name="page655"/>
    <w:bookmarkEnd w:id="654"/>
    <w:p>
      <w:pPr>
        <w:jc w:val="both"/>
        <w:spacing w:after="0" w:line="271" w:lineRule="auto"/>
        <w:rPr>
          <w:sz w:val="20"/>
          <w:szCs w:val="20"/>
          <w:color w:val="auto"/>
        </w:rPr>
      </w:pPr>
      <w:r>
        <w:rPr>
          <w:rFonts w:ascii="Arial" w:cs="Arial" w:eastAsia="Arial" w:hAnsi="Arial"/>
          <w:sz w:val="21"/>
          <w:szCs w:val="21"/>
          <w:color w:val="auto"/>
        </w:rPr>
        <w:t>prior written consent of the other Party. The existence of any Dispute submitted to arbitration, and the award, shall be kept in confidence by the Parties and the arbitrator, except as required in connection with the protection or pursuit of a legal right, including the enforcement or challenge of such award or as otherwise required by Applicable Law.</w:t>
      </w:r>
    </w:p>
    <w:p>
      <w:pPr>
        <w:spacing w:after="0" w:line="1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15.9 Jurisdiction</w:t>
      </w:r>
      <w:r>
        <w:rPr>
          <w:rFonts w:ascii="Arial" w:cs="Arial" w:eastAsia="Arial" w:hAnsi="Arial"/>
          <w:sz w:val="21"/>
          <w:szCs w:val="21"/>
          <w:color w:val="auto"/>
        </w:rPr>
        <w:t>. For the purposes of this Article 15, the Parties acknowledge their diversity (Amgen having its</w:t>
      </w:r>
      <w:r>
        <w:rPr>
          <w:rFonts w:ascii="Arial" w:cs="Arial" w:eastAsia="Arial" w:hAnsi="Arial"/>
          <w:sz w:val="21"/>
          <w:szCs w:val="21"/>
          <w:b w:val="1"/>
          <w:bCs w:val="1"/>
          <w:color w:val="auto"/>
        </w:rPr>
        <w:t xml:space="preserve"> </w:t>
      </w:r>
      <w:r>
        <w:rPr>
          <w:rFonts w:ascii="Arial" w:cs="Arial" w:eastAsia="Arial" w:hAnsi="Arial"/>
          <w:sz w:val="21"/>
          <w:szCs w:val="21"/>
          <w:color w:val="auto"/>
        </w:rPr>
        <w:t>principal place of business in Thousand Oaks, California, United States of America and Molecular Partners having its principal place of business in Zurich-Schlieren, Switzerland) and agree to accept the jurisdiction of any United States District Court for the Southern District of New York, New York solely for the purposes of enforcing any awards rendered in an arbitration pursuant to this Article 15 and for enforcing the agreements reflected in this Article 15.</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15.10 Patent and Trademark Disputes</w:t>
      </w:r>
      <w:r>
        <w:rPr>
          <w:rFonts w:ascii="Arial" w:cs="Arial" w:eastAsia="Arial" w:hAnsi="Arial"/>
          <w:sz w:val="22"/>
          <w:szCs w:val="22"/>
          <w:color w:val="auto"/>
        </w:rPr>
        <w:t>. Notwithstanding Section 15.3, any Dispute, controversy or claim relating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scope, validity, enforceability or infringement of any Patents or Marks covering the manufacture, use, importation, offer for sale or sale of Products shall be submitted to a court of competent jurisdiction in the country in which such patent or trademark rights were granted or arose.</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15.11 Baseball Arbitration</w:t>
      </w:r>
      <w:r>
        <w:rPr>
          <w:rFonts w:ascii="Arial" w:cs="Arial" w:eastAsia="Arial" w:hAnsi="Arial"/>
          <w:sz w:val="19"/>
          <w:szCs w:val="19"/>
          <w:color w:val="auto"/>
        </w:rPr>
        <w:t>. This Section 15.11 applies to Disputes arising under Section 14.5(c) to be resolved by</w:t>
      </w:r>
      <w:r>
        <w:rPr>
          <w:rFonts w:ascii="Arial" w:cs="Arial" w:eastAsia="Arial" w:hAnsi="Arial"/>
          <w:sz w:val="19"/>
          <w:szCs w:val="19"/>
          <w:b w:val="1"/>
          <w:bCs w:val="1"/>
          <w:color w:val="auto"/>
        </w:rPr>
        <w:t xml:space="preserve"> </w:t>
      </w:r>
      <w:r>
        <w:rPr>
          <w:rFonts w:ascii="Arial" w:cs="Arial" w:eastAsia="Arial" w:hAnsi="Arial"/>
          <w:sz w:val="19"/>
          <w:szCs w:val="19"/>
          <w:color w:val="auto"/>
        </w:rPr>
        <w:t>baseball arbitration. Baseball arbitration will be conducted by [***]arbitrator who shall be reasonably acceptable to the Parties and who shall be appointed in accordance with the Rules. If the Parties are unable to select an arbitrator within [***] following notice from either Party that it elects to resolve a Dispute through baseball arbitration under the terms of this Section 15.11, then the arbitrator will be appointed in accordance with the Rules. Within [***] after the selection of the arbitrator, each Party shall submit to the arbitrator and to the other Party a proposed resolution of the Dispute that is the subject of the arbitration, together with any relevant evidence in support thereof (the “</w:t>
      </w:r>
      <w:r>
        <w:rPr>
          <w:rFonts w:ascii="Arial" w:cs="Arial" w:eastAsia="Arial" w:hAnsi="Arial"/>
          <w:sz w:val="19"/>
          <w:szCs w:val="19"/>
          <w:b w:val="1"/>
          <w:bCs w:val="1"/>
          <w:color w:val="auto"/>
        </w:rPr>
        <w:t>Proposals</w:t>
      </w:r>
      <w:r>
        <w:rPr>
          <w:rFonts w:ascii="Arial" w:cs="Arial" w:eastAsia="Arial" w:hAnsi="Arial"/>
          <w:sz w:val="19"/>
          <w:szCs w:val="19"/>
          <w:color w:val="auto"/>
        </w:rPr>
        <w:t xml:space="preserve">”). The Parties shall meet and confer on the amount and type of evidence that may be submitted to the arbitrator but, if the Parties are unable to agree, the arbitrator shall decide. Within [***] after the delivery of the last Proposal to the arbitrator, each Party may submit a written rebuttal of the other Party’s Proposal and may also amend and re-submit its original Proposal. The Parties and the arbitrator shall meet within [***] after the Parties have submitted their final Proposals (and rebuttals, if any), at which time each Party shall have [***] to argue in support of its Proposal. The Parties may not call any witnesses in support of their arguments, nor compel any production of documents or take any discovery from the other Party in preparation for the hearing; </w:t>
      </w:r>
      <w:r>
        <w:rPr>
          <w:rFonts w:ascii="Arial" w:cs="Arial" w:eastAsia="Arial" w:hAnsi="Arial"/>
          <w:sz w:val="19"/>
          <w:szCs w:val="19"/>
          <w:i w:val="1"/>
          <w:iCs w:val="1"/>
          <w:color w:val="auto"/>
        </w:rPr>
        <w:t>provided</w:t>
      </w:r>
      <w:r>
        <w:rPr>
          <w:rFonts w:ascii="Arial" w:cs="Arial" w:eastAsia="Arial" w:hAnsi="Arial"/>
          <w:sz w:val="19"/>
          <w:szCs w:val="19"/>
          <w:color w:val="auto"/>
        </w:rPr>
        <w:t>, that a Party may take such actions in preparation for its submission of evidence. Within [***] after such hearing, the arbitrator shall select one of the final Proposals as the resolution of the Dispute, but may not alter the terms of either final Proposal and may not resolve the Dispute in a manner other than by selection of one of the submitted final Proposals. The Parties agree that if the final award is rendered after this time period expires, it shall not be a basis for vacatur or grounds to resist enforcement of the award. If a Party fails to submit a Proposal within the initial [***] time frame set forth above, the arbitrator shall select the Proposal of the other Party as the resolution of the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655" w:name="page656"/>
    <w:bookmarkEnd w:id="655"/>
    <w:p>
      <w:pPr>
        <w:jc w:val="center"/>
        <w:spacing w:after="0"/>
        <w:rPr>
          <w:sz w:val="20"/>
          <w:szCs w:val="20"/>
          <w:color w:val="auto"/>
        </w:rPr>
      </w:pPr>
      <w:r>
        <w:rPr>
          <w:rFonts w:ascii="Arial" w:cs="Arial" w:eastAsia="Arial" w:hAnsi="Arial"/>
          <w:sz w:val="22"/>
          <w:szCs w:val="22"/>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16.1 Entire Agreement; Amendment</w:t>
      </w:r>
      <w:r>
        <w:rPr>
          <w:rFonts w:ascii="Arial" w:cs="Arial" w:eastAsia="Arial" w:hAnsi="Arial"/>
          <w:sz w:val="19"/>
          <w:szCs w:val="19"/>
          <w:color w:val="auto"/>
        </w:rPr>
        <w:t>. This Agreement, including the Exhibits hereto, sets forth the complete, final and</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agreement and all the 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including the Confidentiality Agreement. The foregoing shall not be interpreted as a waiver of any remedies available to either Party as a result of any breach, prior to the Effective Date, by the other Party of its obligations pursuant to the Confidentiality Agreement. In the event of any inconsistency between any plan hereunder (including the Development Plan) and this Agreement, the terms of this Agreement will prevail. No subsequent alteration, amendment, change or addition to this Agreement shall be binding upon the Parties unless reduced to writing and signed by an authorized officer of each Party.</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16.2 Force Majeure</w:t>
      </w:r>
      <w:r>
        <w:rPr>
          <w:rFonts w:ascii="Arial" w:cs="Arial" w:eastAsia="Arial" w:hAnsi="Arial"/>
          <w:sz w:val="21"/>
          <w:szCs w:val="21"/>
          <w:color w:val="auto"/>
        </w:rPr>
        <w:t>. Both Parties will be excused from the performance of their obligations under this Agreement if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such performance is prevented or delayed by a force majeure event and the nonperforming Party promptly provides notice of the prevention to the other Party; </w:t>
      </w:r>
      <w:r>
        <w:rPr>
          <w:rFonts w:ascii="Arial" w:cs="Arial" w:eastAsia="Arial" w:hAnsi="Arial"/>
          <w:sz w:val="21"/>
          <w:szCs w:val="21"/>
          <w:i w:val="1"/>
          <w:iCs w:val="1"/>
          <w:color w:val="auto"/>
        </w:rPr>
        <w:t>provided</w:t>
      </w:r>
      <w:r>
        <w:rPr>
          <w:rFonts w:ascii="Arial" w:cs="Arial" w:eastAsia="Arial" w:hAnsi="Arial"/>
          <w:sz w:val="21"/>
          <w:szCs w:val="21"/>
          <w:color w:val="auto"/>
        </w:rPr>
        <w:t>, that such excuse continues so long as the condition constituting the force majeure event continues and the nonperforming Party takes reasonable efforts to remove the condition. For purposes of this Agreement, force majeure event means an event or condition beyond the reasonable control of the Parties, including an act of God, war, civil commotion, terrorist act, labor strike or lock-out, epidemic, failure or default of public utilities or common carriers, bank failure,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or entity engaged in the same type of undertaking under the same or similar circumstances).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16.3 Notices</w:t>
      </w:r>
      <w:r>
        <w:rPr>
          <w:rFonts w:ascii="Arial" w:cs="Arial" w:eastAsia="Arial" w:hAnsi="Arial"/>
          <w:sz w:val="22"/>
          <w:szCs w:val="22"/>
          <w:color w:val="auto"/>
        </w:rPr>
        <w:t>. Any notice required or permitted to be given under this Agreement shall be in writing, shall specifically</w:t>
      </w:r>
      <w:r>
        <w:rPr>
          <w:rFonts w:ascii="Arial" w:cs="Arial" w:eastAsia="Arial" w:hAnsi="Arial"/>
          <w:sz w:val="22"/>
          <w:szCs w:val="22"/>
          <w:b w:val="1"/>
          <w:bCs w:val="1"/>
          <w:color w:val="auto"/>
        </w:rPr>
        <w:t xml:space="preserve"> </w:t>
      </w:r>
      <w:r>
        <w:rPr>
          <w:rFonts w:ascii="Arial" w:cs="Arial" w:eastAsia="Arial" w:hAnsi="Arial"/>
          <w:sz w:val="22"/>
          <w:szCs w:val="22"/>
          <w:color w:val="auto"/>
        </w:rPr>
        <w:t>refer to this Agreement, and shall be addressed to the appropriate Party at the address specified below or such other address as may be specified by such Party in writing in accordance with this Section 16.3, and shall be deemed to have been given for all purposes (a) when received, if hand-delivered or sent by a reputable international expedited delivery service, (b) [***] after mailing, if mailed by first class certified or registered mail, postage prepaid, return receipt requested, or (c) when received, if delivered by electronic mail promptly followed by delivery via either of the methods set forth in clauses (a) and (b) of this Section 16.3.</w:t>
      </w:r>
    </w:p>
    <w:p>
      <w:pPr>
        <w:spacing w:after="0" w:line="195"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2"/>
          <w:szCs w:val="22"/>
          <w:color w:val="auto"/>
        </w:rPr>
        <w:t>If to Molecular Partners:</w:t>
        <w:tab/>
        <w:t>[***]</w:t>
      </w:r>
    </w:p>
    <w:p>
      <w:pPr>
        <w:spacing w:after="0" w:line="11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With a copy to:</w:t>
        <w:tab/>
        <w:t>[***]</w:t>
      </w:r>
    </w:p>
    <w:p>
      <w:pPr>
        <w:spacing w:after="0" w:line="11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color w:val="auto"/>
        </w:rPr>
        <w:t>If to Amgen:</w:t>
        <w:tab/>
        <w:t>[***]</w:t>
      </w:r>
    </w:p>
    <w:p>
      <w:pPr>
        <w:spacing w:after="0" w:line="112" w:lineRule="exact"/>
        <w:rPr>
          <w:sz w:val="20"/>
          <w:szCs w:val="20"/>
          <w:color w:val="auto"/>
        </w:rPr>
      </w:pPr>
    </w:p>
    <w:p>
      <w:pPr>
        <w:ind w:left="660"/>
        <w:spacing w:after="0"/>
        <w:tabs>
          <w:tab w:leader="none" w:pos="2240" w:val="left"/>
        </w:tabs>
        <w:rPr>
          <w:sz w:val="20"/>
          <w:szCs w:val="20"/>
          <w:color w:val="auto"/>
        </w:rPr>
      </w:pPr>
      <w:r>
        <w:rPr>
          <w:rFonts w:ascii="Arial" w:cs="Arial" w:eastAsia="Arial" w:hAnsi="Arial"/>
          <w:sz w:val="22"/>
          <w:szCs w:val="22"/>
          <w:color w:val="auto"/>
        </w:rPr>
        <w:t>With a copy to:</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2" w:right="339" w:bottom="1440" w:gutter="0" w:footer="0" w:header="0"/>
        </w:sectPr>
      </w:pPr>
    </w:p>
    <w:bookmarkStart w:id="656" w:name="page657"/>
    <w:bookmarkEnd w:id="656"/>
    <w:p>
      <w:pPr>
        <w:jc w:val="both"/>
        <w:ind w:firstLine="648"/>
        <w:spacing w:after="0" w:line="258" w:lineRule="auto"/>
        <w:rPr>
          <w:sz w:val="20"/>
          <w:szCs w:val="20"/>
          <w:color w:val="auto"/>
        </w:rPr>
      </w:pPr>
      <w:r>
        <w:rPr>
          <w:rFonts w:ascii="Arial" w:cs="Arial" w:eastAsia="Arial" w:hAnsi="Arial"/>
          <w:sz w:val="21"/>
          <w:szCs w:val="21"/>
          <w:b w:val="1"/>
          <w:bCs w:val="1"/>
          <w:color w:val="auto"/>
        </w:rPr>
        <w:t>16.4 Interpretation</w:t>
      </w:r>
      <w:r>
        <w:rPr>
          <w:rFonts w:ascii="Arial" w:cs="Arial" w:eastAsia="Arial" w:hAnsi="Arial"/>
          <w:sz w:val="21"/>
          <w:szCs w:val="21"/>
          <w:color w:val="auto"/>
        </w:rPr>
        <w:t>. The headings in this Agreement are inserted solely for convenience and ease of reference and do</w:t>
      </w:r>
      <w:r>
        <w:rPr>
          <w:rFonts w:ascii="Arial" w:cs="Arial" w:eastAsia="Arial" w:hAnsi="Arial"/>
          <w:sz w:val="21"/>
          <w:szCs w:val="21"/>
          <w:b w:val="1"/>
          <w:bCs w:val="1"/>
          <w:color w:val="auto"/>
        </w:rPr>
        <w:t xml:space="preserve"> </w:t>
      </w:r>
      <w:r>
        <w:rPr>
          <w:rFonts w:ascii="Arial" w:cs="Arial" w:eastAsia="Arial" w:hAnsi="Arial"/>
          <w:sz w:val="21"/>
          <w:szCs w:val="21"/>
          <w:color w:val="auto"/>
        </w:rPr>
        <w:t>not constitute any part of this Agreement or have any effect on its interpretation or construction. All references in this Agreement to the singular include the plural where applicable. Unless otherwise specified, references in this Agreement to any Article include all Sections, subsections and paragraphs in such Article, and references to any Section include all subsections and paragraphs in such Section. The word “including” and similar words means including without limitation. The words “herein,” “hereof” and “hereunder” and other words of similar import refer to this Agreement as a whole and not to any particular Section or other subdivision. The word “or” is disjunctive but not necessarily exclusive. All references to days in this Agreement mean calendar days, unless otherwise specified. Ambiguities and uncertainties in this Agreement, if any, are not be interpreted against either Party, irrespective of which Party may be deemed to have caused the ambiguity or uncertainty to exist. This Agreement has been prepared in the English language and the English language controls its interpretation. In addition, all notices required or permitted to be given hereunder, and all written, electronic, oral or other communications between the Parties regarding this Agreement will be in the English language.</w:t>
      </w:r>
    </w:p>
    <w:p>
      <w:pPr>
        <w:spacing w:after="0" w:line="17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16.5 No Third-Party Beneficiaries</w:t>
      </w:r>
      <w:r>
        <w:rPr>
          <w:rFonts w:ascii="Arial" w:cs="Arial" w:eastAsia="Arial" w:hAnsi="Arial"/>
          <w:sz w:val="19"/>
          <w:szCs w:val="19"/>
          <w:color w:val="auto"/>
        </w:rPr>
        <w:t>. Nothing in this Agreement shall be construed as giving any Person, other than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and their successors and permitted assigns, any right, remedy or claim under or in respect of this Agreement or any provision hereof, except for the provisions of Article 12 (with respect to which the persons to which Article 12 applies shall be Third Party beneficiaries for Article 12 only in accordance with the terms and conditions of Article 12).</w:t>
      </w:r>
    </w:p>
    <w:p>
      <w:pPr>
        <w:spacing w:after="0" w:line="1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b w:val="1"/>
          <w:bCs w:val="1"/>
          <w:color w:val="auto"/>
        </w:rPr>
        <w:t>16.6 Successors and Assigns</w:t>
      </w:r>
      <w:r>
        <w:rPr>
          <w:rFonts w:ascii="Arial" w:cs="Arial" w:eastAsia="Arial" w:hAnsi="Arial"/>
          <w:sz w:val="21"/>
          <w:szCs w:val="21"/>
          <w:color w:val="auto"/>
        </w:rPr>
        <w:t>. Neither this Agreement nor any of the rights or obligations created herein may be</w:t>
      </w:r>
      <w:r>
        <w:rPr>
          <w:rFonts w:ascii="Arial" w:cs="Arial" w:eastAsia="Arial" w:hAnsi="Arial"/>
          <w:sz w:val="21"/>
          <w:szCs w:val="21"/>
          <w:b w:val="1"/>
          <w:bCs w:val="1"/>
          <w:color w:val="auto"/>
        </w:rPr>
        <w:t xml:space="preserve"> </w:t>
      </w:r>
      <w:r>
        <w:rPr>
          <w:rFonts w:ascii="Arial" w:cs="Arial" w:eastAsia="Arial" w:hAnsi="Arial"/>
          <w:sz w:val="21"/>
          <w:szCs w:val="21"/>
          <w:color w:val="auto"/>
        </w:rPr>
        <w:t>assigned by either Party, in whole or in part, without the prior written consent of the other Party, except that either Party shall be free to assign this Agreement (a) to an Affiliate of such Party (for so long as such Affiliate remains an Affiliate) provided that such Party shall remain liable and responsible to the other Party for the performance and observance of all such duties and obligations by such Affiliate, or (b) in connection with any sale of all or substantially all of the assets of the Party that relate to this Agreement to a Third Party, whether by merger, consolidation, divestiture, restructure, sale of stock, sale of assets or otherwise (a “</w:t>
      </w:r>
      <w:r>
        <w:rPr>
          <w:rFonts w:ascii="Arial" w:cs="Arial" w:eastAsia="Arial" w:hAnsi="Arial"/>
          <w:sz w:val="21"/>
          <w:szCs w:val="21"/>
          <w:b w:val="1"/>
          <w:bCs w:val="1"/>
          <w:color w:val="auto"/>
        </w:rPr>
        <w:t>Sale Transaction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party to which this Agreement is assigned expressly agrees in writing to assume and be bound by all obligations of the assigning Party under this Agreement. A copy of such written agreement by such assignee shall be provided to the non-assigning Party within [***] of execution of such written agreement. Molecular Partners shall not assign or otherwise transfer to any Third Party ownership (or equivalent rights) of any Molecular Partners Patents existing as of the Effective Date or during the Term, unless the party to which such Molecular Partners Patent is assigned or otherwise transferred expressly agrees in writing to assume and be bound by all relevant terms and conditions applicable to Molecular Partners and such Molecular Partners Patent under this Agreement. This Agreement shall bind and inure to the benefit of the successors and permitted assigns of the Parties hereto. Any attempted assignment of this Agreement in contravention of this Section 16.6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22" w:right="339" w:bottom="1440" w:gutter="0" w:footer="0" w:header="0"/>
        </w:sectPr>
      </w:pPr>
    </w:p>
    <w:bookmarkStart w:id="657" w:name="page658"/>
    <w:bookmarkEnd w:id="657"/>
    <w:p>
      <w:pPr>
        <w:jc w:val="both"/>
        <w:ind w:right="20" w:firstLine="648"/>
        <w:spacing w:after="0" w:line="349" w:lineRule="auto"/>
        <w:rPr>
          <w:sz w:val="20"/>
          <w:szCs w:val="20"/>
          <w:color w:val="auto"/>
        </w:rPr>
      </w:pPr>
      <w:r>
        <w:rPr>
          <w:rFonts w:ascii="Arial" w:cs="Arial" w:eastAsia="Arial" w:hAnsi="Arial"/>
          <w:sz w:val="19"/>
          <w:szCs w:val="19"/>
          <w:b w:val="1"/>
          <w:bCs w:val="1"/>
          <w:color w:val="auto"/>
        </w:rPr>
        <w:t>16.7 Rights upon Change of Control of Molecular Partners</w:t>
      </w:r>
      <w:r>
        <w:rPr>
          <w:rFonts w:ascii="Arial" w:cs="Arial" w:eastAsia="Arial" w:hAnsi="Arial"/>
          <w:sz w:val="19"/>
          <w:szCs w:val="19"/>
          <w:color w:val="auto"/>
        </w:rPr>
        <w:t>. Upon the consummation of any Change of Control of</w:t>
      </w:r>
      <w:r>
        <w:rPr>
          <w:rFonts w:ascii="Arial" w:cs="Arial" w:eastAsia="Arial" w:hAnsi="Arial"/>
          <w:sz w:val="19"/>
          <w:szCs w:val="19"/>
          <w:b w:val="1"/>
          <w:bCs w:val="1"/>
          <w:color w:val="auto"/>
        </w:rPr>
        <w:t xml:space="preserve"> </w:t>
      </w:r>
      <w:r>
        <w:rPr>
          <w:rFonts w:ascii="Arial" w:cs="Arial" w:eastAsia="Arial" w:hAnsi="Arial"/>
          <w:sz w:val="19"/>
          <w:szCs w:val="19"/>
          <w:color w:val="auto"/>
        </w:rPr>
        <w:t>Molecular Partners, Molecular Partners’ rights [***] pursuant to Section 4.1(b), Section 5.1(e), and Section 6.1 shall terminate.</w:t>
      </w:r>
    </w:p>
    <w:p>
      <w:pPr>
        <w:spacing w:after="0" w:line="9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16.8 Sale Transaction or Acquisition</w:t>
      </w:r>
      <w:r>
        <w:rPr>
          <w:rFonts w:ascii="Arial" w:cs="Arial" w:eastAsia="Arial" w:hAnsi="Arial"/>
          <w:sz w:val="22"/>
          <w:szCs w:val="22"/>
          <w:color w:val="auto"/>
        </w:rPr>
        <w:t>. In the event of (a) a Sale Transaction involving Amgen or Molecular Partners,</w:t>
      </w:r>
      <w:r>
        <w:rPr>
          <w:rFonts w:ascii="Arial" w:cs="Arial" w:eastAsia="Arial" w:hAnsi="Arial"/>
          <w:sz w:val="22"/>
          <w:szCs w:val="22"/>
          <w:b w:val="1"/>
          <w:bCs w:val="1"/>
          <w:color w:val="auto"/>
        </w:rPr>
        <w:t xml:space="preserve"> </w:t>
      </w:r>
      <w:r>
        <w:rPr>
          <w:rFonts w:ascii="Arial" w:cs="Arial" w:eastAsia="Arial" w:hAnsi="Arial"/>
          <w:sz w:val="22"/>
          <w:szCs w:val="22"/>
          <w:color w:val="auto"/>
        </w:rPr>
        <w:t>as applicable, or (b) the acquisition by Amgen or Molecular Partners, as applicable, of all or substantially all of the business of a Third Party (together with any entities that were Affiliates of such Third Party immediately prior to such acquisition, an “</w:t>
      </w:r>
      <w:r>
        <w:rPr>
          <w:rFonts w:ascii="Arial" w:cs="Arial" w:eastAsia="Arial" w:hAnsi="Arial"/>
          <w:sz w:val="22"/>
          <w:szCs w:val="22"/>
          <w:b w:val="1"/>
          <w:bCs w:val="1"/>
          <w:color w:val="auto"/>
        </w:rPr>
        <w:t>Acquiree</w:t>
      </w:r>
      <w:r>
        <w:rPr>
          <w:rFonts w:ascii="Arial" w:cs="Arial" w:eastAsia="Arial" w:hAnsi="Arial"/>
          <w:sz w:val="22"/>
          <w:szCs w:val="22"/>
          <w:color w:val="auto"/>
        </w:rPr>
        <w:t>”), whether by merger, sale of stock, sale of assets or otherwise, the intellectual property rights of the Third Party acquirer in a Sale Transaction or the Acquiree, as applicable, shall not be included in the Patents or Know-How licensed hereunder by Molecular Partners to Amgen or Amgen to Molecular Partners, as applicable, or otherwise subject to this Agreement.</w:t>
      </w:r>
    </w:p>
    <w:p>
      <w:pPr>
        <w:spacing w:after="0" w:line="18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16.9 Performance by Affiliates</w:t>
      </w:r>
      <w:r>
        <w:rPr>
          <w:rFonts w:ascii="Arial" w:cs="Arial" w:eastAsia="Arial" w:hAnsi="Arial"/>
          <w:sz w:val="22"/>
          <w:szCs w:val="22"/>
          <w:color w:val="auto"/>
        </w:rPr>
        <w:t>. Subject to the limitations of Section 3.3, each Party may discharge any obligations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any right hereunder through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16.10 Further Actions</w:t>
      </w:r>
      <w:r>
        <w:rPr>
          <w:rFonts w:ascii="Arial" w:cs="Arial" w:eastAsia="Arial" w:hAnsi="Arial"/>
          <w:sz w:val="21"/>
          <w:szCs w:val="21"/>
          <w:color w:val="auto"/>
        </w:rPr>
        <w:t>. Each Party shall execute, acknowledge, and deliver such further instruments, and shall take all</w:t>
      </w:r>
      <w:r>
        <w:rPr>
          <w:rFonts w:ascii="Arial" w:cs="Arial" w:eastAsia="Arial" w:hAnsi="Arial"/>
          <w:sz w:val="21"/>
          <w:szCs w:val="21"/>
          <w:b w:val="1"/>
          <w:bCs w:val="1"/>
          <w:color w:val="auto"/>
        </w:rPr>
        <w:t xml:space="preserve"> </w:t>
      </w:r>
      <w:r>
        <w:rPr>
          <w:rFonts w:ascii="Arial" w:cs="Arial" w:eastAsia="Arial" w:hAnsi="Arial"/>
          <w:sz w:val="21"/>
          <w:szCs w:val="21"/>
          <w:color w:val="auto"/>
        </w:rPr>
        <w:t>such other acts, as may be necessary or appropriate to carry out the purposes and intent of this Agreement.</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16.11 Compliance with Applicable Law</w:t>
      </w:r>
      <w:r>
        <w:rPr>
          <w:rFonts w:ascii="Arial" w:cs="Arial" w:eastAsia="Arial" w:hAnsi="Arial"/>
          <w:sz w:val="22"/>
          <w:szCs w:val="22"/>
          <w:color w:val="auto"/>
        </w:rPr>
        <w:t>. Each Party shall comply with all Applicable Laws in the course of</w:t>
      </w:r>
      <w:r>
        <w:rPr>
          <w:rFonts w:ascii="Arial" w:cs="Arial" w:eastAsia="Arial" w:hAnsi="Arial"/>
          <w:sz w:val="22"/>
          <w:szCs w:val="22"/>
          <w:b w:val="1"/>
          <w:bCs w:val="1"/>
          <w:color w:val="auto"/>
        </w:rPr>
        <w:t xml:space="preserve"> </w:t>
      </w:r>
      <w:r>
        <w:rPr>
          <w:rFonts w:ascii="Arial" w:cs="Arial" w:eastAsia="Arial" w:hAnsi="Arial"/>
          <w:sz w:val="22"/>
          <w:szCs w:val="22"/>
          <w:color w:val="auto"/>
        </w:rPr>
        <w:t>performing its obligations or exercising its rights pursuant to this Agreement, including those pertaining to privacy and data protection.</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b w:val="1"/>
          <w:bCs w:val="1"/>
          <w:color w:val="auto"/>
        </w:rPr>
        <w:t>16.12 Limitation of Liability</w:t>
      </w:r>
      <w:r>
        <w:rPr>
          <w:rFonts w:ascii="Arial" w:cs="Arial" w:eastAsia="Arial" w:hAnsi="Arial"/>
          <w:sz w:val="22"/>
          <w:szCs w:val="22"/>
          <w:color w:val="auto"/>
        </w:rPr>
        <w:t>. NEITHER PARTY SHALL BE LIABLE TO THE OTHER PARTY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CONSEQUENTIAL, INCIDENTAL, PUNITIVE, OR INDIRECT DAMAGES (INCLUDING LOST PROFITS AND LOST SAVINGS) ARISING FROM OR RELATING TO ANY BREACH OF THIS AGREEMENT OR ANY TORT CLAIMS ARISING HEREUNDER, REGARDLESS OF ANY NOTICE OF THE POSSIBILITY OF SUCH DAMAGES. NOTWITHSTANDING THE FOREGOING, NOTHING IN THIS SECTION 16.12 IS INTENDED TO OR SHALL LIMIT OR RESTRICT (A) INDEMNIFICATION RIGHTS OR OBLIGATIONS OF ANY PARTY UNDER SECTION 12.1 OR SECTION 12.2, (B) DAMAGES AVAILABLE FOR A PARTY’S BREACH OF CONFIDENTIALITY OBLIGATIONS UNDER ARTICLE 13, OR (C) DAMAGES RESULTING FROM A PARTY’S FRAUD, WILFUL MISCONDUCT OR GROSS NEGLIGENCE.</w:t>
      </w:r>
    </w:p>
    <w:p>
      <w:pPr>
        <w:spacing w:after="0" w:line="19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16.13 Severability</w:t>
      </w:r>
      <w:r>
        <w:rPr>
          <w:rFonts w:ascii="Arial" w:cs="Arial" w:eastAsia="Arial" w:hAnsi="Arial"/>
          <w:sz w:val="22"/>
          <w:szCs w:val="22"/>
          <w:color w:val="auto"/>
        </w:rPr>
        <w:t>. If any one or more of the provisions of this Agreement is held to be invalid or unenforceable by an</w:t>
      </w:r>
      <w:r>
        <w:rPr>
          <w:rFonts w:ascii="Arial" w:cs="Arial" w:eastAsia="Arial" w:hAnsi="Arial"/>
          <w:sz w:val="22"/>
          <w:szCs w:val="22"/>
          <w:b w:val="1"/>
          <w:bCs w:val="1"/>
          <w:color w:val="auto"/>
        </w:rPr>
        <w:t xml:space="preserve"> </w:t>
      </w:r>
      <w:r>
        <w:rPr>
          <w:rFonts w:ascii="Arial" w:cs="Arial" w:eastAsia="Arial" w:hAnsi="Arial"/>
          <w:sz w:val="22"/>
          <w:szCs w:val="22"/>
          <w:color w:val="auto"/>
        </w:rPr>
        <w:t>arbitrator or by any court of competent jurisdiction from which no appeal can be or is taken, the provision shall be considered severed from this Agreement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2" w:right="339" w:bottom="1440" w:gutter="0" w:footer="0" w:header="0"/>
        </w:sectPr>
      </w:pPr>
    </w:p>
    <w:bookmarkStart w:id="658" w:name="page659"/>
    <w:bookmarkEnd w:id="658"/>
    <w:p>
      <w:pPr>
        <w:jc w:val="both"/>
        <w:spacing w:after="0" w:line="253" w:lineRule="auto"/>
        <w:rPr>
          <w:sz w:val="20"/>
          <w:szCs w:val="20"/>
          <w:color w:val="auto"/>
        </w:rPr>
      </w:pPr>
      <w:r>
        <w:rPr>
          <w:rFonts w:ascii="Arial" w:cs="Arial" w:eastAsia="Arial" w:hAnsi="Arial"/>
          <w:sz w:val="22"/>
          <w:szCs w:val="22"/>
          <w:color w:val="auto"/>
        </w:rPr>
        <w:t>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16.14 Non-Use of Names</w:t>
      </w:r>
      <w:r>
        <w:rPr>
          <w:rFonts w:ascii="Arial" w:cs="Arial" w:eastAsia="Arial" w:hAnsi="Arial"/>
          <w:sz w:val="19"/>
          <w:szCs w:val="19"/>
          <w:color w:val="auto"/>
        </w:rPr>
        <w:t>. Molecular Partners shall not use the name, trademark, logo, or physical likeness of Amgen or</w:t>
      </w:r>
      <w:r>
        <w:rPr>
          <w:rFonts w:ascii="Arial" w:cs="Arial" w:eastAsia="Arial" w:hAnsi="Arial"/>
          <w:sz w:val="19"/>
          <w:szCs w:val="19"/>
          <w:b w:val="1"/>
          <w:bCs w:val="1"/>
          <w:color w:val="auto"/>
        </w:rPr>
        <w:t xml:space="preserve"> </w:t>
      </w:r>
      <w:r>
        <w:rPr>
          <w:rFonts w:ascii="Arial" w:cs="Arial" w:eastAsia="Arial" w:hAnsi="Arial"/>
          <w:sz w:val="19"/>
          <w:szCs w:val="19"/>
          <w:color w:val="auto"/>
        </w:rPr>
        <w:t>any of its respective officers, directors or employees, or any adaptation of any of them, in any advertising, promotional or sales literature, without Amgen’s prior written consent. Molecular Partners shall require its Affiliates to comply with the foregoing. Amgen shall not use the name, trademark, logo, or physical likeness of Molecular Partners or any of its officers, directors or employees, or any adaptation of any of them, in any advertising, promotional or sales literature, without Molecular Partners’ prior written consent. Amgen shall require its Affiliates and Sublicensees to comply with the foregoing.</w:t>
      </w:r>
    </w:p>
    <w:p>
      <w:pPr>
        <w:spacing w:after="0" w:line="14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16.15 No Waiver</w:t>
      </w:r>
      <w:r>
        <w:rPr>
          <w:rFonts w:ascii="Arial" w:cs="Arial" w:eastAsia="Arial" w:hAnsi="Arial"/>
          <w:sz w:val="19"/>
          <w:szCs w:val="19"/>
          <w:color w:val="auto"/>
        </w:rPr>
        <w:t>. Any delay in enforcing a Party’s rights under this Agreement or any waiver as to a particular default</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16.16 Independent Contractors</w:t>
      </w:r>
      <w:r>
        <w:rPr>
          <w:rFonts w:ascii="Arial" w:cs="Arial" w:eastAsia="Arial" w:hAnsi="Arial"/>
          <w:sz w:val="19"/>
          <w:szCs w:val="19"/>
          <w:color w:val="auto"/>
        </w:rPr>
        <w:t>. Each Party shall act solely as an independent contractor, and nothing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construed to give either Party the power or authority to act for, bind, or commit the other Party in any way. Nothing herein shall be construed to create the relationship of partners, principal and agent, or joint venturers between the Parties. No Party shall take a position, or cause or permit any of its Affiliates, to take any position inconsistent with this Section 16.16 (including in the filing of Tax returns and in the course of any Tax audit, review or litigation) unless otherwise required by a determination of a Governmental Authority having or purporting to exercise jurisdiction with respect to any Tax.</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16.17 Counterparts</w:t>
      </w:r>
      <w:r>
        <w:rPr>
          <w:rFonts w:ascii="Arial" w:cs="Arial" w:eastAsia="Arial" w:hAnsi="Arial"/>
          <w:sz w:val="22"/>
          <w:szCs w:val="22"/>
          <w:color w:val="auto"/>
        </w:rPr>
        <w:t>. This Agreement may be executed in one (1) or more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shall constitute one and the same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8" w:right="339" w:bottom="1440" w:gutter="0" w:footer="0" w:header="0"/>
        </w:sectPr>
      </w:pPr>
    </w:p>
    <w:bookmarkStart w:id="659" w:name="page660"/>
    <w:bookmarkEnd w:id="659"/>
    <w:p>
      <w:pPr>
        <w:ind w:right="14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Collaboration and License Agreement in duplicate originals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officers as of the Effective Date.</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22"/>
          <w:szCs w:val="22"/>
          <w:b w:val="1"/>
          <w:bCs w:val="1"/>
          <w:color w:val="auto"/>
        </w:rPr>
        <w:t>Molecular Partners AG</w:t>
      </w:r>
      <w:r>
        <w:rPr>
          <w:sz w:val="20"/>
          <w:szCs w:val="20"/>
          <w:color w:val="auto"/>
        </w:rPr>
        <w:tab/>
      </w:r>
      <w:r>
        <w:rPr>
          <w:rFonts w:ascii="Arial" w:cs="Arial" w:eastAsia="Arial" w:hAnsi="Arial"/>
          <w:sz w:val="19"/>
          <w:szCs w:val="19"/>
          <w:b w:val="1"/>
          <w:bCs w:val="1"/>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Patrick Amstutz</w:t>
            </w:r>
          </w:p>
        </w:tc>
        <w:tc>
          <w:tcPr>
            <w:tcW w:w="1120" w:type="dxa"/>
            <w:vAlign w:val="bottom"/>
          </w:tcPr>
          <w:p>
            <w:pPr>
              <w:ind w:left="220"/>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Robert A. Bradway</w:t>
            </w:r>
          </w:p>
        </w:tc>
      </w:tr>
      <w:tr>
        <w:trPr>
          <w:trHeight w:val="507"/>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Patrick Amstutz</w:t>
            </w:r>
          </w:p>
        </w:tc>
        <w:tc>
          <w:tcPr>
            <w:tcW w:w="1120" w:type="dxa"/>
            <w:vAlign w:val="bottom"/>
          </w:tcPr>
          <w:p>
            <w:pPr>
              <w:ind w:left="220"/>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Robert A. Bradway</w:t>
            </w:r>
          </w:p>
        </w:tc>
      </w:tr>
      <w:tr>
        <w:trPr>
          <w:trHeight w:val="50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CEO</w:t>
            </w:r>
          </w:p>
        </w:tc>
        <w:tc>
          <w:tcPr>
            <w:tcW w:w="1120" w:type="dxa"/>
            <w:vAlign w:val="bottom"/>
          </w:tcPr>
          <w:p>
            <w:pPr>
              <w:ind w:left="220"/>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Chairman of the Board, President and</w:t>
            </w:r>
          </w:p>
        </w:tc>
      </w:tr>
      <w:tr>
        <w:trPr>
          <w:trHeight w:val="304"/>
        </w:trPr>
        <w:tc>
          <w:tcPr>
            <w:tcW w:w="9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Chief Executive Officer</w:t>
            </w:r>
          </w:p>
        </w:tc>
      </w:tr>
      <w:tr>
        <w:trPr>
          <w:trHeight w:val="831"/>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Julien Gander</w:t>
            </w:r>
          </w:p>
        </w:tc>
        <w:tc>
          <w:tcPr>
            <w:tcW w:w="1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06"/>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Julien Gander</w:t>
            </w:r>
          </w:p>
        </w:tc>
        <w:tc>
          <w:tcPr>
            <w:tcW w:w="11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0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General Counsel</w:t>
            </w:r>
          </w:p>
        </w:tc>
        <w:tc>
          <w:tcPr>
            <w:tcW w:w="112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240"/>
          </w:cols>
          <w:pgMar w:left="320" w:top="1422" w:right="339" w:bottom="1440" w:gutter="0" w:footer="0" w:header="0"/>
        </w:sectPr>
      </w:pPr>
    </w:p>
    <w:bookmarkStart w:id="660" w:name="page661"/>
    <w:bookmarkEnd w:id="660"/>
    <w:p>
      <w:pPr>
        <w:jc w:val="center"/>
        <w:ind w:right="-1100"/>
        <w:spacing w:after="0"/>
        <w:rPr>
          <w:sz w:val="20"/>
          <w:szCs w:val="20"/>
          <w:color w:val="auto"/>
        </w:rPr>
      </w:pPr>
      <w:r>
        <w:rPr>
          <w:rFonts w:ascii="Arial" w:cs="Arial" w:eastAsia="Arial" w:hAnsi="Arial"/>
          <w:sz w:val="22"/>
          <w:szCs w:val="22"/>
          <w:b w:val="1"/>
          <w:bCs w:val="1"/>
          <w:u w:val="single" w:color="auto"/>
          <w:color w:val="auto"/>
        </w:rPr>
        <w:t>Exhibit 1.100</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Licensed Bispecific</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22" w:right="1440" w:bottom="1440" w:gutter="0" w:footer="0" w:header="0"/>
        </w:sectPr>
      </w:pPr>
    </w:p>
    <w:bookmarkStart w:id="661" w:name="page662"/>
    <w:bookmarkEnd w:id="661"/>
    <w:p>
      <w:pPr>
        <w:jc w:val="center"/>
        <w:spacing w:after="0"/>
        <w:rPr>
          <w:sz w:val="20"/>
          <w:szCs w:val="20"/>
          <w:color w:val="auto"/>
        </w:rPr>
      </w:pPr>
      <w:r>
        <w:rPr>
          <w:rFonts w:ascii="Arial" w:cs="Arial" w:eastAsia="Arial" w:hAnsi="Arial"/>
          <w:sz w:val="22"/>
          <w:szCs w:val="22"/>
          <w:b w:val="1"/>
          <w:bCs w:val="1"/>
          <w:u w:val="single" w:color="auto"/>
          <w:color w:val="auto"/>
        </w:rPr>
        <w:t>Exhibit 1.115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Molecular Partners Patents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662" w:name="page663"/>
    <w:bookmarkEnd w:id="662"/>
    <w:p>
      <w:pPr>
        <w:jc w:val="center"/>
        <w:spacing w:after="0"/>
        <w:rPr>
          <w:sz w:val="20"/>
          <w:szCs w:val="20"/>
          <w:color w:val="auto"/>
        </w:rPr>
      </w:pPr>
      <w:r>
        <w:rPr>
          <w:rFonts w:ascii="Arial" w:cs="Arial" w:eastAsia="Arial" w:hAnsi="Arial"/>
          <w:sz w:val="22"/>
          <w:szCs w:val="22"/>
          <w:b w:val="1"/>
          <w:bCs w:val="1"/>
          <w:u w:val="single" w:color="auto"/>
          <w:color w:val="auto"/>
        </w:rPr>
        <w:t>Exhibit 4.2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Initial Development Plan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663" w:name="page664"/>
    <w:bookmarkEnd w:id="663"/>
    <w:p>
      <w:pPr>
        <w:jc w:val="center"/>
        <w:ind w:right="-1100"/>
        <w:spacing w:after="0"/>
        <w:rPr>
          <w:sz w:val="20"/>
          <w:szCs w:val="20"/>
          <w:color w:val="auto"/>
        </w:rPr>
      </w:pPr>
      <w:r>
        <w:rPr>
          <w:rFonts w:ascii="Arial" w:cs="Arial" w:eastAsia="Arial" w:hAnsi="Arial"/>
          <w:sz w:val="22"/>
          <w:szCs w:val="22"/>
          <w:b w:val="1"/>
          <w:bCs w:val="1"/>
          <w:u w:val="single" w:color="auto"/>
          <w:color w:val="auto"/>
        </w:rPr>
        <w:t>Exhibit 11.2(c)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In-Licensed Molecular Partners Patents</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139"/>
          </w:cols>
          <w:pgMar w:left="320" w:top="1422" w:right="1440" w:bottom="1440" w:gutter="0" w:footer="0" w:header="0"/>
        </w:sectPr>
      </w:pPr>
    </w:p>
    <w:bookmarkStart w:id="664" w:name="page665"/>
    <w:bookmarkEnd w:id="664"/>
    <w:p>
      <w:pPr>
        <w:ind w:left="3820"/>
        <w:spacing w:after="0"/>
        <w:rPr>
          <w:sz w:val="20"/>
          <w:szCs w:val="20"/>
          <w:color w:val="auto"/>
        </w:rPr>
      </w:pPr>
      <w:r>
        <w:rPr>
          <w:rFonts w:ascii="Arial" w:cs="Arial" w:eastAsia="Arial" w:hAnsi="Arial"/>
          <w:sz w:val="19"/>
          <w:szCs w:val="19"/>
          <w:b w:val="1"/>
          <w:bCs w:val="1"/>
          <w:u w:val="single" w:color="auto"/>
          <w:color w:val="auto"/>
        </w:rPr>
        <w:t>Exhibit 13.4(a)</w:t>
      </w:r>
    </w:p>
    <w:p>
      <w:pPr>
        <w:spacing w:after="0" w:line="62" w:lineRule="exact"/>
        <w:rPr>
          <w:sz w:val="20"/>
          <w:szCs w:val="20"/>
          <w:color w:val="auto"/>
        </w:rPr>
      </w:pPr>
    </w:p>
    <w:p>
      <w:pPr>
        <w:ind w:left="3880"/>
        <w:spacing w:after="0"/>
        <w:rPr>
          <w:sz w:val="20"/>
          <w:szCs w:val="20"/>
          <w:color w:val="auto"/>
        </w:rPr>
      </w:pPr>
      <w:r>
        <w:rPr>
          <w:rFonts w:ascii="Arial" w:cs="Arial" w:eastAsia="Arial" w:hAnsi="Arial"/>
          <w:sz w:val="19"/>
          <w:szCs w:val="19"/>
          <w:b w:val="1"/>
          <w:bCs w:val="1"/>
          <w:u w:val="single" w:color="auto"/>
          <w:color w:val="auto"/>
        </w:rPr>
        <w:t>Press Release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665" w:name="page666"/>
    <w:bookmarkEnd w:id="665"/>
    <w:p>
      <w:pPr>
        <w:jc w:val="center"/>
        <w:ind w:right="19"/>
        <w:spacing w:after="0"/>
        <w:rPr>
          <w:sz w:val="20"/>
          <w:szCs w:val="20"/>
          <w:color w:val="auto"/>
        </w:rPr>
      </w:pPr>
      <w:r>
        <w:rPr>
          <w:rFonts w:ascii="Arial" w:cs="Arial" w:eastAsia="Arial" w:hAnsi="Arial"/>
          <w:sz w:val="22"/>
          <w:szCs w:val="22"/>
          <w:b w:val="1"/>
          <w:bCs w:val="1"/>
          <w:u w:val="single" w:color="auto"/>
          <w:color w:val="auto"/>
        </w:rPr>
        <w:t>Exhibit 13.5(a)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Pending Publications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666" w:name="page667"/>
    <w:bookmarkEnd w:id="666"/>
    <w:p>
      <w:pPr>
        <w:jc w:val="right"/>
        <w:spacing w:after="0"/>
        <w:rPr>
          <w:sz w:val="20"/>
          <w:szCs w:val="20"/>
          <w:color w:val="auto"/>
        </w:rPr>
      </w:pPr>
      <w:r>
        <w:rPr>
          <w:rFonts w:ascii="Arial" w:cs="Arial" w:eastAsia="Arial" w:hAnsi="Arial"/>
          <w:sz w:val="18"/>
          <w:szCs w:val="18"/>
          <w:b w:val="1"/>
          <w:bCs w:val="1"/>
          <w:color w:val="auto"/>
        </w:rPr>
        <w:t>Exhibit 10.6</w:t>
      </w:r>
    </w:p>
    <w:p>
      <w:pPr>
        <w:spacing w:after="0" w:line="27" w:lineRule="exact"/>
        <w:rPr>
          <w:sz w:val="20"/>
          <w:szCs w:val="20"/>
          <w:color w:val="auto"/>
        </w:rPr>
      </w:pPr>
    </w:p>
    <w:p>
      <w:pPr>
        <w:ind w:right="160" w:firstLine="8"/>
        <w:spacing w:after="0" w:line="260" w:lineRule="auto"/>
        <w:tabs>
          <w:tab w:leader="none" w:pos="435" w:val="left"/>
        </w:tabs>
        <w:numPr>
          <w:ilvl w:val="0"/>
          <w:numId w:val="6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2150110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Option and Equity Rights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by and between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Novartis Pharma AG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Molecular Partners AG</w:t>
      </w:r>
      <w:r>
        <w:rPr>
          <w:rFonts w:ascii="Arial" w:cs="Arial" w:eastAsia="Arial" w:hAnsi="Arial"/>
          <w:sz w:val="29"/>
          <w:szCs w:val="29"/>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dated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27 October,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7" w:name="page668"/>
    <w:bookmarkEnd w:id="667"/>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20" w:type="dxa"/>
            <w:vAlign w:val="bottom"/>
          </w:tcPr>
          <w:p>
            <w:pPr>
              <w:spacing w:after="0"/>
              <w:rPr>
                <w:sz w:val="20"/>
                <w:szCs w:val="20"/>
                <w:color w:val="auto"/>
              </w:rPr>
            </w:pPr>
            <w:r>
              <w:rPr>
                <w:rFonts w:ascii="Arial" w:cs="Arial" w:eastAsia="Arial" w:hAnsi="Arial"/>
                <w:sz w:val="22"/>
                <w:szCs w:val="22"/>
                <w:color w:val="auto"/>
              </w:rPr>
              <w:t>1.</w:t>
            </w:r>
          </w:p>
        </w:tc>
        <w:tc>
          <w:tcPr>
            <w:tcW w:w="7860" w:type="dxa"/>
            <w:vAlign w:val="bottom"/>
          </w:tcPr>
          <w:p>
            <w:pPr>
              <w:ind w:left="60"/>
              <w:spacing w:after="0"/>
              <w:rPr>
                <w:sz w:val="20"/>
                <w:szCs w:val="20"/>
                <w:color w:val="auto"/>
              </w:rPr>
            </w:pPr>
            <w:r>
              <w:rPr>
                <w:rFonts w:ascii="Arial" w:cs="Arial" w:eastAsia="Arial" w:hAnsi="Arial"/>
                <w:sz w:val="22"/>
                <w:szCs w:val="22"/>
                <w:color w:val="auto"/>
              </w:rPr>
              <w:t>DEFINITIONS AND INTERPRETATION</w:t>
            </w:r>
          </w:p>
        </w:tc>
        <w:tc>
          <w:tcPr>
            <w:tcW w:w="2540" w:type="dxa"/>
            <w:vAlign w:val="bottom"/>
          </w:tcPr>
          <w:p>
            <w:pPr>
              <w:ind w:left="2320"/>
              <w:spacing w:after="0"/>
              <w:rPr>
                <w:sz w:val="20"/>
                <w:szCs w:val="20"/>
                <w:color w:val="auto"/>
              </w:rPr>
            </w:pPr>
            <w:r>
              <w:rPr>
                <w:rFonts w:ascii="Arial" w:cs="Arial" w:eastAsia="Arial" w:hAnsi="Arial"/>
                <w:sz w:val="22"/>
                <w:szCs w:val="22"/>
                <w:color w:val="auto"/>
              </w:rPr>
              <w:t>1</w:t>
            </w:r>
          </w:p>
        </w:tc>
      </w:tr>
      <w:tr>
        <w:trPr>
          <w:trHeight w:val="527"/>
        </w:trPr>
        <w:tc>
          <w:tcPr>
            <w:tcW w:w="320" w:type="dxa"/>
            <w:vAlign w:val="bottom"/>
          </w:tcPr>
          <w:p>
            <w:pPr>
              <w:spacing w:after="0"/>
              <w:rPr>
                <w:sz w:val="20"/>
                <w:szCs w:val="20"/>
                <w:color w:val="auto"/>
              </w:rPr>
            </w:pPr>
            <w:r>
              <w:rPr>
                <w:rFonts w:ascii="Arial" w:cs="Arial" w:eastAsia="Arial" w:hAnsi="Arial"/>
                <w:sz w:val="22"/>
                <w:szCs w:val="22"/>
                <w:color w:val="auto"/>
              </w:rPr>
              <w:t>2.</w:t>
            </w:r>
          </w:p>
        </w:tc>
        <w:tc>
          <w:tcPr>
            <w:tcW w:w="7860" w:type="dxa"/>
            <w:vAlign w:val="bottom"/>
          </w:tcPr>
          <w:p>
            <w:pPr>
              <w:ind w:left="60"/>
              <w:spacing w:after="0"/>
              <w:rPr>
                <w:sz w:val="20"/>
                <w:szCs w:val="20"/>
                <w:color w:val="auto"/>
              </w:rPr>
            </w:pPr>
            <w:r>
              <w:rPr>
                <w:rFonts w:ascii="Arial" w:cs="Arial" w:eastAsia="Arial" w:hAnsi="Arial"/>
                <w:sz w:val="22"/>
                <w:szCs w:val="22"/>
                <w:color w:val="auto"/>
              </w:rPr>
              <w:t>OPTION</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11</w:t>
            </w:r>
          </w:p>
        </w:tc>
      </w:tr>
      <w:tr>
        <w:trPr>
          <w:trHeight w:val="527"/>
        </w:trPr>
        <w:tc>
          <w:tcPr>
            <w:tcW w:w="320" w:type="dxa"/>
            <w:vAlign w:val="bottom"/>
          </w:tcPr>
          <w:p>
            <w:pPr>
              <w:spacing w:after="0"/>
              <w:rPr>
                <w:sz w:val="20"/>
                <w:szCs w:val="20"/>
                <w:color w:val="auto"/>
              </w:rPr>
            </w:pPr>
            <w:r>
              <w:rPr>
                <w:rFonts w:ascii="Arial" w:cs="Arial" w:eastAsia="Arial" w:hAnsi="Arial"/>
                <w:sz w:val="22"/>
                <w:szCs w:val="22"/>
                <w:color w:val="auto"/>
              </w:rPr>
              <w:t>3.</w:t>
            </w:r>
          </w:p>
        </w:tc>
        <w:tc>
          <w:tcPr>
            <w:tcW w:w="7860" w:type="dxa"/>
            <w:vAlign w:val="bottom"/>
          </w:tcPr>
          <w:p>
            <w:pPr>
              <w:ind w:left="60"/>
              <w:spacing w:after="0"/>
              <w:rPr>
                <w:sz w:val="20"/>
                <w:szCs w:val="20"/>
                <w:color w:val="auto"/>
              </w:rPr>
            </w:pPr>
            <w:r>
              <w:rPr>
                <w:rFonts w:ascii="Arial" w:cs="Arial" w:eastAsia="Arial" w:hAnsi="Arial"/>
                <w:sz w:val="22"/>
                <w:szCs w:val="22"/>
                <w:color w:val="auto"/>
              </w:rPr>
              <w:t>EQUITY RIGHTS</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14</w:t>
            </w:r>
          </w:p>
        </w:tc>
      </w:tr>
      <w:tr>
        <w:trPr>
          <w:trHeight w:val="526"/>
        </w:trPr>
        <w:tc>
          <w:tcPr>
            <w:tcW w:w="320" w:type="dxa"/>
            <w:vAlign w:val="bottom"/>
          </w:tcPr>
          <w:p>
            <w:pPr>
              <w:spacing w:after="0"/>
              <w:rPr>
                <w:sz w:val="20"/>
                <w:szCs w:val="20"/>
                <w:color w:val="auto"/>
              </w:rPr>
            </w:pPr>
            <w:r>
              <w:rPr>
                <w:rFonts w:ascii="Arial" w:cs="Arial" w:eastAsia="Arial" w:hAnsi="Arial"/>
                <w:sz w:val="22"/>
                <w:szCs w:val="22"/>
                <w:color w:val="auto"/>
              </w:rPr>
              <w:t>4.</w:t>
            </w:r>
          </w:p>
        </w:tc>
        <w:tc>
          <w:tcPr>
            <w:tcW w:w="7860" w:type="dxa"/>
            <w:vAlign w:val="bottom"/>
          </w:tcPr>
          <w:p>
            <w:pPr>
              <w:ind w:left="60"/>
              <w:spacing w:after="0"/>
              <w:rPr>
                <w:sz w:val="20"/>
                <w:szCs w:val="20"/>
                <w:color w:val="auto"/>
              </w:rPr>
            </w:pPr>
            <w:r>
              <w:rPr>
                <w:rFonts w:ascii="Arial" w:cs="Arial" w:eastAsia="Arial" w:hAnsi="Arial"/>
                <w:sz w:val="22"/>
                <w:szCs w:val="22"/>
                <w:color w:val="auto"/>
              </w:rPr>
              <w:t>OPTION PERIOD DEVELOPMENT OF THE PRODUCTS</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16</w:t>
            </w:r>
          </w:p>
        </w:tc>
      </w:tr>
      <w:tr>
        <w:trPr>
          <w:trHeight w:val="527"/>
        </w:trPr>
        <w:tc>
          <w:tcPr>
            <w:tcW w:w="320" w:type="dxa"/>
            <w:vAlign w:val="bottom"/>
          </w:tcPr>
          <w:p>
            <w:pPr>
              <w:spacing w:after="0"/>
              <w:rPr>
                <w:sz w:val="20"/>
                <w:szCs w:val="20"/>
                <w:color w:val="auto"/>
              </w:rPr>
            </w:pPr>
            <w:r>
              <w:rPr>
                <w:rFonts w:ascii="Arial" w:cs="Arial" w:eastAsia="Arial" w:hAnsi="Arial"/>
                <w:sz w:val="22"/>
                <w:szCs w:val="22"/>
                <w:color w:val="auto"/>
              </w:rPr>
              <w:t>5.</w:t>
            </w:r>
          </w:p>
        </w:tc>
        <w:tc>
          <w:tcPr>
            <w:tcW w:w="7860" w:type="dxa"/>
            <w:vAlign w:val="bottom"/>
          </w:tcPr>
          <w:p>
            <w:pPr>
              <w:ind w:left="60"/>
              <w:spacing w:after="0"/>
              <w:rPr>
                <w:sz w:val="20"/>
                <w:szCs w:val="20"/>
                <w:color w:val="auto"/>
              </w:rPr>
            </w:pPr>
            <w:r>
              <w:rPr>
                <w:rFonts w:ascii="Arial" w:cs="Arial" w:eastAsia="Arial" w:hAnsi="Arial"/>
                <w:sz w:val="22"/>
                <w:szCs w:val="22"/>
                <w:color w:val="auto"/>
              </w:rPr>
              <w:t>COLLABORATION MANAGEMENT AND COSTS</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23</w:t>
            </w:r>
          </w:p>
        </w:tc>
      </w:tr>
      <w:tr>
        <w:trPr>
          <w:trHeight w:val="527"/>
        </w:trPr>
        <w:tc>
          <w:tcPr>
            <w:tcW w:w="320" w:type="dxa"/>
            <w:vAlign w:val="bottom"/>
          </w:tcPr>
          <w:p>
            <w:pPr>
              <w:spacing w:after="0"/>
              <w:rPr>
                <w:sz w:val="20"/>
                <w:szCs w:val="20"/>
                <w:color w:val="auto"/>
              </w:rPr>
            </w:pPr>
            <w:r>
              <w:rPr>
                <w:rFonts w:ascii="Arial" w:cs="Arial" w:eastAsia="Arial" w:hAnsi="Arial"/>
                <w:sz w:val="22"/>
                <w:szCs w:val="22"/>
                <w:color w:val="auto"/>
              </w:rPr>
              <w:t>6.</w:t>
            </w:r>
          </w:p>
        </w:tc>
        <w:tc>
          <w:tcPr>
            <w:tcW w:w="7860" w:type="dxa"/>
            <w:vAlign w:val="bottom"/>
          </w:tcPr>
          <w:p>
            <w:pPr>
              <w:ind w:left="60"/>
              <w:spacing w:after="0"/>
              <w:rPr>
                <w:sz w:val="20"/>
                <w:szCs w:val="20"/>
                <w:color w:val="auto"/>
              </w:rPr>
            </w:pPr>
            <w:r>
              <w:rPr>
                <w:rFonts w:ascii="Arial" w:cs="Arial" w:eastAsia="Arial" w:hAnsi="Arial"/>
                <w:sz w:val="22"/>
                <w:szCs w:val="22"/>
                <w:color w:val="auto"/>
              </w:rPr>
              <w:t>DUE DILIGENCE</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25</w:t>
            </w:r>
          </w:p>
        </w:tc>
      </w:tr>
      <w:tr>
        <w:trPr>
          <w:trHeight w:val="527"/>
        </w:trPr>
        <w:tc>
          <w:tcPr>
            <w:tcW w:w="320" w:type="dxa"/>
            <w:vAlign w:val="bottom"/>
          </w:tcPr>
          <w:p>
            <w:pPr>
              <w:spacing w:after="0"/>
              <w:rPr>
                <w:sz w:val="20"/>
                <w:szCs w:val="20"/>
                <w:color w:val="auto"/>
              </w:rPr>
            </w:pPr>
            <w:r>
              <w:rPr>
                <w:rFonts w:ascii="Arial" w:cs="Arial" w:eastAsia="Arial" w:hAnsi="Arial"/>
                <w:sz w:val="22"/>
                <w:szCs w:val="22"/>
                <w:color w:val="auto"/>
              </w:rPr>
              <w:t>7.</w:t>
            </w:r>
          </w:p>
        </w:tc>
        <w:tc>
          <w:tcPr>
            <w:tcW w:w="7860" w:type="dxa"/>
            <w:vAlign w:val="bottom"/>
          </w:tcPr>
          <w:p>
            <w:pPr>
              <w:ind w:left="60"/>
              <w:spacing w:after="0"/>
              <w:rPr>
                <w:sz w:val="20"/>
                <w:szCs w:val="20"/>
                <w:color w:val="auto"/>
              </w:rPr>
            </w:pPr>
            <w:r>
              <w:rPr>
                <w:rFonts w:ascii="Arial" w:cs="Arial" w:eastAsia="Arial" w:hAnsi="Arial"/>
                <w:sz w:val="22"/>
                <w:szCs w:val="22"/>
                <w:color w:val="auto"/>
              </w:rPr>
              <w:t>INTELLECTUAL PROPERTY</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26</w:t>
            </w:r>
          </w:p>
        </w:tc>
      </w:tr>
      <w:tr>
        <w:trPr>
          <w:trHeight w:val="526"/>
        </w:trPr>
        <w:tc>
          <w:tcPr>
            <w:tcW w:w="320" w:type="dxa"/>
            <w:vAlign w:val="bottom"/>
          </w:tcPr>
          <w:p>
            <w:pPr>
              <w:spacing w:after="0"/>
              <w:rPr>
                <w:rFonts w:ascii="Arial" w:cs="Arial" w:eastAsia="Arial" w:hAnsi="Arial"/>
                <w:sz w:val="22"/>
                <w:szCs w:val="22"/>
                <w:color w:val="auto"/>
              </w:rPr>
            </w:pPr>
            <w:hyperlink w:anchor="page667">
              <w:r>
                <w:rPr>
                  <w:rFonts w:ascii="Arial" w:cs="Arial" w:eastAsia="Arial" w:hAnsi="Arial"/>
                  <w:sz w:val="22"/>
                  <w:szCs w:val="22"/>
                  <w:color w:val="auto"/>
                </w:rPr>
                <w:t>8.</w:t>
              </w:r>
            </w:hyperlink>
          </w:p>
        </w:tc>
        <w:tc>
          <w:tcPr>
            <w:tcW w:w="7860" w:type="dxa"/>
            <w:vAlign w:val="bottom"/>
          </w:tcPr>
          <w:p>
            <w:pPr>
              <w:ind w:left="60"/>
              <w:spacing w:after="0"/>
              <w:rPr>
                <w:rFonts w:ascii="Arial" w:cs="Arial" w:eastAsia="Arial" w:hAnsi="Arial"/>
                <w:sz w:val="22"/>
                <w:szCs w:val="22"/>
                <w:color w:val="auto"/>
              </w:rPr>
            </w:pPr>
            <w:hyperlink w:anchor="page667">
              <w:r>
                <w:rPr>
                  <w:rFonts w:ascii="Arial" w:cs="Arial" w:eastAsia="Arial" w:hAnsi="Arial"/>
                  <w:sz w:val="22"/>
                  <w:szCs w:val="22"/>
                  <w:color w:val="auto"/>
                </w:rPr>
                <w:t>CONFIDENTIALITY</w:t>
              </w:r>
            </w:hyperlink>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27</w:t>
            </w:r>
          </w:p>
        </w:tc>
      </w:tr>
      <w:tr>
        <w:trPr>
          <w:trHeight w:val="527"/>
        </w:trPr>
        <w:tc>
          <w:tcPr>
            <w:tcW w:w="320" w:type="dxa"/>
            <w:vAlign w:val="bottom"/>
          </w:tcPr>
          <w:p>
            <w:pPr>
              <w:spacing w:after="0"/>
              <w:rPr>
                <w:sz w:val="20"/>
                <w:szCs w:val="20"/>
                <w:color w:val="auto"/>
              </w:rPr>
            </w:pPr>
            <w:r>
              <w:rPr>
                <w:rFonts w:ascii="Arial" w:cs="Arial" w:eastAsia="Arial" w:hAnsi="Arial"/>
                <w:sz w:val="22"/>
                <w:szCs w:val="22"/>
                <w:color w:val="auto"/>
              </w:rPr>
              <w:t>9.</w:t>
            </w:r>
          </w:p>
        </w:tc>
        <w:tc>
          <w:tcPr>
            <w:tcW w:w="7860" w:type="dxa"/>
            <w:vAlign w:val="bottom"/>
          </w:tcPr>
          <w:p>
            <w:pPr>
              <w:ind w:left="60"/>
              <w:spacing w:after="0"/>
              <w:rPr>
                <w:sz w:val="20"/>
                <w:szCs w:val="20"/>
                <w:color w:val="auto"/>
              </w:rPr>
            </w:pPr>
            <w:r>
              <w:rPr>
                <w:rFonts w:ascii="Arial" w:cs="Arial" w:eastAsia="Arial" w:hAnsi="Arial"/>
                <w:sz w:val="22"/>
                <w:szCs w:val="22"/>
                <w:color w:val="auto"/>
              </w:rPr>
              <w:t>TERM AND TERMINATION</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29</w:t>
            </w:r>
          </w:p>
        </w:tc>
      </w:tr>
      <w:tr>
        <w:trPr>
          <w:trHeight w:val="527"/>
        </w:trPr>
        <w:tc>
          <w:tcPr>
            <w:tcW w:w="8180" w:type="dxa"/>
            <w:vAlign w:val="bottom"/>
            <w:gridSpan w:val="2"/>
          </w:tcPr>
          <w:p>
            <w:pPr>
              <w:spacing w:after="0"/>
              <w:rPr>
                <w:sz w:val="20"/>
                <w:szCs w:val="20"/>
                <w:color w:val="auto"/>
              </w:rPr>
            </w:pPr>
            <w:r>
              <w:rPr>
                <w:rFonts w:ascii="Arial" w:cs="Arial" w:eastAsia="Arial" w:hAnsi="Arial"/>
                <w:sz w:val="22"/>
                <w:szCs w:val="22"/>
                <w:color w:val="auto"/>
              </w:rPr>
              <w:t>10.  REPRESENTATIONS AND WARRANTIES; COVENANTS</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31</w:t>
            </w:r>
          </w:p>
        </w:tc>
      </w:tr>
      <w:tr>
        <w:trPr>
          <w:trHeight w:val="526"/>
        </w:trPr>
        <w:tc>
          <w:tcPr>
            <w:tcW w:w="320" w:type="dxa"/>
            <w:vAlign w:val="bottom"/>
          </w:tcPr>
          <w:p>
            <w:pPr>
              <w:spacing w:after="0"/>
              <w:rPr>
                <w:sz w:val="20"/>
                <w:szCs w:val="20"/>
                <w:color w:val="auto"/>
              </w:rPr>
            </w:pPr>
            <w:r>
              <w:rPr>
                <w:rFonts w:ascii="Arial" w:cs="Arial" w:eastAsia="Arial" w:hAnsi="Arial"/>
                <w:sz w:val="22"/>
                <w:szCs w:val="22"/>
                <w:color w:val="auto"/>
                <w:w w:val="97"/>
              </w:rPr>
              <w:t>11.</w:t>
            </w:r>
          </w:p>
        </w:tc>
        <w:tc>
          <w:tcPr>
            <w:tcW w:w="7860" w:type="dxa"/>
            <w:vAlign w:val="bottom"/>
          </w:tcPr>
          <w:p>
            <w:pPr>
              <w:ind w:left="160"/>
              <w:spacing w:after="0"/>
              <w:rPr>
                <w:sz w:val="20"/>
                <w:szCs w:val="20"/>
                <w:color w:val="auto"/>
              </w:rPr>
            </w:pPr>
            <w:r>
              <w:rPr>
                <w:rFonts w:ascii="Arial" w:cs="Arial" w:eastAsia="Arial" w:hAnsi="Arial"/>
                <w:sz w:val="22"/>
                <w:szCs w:val="22"/>
                <w:color w:val="auto"/>
              </w:rPr>
              <w:t>INDEMNIFICATION</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38</w:t>
            </w:r>
          </w:p>
        </w:tc>
      </w:tr>
      <w:tr>
        <w:trPr>
          <w:trHeight w:val="527"/>
        </w:trPr>
        <w:tc>
          <w:tcPr>
            <w:tcW w:w="320" w:type="dxa"/>
            <w:vAlign w:val="bottom"/>
          </w:tcPr>
          <w:p>
            <w:pPr>
              <w:spacing w:after="0"/>
              <w:rPr>
                <w:sz w:val="20"/>
                <w:szCs w:val="20"/>
                <w:color w:val="auto"/>
              </w:rPr>
            </w:pPr>
            <w:r>
              <w:rPr>
                <w:rFonts w:ascii="Arial" w:cs="Arial" w:eastAsia="Arial" w:hAnsi="Arial"/>
                <w:sz w:val="22"/>
                <w:szCs w:val="22"/>
                <w:color w:val="auto"/>
                <w:w w:val="97"/>
              </w:rPr>
              <w:t>12.</w:t>
            </w:r>
          </w:p>
        </w:tc>
        <w:tc>
          <w:tcPr>
            <w:tcW w:w="7860" w:type="dxa"/>
            <w:vAlign w:val="bottom"/>
          </w:tcPr>
          <w:p>
            <w:pPr>
              <w:ind w:left="180"/>
              <w:spacing w:after="0"/>
              <w:rPr>
                <w:sz w:val="20"/>
                <w:szCs w:val="20"/>
                <w:color w:val="auto"/>
              </w:rPr>
            </w:pPr>
            <w:r>
              <w:rPr>
                <w:rFonts w:ascii="Arial" w:cs="Arial" w:eastAsia="Arial" w:hAnsi="Arial"/>
                <w:sz w:val="22"/>
                <w:szCs w:val="22"/>
                <w:color w:val="auto"/>
              </w:rPr>
              <w:t>PUBLICATIONS AND PUBLICITY</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40</w:t>
            </w:r>
          </w:p>
        </w:tc>
      </w:tr>
      <w:tr>
        <w:trPr>
          <w:trHeight w:val="526"/>
        </w:trPr>
        <w:tc>
          <w:tcPr>
            <w:tcW w:w="320" w:type="dxa"/>
            <w:vAlign w:val="bottom"/>
          </w:tcPr>
          <w:p>
            <w:pPr>
              <w:spacing w:after="0"/>
              <w:rPr>
                <w:sz w:val="20"/>
                <w:szCs w:val="20"/>
                <w:color w:val="auto"/>
              </w:rPr>
            </w:pPr>
            <w:r>
              <w:rPr>
                <w:rFonts w:ascii="Arial" w:cs="Arial" w:eastAsia="Arial" w:hAnsi="Arial"/>
                <w:sz w:val="22"/>
                <w:szCs w:val="22"/>
                <w:color w:val="auto"/>
                <w:w w:val="97"/>
              </w:rPr>
              <w:t>13.</w:t>
            </w:r>
          </w:p>
        </w:tc>
        <w:tc>
          <w:tcPr>
            <w:tcW w:w="7860" w:type="dxa"/>
            <w:vAlign w:val="bottom"/>
          </w:tcPr>
          <w:p>
            <w:pPr>
              <w:ind w:left="180"/>
              <w:spacing w:after="0"/>
              <w:rPr>
                <w:sz w:val="20"/>
                <w:szCs w:val="20"/>
                <w:color w:val="auto"/>
              </w:rPr>
            </w:pPr>
            <w:r>
              <w:rPr>
                <w:rFonts w:ascii="Arial" w:cs="Arial" w:eastAsia="Arial" w:hAnsi="Arial"/>
                <w:sz w:val="22"/>
                <w:szCs w:val="22"/>
                <w:color w:val="auto"/>
              </w:rPr>
              <w:t>GENERAL PROVISIONS</w:t>
            </w:r>
          </w:p>
        </w:tc>
        <w:tc>
          <w:tcPr>
            <w:tcW w:w="2540" w:type="dxa"/>
            <w:vAlign w:val="bottom"/>
          </w:tcPr>
          <w:p>
            <w:pPr>
              <w:ind w:left="2320"/>
              <w:spacing w:after="0"/>
              <w:rPr>
                <w:sz w:val="20"/>
                <w:szCs w:val="20"/>
                <w:color w:val="auto"/>
              </w:rPr>
            </w:pPr>
            <w:r>
              <w:rPr>
                <w:rFonts w:ascii="Arial" w:cs="Arial" w:eastAsia="Arial" w:hAnsi="Arial"/>
                <w:sz w:val="22"/>
                <w:szCs w:val="22"/>
                <w:color w:val="auto"/>
                <w:w w:val="81"/>
              </w:rPr>
              <w:t>41</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EXHIBIT A – DEVELOPMENT PLAN</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EXHIBIT B – LICENSE TERM SHEET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EXHIBIT C – PRODUCTS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EXHIBIT D – TECHNICAL TRANSFER AND MANUFACTURING TERMS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EXHIBIT E – MPAG PATENTS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EXHIBIT 2.2 – SAMPLE INVOICE</w:t>
      </w:r>
    </w:p>
    <w:p>
      <w:pPr>
        <w:spacing w:after="0" w:line="112" w:lineRule="exact"/>
        <w:rPr>
          <w:sz w:val="20"/>
          <w:szCs w:val="20"/>
          <w:color w:val="auto"/>
        </w:rPr>
      </w:pPr>
    </w:p>
    <w:p>
      <w:pPr>
        <w:ind w:right="2600"/>
        <w:spacing w:after="0" w:line="345" w:lineRule="auto"/>
        <w:rPr>
          <w:sz w:val="20"/>
          <w:szCs w:val="20"/>
          <w:color w:val="auto"/>
        </w:rPr>
      </w:pPr>
      <w:r>
        <w:rPr>
          <w:rFonts w:ascii="Arial" w:cs="Arial" w:eastAsia="Arial" w:hAnsi="Arial"/>
          <w:sz w:val="22"/>
          <w:szCs w:val="22"/>
          <w:color w:val="auto"/>
        </w:rPr>
        <w:t>EXHIBIT 2.5(c) – RESOLUTION OF ADDITIONAL DEFINITIVE AGREEMENT TERMS EXHIBIT 3.2(a) – FORM OF EXERCISE NOTICE</w:t>
      </w:r>
    </w:p>
    <w:p>
      <w:pPr>
        <w:spacing w:after="0" w:line="2" w:lineRule="exact"/>
        <w:rPr>
          <w:sz w:val="20"/>
          <w:szCs w:val="20"/>
          <w:color w:val="auto"/>
        </w:rPr>
      </w:pPr>
    </w:p>
    <w:p>
      <w:pPr>
        <w:ind w:right="1440"/>
        <w:spacing w:after="0" w:line="345" w:lineRule="auto"/>
        <w:rPr>
          <w:sz w:val="20"/>
          <w:szCs w:val="20"/>
          <w:color w:val="auto"/>
        </w:rPr>
      </w:pPr>
      <w:r>
        <w:rPr>
          <w:rFonts w:ascii="Arial" w:cs="Arial" w:eastAsia="Arial" w:hAnsi="Arial"/>
          <w:sz w:val="22"/>
          <w:szCs w:val="22"/>
          <w:color w:val="auto"/>
        </w:rPr>
        <w:t>EXHIBIT 3.2(c) – INSTRUCTIONS FOR THE TRANSFER OF THE EQUITY INVESTMENT SHARES EXHIBIT 4.3(a)(i) – PLANNED PHASE 1 TRIAL PROTOCOL EXHIBIT 10.2 – DISCLOSURES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EXHIBIT 12.2 – FORM OF PRESS RELEASE</w:t>
      </w:r>
    </w:p>
    <w:p>
      <w:pPr>
        <w:sectPr>
          <w:pgSz w:w="11900" w:h="16838" w:orient="portrait"/>
          <w:cols w:equalWidth="0" w:num="1">
            <w:col w:w="10740"/>
          </w:cols>
          <w:pgMar w:left="320" w:top="1440" w:right="839" w:bottom="1440" w:gutter="0" w:footer="0" w:header="0"/>
        </w:sectPr>
      </w:pPr>
    </w:p>
    <w:bookmarkStart w:id="668" w:name="page669"/>
    <w:bookmarkEnd w:id="668"/>
    <w:p>
      <w:pPr>
        <w:jc w:val="center"/>
        <w:spacing w:after="0"/>
        <w:rPr>
          <w:sz w:val="20"/>
          <w:szCs w:val="20"/>
          <w:color w:val="auto"/>
        </w:rPr>
      </w:pPr>
      <w:r>
        <w:rPr>
          <w:rFonts w:ascii="Arial" w:cs="Arial" w:eastAsia="Arial" w:hAnsi="Arial"/>
          <w:sz w:val="22"/>
          <w:szCs w:val="22"/>
          <w:b w:val="1"/>
          <w:bCs w:val="1"/>
          <w:color w:val="auto"/>
        </w:rPr>
        <w:t>OPTION AND EQUITY RIGHTS AGREEMENT</w:t>
      </w:r>
    </w:p>
    <w:p>
      <w:pPr>
        <w:spacing w:after="0" w:line="21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OPTION AND EQUITY RIGHTS AGREEMENT (“</w:t>
      </w:r>
      <w:r>
        <w:rPr>
          <w:rFonts w:ascii="Arial" w:cs="Arial" w:eastAsia="Arial" w:hAnsi="Arial"/>
          <w:sz w:val="22"/>
          <w:szCs w:val="22"/>
          <w:b w:val="1"/>
          <w:bCs w:val="1"/>
          <w:color w:val="auto"/>
        </w:rPr>
        <w:t>Option Agreement</w:t>
      </w:r>
      <w:r>
        <w:rPr>
          <w:rFonts w:ascii="Arial" w:cs="Arial" w:eastAsia="Arial" w:hAnsi="Arial"/>
          <w:sz w:val="22"/>
          <w:szCs w:val="22"/>
          <w:color w:val="auto"/>
        </w:rPr>
        <w:t>”) is made as of this 27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October, 2020 (“</w:t>
      </w:r>
      <w:r>
        <w:rPr>
          <w:rFonts w:ascii="Arial" w:cs="Arial" w:eastAsia="Arial" w:hAnsi="Arial"/>
          <w:sz w:val="22"/>
          <w:szCs w:val="22"/>
          <w:b w:val="1"/>
          <w:bCs w:val="1"/>
          <w:color w:val="auto"/>
        </w:rPr>
        <w:t>Execution Date</w:t>
      </w:r>
      <w:r>
        <w:rPr>
          <w:rFonts w:ascii="Arial" w:cs="Arial" w:eastAsia="Arial" w:hAnsi="Arial"/>
          <w:sz w:val="22"/>
          <w:szCs w:val="22"/>
          <w:color w:val="auto"/>
        </w:rPr>
        <w:t xml:space="preserve">”), by and between: (a) </w:t>
      </w:r>
      <w:r>
        <w:rPr>
          <w:rFonts w:ascii="Arial" w:cs="Arial" w:eastAsia="Arial" w:hAnsi="Arial"/>
          <w:sz w:val="22"/>
          <w:szCs w:val="22"/>
          <w:b w:val="1"/>
          <w:bCs w:val="1"/>
          <w:color w:val="auto"/>
        </w:rPr>
        <w:t>Novartis Pharma AG</w:t>
      </w:r>
      <w:r>
        <w:rPr>
          <w:rFonts w:ascii="Arial" w:cs="Arial" w:eastAsia="Arial" w:hAnsi="Arial"/>
          <w:sz w:val="22"/>
          <w:szCs w:val="22"/>
          <w:color w:val="auto"/>
        </w:rPr>
        <w:t>, a Swiss corporation with offices at Lichtstrasse 35, CH-4056 Basel, Switzerland (“</w:t>
      </w:r>
      <w:r>
        <w:rPr>
          <w:rFonts w:ascii="Arial" w:cs="Arial" w:eastAsia="Arial" w:hAnsi="Arial"/>
          <w:sz w:val="22"/>
          <w:szCs w:val="22"/>
          <w:b w:val="1"/>
          <w:bCs w:val="1"/>
          <w:color w:val="auto"/>
        </w:rPr>
        <w:t>Novartis</w:t>
      </w:r>
      <w:r>
        <w:rPr>
          <w:rFonts w:ascii="Arial" w:cs="Arial" w:eastAsia="Arial" w:hAnsi="Arial"/>
          <w:sz w:val="22"/>
          <w:szCs w:val="22"/>
          <w:color w:val="auto"/>
        </w:rPr>
        <w:t xml:space="preserve">”); and (b) </w:t>
      </w:r>
      <w:r>
        <w:rPr>
          <w:rFonts w:ascii="Arial" w:cs="Arial" w:eastAsia="Arial" w:hAnsi="Arial"/>
          <w:sz w:val="22"/>
          <w:szCs w:val="22"/>
          <w:b w:val="1"/>
          <w:bCs w:val="1"/>
          <w:color w:val="auto"/>
        </w:rPr>
        <w:t>Molecular Partners AG</w:t>
      </w:r>
      <w:r>
        <w:rPr>
          <w:rFonts w:ascii="Arial" w:cs="Arial" w:eastAsia="Arial" w:hAnsi="Arial"/>
          <w:sz w:val="22"/>
          <w:szCs w:val="22"/>
          <w:color w:val="auto"/>
        </w:rPr>
        <w:t>, a Swiss corporation, with offices at Wagistrasse 14, 8952 Zurich-Schlieren, Switzerland (“</w:t>
      </w:r>
      <w:r>
        <w:rPr>
          <w:rFonts w:ascii="Arial" w:cs="Arial" w:eastAsia="Arial" w:hAnsi="Arial"/>
          <w:sz w:val="22"/>
          <w:szCs w:val="22"/>
          <w:b w:val="1"/>
          <w:bCs w:val="1"/>
          <w:color w:val="auto"/>
        </w:rPr>
        <w:t>MPAG</w:t>
      </w:r>
      <w:r>
        <w:rPr>
          <w:rFonts w:ascii="Arial" w:cs="Arial" w:eastAsia="Arial" w:hAnsi="Arial"/>
          <w:sz w:val="22"/>
          <w:szCs w:val="22"/>
          <w:color w:val="auto"/>
        </w:rPr>
        <w:t>”). Novartis and MPAG are each referred to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together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MPAG owns or otherwise controls certain Products IP (as defined below) and Platform IP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below) relating to the Products (as defined below);</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Novartis wishes to obtain, and MPAG wishes to grant to Novartis, an exclusive option to obtain exclusive</w:t>
      </w:r>
      <w:r>
        <w:rPr>
          <w:rFonts w:ascii="Arial" w:cs="Arial" w:eastAsia="Arial" w:hAnsi="Arial"/>
          <w:sz w:val="22"/>
          <w:szCs w:val="22"/>
          <w:b w:val="1"/>
          <w:bCs w:val="1"/>
          <w:color w:val="auto"/>
        </w:rPr>
        <w:t xml:space="preserve"> </w:t>
      </w:r>
      <w:r>
        <w:rPr>
          <w:rFonts w:ascii="Arial" w:cs="Arial" w:eastAsia="Arial" w:hAnsi="Arial"/>
          <w:sz w:val="22"/>
          <w:szCs w:val="22"/>
          <w:color w:val="auto"/>
        </w:rPr>
        <w:t>rights to the Products on the terms and conditions set forth in this Option Agreement; and</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Novartis wishes to acquire, and MPAG wishes to sell to Novartis, the Equity Investment Shares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below) on the terms and conditions set forth in this Option Agreement.</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agree as follows.</w:t>
      </w:r>
    </w:p>
    <w:p>
      <w:pPr>
        <w:spacing w:after="0" w:line="169" w:lineRule="exact"/>
        <w:rPr>
          <w:sz w:val="20"/>
          <w:szCs w:val="20"/>
          <w:color w:val="auto"/>
        </w:rPr>
      </w:pPr>
    </w:p>
    <w:p>
      <w:pPr>
        <w:ind w:left="380" w:hanging="372"/>
        <w:spacing w:after="0"/>
        <w:tabs>
          <w:tab w:leader="none" w:pos="380" w:val="left"/>
        </w:tabs>
        <w:numPr>
          <w:ilvl w:val="0"/>
          <w:numId w:val="62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20" w:lineRule="exact"/>
        <w:rPr>
          <w:sz w:val="20"/>
          <w:szCs w:val="20"/>
          <w:color w:val="auto"/>
        </w:rPr>
      </w:pPr>
    </w:p>
    <w:p>
      <w:pPr>
        <w:ind w:left="500" w:right="20" w:hanging="647"/>
        <w:spacing w:after="0" w:line="269" w:lineRule="auto"/>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color w:val="auto"/>
        </w:rPr>
        <w:t>Definitions</w:t>
      </w:r>
      <w:r>
        <w:rPr>
          <w:rFonts w:ascii="Arial" w:cs="Arial" w:eastAsia="Arial" w:hAnsi="Arial"/>
          <w:sz w:val="22"/>
          <w:szCs w:val="22"/>
          <w:color w:val="auto"/>
        </w:rPr>
        <w:t>. The terms in this Option Agreement with initial letters capitalized shall have the meaning set forth below or as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in the indicated places throughout this Option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Acquirer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Acquiring Subsidiary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20"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ACTIV 2</w:t>
      </w:r>
      <w:r>
        <w:rPr>
          <w:rFonts w:ascii="Arial" w:cs="Arial" w:eastAsia="Arial" w:hAnsi="Arial"/>
          <w:sz w:val="19"/>
          <w:szCs w:val="19"/>
          <w:color w:val="auto"/>
        </w:rPr>
        <w:t>” means the master protocol sponsored by the National Institute of Allergy and Infectious Diseases (“</w:t>
      </w:r>
      <w:r>
        <w:rPr>
          <w:rFonts w:ascii="Arial" w:cs="Arial" w:eastAsia="Arial" w:hAnsi="Arial"/>
          <w:sz w:val="19"/>
          <w:szCs w:val="19"/>
          <w:b w:val="1"/>
          <w:bCs w:val="1"/>
          <w:color w:val="auto"/>
        </w:rPr>
        <w:t>NIAID</w:t>
      </w:r>
      <w:r>
        <w:rPr>
          <w:rFonts w:ascii="Arial" w:cs="Arial" w:eastAsia="Arial" w:hAnsi="Arial"/>
          <w:sz w:val="19"/>
          <w:szCs w:val="19"/>
          <w:color w:val="auto"/>
        </w:rPr>
        <w:t>”) to evaluate the safety and efficacy of multiple investigational agents aimed at modifying the host immune response to SARS-CoV-2 infection, or directly enhancing viral control in order to limit disease progression, in patients who are not hospitalized with the infection (outpatient), having the ClinicalTrials.gov Identifier: NCT04518410.</w:t>
      </w:r>
    </w:p>
    <w:p>
      <w:pPr>
        <w:spacing w:after="0" w:line="135"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ACTIV 3</w:t>
      </w:r>
      <w:r>
        <w:rPr>
          <w:rFonts w:ascii="Arial" w:cs="Arial" w:eastAsia="Arial" w:hAnsi="Arial"/>
          <w:sz w:val="22"/>
          <w:szCs w:val="22"/>
          <w:color w:val="auto"/>
        </w:rPr>
        <w:t>” means the master protocol sponsored by NIAID to evaluate the safety and efficacy of multiple investigational agents aimed at modifying the host immune response to SARS-CoV-2 infection, or directly enhancing viral control in order to limit disease progression, in patients who have been hospitalized with the infection (inpatient), having the ClinicalTrials.gov Identifier: NCT04501978.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669" w:name="page670"/>
    <w:bookmarkEnd w:id="669"/>
    <w:p>
      <w:pPr>
        <w:jc w:val="both"/>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ACTIV Phase 2b/Phase 3 Trial</w:t>
      </w:r>
      <w:r>
        <w:rPr>
          <w:rFonts w:ascii="Arial" w:cs="Arial" w:eastAsia="Arial" w:hAnsi="Arial"/>
          <w:sz w:val="21"/>
          <w:szCs w:val="21"/>
          <w:color w:val="auto"/>
        </w:rPr>
        <w:t>” means the Phase 2/Phase 3 study referenced in the Development Plan for the use of MP0420 (in IV formulation) in hospitalized patients that is intended to be carried out under ACTIV 3.</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xml:space="preserve">” means, with respect to a Party, any person that controls, is controlled by, or is under common control with that Party. For the purpose of this definition, “control” shall mean,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person controls or has the right to control the board of directors or equivalent governing body of a corporation or other entity, or the ability to cause the direction of the management or policies of a corporation or other entity. In the case of entities organized under the laws of certain countries, the maximum percentage ownership permitted by law for a foreign investor may be less than fifty percent (50%) and, in such case, such lower percentage shall be substituted in the preceding sentence; </w:t>
      </w:r>
      <w:r>
        <w:rPr>
          <w:rFonts w:ascii="Arial" w:cs="Arial" w:eastAsia="Arial" w:hAnsi="Arial"/>
          <w:sz w:val="21"/>
          <w:szCs w:val="21"/>
          <w:u w:val="single" w:color="auto"/>
          <w:color w:val="auto"/>
        </w:rPr>
        <w:t>provided</w:t>
      </w:r>
      <w:r>
        <w:rPr>
          <w:rFonts w:ascii="Arial" w:cs="Arial" w:eastAsia="Arial" w:hAnsi="Arial"/>
          <w:sz w:val="21"/>
          <w:szCs w:val="21"/>
          <w:color w:val="auto"/>
        </w:rPr>
        <w:t>, that such foreign investor has the power to direct the management and policies of such entity.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 Deadline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Anti-Money Laundering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Alliance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5.6</w:t>
      </w:r>
      <w:r>
        <w:rPr>
          <w:rFonts w:ascii="Arial" w:cs="Arial" w:eastAsia="Arial" w:hAnsi="Arial"/>
          <w:sz w:val="22"/>
          <w:szCs w:val="22"/>
          <w:color w:val="auto"/>
        </w:rPr>
        <w:t>.</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or “</w:t>
      </w:r>
      <w:r>
        <w:rPr>
          <w:rFonts w:ascii="Arial" w:cs="Arial" w:eastAsia="Arial" w:hAnsi="Arial"/>
          <w:sz w:val="22"/>
          <w:szCs w:val="22"/>
          <w:b w:val="1"/>
          <w:bCs w:val="1"/>
          <w:color w:val="auto"/>
        </w:rPr>
        <w:t>Law</w:t>
      </w:r>
      <w:r>
        <w:rPr>
          <w:rFonts w:ascii="Arial" w:cs="Arial" w:eastAsia="Arial" w:hAnsi="Arial"/>
          <w:sz w:val="22"/>
          <w:szCs w:val="22"/>
          <w:color w:val="auto"/>
        </w:rPr>
        <w:t>” means all applicable laws, statutes, rules, regulations and other pronouncements having the effect of law of any federal, national, multinational, state, cantonal, provincial, county, city or other political subdivision, agency or other body, domestic or foreign, including any applicable rules, regulations, guidelines, or other requirements of the Regulatory Authorities that may be in effect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 day other than a Saturday, Sunday, or a bank or other public holiday in Basel, Switzerland.</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MPAG: (a) a merger, reorganization, combination or consolidation of MPAG with a Third Party that results in the holders of beneficial ownership of the voting securities or other voting interests of MPAG (or, if applicable, the ultimate parent of MPAG) immediately prior to such merger, reorganization, combination or consolidation ceasing to hold beneficial ownership of at least fifty percent (50%) of the combined voting power of the surviving entity or the ultimate parent of the surviving entity immediately after such merger, reorganization, combination or consolidation; (b) a transaction or series of related transactions in which a Third Party, together with its Affiliates, becomes the beneficial owner of fifty percent (50%) or more of the combined voting power of the outstanding securities or other voting interest of MPAG; or (c) the sale or other transfer (in one (1) transaction or a series of related transactions) to a Third Party of all or substantially all of MPAG’s assets. Notwithstanding the foregoing, a Change of Control excludes any change in domicile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0"/>
          </w:cols>
          <w:pgMar w:left="980" w:top="1422" w:right="339" w:bottom="1440" w:gutter="0" w:footer="0" w:header="0"/>
        </w:sectPr>
      </w:pPr>
    </w:p>
    <w:bookmarkStart w:id="670" w:name="page671"/>
    <w:bookmarkEnd w:id="670"/>
    <w:p>
      <w:pPr>
        <w:spacing w:after="0"/>
        <w:rPr>
          <w:sz w:val="20"/>
          <w:szCs w:val="20"/>
          <w:color w:val="auto"/>
        </w:rPr>
      </w:pPr>
      <w:r>
        <w:rPr>
          <w:rFonts w:ascii="Arial" w:cs="Arial" w:eastAsia="Arial" w:hAnsi="Arial"/>
          <w:sz w:val="22"/>
          <w:szCs w:val="22"/>
          <w:color w:val="auto"/>
        </w:rPr>
        <w:t>any transaction involving the public issuance of securities of MPAG purely for financing purposes.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Clinical Trial</w:t>
      </w:r>
      <w:r>
        <w:rPr>
          <w:rFonts w:ascii="Arial" w:cs="Arial" w:eastAsia="Arial" w:hAnsi="Arial"/>
          <w:sz w:val="22"/>
          <w:szCs w:val="22"/>
          <w:color w:val="auto"/>
        </w:rPr>
        <w:t>” means a Phase 1 Trial, a Phase 2 Trial, a Phase 2b/Phase 3 Trial, and/or a Phase 3 Trial, as the context admits.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CMC/Manufacturing Excess Costs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4.13</w:t>
      </w:r>
      <w:r>
        <w:rPr>
          <w:rFonts w:ascii="Arial" w:cs="Arial" w:eastAsia="Arial" w:hAnsi="Arial"/>
          <w:sz w:val="22"/>
          <w:szCs w:val="22"/>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Collaboration</w:t>
      </w:r>
      <w:r>
        <w:rPr>
          <w:rFonts w:ascii="Arial" w:cs="Arial" w:eastAsia="Arial" w:hAnsi="Arial"/>
          <w:sz w:val="22"/>
          <w:szCs w:val="22"/>
          <w:color w:val="auto"/>
        </w:rPr>
        <w:t>” means the conduct of the Development Plan by the Parties in accordance with this Option Agreement during the Term.</w:t>
      </w:r>
    </w:p>
    <w:p>
      <w:pPr>
        <w:spacing w:after="0" w:line="162" w:lineRule="exact"/>
        <w:rPr>
          <w:sz w:val="20"/>
          <w:szCs w:val="20"/>
          <w:color w:val="auto"/>
        </w:rPr>
      </w:pPr>
    </w:p>
    <w:p>
      <w:pPr>
        <w:jc w:val="both"/>
        <w:ind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Commercial Territories</w:t>
      </w:r>
      <w:r>
        <w:rPr>
          <w:rFonts w:ascii="Arial" w:cs="Arial" w:eastAsia="Arial" w:hAnsi="Arial"/>
          <w:sz w:val="21"/>
          <w:szCs w:val="21"/>
          <w:color w:val="auto"/>
        </w:rPr>
        <w:t>” means the [***]; provided, that the specific countries and jurisdictions in the Commercial Territory may be modified during the Term as agreed by the Parties in the Governance Committee.</w:t>
      </w:r>
    </w:p>
    <w:p>
      <w:pPr>
        <w:spacing w:after="0" w:line="13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a Party (directly or through Affiliates) performing activities under this Option Agreement, means such reasonable, diligent, and good-faith efforts to undertake an activity as such Party would normally use to accomplish a similar objective under similar circumstances exercising reasonable business judgment, it being understood and agreed that such efforts shall be substantially similar to those efforts and resources commonly used by such Party for a product owned by it or to which it has rights, which product is of similar market and economic potential as the Products, and at a similar stage in its development or product life as the Products, taking into account efficacy, safety, approved labeling, the competitiveness of alternative products in the marketplace, the patent and other proprietary position of the product, the likelihood of Regulatory Approval given the regulatory structure involved, the profitability, and other relevant factors commonly considered in similar circumstances (including access and coverage factors). It is anticipated that the level of effort may change over time, reflecting changes in the status of a product.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Competing Transaction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220"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Know-How and other proprietary information and data of a financial, scientific, commercial or technical nature which the Disclosing Party has supplied or otherwise made available to the Recipient Party, whether made available orally, in writing or in electronic form, including information comprising or relating to concepts, discoveries, inventions, data, designs or formulae in relation to this Option Agreement.</w:t>
      </w:r>
    </w:p>
    <w:p>
      <w:pPr>
        <w:spacing w:after="0" w:line="135"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that certain Confidential Disclosure Agreement, by and between Novartis and MPAG, dated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0"/>
          </w:cols>
          <w:pgMar w:left="980" w:top="1428" w:right="339" w:bottom="1440" w:gutter="0" w:footer="0" w:header="0"/>
        </w:sectPr>
      </w:pPr>
    </w:p>
    <w:bookmarkStart w:id="671" w:name="page672"/>
    <w:bookmarkEnd w:id="671"/>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 Manufacturing Agreement</w:t>
      </w:r>
      <w:r>
        <w:rPr>
          <w:rFonts w:ascii="Arial" w:cs="Arial" w:eastAsia="Arial" w:hAnsi="Arial"/>
          <w:sz w:val="22"/>
          <w:szCs w:val="22"/>
          <w:color w:val="auto"/>
        </w:rPr>
        <w:t>” means an agreement to be negotiated in good faith by the Parties for the commercial supply of MP0420. [***]</w:t>
      </w:r>
    </w:p>
    <w:p>
      <w:pPr>
        <w:spacing w:after="0" w:line="162"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or “</w:t>
      </w:r>
      <w:r>
        <w:rPr>
          <w:rFonts w:ascii="Arial" w:cs="Arial" w:eastAsia="Arial" w:hAnsi="Arial"/>
          <w:sz w:val="19"/>
          <w:szCs w:val="19"/>
          <w:b w:val="1"/>
          <w:bCs w:val="1"/>
          <w:color w:val="auto"/>
        </w:rPr>
        <w:t>Controlled</w:t>
      </w:r>
      <w:r>
        <w:rPr>
          <w:rFonts w:ascii="Arial" w:cs="Arial" w:eastAsia="Arial" w:hAnsi="Arial"/>
          <w:sz w:val="19"/>
          <w:szCs w:val="19"/>
          <w:color w:val="auto"/>
        </w:rPr>
        <w:t>” means, with respect to any Know-How or Patent Rights, that a Party owns or has a license to such Know-How or Patent Rights and, in each case, has the power to grant to the other Party access, a license, a sublicense or other rights (as applicable) to the same on the terms and conditions set forth in this Option Agreement or the License (as applicable) without violating any obligations of the granting Party to a Third Party.</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Data Package</w:t>
      </w:r>
      <w:r>
        <w:rPr>
          <w:rFonts w:ascii="Arial" w:cs="Arial" w:eastAsia="Arial" w:hAnsi="Arial"/>
          <w:sz w:val="22"/>
          <w:szCs w:val="22"/>
          <w:color w:val="auto"/>
        </w:rPr>
        <w:t>” means a data package with the results of the Planned Phase 1 Trial, the Phase 2 (I.V.) Trial, or the ACTIV Phase 2b/Phase 3 Trial, as applicable, which shall, in each case, include: [***].</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Definitive Agreements</w:t>
      </w:r>
      <w:r>
        <w:rPr>
          <w:rFonts w:ascii="Arial" w:cs="Arial" w:eastAsia="Arial" w:hAnsi="Arial"/>
          <w:sz w:val="19"/>
          <w:szCs w:val="19"/>
          <w:color w:val="auto"/>
        </w:rPr>
        <w:t>” means an exclusive license agreement and such other agreements as the Parties, acting reasonably, agree are required to give effect to the terms set out in the License Term Sheet pursuant to which Novartis shall be granted the License. For the avoidance of doubt, the Definitive Agreements shall include (</w:t>
      </w:r>
      <w:r>
        <w:rPr>
          <w:rFonts w:ascii="Arial" w:cs="Arial" w:eastAsia="Arial" w:hAnsi="Arial"/>
          <w:sz w:val="19"/>
          <w:szCs w:val="19"/>
          <w:i w:val="1"/>
          <w:iCs w:val="1"/>
          <w:color w:val="auto"/>
        </w:rPr>
        <w:t>inter alia</w:t>
      </w:r>
      <w:r>
        <w:rPr>
          <w:rFonts w:ascii="Arial" w:cs="Arial" w:eastAsia="Arial" w:hAnsi="Arial"/>
          <w:sz w:val="19"/>
          <w:szCs w:val="19"/>
          <w:color w:val="auto"/>
        </w:rPr>
        <w:t>): (a) an exclusive license agreement; (b) a pharmacovigilance agreement; and (c) such other agreements as the Parties, acting reasonably, agree are required to give effect to the terms set out in the License Term Sheet.</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Development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13.6</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EUA</w:t>
      </w:r>
      <w:r>
        <w:rPr>
          <w:rFonts w:ascii="Arial" w:cs="Arial" w:eastAsia="Arial" w:hAnsi="Arial"/>
          <w:sz w:val="19"/>
          <w:szCs w:val="19"/>
          <w:color w:val="auto"/>
        </w:rPr>
        <w:t>” means, with respect to a Product, approval by the FDA under §564 of the FD&amp;C Act to be used in an emergency to diagnose, treat, or prevent serious or life-threatening diseases or conditions caused by chemical, biological, radiological and nuclear threat agents when there are no adequate, approved, and available alternatives.</w:t>
      </w:r>
    </w:p>
    <w:p>
      <w:pPr>
        <w:spacing w:after="0" w:line="12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European Union</w:t>
      </w:r>
      <w:r>
        <w:rPr>
          <w:rFonts w:ascii="Arial" w:cs="Arial" w:eastAsia="Arial" w:hAnsi="Arial"/>
          <w:sz w:val="19"/>
          <w:szCs w:val="19"/>
          <w:color w:val="auto"/>
        </w:rPr>
        <w:t>” or “</w:t>
      </w:r>
      <w:r>
        <w:rPr>
          <w:rFonts w:ascii="Arial" w:cs="Arial" w:eastAsia="Arial" w:hAnsi="Arial"/>
          <w:sz w:val="19"/>
          <w:szCs w:val="19"/>
          <w:b w:val="1"/>
          <w:bCs w:val="1"/>
          <w:color w:val="auto"/>
        </w:rPr>
        <w:t>EU</w:t>
      </w:r>
      <w:r>
        <w:rPr>
          <w:rFonts w:ascii="Arial" w:cs="Arial" w:eastAsia="Arial" w:hAnsi="Arial"/>
          <w:sz w:val="19"/>
          <w:szCs w:val="19"/>
          <w:color w:val="auto"/>
        </w:rPr>
        <w:t xml:space="preserve">” means the European Union member states as then constituted. As of the Execution Date, the European Union member states are Austria, Belgium, Bulgaria, Croatia, Cyprus, the Czech Republic, Denmark, Estonia, Finland, France, Germany, Greece, Hungary, Ireland, Italy, Latvia, Lithuania, Luxembourg, Malta, the Netherlands, Poland, Portugal, Romania, Slovakia, Slovenia, Spain, and Sweden; </w:t>
      </w:r>
      <w:r>
        <w:rPr>
          <w:rFonts w:ascii="Arial" w:cs="Arial" w:eastAsia="Arial" w:hAnsi="Arial"/>
          <w:sz w:val="19"/>
          <w:szCs w:val="19"/>
          <w:u w:val="single" w:color="auto"/>
          <w:color w:val="auto"/>
        </w:rPr>
        <w:t>provided</w:t>
      </w:r>
      <w:r>
        <w:rPr>
          <w:rFonts w:ascii="Arial" w:cs="Arial" w:eastAsia="Arial" w:hAnsi="Arial"/>
          <w:sz w:val="19"/>
          <w:szCs w:val="19"/>
          <w:color w:val="auto"/>
        </w:rPr>
        <w:t>, for the purposes of this Option Agreement and the License Agreement, the United Kingdom shall also be considered a member state of the EU.</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Documents</w:t>
      </w:r>
      <w:r>
        <w:rPr>
          <w:rFonts w:ascii="Arial" w:cs="Arial" w:eastAsia="Arial" w:hAnsi="Arial"/>
          <w:sz w:val="22"/>
          <w:szCs w:val="22"/>
          <w:color w:val="auto"/>
        </w:rPr>
        <w:t>” means this Option Agreement and such other documents as may be agreed by the Parties in respect of the Equity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22" w:right="339" w:bottom="1440" w:gutter="0" w:footer="0" w:header="0"/>
        </w:sectPr>
      </w:pPr>
    </w:p>
    <w:bookmarkStart w:id="672" w:name="page673"/>
    <w:bookmarkEnd w:id="672"/>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Investment</w:t>
      </w:r>
      <w:r>
        <w:rPr>
          <w:rFonts w:ascii="Arial" w:cs="Arial" w:eastAsia="Arial" w:hAnsi="Arial"/>
          <w:sz w:val="22"/>
          <w:szCs w:val="22"/>
          <w:color w:val="auto"/>
        </w:rPr>
        <w:t>” means the exercise by Novartis of rights to acquire shares in the capital of MPAG at a price of CHF 23.00 per share, for an aggregate amount of CHF 40,000,000, pursuant to, and in accordance with, the terms of this Option Agreement and the Equity Documents.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Investment Shares</w:t>
      </w:r>
      <w:r>
        <w:rPr>
          <w:rFonts w:ascii="Arial" w:cs="Arial" w:eastAsia="Arial" w:hAnsi="Arial"/>
          <w:sz w:val="22"/>
          <w:szCs w:val="22"/>
          <w:color w:val="auto"/>
        </w:rPr>
        <w:t>” means the shares in MPAG to which the Equity Investment relates.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Execution Date</w:t>
      </w:r>
      <w:r>
        <w:rPr>
          <w:rFonts w:ascii="Arial" w:cs="Arial" w:eastAsia="Arial" w:hAnsi="Arial"/>
          <w:sz w:val="22"/>
          <w:szCs w:val="22"/>
          <w:color w:val="auto"/>
        </w:rPr>
        <w:t>” has the meaning set forth in the caption hereto.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Extended Stop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FD&amp;C Act</w:t>
      </w:r>
      <w:r>
        <w:rPr>
          <w:rFonts w:ascii="Arial" w:cs="Arial" w:eastAsia="Arial" w:hAnsi="Arial"/>
          <w:sz w:val="22"/>
          <w:szCs w:val="22"/>
          <w:color w:val="auto"/>
        </w:rPr>
        <w:t>” means the U. S. Federal Food, Drug, and Cosmetic Act, as amended.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 S. Food and Drug Administration or any successor entity.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all uses of the Products in all (existing and future) indications in humans and animals.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FISA</w:t>
      </w:r>
      <w:r>
        <w:rPr>
          <w:rFonts w:ascii="Arial" w:cs="Arial" w:eastAsia="Arial" w:hAnsi="Arial"/>
          <w:sz w:val="22"/>
          <w:szCs w:val="22"/>
          <w:color w:val="auto"/>
        </w:rPr>
        <w:t>” means the Swiss Federal Act on Intermediated Securities of October 3, 2008, as amended.</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FMIA</w:t>
      </w:r>
      <w:r>
        <w:rPr>
          <w:rFonts w:ascii="Arial" w:cs="Arial" w:eastAsia="Arial" w:hAnsi="Arial"/>
          <w:sz w:val="22"/>
          <w:szCs w:val="22"/>
          <w:color w:val="auto"/>
        </w:rPr>
        <w:t>” means the Swiss Federal Act on Financial Market Infrastructures and Market Conduct in Securities and Derivatives Trading of June 19, 2015, as amended.</w:t>
      </w:r>
    </w:p>
    <w:p>
      <w:pPr>
        <w:spacing w:after="0" w:line="162" w:lineRule="exact"/>
        <w:rPr>
          <w:sz w:val="20"/>
          <w:szCs w:val="20"/>
          <w:color w:val="auto"/>
        </w:rPr>
      </w:pPr>
    </w:p>
    <w:p>
      <w:pPr>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FMIO-FINMA</w:t>
      </w:r>
      <w:r>
        <w:rPr>
          <w:rFonts w:ascii="Arial" w:cs="Arial" w:eastAsia="Arial" w:hAnsi="Arial"/>
          <w:sz w:val="21"/>
          <w:szCs w:val="21"/>
          <w:color w:val="auto"/>
        </w:rPr>
        <w:t>” means the Ordinance of the Swiss Financial Market Supervisory Authority on Financial Market Infrastructures and Market Conduct in Securities and Derivatives Trading of December 3, 2015, as amended.</w:t>
      </w:r>
    </w:p>
    <w:p>
      <w:pPr>
        <w:spacing w:after="0" w:line="139"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a full-time equivalent person year (consisting of a total of [***] per year) of activities undertaken by MPAG.</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the rate per FTE of [***] with respect to activities conducted pursuant to this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“Full Form Development Plan” </w:t>
      </w:r>
      <w:r>
        <w:rPr>
          <w:rFonts w:ascii="Arial" w:cs="Arial" w:eastAsia="Arial" w:hAnsi="Arial"/>
          <w:sz w:val="22"/>
          <w:szCs w:val="22"/>
          <w:color w:val="auto"/>
        </w:rPr>
        <w:t>has the meaning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“Governance Committee” </w:t>
      </w:r>
      <w:r>
        <w:rPr>
          <w:rFonts w:ascii="Arial" w:cs="Arial" w:eastAsia="Arial" w:hAnsi="Arial"/>
          <w:sz w:val="22"/>
          <w:szCs w:val="22"/>
          <w:color w:val="auto"/>
        </w:rPr>
        <w:t>has the meaning set forth in Section 5.1.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HKMA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HMT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0"/>
          </w:cols>
          <w:pgMar w:left="980" w:top="1422" w:right="339" w:bottom="1440" w:gutter="0" w:footer="0" w:header="0"/>
        </w:sectPr>
      </w:pPr>
    </w:p>
    <w:bookmarkStart w:id="673" w:name="page674"/>
    <w:bookmarkEnd w:id="673"/>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Stop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Invention</w:t>
      </w:r>
      <w:r>
        <w:rPr>
          <w:rFonts w:ascii="Arial" w:cs="Arial" w:eastAsia="Arial" w:hAnsi="Arial"/>
          <w:sz w:val="22"/>
          <w:szCs w:val="22"/>
          <w:color w:val="auto"/>
        </w:rPr>
        <w:t>” means all inventions, whether or not patentable, including any Know-How, that are discovered, conceived, reduced to practice or otherwise made by or on behalf of either Party in the performance of the MPAG Activities or the Novartis Activities or otherwise under this Option Agreement. Notwithstanding the foregoing, Inventions exclude Option Period Data and New Manufacturing IP.</w:t>
      </w:r>
    </w:p>
    <w:p>
      <w:pPr>
        <w:spacing w:after="0" w:line="18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IRB</w:t>
      </w:r>
      <w:r>
        <w:rPr>
          <w:rFonts w:ascii="Arial" w:cs="Arial" w:eastAsia="Arial" w:hAnsi="Arial"/>
          <w:sz w:val="22"/>
          <w:szCs w:val="22"/>
          <w:color w:val="auto"/>
        </w:rPr>
        <w:t>” means an institutional or central review board, or equivalent body or committee, having jurisdiction over the conduct of a Clinical Trial.</w:t>
      </w:r>
    </w:p>
    <w:p>
      <w:pPr>
        <w:spacing w:after="0" w:line="16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Know-How</w:t>
      </w:r>
      <w:r>
        <w:rPr>
          <w:rFonts w:ascii="Arial" w:cs="Arial" w:eastAsia="Arial" w:hAnsi="Arial"/>
          <w:sz w:val="19"/>
          <w:szCs w:val="19"/>
          <w:color w:val="auto"/>
        </w:rPr>
        <w:t>” means all technical information, know-how and data, including inventions (whether patentable or not), discoveries, trade secrets, specifications, instructions, processes, formulae, materials, expertise and other technology applicable to compounds, formulations, compositions, products or to their manufacture, development, registration, use or commercialization or methods of assaying or testing them or processes for their manufacture, formulations containing them, compositions incorporating or comprising them and including all biological, chemical, pharmacological, biochemical, toxicological, pharmaceutical, physical and analytical, safety, quality control, manufacturing, preclinical and clinical data, instructions, processes, formulae, expertise and information, regulatory filings and copies thereof, relevant to the development, manufacture, use or commercialization of or which may be useful in studying, testing, development, production or formulation of products, or intermediates for the synthesis thereof.</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Lead Executives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 Term Sheet</w:t>
      </w:r>
      <w:r>
        <w:rPr>
          <w:rFonts w:ascii="Arial" w:cs="Arial" w:eastAsia="Arial" w:hAnsi="Arial"/>
          <w:sz w:val="22"/>
          <w:szCs w:val="22"/>
          <w:color w:val="auto"/>
        </w:rPr>
        <w:t xml:space="preserve">” means License Term Sheet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Losses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MP0420</w:t>
      </w:r>
      <w:r>
        <w:rPr>
          <w:rFonts w:ascii="Arial" w:cs="Arial" w:eastAsia="Arial" w:hAnsi="Arial"/>
          <w:sz w:val="21"/>
          <w:szCs w:val="21"/>
          <w:color w:val="auto"/>
        </w:rPr>
        <w:t xml:space="preserve">” means the multi-specific designed ankyrin repeat protein with the amino acid sequence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certain sequence variants thereof, and any other chemically modified versions of such proteins, and any fused or conjugated versions of any of the foregoing, [***] set forth on Exhibit C hereto.</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MP0420 CMC/Manufacturing Activities</w:t>
      </w:r>
      <w:r>
        <w:rPr>
          <w:rFonts w:ascii="Arial" w:cs="Arial" w:eastAsia="Arial" w:hAnsi="Arial"/>
          <w:sz w:val="22"/>
          <w:szCs w:val="22"/>
          <w:color w:val="auto"/>
        </w:rPr>
        <w:t xml:space="preserve">” means those technical transfer activities in respect of MP0420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which are indicated as [***] as set out in the work packages as of the Execution Date.</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MP0423</w:t>
      </w:r>
      <w:r>
        <w:rPr>
          <w:rFonts w:ascii="Arial" w:cs="Arial" w:eastAsia="Arial" w:hAnsi="Arial"/>
          <w:sz w:val="21"/>
          <w:szCs w:val="21"/>
          <w:color w:val="auto"/>
        </w:rPr>
        <w:t xml:space="preserve">” means the multi-specific designed ankyrin repeat protein with the amino acid sequence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including certain sequence variants thereof, and any other chemically modified versions of such proteins, and any fused or conjugated versions of any of the foregoing, [***]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0"/>
          </w:cols>
          <w:pgMar w:left="980" w:top="1422" w:right="339" w:bottom="1440" w:gutter="0" w:footer="0" w:header="0"/>
        </w:sectPr>
      </w:pPr>
    </w:p>
    <w:bookmarkStart w:id="674" w:name="page675"/>
    <w:bookmarkEnd w:id="67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w:t>
      </w:r>
      <w:r>
        <w:rPr>
          <w:rFonts w:ascii="Arial" w:cs="Arial" w:eastAsia="Arial" w:hAnsi="Arial"/>
          <w:sz w:val="22"/>
          <w:szCs w:val="22"/>
          <w:color w:val="auto"/>
        </w:rPr>
        <w:t>” has the meaning set forth in the caption hereto.</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Activities</w:t>
      </w:r>
      <w:r>
        <w:rPr>
          <w:rFonts w:ascii="Arial" w:cs="Arial" w:eastAsia="Arial" w:hAnsi="Arial"/>
          <w:sz w:val="22"/>
          <w:szCs w:val="22"/>
          <w:color w:val="auto"/>
        </w:rPr>
        <w:t>” means the non-clinical and clinical activities for which MPAG or its Affiliates are designated as responsible under a Development Plan.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CMC/Manufacturing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4.13</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Information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10.2(m)</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Know-How</w:t>
      </w:r>
      <w:r>
        <w:rPr>
          <w:rFonts w:ascii="Arial" w:cs="Arial" w:eastAsia="Arial" w:hAnsi="Arial"/>
          <w:sz w:val="22"/>
          <w:szCs w:val="22"/>
          <w:color w:val="auto"/>
        </w:rPr>
        <w:t>” means the MPAG Platform Know-How and MPAG Products Know-How.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Patents</w:t>
      </w:r>
      <w:r>
        <w:rPr>
          <w:rFonts w:ascii="Arial" w:cs="Arial" w:eastAsia="Arial" w:hAnsi="Arial"/>
          <w:sz w:val="22"/>
          <w:szCs w:val="22"/>
          <w:color w:val="auto"/>
        </w:rPr>
        <w:t>” means the MPAG Platform Patents and MPAG Products Patents.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Platform Know-How</w:t>
      </w:r>
      <w:r>
        <w:rPr>
          <w:rFonts w:ascii="Arial" w:cs="Arial" w:eastAsia="Arial" w:hAnsi="Arial"/>
          <w:sz w:val="22"/>
          <w:szCs w:val="22"/>
          <w:color w:val="auto"/>
        </w:rPr>
        <w:t>” means all Know-How (other than MPAG Products Know-How) owned or otherwise Controlled by MPAG or any of its Affiliates as of the Execution Date or thereafter during the Term that relates to the Platform.</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Products Know-How</w:t>
      </w:r>
      <w:r>
        <w:rPr>
          <w:rFonts w:ascii="Arial" w:cs="Arial" w:eastAsia="Arial" w:hAnsi="Arial"/>
          <w:sz w:val="22"/>
          <w:szCs w:val="22"/>
          <w:color w:val="auto"/>
        </w:rPr>
        <w:t>” means all Know-How owned or otherwise Controlled by MPAG or any of its Affiliates as of the Execution Date or thereafter during the Term that is necessary for and relates solely and specifically to the research, development, manufacture, preparation, use, or commercialization of a Product.</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MPAG Platform Patents</w:t>
      </w:r>
      <w:r>
        <w:rPr>
          <w:rFonts w:ascii="Arial" w:cs="Arial" w:eastAsia="Arial" w:hAnsi="Arial"/>
          <w:sz w:val="19"/>
          <w:szCs w:val="19"/>
          <w:color w:val="auto"/>
        </w:rPr>
        <w:t xml:space="preserve">” means all Patent Rights (other than MPAG Products Patents) owned or otherwise Controlled by MPAG or any of its Affiliates as of the Execution Date or thereafter during the Term having claims: (a) covering the Platform, its use or composition; (b) that are otherwise related to the Platform, or (c) that are otherwise necessary or reasonably useful for the research, development, manufacture, preparation, use or commercialization of the Product in the Field in the Territory. The MPAG Platform Patents existing as of the Execution Date are set forth on </w:t>
      </w:r>
      <w:r>
        <w:rPr>
          <w:rFonts w:ascii="Arial" w:cs="Arial" w:eastAsia="Arial" w:hAnsi="Arial"/>
          <w:sz w:val="19"/>
          <w:szCs w:val="19"/>
          <w:u w:val="single" w:color="auto"/>
          <w:color w:val="auto"/>
        </w:rPr>
        <w:t>Exhibit E-2</w:t>
      </w:r>
      <w:r>
        <w:rPr>
          <w:rFonts w:ascii="Arial" w:cs="Arial" w:eastAsia="Arial" w:hAnsi="Arial"/>
          <w:sz w:val="19"/>
          <w:szCs w:val="19"/>
          <w:color w:val="auto"/>
        </w:rPr>
        <w:t>.</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Products Manufacturing Process</w:t>
      </w:r>
      <w:r>
        <w:rPr>
          <w:rFonts w:ascii="Arial" w:cs="Arial" w:eastAsia="Arial" w:hAnsi="Arial"/>
          <w:sz w:val="22"/>
          <w:szCs w:val="22"/>
          <w:color w:val="auto"/>
        </w:rPr>
        <w:t>” means the MPAG Know-How necessary or reasonably useful to commercially manufacture the Products.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MPAG Products Patents</w:t>
      </w:r>
      <w:r>
        <w:rPr>
          <w:rFonts w:ascii="Arial" w:cs="Arial" w:eastAsia="Arial" w:hAnsi="Arial"/>
          <w:sz w:val="22"/>
          <w:szCs w:val="22"/>
          <w:color w:val="auto"/>
        </w:rPr>
        <w:t xml:space="preserve">” means all Patent Rights owned or otherwise Controlled by MPAG or any of its Affiliates as of the Execution Date or thereafter during the Term having claims solely and specifically covering a Product, its use, composition, formulation, preparation or manufacture. The MPAG Product Patents existing as of the Execution Date are set forth on </w:t>
      </w:r>
      <w:r>
        <w:rPr>
          <w:rFonts w:ascii="Arial" w:cs="Arial" w:eastAsia="Arial" w:hAnsi="Arial"/>
          <w:sz w:val="22"/>
          <w:szCs w:val="22"/>
          <w:u w:val="single" w:color="auto"/>
          <w:color w:val="auto"/>
        </w:rPr>
        <w:t>Exhibit E-1</w:t>
      </w:r>
      <w:r>
        <w:rPr>
          <w:rFonts w:ascii="Arial" w:cs="Arial" w:eastAsia="Arial" w:hAnsi="Arial"/>
          <w:sz w:val="22"/>
          <w:szCs w:val="22"/>
          <w:color w:val="auto"/>
        </w:rPr>
        <w:t>.</w:t>
      </w:r>
    </w:p>
    <w:p>
      <w:pPr>
        <w:spacing w:after="0" w:line="18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“New Manufacturing IP” </w:t>
      </w:r>
      <w:r>
        <w:rPr>
          <w:rFonts w:ascii="Arial" w:cs="Arial" w:eastAsia="Arial" w:hAnsi="Arial"/>
          <w:sz w:val="19"/>
          <w:szCs w:val="19"/>
          <w:color w:val="auto"/>
        </w:rPr>
        <w:t>means any Know-How or Patent Rights generated by or on behalf of either Party or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that are improvements of the MPAG Products Manufacturing Process or are otherwise necessary for the manufacture of the Products. Notwithstanding the foregoing, New Manufacturing IP excludes Novartis Background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0"/>
          </w:cols>
          <w:pgMar w:left="980" w:top="1422" w:right="339" w:bottom="1440" w:gutter="0" w:footer="0" w:header="0"/>
        </w:sectPr>
      </w:pPr>
    </w:p>
    <w:bookmarkStart w:id="675" w:name="page676"/>
    <w:bookmarkEnd w:id="675"/>
    <w:p>
      <w:pPr>
        <w:jc w:val="both"/>
        <w:ind w:right="20"/>
        <w:spacing w:after="0" w:line="263" w:lineRule="auto"/>
        <w:rPr>
          <w:sz w:val="20"/>
          <w:szCs w:val="20"/>
          <w:color w:val="auto"/>
        </w:rPr>
      </w:pPr>
      <w:r>
        <w:rPr>
          <w:rFonts w:ascii="Arial" w:cs="Arial" w:eastAsia="Arial" w:hAnsi="Arial"/>
          <w:sz w:val="22"/>
          <w:szCs w:val="22"/>
          <w:color w:val="auto"/>
        </w:rPr>
        <w:t>Technology and MPAG Products Manufacturing Process (i.e., MPAG’s background intellectual property) necessary to practice the New Manufacturing IP.</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w:t>
      </w:r>
      <w:r>
        <w:rPr>
          <w:rFonts w:ascii="Arial" w:cs="Arial" w:eastAsia="Arial" w:hAnsi="Arial"/>
          <w:sz w:val="22"/>
          <w:szCs w:val="22"/>
          <w:color w:val="auto"/>
        </w:rPr>
        <w:t>” has the meaning set forth in the caption hereto.</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Activities</w:t>
      </w:r>
      <w:r>
        <w:rPr>
          <w:rFonts w:ascii="Arial" w:cs="Arial" w:eastAsia="Arial" w:hAnsi="Arial"/>
          <w:sz w:val="22"/>
          <w:szCs w:val="22"/>
          <w:color w:val="auto"/>
        </w:rPr>
        <w:t xml:space="preserve">” any activities Novartis will perform under this Option Agreement during the Option Period as set forth in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and any other activities the Parties mutually agree Novartis will be responsible for conducting under a Development Plan.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CMC/Manufacturing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4.13</w:t>
      </w:r>
      <w:r>
        <w:rPr>
          <w:rFonts w:ascii="Arial" w:cs="Arial" w:eastAsia="Arial" w:hAnsi="Arial"/>
          <w:sz w:val="22"/>
          <w:szCs w:val="22"/>
          <w:color w:val="auto"/>
        </w:rPr>
        <w:t>.</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Background Technology</w:t>
      </w:r>
      <w:r>
        <w:rPr>
          <w:rFonts w:ascii="Arial" w:cs="Arial" w:eastAsia="Arial" w:hAnsi="Arial"/>
          <w:sz w:val="22"/>
          <w:szCs w:val="22"/>
          <w:color w:val="auto"/>
        </w:rPr>
        <w:t>” means any intellectual property (including Patent Rights and Know-How) related to the formulation and manufacturing of pharmaceutical products which was Controlled by Novartis or its Affiliates prior to the Execution Date or is acquired or created by Novartis independently of and not in connection with this Option Agreement.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Novartis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 10.2(n)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Agreement</w:t>
      </w:r>
      <w:r>
        <w:rPr>
          <w:rFonts w:ascii="Arial" w:cs="Arial" w:eastAsia="Arial" w:hAnsi="Arial"/>
          <w:sz w:val="22"/>
          <w:szCs w:val="22"/>
          <w:color w:val="auto"/>
        </w:rPr>
        <w:t>” has the meaning set forth in the caption hereto.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Period</w:t>
      </w:r>
      <w:r>
        <w:rPr>
          <w:rFonts w:ascii="Arial" w:cs="Arial" w:eastAsia="Arial" w:hAnsi="Arial"/>
          <w:sz w:val="22"/>
          <w:szCs w:val="22"/>
          <w:color w:val="auto"/>
        </w:rPr>
        <w:t>” means the period of time commencing on the Execution Date and ending at [***].</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Period Data</w:t>
      </w:r>
      <w:r>
        <w:rPr>
          <w:rFonts w:ascii="Arial" w:cs="Arial" w:eastAsia="Arial" w:hAnsi="Arial"/>
          <w:sz w:val="22"/>
          <w:szCs w:val="22"/>
          <w:color w:val="auto"/>
        </w:rPr>
        <w:t>” means all data (including raw data) and results generated by or on behalf of a Party in the performance of the MPAG Activities or the Novartis Activities or otherwise under this Option Agreement.</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Patent Rights</w:t>
      </w:r>
      <w:r>
        <w:rPr>
          <w:rFonts w:ascii="Arial" w:cs="Arial" w:eastAsia="Arial" w:hAnsi="Arial"/>
          <w:sz w:val="22"/>
          <w:szCs w:val="22"/>
          <w:color w:val="auto"/>
        </w:rPr>
        <w:t>” means (a) patents, patent applications and similar government-issued rights protecting inventions in any country or jurisdiction however denominated, (b) all priority applications, divisionals, continuations, substitutions, continuations-in-part of and similar applications claiming priority to any of the foregoing, and (c) all patents and similar government-issued rights protecting inventions issuing on any of the foregoing applications, together with all registrations, reissues, renewals, re-examinations, confirmations, supplementary protection certificates, and extensions of any of (a), (b) or (c).</w:t>
      </w:r>
    </w:p>
    <w:p>
      <w:pPr>
        <w:spacing w:after="0" w:line="18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1 Trial</w:t>
      </w:r>
      <w:r>
        <w:rPr>
          <w:rFonts w:ascii="Arial" w:cs="Arial" w:eastAsia="Arial" w:hAnsi="Arial"/>
          <w:sz w:val="22"/>
          <w:szCs w:val="22"/>
          <w:color w:val="auto"/>
        </w:rPr>
        <w:t>” means, with respect to a Product, a human clinical trial that is intended to initially evaluate the safety, metabolism and pharmacokinetics of such Product that would otherwise satisfy the requirements of 21 C.F.R. §312.21(a), or an equivalent clinical trial in a country other than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28" w:right="339" w:bottom="1440" w:gutter="0" w:footer="0" w:header="0"/>
        </w:sectPr>
      </w:pPr>
    </w:p>
    <w:bookmarkStart w:id="676" w:name="page677"/>
    <w:bookmarkEnd w:id="676"/>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2 (I.V.) Trial</w:t>
      </w:r>
      <w:r>
        <w:rPr>
          <w:rFonts w:ascii="Arial" w:cs="Arial" w:eastAsia="Arial" w:hAnsi="Arial"/>
          <w:sz w:val="22"/>
          <w:szCs w:val="22"/>
          <w:color w:val="auto"/>
        </w:rPr>
        <w:t>” means the Phase 2 (I.V.) Trial for MP0420 for described in the Novartis funded development activities section of the Initial Development Plan, with the intent of demonstrating proof of concept in order to apply for, and obtain, an EUA.</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Phase 2 Trial</w:t>
      </w:r>
      <w:r>
        <w:rPr>
          <w:rFonts w:ascii="Arial" w:cs="Arial" w:eastAsia="Arial" w:hAnsi="Arial"/>
          <w:sz w:val="21"/>
          <w:szCs w:val="21"/>
          <w:color w:val="auto"/>
        </w:rPr>
        <w:t>” means, with respect to a Product, a human clinical trial for which the primary endpoints include a determination of safety, dose ranges or an indication of efficacy of such Product in patients being studied as described in 21 C.F.R. §312.21(b), or an equivalent clinical trial in a country other than the United States, and that is prospectively designed to generate sufficient data (if successful) to commence pivotal clinical trials. Such definition shall include any study or investigation labeled as a “Phase 2a” or “Phase 2b” trial.</w:t>
      </w:r>
    </w:p>
    <w:p>
      <w:pPr>
        <w:spacing w:after="0" w:line="17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2b/Phase 3 Trial</w:t>
      </w:r>
      <w:r>
        <w:rPr>
          <w:rFonts w:ascii="Arial" w:cs="Arial" w:eastAsia="Arial" w:hAnsi="Arial"/>
          <w:sz w:val="22"/>
          <w:szCs w:val="22"/>
          <w:color w:val="auto"/>
        </w:rPr>
        <w:t>” means, with respect to a Product, a combination human clinical trial that satisfies the criteria of both a Phase 2 Trial and a Phase 3 Trial.</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Phase 3 Trial</w:t>
      </w:r>
      <w:r>
        <w:rPr>
          <w:rFonts w:ascii="Arial" w:cs="Arial" w:eastAsia="Arial" w:hAnsi="Arial"/>
          <w:sz w:val="22"/>
          <w:szCs w:val="22"/>
          <w:color w:val="auto"/>
        </w:rPr>
        <w:t>” means, with respect to a Product, a human clinical trial (regardless of whether actually designated as “</w:t>
      </w:r>
      <w:r>
        <w:rPr>
          <w:rFonts w:ascii="Arial" w:cs="Arial" w:eastAsia="Arial" w:hAnsi="Arial"/>
          <w:sz w:val="22"/>
          <w:szCs w:val="22"/>
          <w:b w:val="1"/>
          <w:bCs w:val="1"/>
          <w:color w:val="auto"/>
        </w:rPr>
        <w:t>Phase 3</w:t>
      </w:r>
      <w:r>
        <w:rPr>
          <w:rFonts w:ascii="Arial" w:cs="Arial" w:eastAsia="Arial" w:hAnsi="Arial"/>
          <w:sz w:val="22"/>
          <w:szCs w:val="22"/>
          <w:color w:val="auto"/>
        </w:rPr>
        <w:t>”) that is prospectively designed, along with other Phase 3 Trials, to demonstrate statistically whether such Product is safe and effective for use in humans in the indication being investigated as described in 21 C.F.R. §312.21(c), or an equivalent clinical trial in a country other than the United States.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Planned Phase 1 Trial</w:t>
      </w:r>
      <w:r>
        <w:rPr>
          <w:rFonts w:ascii="Arial" w:cs="Arial" w:eastAsia="Arial" w:hAnsi="Arial"/>
          <w:sz w:val="22"/>
          <w:szCs w:val="22"/>
          <w:color w:val="auto"/>
        </w:rPr>
        <w:t>” means the Phase 1 Trial in respect of MP0420 that is being prepared by MPAG as of the Execution Date and which is referred to in the Initial Development Plan as “FIH (I.V.) cohorts in HV”.</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Planned Phase 1 Trial Protocol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4.3(a)(i)</w:t>
      </w:r>
      <w:r>
        <w:rPr>
          <w:rFonts w:ascii="Arial" w:cs="Arial" w:eastAsia="Arial" w:hAnsi="Arial"/>
          <w:sz w:val="22"/>
          <w:szCs w:val="22"/>
          <w:color w:val="auto"/>
        </w:rPr>
        <w:t>.</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Platform</w:t>
      </w:r>
      <w:r>
        <w:rPr>
          <w:rFonts w:ascii="Arial" w:cs="Arial" w:eastAsia="Arial" w:hAnsi="Arial"/>
          <w:sz w:val="22"/>
          <w:szCs w:val="22"/>
          <w:color w:val="auto"/>
        </w:rPr>
        <w:t>” means MPAG’s proprietary DARPin® platform technology, pursuant to which MPAG produces pharmaceutical product candidates, including the Products, utilizing DARPin® libraries and protein modules and domains.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Platform IP</w:t>
      </w:r>
      <w:r>
        <w:rPr>
          <w:rFonts w:ascii="Arial" w:cs="Arial" w:eastAsia="Arial" w:hAnsi="Arial"/>
          <w:sz w:val="22"/>
          <w:szCs w:val="22"/>
          <w:color w:val="auto"/>
        </w:rPr>
        <w:t>” means the MPAG Platform Know-How and the MPAG Platform Patents.</w:t>
      </w:r>
    </w:p>
    <w:p>
      <w:pPr>
        <w:spacing w:after="0" w:line="22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Products</w:t>
      </w:r>
      <w:r>
        <w:rPr>
          <w:rFonts w:ascii="Arial" w:cs="Arial" w:eastAsia="Arial" w:hAnsi="Arial"/>
          <w:sz w:val="22"/>
          <w:szCs w:val="22"/>
          <w:color w:val="auto"/>
        </w:rPr>
        <w:t>” means MP0420 and MP0423, collectively, and the correlative, “</w:t>
      </w:r>
      <w:r>
        <w:rPr>
          <w:rFonts w:ascii="Arial" w:cs="Arial" w:eastAsia="Arial" w:hAnsi="Arial"/>
          <w:sz w:val="22"/>
          <w:szCs w:val="22"/>
          <w:b w:val="1"/>
          <w:bCs w:val="1"/>
          <w:color w:val="auto"/>
        </w:rPr>
        <w:t>Product</w:t>
      </w:r>
      <w:r>
        <w:rPr>
          <w:rFonts w:ascii="Arial" w:cs="Arial" w:eastAsia="Arial" w:hAnsi="Arial"/>
          <w:sz w:val="22"/>
          <w:szCs w:val="22"/>
          <w:color w:val="auto"/>
        </w:rPr>
        <w:t>” means either of MP0420 or MP0423, as applicable.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Products IP</w:t>
      </w:r>
      <w:r>
        <w:rPr>
          <w:rFonts w:ascii="Arial" w:cs="Arial" w:eastAsia="Arial" w:hAnsi="Arial"/>
          <w:sz w:val="22"/>
          <w:szCs w:val="22"/>
          <w:color w:val="auto"/>
        </w:rPr>
        <w:t>” means the MPAG Products Know-How and the MPAG Products Patents.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Recipient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with respect to a Product in any country or other jurisdiction, any approval (including, where required, pricing and reimbursement approvals), registration, license or authorization from a Regulatory Authority in such country or other jurisdiction that is necessary to market and sell such Product in such country or jurisdiction, including in the US, an EUA.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1422" w:right="339" w:bottom="1440" w:gutter="0" w:footer="0" w:header="0"/>
        </w:sectPr>
      </w:pPr>
    </w:p>
    <w:bookmarkStart w:id="677" w:name="page678"/>
    <w:bookmarkEnd w:id="677"/>
    <w:p>
      <w:pPr>
        <w:jc w:val="both"/>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Regulatory Authority</w:t>
      </w:r>
      <w:r>
        <w:rPr>
          <w:rFonts w:ascii="Arial" w:cs="Arial" w:eastAsia="Arial" w:hAnsi="Arial"/>
          <w:sz w:val="19"/>
          <w:szCs w:val="19"/>
          <w:color w:val="auto"/>
        </w:rPr>
        <w:t>” means any governmental agency or authority responsible for granting Regulatory Approvals for biopharmaceutical products, including the FDA, EMA and any corresponding national or regional regulatory authorities.</w:t>
      </w:r>
    </w:p>
    <w:p>
      <w:pPr>
        <w:spacing w:after="0" w:line="9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Regulatory Filings</w:t>
      </w:r>
      <w:r>
        <w:rPr>
          <w:rFonts w:ascii="Arial" w:cs="Arial" w:eastAsia="Arial" w:hAnsi="Arial"/>
          <w:sz w:val="19"/>
          <w:szCs w:val="19"/>
          <w:color w:val="auto"/>
        </w:rPr>
        <w:t>” means, with respect to a product, any submission to a Regulatory Authority of any appropriate regulatory application with respect to such product, including any submission to a regulatory advisory board, marketing authorization application, EUA application, and any supplement or amendment thereto, including any IND, BLA, MAA, or the corresponding application in any other country or group of countries with respect to such product.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all regulatory applications, submissions, notifications, communications, correspondences, registrations, approvals, and other filings submitted to, received from or otherwise conducted with a Regulatory Authority in order to exploit the Product in the Field in a particular country or jurisdiction in the Territory, including Regulatory Filings, Regulatory Approvals, and EUAs.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Countries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w:t>
      </w:r>
      <w:r>
        <w:rPr>
          <w:rFonts w:ascii="Arial" w:cs="Arial" w:eastAsia="Arial" w:hAnsi="Arial"/>
          <w:sz w:val="22"/>
          <w:szCs w:val="22"/>
          <w:color w:val="auto"/>
        </w:rPr>
        <w:t>.</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Sponsor</w:t>
      </w:r>
      <w:r>
        <w:rPr>
          <w:rFonts w:ascii="Arial" w:cs="Arial" w:eastAsia="Arial" w:hAnsi="Arial"/>
          <w:sz w:val="22"/>
          <w:szCs w:val="22"/>
          <w:color w:val="auto"/>
        </w:rPr>
        <w:t>” means, in relation to any Clinical Trial, the organization or person who initiates the Clinical Trial and who has authority and control over the Clinical Trial.</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Successful Completion</w:t>
      </w:r>
      <w:r>
        <w:rPr>
          <w:rFonts w:ascii="Arial" w:cs="Arial" w:eastAsia="Arial" w:hAnsi="Arial"/>
          <w:sz w:val="22"/>
          <w:szCs w:val="22"/>
          <w:color w:val="auto"/>
        </w:rPr>
        <w:t>” or “</w:t>
      </w:r>
      <w:r>
        <w:rPr>
          <w:rFonts w:ascii="Arial" w:cs="Arial" w:eastAsia="Arial" w:hAnsi="Arial"/>
          <w:sz w:val="22"/>
          <w:szCs w:val="22"/>
          <w:b w:val="1"/>
          <w:bCs w:val="1"/>
          <w:color w:val="auto"/>
        </w:rPr>
        <w:t>Successfully Completed</w:t>
      </w:r>
      <w:r>
        <w:rPr>
          <w:rFonts w:ascii="Arial" w:cs="Arial" w:eastAsia="Arial" w:hAnsi="Arial"/>
          <w:sz w:val="22"/>
          <w:szCs w:val="22"/>
          <w:color w:val="auto"/>
        </w:rPr>
        <w:t>” means the completion of a Clinical Trial that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worldwide.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 Party or an Affiliate of a Party and other than the Acquiring Subsidiary.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10.2(n(10.2(n)</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its territories and possessions.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Upfront Cash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0"/>
          </w:cols>
          <w:pgMar w:left="980" w:top="1422" w:right="339" w:bottom="1440" w:gutter="0" w:footer="0" w:header="0"/>
        </w:sectPr>
      </w:pPr>
    </w:p>
    <w:bookmarkStart w:id="678" w:name="page679"/>
    <w:bookmarkEnd w:id="678"/>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Interpretation</w:t>
      </w:r>
      <w:r>
        <w:rPr>
          <w:rFonts w:ascii="Arial" w:cs="Arial" w:eastAsia="Arial" w:hAnsi="Arial"/>
          <w:sz w:val="19"/>
          <w:szCs w:val="19"/>
          <w:color w:val="auto"/>
        </w:rPr>
        <w:t>. In this Option Agreement, unless otherwise specified:</w:t>
      </w:r>
    </w:p>
    <w:p>
      <w:pPr>
        <w:spacing w:after="0" w:line="226" w:lineRule="exact"/>
        <w:rPr>
          <w:sz w:val="20"/>
          <w:szCs w:val="20"/>
          <w:color w:val="auto"/>
        </w:rPr>
      </w:pPr>
    </w:p>
    <w:p>
      <w:pPr>
        <w:ind w:left="1120" w:hanging="464"/>
        <w:spacing w:after="0"/>
        <w:tabs>
          <w:tab w:leader="none" w:pos="1120" w:val="left"/>
        </w:tabs>
        <w:numPr>
          <w:ilvl w:val="1"/>
          <w:numId w:val="623"/>
        </w:numPr>
        <w:rPr>
          <w:rFonts w:ascii="Arial" w:cs="Arial" w:eastAsia="Arial" w:hAnsi="Arial"/>
          <w:sz w:val="22"/>
          <w:szCs w:val="22"/>
          <w:color w:val="auto"/>
        </w:rPr>
      </w:pPr>
      <w:r>
        <w:rPr>
          <w:rFonts w:ascii="Arial" w:cs="Arial" w:eastAsia="Arial" w:hAnsi="Arial"/>
          <w:sz w:val="22"/>
          <w:szCs w:val="22"/>
          <w:color w:val="auto"/>
        </w:rPr>
        <w:t>“includes” and “including” shall mean, respectively, includes and including without limitation;</w:t>
      </w:r>
    </w:p>
    <w:p>
      <w:pPr>
        <w:spacing w:after="0" w:line="219" w:lineRule="exact"/>
        <w:rPr>
          <w:rFonts w:ascii="Arial" w:cs="Arial" w:eastAsia="Arial" w:hAnsi="Arial"/>
          <w:sz w:val="22"/>
          <w:szCs w:val="22"/>
          <w:color w:val="auto"/>
        </w:rPr>
      </w:pPr>
    </w:p>
    <w:p>
      <w:pPr>
        <w:ind w:left="1300" w:hanging="644"/>
        <w:spacing w:after="0" w:line="263" w:lineRule="auto"/>
        <w:tabs>
          <w:tab w:leader="none" w:pos="1147" w:val="left"/>
        </w:tabs>
        <w:numPr>
          <w:ilvl w:val="1"/>
          <w:numId w:val="623"/>
        </w:numPr>
        <w:rPr>
          <w:rFonts w:ascii="Arial" w:cs="Arial" w:eastAsia="Arial" w:hAnsi="Arial"/>
          <w:sz w:val="22"/>
          <w:szCs w:val="22"/>
          <w:color w:val="auto"/>
        </w:rPr>
      </w:pPr>
      <w:r>
        <w:rPr>
          <w:rFonts w:ascii="Arial" w:cs="Arial" w:eastAsia="Arial" w:hAnsi="Arial"/>
          <w:sz w:val="22"/>
          <w:szCs w:val="22"/>
          <w:color w:val="auto"/>
        </w:rPr>
        <w:t>words denoting the singular shall include the plural and vice versa, and words denoting any gender shall include all genders;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1"/>
          <w:numId w:val="623"/>
        </w:numPr>
        <w:rPr>
          <w:rFonts w:ascii="Arial" w:cs="Arial" w:eastAsia="Arial" w:hAnsi="Arial"/>
          <w:sz w:val="19"/>
          <w:szCs w:val="19"/>
          <w:color w:val="auto"/>
        </w:rPr>
      </w:pPr>
      <w:r>
        <w:rPr>
          <w:rFonts w:ascii="Arial" w:cs="Arial" w:eastAsia="Arial" w:hAnsi="Arial"/>
          <w:sz w:val="19"/>
          <w:szCs w:val="19"/>
          <w:color w:val="auto"/>
        </w:rPr>
        <w:t>the word “or” is used in the inclusive sense (“and/or”), unless explicitly indicated otherwise by the term “either/or;”</w:t>
      </w:r>
    </w:p>
    <w:p>
      <w:pPr>
        <w:spacing w:after="0" w:line="254" w:lineRule="exact"/>
        <w:rPr>
          <w:rFonts w:ascii="Arial" w:cs="Arial" w:eastAsia="Arial" w:hAnsi="Arial"/>
          <w:sz w:val="19"/>
          <w:szCs w:val="19"/>
          <w:color w:val="auto"/>
        </w:rPr>
      </w:pPr>
    </w:p>
    <w:p>
      <w:pPr>
        <w:ind w:left="1300" w:hanging="644"/>
        <w:spacing w:after="0" w:line="343" w:lineRule="auto"/>
        <w:tabs>
          <w:tab w:leader="none" w:pos="1208" w:val="left"/>
        </w:tabs>
        <w:numPr>
          <w:ilvl w:val="1"/>
          <w:numId w:val="623"/>
        </w:numPr>
        <w:rPr>
          <w:rFonts w:ascii="Arial" w:cs="Arial" w:eastAsia="Arial" w:hAnsi="Arial"/>
          <w:sz w:val="19"/>
          <w:szCs w:val="19"/>
          <w:color w:val="auto"/>
        </w:rPr>
      </w:pPr>
      <w:r>
        <w:rPr>
          <w:rFonts w:ascii="Arial" w:cs="Arial" w:eastAsia="Arial" w:hAnsi="Arial"/>
          <w:sz w:val="19"/>
          <w:szCs w:val="19"/>
          <w:color w:val="auto"/>
        </w:rPr>
        <w:t>references to any specific law, rule or regulation, or article, section or other division thereof, shall be deemed to include the then-current amendments thereto or any replacement or successor law, rule or regulation thereof;</w:t>
      </w:r>
    </w:p>
    <w:p>
      <w:pPr>
        <w:spacing w:after="0" w:line="104" w:lineRule="exact"/>
        <w:rPr>
          <w:rFonts w:ascii="Arial" w:cs="Arial" w:eastAsia="Arial" w:hAnsi="Arial"/>
          <w:sz w:val="19"/>
          <w:szCs w:val="19"/>
          <w:color w:val="auto"/>
        </w:rPr>
      </w:pPr>
    </w:p>
    <w:p>
      <w:pPr>
        <w:ind w:left="1300" w:hanging="644"/>
        <w:spacing w:after="0" w:line="253" w:lineRule="auto"/>
        <w:tabs>
          <w:tab w:leader="none" w:pos="1144" w:val="left"/>
        </w:tabs>
        <w:numPr>
          <w:ilvl w:val="1"/>
          <w:numId w:val="623"/>
        </w:numPr>
        <w:rPr>
          <w:rFonts w:ascii="Arial" w:cs="Arial" w:eastAsia="Arial" w:hAnsi="Arial"/>
          <w:sz w:val="22"/>
          <w:szCs w:val="22"/>
          <w:color w:val="auto"/>
        </w:rPr>
      </w:pPr>
      <w:r>
        <w:rPr>
          <w:rFonts w:ascii="Arial" w:cs="Arial" w:eastAsia="Arial" w:hAnsi="Arial"/>
          <w:sz w:val="22"/>
          <w:szCs w:val="22"/>
          <w:color w:val="auto"/>
        </w:rPr>
        <w:t>the Exhibits and other attachments form part of the operative provision of this Option Agreement and references to this Option Agreement shall, unless the context otherwise requires, include references to the Exhibits and attachments;</w:t>
      </w:r>
    </w:p>
    <w:p>
      <w:pPr>
        <w:spacing w:after="0" w:line="185" w:lineRule="exact"/>
        <w:rPr>
          <w:rFonts w:ascii="Arial" w:cs="Arial" w:eastAsia="Arial" w:hAnsi="Arial"/>
          <w:sz w:val="22"/>
          <w:szCs w:val="22"/>
          <w:color w:val="auto"/>
        </w:rPr>
      </w:pPr>
    </w:p>
    <w:p>
      <w:pPr>
        <w:ind w:left="1300" w:hanging="644"/>
        <w:spacing w:after="0" w:line="263" w:lineRule="auto"/>
        <w:tabs>
          <w:tab w:leader="none" w:pos="1133" w:val="left"/>
        </w:tabs>
        <w:numPr>
          <w:ilvl w:val="1"/>
          <w:numId w:val="623"/>
        </w:numPr>
        <w:rPr>
          <w:rFonts w:ascii="Arial" w:cs="Arial" w:eastAsia="Arial" w:hAnsi="Arial"/>
          <w:sz w:val="22"/>
          <w:szCs w:val="22"/>
          <w:color w:val="auto"/>
        </w:rPr>
      </w:pPr>
      <w:r>
        <w:rPr>
          <w:rFonts w:ascii="Arial" w:cs="Arial" w:eastAsia="Arial" w:hAnsi="Arial"/>
          <w:sz w:val="22"/>
          <w:szCs w:val="22"/>
          <w:color w:val="auto"/>
        </w:rPr>
        <w:t>the headings in this Option Agreement are for information only and shall not be considered in the interpretation of this Option Agreement;</w:t>
      </w:r>
    </w:p>
    <w:p>
      <w:pPr>
        <w:spacing w:after="0" w:line="174" w:lineRule="exact"/>
        <w:rPr>
          <w:rFonts w:ascii="Arial" w:cs="Arial" w:eastAsia="Arial" w:hAnsi="Arial"/>
          <w:sz w:val="22"/>
          <w:szCs w:val="22"/>
          <w:color w:val="auto"/>
        </w:rPr>
      </w:pPr>
    </w:p>
    <w:p>
      <w:pPr>
        <w:ind w:left="1300" w:hanging="644"/>
        <w:spacing w:after="0" w:line="263" w:lineRule="auto"/>
        <w:tabs>
          <w:tab w:leader="none" w:pos="1152" w:val="left"/>
        </w:tabs>
        <w:numPr>
          <w:ilvl w:val="1"/>
          <w:numId w:val="623"/>
        </w:numPr>
        <w:rPr>
          <w:rFonts w:ascii="Arial" w:cs="Arial" w:eastAsia="Arial" w:hAnsi="Arial"/>
          <w:sz w:val="22"/>
          <w:szCs w:val="22"/>
          <w:color w:val="auto"/>
        </w:rPr>
      </w:pPr>
      <w:r>
        <w:rPr>
          <w:rFonts w:ascii="Arial" w:cs="Arial" w:eastAsia="Arial" w:hAnsi="Arial"/>
          <w:sz w:val="22"/>
          <w:szCs w:val="22"/>
          <w:color w:val="auto"/>
        </w:rPr>
        <w:t>general words shall not be given a restrictive interpretation by reason of their being preceded or followed by words indicating a particular class of acts, matters or things; and</w:t>
      </w:r>
    </w:p>
    <w:p>
      <w:pPr>
        <w:spacing w:after="0" w:line="174" w:lineRule="exact"/>
        <w:rPr>
          <w:rFonts w:ascii="Arial" w:cs="Arial" w:eastAsia="Arial" w:hAnsi="Arial"/>
          <w:sz w:val="22"/>
          <w:szCs w:val="22"/>
          <w:color w:val="auto"/>
        </w:rPr>
      </w:pPr>
    </w:p>
    <w:p>
      <w:pPr>
        <w:ind w:left="1300" w:hanging="644"/>
        <w:spacing w:after="0" w:line="271" w:lineRule="auto"/>
        <w:tabs>
          <w:tab w:leader="none" w:pos="1166" w:val="left"/>
        </w:tabs>
        <w:numPr>
          <w:ilvl w:val="1"/>
          <w:numId w:val="623"/>
        </w:numPr>
        <w:rPr>
          <w:rFonts w:ascii="Arial" w:cs="Arial" w:eastAsia="Arial" w:hAnsi="Arial"/>
          <w:sz w:val="21"/>
          <w:szCs w:val="21"/>
          <w:color w:val="auto"/>
        </w:rPr>
      </w:pPr>
      <w:r>
        <w:rPr>
          <w:rFonts w:ascii="Arial" w:cs="Arial" w:eastAsia="Arial" w:hAnsi="Arial"/>
          <w:sz w:val="21"/>
          <w:szCs w:val="21"/>
          <w:color w:val="auto"/>
        </w:rPr>
        <w:t>the Parties agree that the terms and conditions of this Option Agreement are the result of negotiations between the Parties and that this Option Agreement shall not be construed in favor of or against any Party by reason of the extent to which any Party participated in the preparation of this Option Agreement.</w:t>
      </w:r>
    </w:p>
    <w:p>
      <w:pPr>
        <w:spacing w:after="0" w:line="161" w:lineRule="exact"/>
        <w:rPr>
          <w:rFonts w:ascii="Arial" w:cs="Arial" w:eastAsia="Arial" w:hAnsi="Arial"/>
          <w:sz w:val="21"/>
          <w:szCs w:val="21"/>
          <w:color w:val="auto"/>
        </w:rPr>
      </w:pPr>
    </w:p>
    <w:p>
      <w:pPr>
        <w:ind w:left="380" w:hanging="372"/>
        <w:spacing w:after="0"/>
        <w:tabs>
          <w:tab w:leader="none" w:pos="380" w:val="left"/>
        </w:tabs>
        <w:numPr>
          <w:ilvl w:val="0"/>
          <w:numId w:val="624"/>
        </w:numPr>
        <w:rPr>
          <w:rFonts w:ascii="Arial" w:cs="Arial" w:eastAsia="Arial" w:hAnsi="Arial"/>
          <w:sz w:val="22"/>
          <w:szCs w:val="22"/>
          <w:b w:val="1"/>
          <w:bCs w:val="1"/>
          <w:color w:val="auto"/>
        </w:rPr>
      </w:pPr>
      <w:r>
        <w:rPr>
          <w:rFonts w:ascii="Arial" w:cs="Arial" w:eastAsia="Arial" w:hAnsi="Arial"/>
          <w:sz w:val="22"/>
          <w:szCs w:val="22"/>
          <w:b w:val="1"/>
          <w:bCs w:val="1"/>
          <w:color w:val="auto"/>
        </w:rPr>
        <w:t>OPTION</w:t>
      </w:r>
    </w:p>
    <w:p>
      <w:pPr>
        <w:spacing w:after="0" w:line="220" w:lineRule="exact"/>
        <w:rPr>
          <w:sz w:val="20"/>
          <w:szCs w:val="20"/>
          <w:color w:val="auto"/>
        </w:rPr>
      </w:pPr>
    </w:p>
    <w:p>
      <w:pPr>
        <w:jc w:val="both"/>
        <w:ind w:left="580" w:hanging="647"/>
        <w:spacing w:after="0" w:line="248" w:lineRule="auto"/>
        <w:tabs>
          <w:tab w:leader="none" w:pos="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b w:val="1"/>
          <w:bCs w:val="1"/>
          <w:color w:val="auto"/>
        </w:rPr>
        <w:t>Option Grant</w:t>
      </w:r>
      <w:r>
        <w:rPr>
          <w:rFonts w:ascii="Arial" w:cs="Arial" w:eastAsia="Arial" w:hAnsi="Arial"/>
          <w:sz w:val="22"/>
          <w:szCs w:val="22"/>
          <w:color w:val="auto"/>
        </w:rPr>
        <w:t>. Pursuant to the terms and subject to the conditions of this Option Agreement, MPAG hereby grants to</w:t>
      </w:r>
      <w:r>
        <w:rPr>
          <w:rFonts w:ascii="Arial" w:cs="Arial" w:eastAsia="Arial" w:hAnsi="Arial"/>
          <w:sz w:val="22"/>
          <w:szCs w:val="22"/>
          <w:b w:val="1"/>
          <w:bCs w:val="1"/>
          <w:color w:val="auto"/>
        </w:rPr>
        <w:t xml:space="preserve"> </w:t>
      </w:r>
      <w:r>
        <w:rPr>
          <w:rFonts w:ascii="Arial" w:cs="Arial" w:eastAsia="Arial" w:hAnsi="Arial"/>
          <w:sz w:val="22"/>
          <w:szCs w:val="22"/>
          <w:color w:val="auto"/>
        </w:rPr>
        <w:t>Novartis an exclusive option to obtain (i) an exclusive (even as to MPAG), sub-licensable license, under the Products IP, and (ii) a non-exclusive, sub-licensable license, under the Platform IP, in each case to research, develop, make, have made, use, import, offer for sale, sell, have sold and otherwise commercialize the Products in the Field in the Territory ((i) and (ii) collectively, the “</w:t>
      </w:r>
      <w:r>
        <w:rPr>
          <w:rFonts w:ascii="Arial" w:cs="Arial" w:eastAsia="Arial" w:hAnsi="Arial"/>
          <w:sz w:val="22"/>
          <w:szCs w:val="22"/>
          <w:b w:val="1"/>
          <w:bCs w:val="1"/>
          <w:color w:val="auto"/>
        </w:rPr>
        <w:t>License</w:t>
      </w:r>
      <w:r>
        <w:rPr>
          <w:rFonts w:ascii="Arial" w:cs="Arial" w:eastAsia="Arial" w:hAnsi="Arial"/>
          <w:sz w:val="22"/>
          <w:szCs w:val="22"/>
          <w:color w:val="auto"/>
        </w:rPr>
        <w:t>”) on the terms and conditions set forth in the License Term Sheet and the Definitive Agreements (the “</w:t>
      </w:r>
      <w:r>
        <w:rPr>
          <w:rFonts w:ascii="Arial" w:cs="Arial" w:eastAsia="Arial" w:hAnsi="Arial"/>
          <w:sz w:val="22"/>
          <w:szCs w:val="22"/>
          <w:b w:val="1"/>
          <w:bCs w:val="1"/>
          <w:color w:val="auto"/>
        </w:rPr>
        <w:t>Option</w:t>
      </w:r>
      <w:r>
        <w:rPr>
          <w:rFonts w:ascii="Arial" w:cs="Arial" w:eastAsia="Arial" w:hAnsi="Arial"/>
          <w:sz w:val="22"/>
          <w:szCs w:val="22"/>
          <w:color w:val="auto"/>
        </w:rPr>
        <w:t>”).</w:t>
      </w:r>
    </w:p>
    <w:p>
      <w:pPr>
        <w:spacing w:after="0" w:line="187" w:lineRule="exact"/>
        <w:rPr>
          <w:sz w:val="20"/>
          <w:szCs w:val="20"/>
          <w:color w:val="auto"/>
        </w:rPr>
      </w:pPr>
    </w:p>
    <w:p>
      <w:pPr>
        <w:jc w:val="both"/>
        <w:ind w:left="580" w:hanging="647"/>
        <w:spacing w:after="0" w:line="252" w:lineRule="auto"/>
        <w:tabs>
          <w:tab w:leader="none" w:pos="5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b w:val="1"/>
          <w:bCs w:val="1"/>
          <w:color w:val="auto"/>
        </w:rPr>
        <w:t>Upfront Cash Payment</w:t>
      </w:r>
      <w:r>
        <w:rPr>
          <w:rFonts w:ascii="Arial" w:cs="Arial" w:eastAsia="Arial" w:hAnsi="Arial"/>
          <w:sz w:val="22"/>
          <w:szCs w:val="22"/>
          <w:color w:val="auto"/>
        </w:rPr>
        <w:t>. Novartis shall pay to MPAG a one (1)-time, non-refundable payment of twenty million Swiss</w:t>
      </w:r>
      <w:r>
        <w:rPr>
          <w:rFonts w:ascii="Arial" w:cs="Arial" w:eastAsia="Arial" w:hAnsi="Arial"/>
          <w:sz w:val="22"/>
          <w:szCs w:val="22"/>
          <w:b w:val="1"/>
          <w:bCs w:val="1"/>
          <w:color w:val="auto"/>
        </w:rPr>
        <w:t xml:space="preserve"> </w:t>
      </w:r>
      <w:r>
        <w:rPr>
          <w:rFonts w:ascii="Arial" w:cs="Arial" w:eastAsia="Arial" w:hAnsi="Arial"/>
          <w:sz w:val="22"/>
          <w:szCs w:val="22"/>
          <w:color w:val="auto"/>
        </w:rPr>
        <w:t>Francs (CHF 20,000,000) (the “</w:t>
      </w:r>
      <w:r>
        <w:rPr>
          <w:rFonts w:ascii="Arial" w:cs="Arial" w:eastAsia="Arial" w:hAnsi="Arial"/>
          <w:sz w:val="22"/>
          <w:szCs w:val="22"/>
          <w:b w:val="1"/>
          <w:bCs w:val="1"/>
          <w:color w:val="auto"/>
        </w:rPr>
        <w:t>Upfront Cash Payment</w:t>
      </w:r>
      <w:r>
        <w:rPr>
          <w:rFonts w:ascii="Arial" w:cs="Arial" w:eastAsia="Arial" w:hAnsi="Arial"/>
          <w:sz w:val="22"/>
          <w:szCs w:val="22"/>
          <w:color w:val="auto"/>
        </w:rPr>
        <w:t xml:space="preserve">”) within [***] after receipt by Novartis of an invoice in the form of </w:t>
      </w:r>
      <w:r>
        <w:rPr>
          <w:rFonts w:ascii="Arial" w:cs="Arial" w:eastAsia="Arial" w:hAnsi="Arial"/>
          <w:sz w:val="22"/>
          <w:szCs w:val="22"/>
          <w:u w:val="single" w:color="auto"/>
          <w:color w:val="auto"/>
        </w:rPr>
        <w:t>Exhibit 2.2</w:t>
      </w:r>
      <w:r>
        <w:rPr>
          <w:rFonts w:ascii="Arial" w:cs="Arial" w:eastAsia="Arial" w:hAnsi="Arial"/>
          <w:sz w:val="22"/>
          <w:szCs w:val="22"/>
          <w:color w:val="auto"/>
        </w:rPr>
        <w:t xml:space="preserve"> hereto, which invoice shall be issued no earlier than the Execution Date. The Upfront Cash Payment shall be directly used by MPAG to fund MPAG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679" w:name="page680"/>
    <w:bookmarkEnd w:id="679"/>
    <w:p>
      <w:pPr>
        <w:ind w:left="560" w:hanging="647"/>
        <w:spacing w:after="0" w:line="269" w:lineRule="auto"/>
        <w:tabs>
          <w:tab w:leader="none" w:pos="5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b w:val="1"/>
          <w:bCs w:val="1"/>
          <w:color w:val="auto"/>
        </w:rPr>
        <w:t>Exclusivity</w:t>
      </w:r>
      <w:r>
        <w:rPr>
          <w:rFonts w:ascii="Arial" w:cs="Arial" w:eastAsia="Arial" w:hAnsi="Arial"/>
          <w:sz w:val="22"/>
          <w:szCs w:val="22"/>
          <w:color w:val="auto"/>
        </w:rPr>
        <w:t>. During the Term, MPAG shall not (and shall procure that no Affiliate or agent of MPAG shall), directly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indirectly:</w:t>
      </w:r>
    </w:p>
    <w:p>
      <w:pPr>
        <w:spacing w:after="0" w:line="162" w:lineRule="exact"/>
        <w:rPr>
          <w:sz w:val="20"/>
          <w:szCs w:val="20"/>
          <w:color w:val="auto"/>
        </w:rPr>
      </w:pPr>
    </w:p>
    <w:p>
      <w:pPr>
        <w:ind w:left="1300" w:hanging="644"/>
        <w:spacing w:after="0" w:line="249" w:lineRule="auto"/>
        <w:tabs>
          <w:tab w:leader="none" w:pos="1198" w:val="left"/>
        </w:tabs>
        <w:numPr>
          <w:ilvl w:val="0"/>
          <w:numId w:val="625"/>
        </w:numPr>
        <w:rPr>
          <w:rFonts w:ascii="Arial" w:cs="Arial" w:eastAsia="Arial" w:hAnsi="Arial"/>
          <w:sz w:val="22"/>
          <w:szCs w:val="22"/>
          <w:color w:val="auto"/>
        </w:rPr>
      </w:pPr>
      <w:r>
        <w:rPr>
          <w:rFonts w:ascii="Arial" w:cs="Arial" w:eastAsia="Arial" w:hAnsi="Arial"/>
          <w:sz w:val="22"/>
          <w:szCs w:val="22"/>
          <w:color w:val="auto"/>
        </w:rPr>
        <w:t>[***] (a “</w:t>
      </w:r>
      <w:r>
        <w:rPr>
          <w:rFonts w:ascii="Arial" w:cs="Arial" w:eastAsia="Arial" w:hAnsi="Arial"/>
          <w:sz w:val="22"/>
          <w:szCs w:val="22"/>
          <w:b w:val="1"/>
          <w:bCs w:val="1"/>
          <w:color w:val="auto"/>
        </w:rPr>
        <w:t>Competing Transaction</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 if during the Term, MPAG receives an unsolicited proposal, offer, or other communication from anyone except Novartis relating to or in contemplation of a potential Competing Transaction, MPAG shall (i) notify Novartis promptly in writing of the details of that proposal, offer or communication and (ii) communicate to the sender of the proposal, offer, or communication solely that MPAG cannot discuss such Competing Transaction;</w:t>
      </w:r>
    </w:p>
    <w:p>
      <w:pPr>
        <w:spacing w:after="0" w:line="192" w:lineRule="exact"/>
        <w:rPr>
          <w:rFonts w:ascii="Arial" w:cs="Arial" w:eastAsia="Arial" w:hAnsi="Arial"/>
          <w:sz w:val="22"/>
          <w:szCs w:val="22"/>
          <w:color w:val="auto"/>
        </w:rPr>
      </w:pPr>
    </w:p>
    <w:p>
      <w:pPr>
        <w:ind w:left="1300" w:hanging="644"/>
        <w:spacing w:after="0" w:line="253" w:lineRule="auto"/>
        <w:tabs>
          <w:tab w:leader="none" w:pos="1129" w:val="left"/>
        </w:tabs>
        <w:numPr>
          <w:ilvl w:val="0"/>
          <w:numId w:val="62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2.3(a)</w:t>
      </w:r>
      <w:r>
        <w:rPr>
          <w:rFonts w:ascii="Arial" w:cs="Arial" w:eastAsia="Arial" w:hAnsi="Arial"/>
          <w:sz w:val="22"/>
          <w:szCs w:val="22"/>
          <w:color w:val="auto"/>
        </w:rPr>
        <w:t>, solicit, facilitate or do anything else which may lead to discussions or negotiations with, or lead to a proposal, offer or other communication from, anyone except Novartis relating to or in contemplation of a Competing Transaction;</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261" w:val="left"/>
        </w:tabs>
        <w:numPr>
          <w:ilvl w:val="0"/>
          <w:numId w:val="62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2.3(a)</w:t>
      </w:r>
      <w:r>
        <w:rPr>
          <w:rFonts w:ascii="Arial" w:cs="Arial" w:eastAsia="Arial" w:hAnsi="Arial"/>
          <w:sz w:val="22"/>
          <w:szCs w:val="22"/>
          <w:color w:val="auto"/>
        </w:rPr>
        <w:t>, provide information to anyone except Novartis relating to or in contemplation of a Competing Transaction; or</w:t>
      </w:r>
    </w:p>
    <w:p>
      <w:pPr>
        <w:spacing w:after="0" w:line="174" w:lineRule="exact"/>
        <w:rPr>
          <w:rFonts w:ascii="Arial" w:cs="Arial" w:eastAsia="Arial" w:hAnsi="Arial"/>
          <w:sz w:val="22"/>
          <w:szCs w:val="22"/>
          <w:color w:val="auto"/>
        </w:rPr>
      </w:pPr>
    </w:p>
    <w:p>
      <w:pPr>
        <w:jc w:val="both"/>
        <w:ind w:left="1300" w:hanging="644"/>
        <w:spacing w:after="0" w:line="271" w:lineRule="auto"/>
        <w:tabs>
          <w:tab w:leader="none" w:pos="1234" w:val="left"/>
        </w:tabs>
        <w:numPr>
          <w:ilvl w:val="0"/>
          <w:numId w:val="625"/>
        </w:numPr>
        <w:rPr>
          <w:rFonts w:ascii="Arial" w:cs="Arial" w:eastAsia="Arial" w:hAnsi="Arial"/>
          <w:sz w:val="21"/>
          <w:szCs w:val="21"/>
          <w:color w:val="auto"/>
        </w:rPr>
      </w:pPr>
      <w:r>
        <w:rPr>
          <w:rFonts w:ascii="Arial" w:cs="Arial" w:eastAsia="Arial" w:hAnsi="Arial"/>
          <w:sz w:val="21"/>
          <w:szCs w:val="21"/>
          <w:color w:val="auto"/>
        </w:rPr>
        <w:t>conduct any research, development, manufacturing or commercialization activities itself or by or on behalf any Affiliates or Third Parties in respect of any products (other than the Products as permitted under this Option Agreement) aimed at [***] (together with the Competing Transaction, a “</w:t>
      </w:r>
      <w:r>
        <w:rPr>
          <w:rFonts w:ascii="Arial" w:cs="Arial" w:eastAsia="Arial" w:hAnsi="Arial"/>
          <w:sz w:val="21"/>
          <w:szCs w:val="21"/>
          <w:b w:val="1"/>
          <w:bCs w:val="1"/>
          <w:color w:val="auto"/>
        </w:rPr>
        <w:t>Competing Program</w:t>
      </w:r>
      <w:r>
        <w:rPr>
          <w:rFonts w:ascii="Arial" w:cs="Arial" w:eastAsia="Arial" w:hAnsi="Arial"/>
          <w:sz w:val="21"/>
          <w:szCs w:val="21"/>
          <w:color w:val="auto"/>
        </w:rPr>
        <w:t>”).</w:t>
      </w:r>
    </w:p>
    <w:p>
      <w:pPr>
        <w:spacing w:after="0" w:line="167" w:lineRule="exact"/>
        <w:rPr>
          <w:sz w:val="20"/>
          <w:szCs w:val="20"/>
          <w:color w:val="auto"/>
        </w:rPr>
      </w:pPr>
    </w:p>
    <w:p>
      <w:pPr>
        <w:jc w:val="both"/>
        <w:ind w:left="660"/>
        <w:spacing w:after="0" w:line="289"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(a) nothing in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will apply to or otherwise limit a Change of Control of MPAG and (b) if after the Execution Date, any Acquirer in connection with a Change of Control of MPAG is engaged in a Competing Program as of the closing date of such transaction, the Acquirer and its Affiliates existing prior to such Change of Control may continue to develop, manufacture, commercialize, and otherwise exploit such Competing Program; </w:t>
      </w:r>
      <w:r>
        <w:rPr>
          <w:rFonts w:ascii="Arial" w:cs="Arial" w:eastAsia="Arial" w:hAnsi="Arial"/>
          <w:sz w:val="19"/>
          <w:szCs w:val="19"/>
          <w:i w:val="1"/>
          <w:iCs w:val="1"/>
          <w:color w:val="auto"/>
        </w:rPr>
        <w:t>provided</w:t>
      </w:r>
      <w:r>
        <w:rPr>
          <w:rFonts w:ascii="Arial" w:cs="Arial" w:eastAsia="Arial" w:hAnsi="Arial"/>
          <w:sz w:val="19"/>
          <w:szCs w:val="19"/>
          <w:color w:val="auto"/>
        </w:rPr>
        <w:t>, that, (i) none of Novartis’s Confidential Information is used in connection with such Competing Program, (ii) none of the Platform IP, Products IP, or MPAG’s Confidential Information are used in connection with such Competing Program, and (iii) MPAG establishes separate working teams to work on the Competing Program and the Products hereunder and implements reasonable measures that are designed to prevent transfer to, access, or use of any Confidential Information of Novartis by the teams working on such Competing Program.</w:t>
      </w:r>
    </w:p>
    <w:p>
      <w:pPr>
        <w:spacing w:after="0" w:line="15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Negotiation of Definitive Agreements</w:t>
      </w:r>
      <w:r>
        <w:rPr>
          <w:rFonts w:ascii="Arial" w:cs="Arial" w:eastAsia="Arial" w:hAnsi="Arial"/>
          <w:sz w:val="19"/>
          <w:szCs w:val="19"/>
          <w:color w:val="auto"/>
        </w:rPr>
        <w:t>.</w:t>
      </w:r>
    </w:p>
    <w:p>
      <w:pPr>
        <w:spacing w:after="0" w:line="226" w:lineRule="exact"/>
        <w:rPr>
          <w:sz w:val="20"/>
          <w:szCs w:val="20"/>
          <w:color w:val="auto"/>
        </w:rPr>
      </w:pPr>
    </w:p>
    <w:p>
      <w:pPr>
        <w:jc w:val="both"/>
        <w:ind w:left="1300" w:hanging="644"/>
        <w:spacing w:after="0" w:line="253" w:lineRule="auto"/>
        <w:tabs>
          <w:tab w:leader="none" w:pos="1303" w:val="left"/>
        </w:tabs>
        <w:numPr>
          <w:ilvl w:val="0"/>
          <w:numId w:val="626"/>
        </w:numPr>
        <w:rPr>
          <w:rFonts w:ascii="Arial" w:cs="Arial" w:eastAsia="Arial" w:hAnsi="Arial"/>
          <w:sz w:val="22"/>
          <w:szCs w:val="22"/>
          <w:color w:val="auto"/>
        </w:rPr>
      </w:pPr>
      <w:r>
        <w:rPr>
          <w:rFonts w:ascii="Arial" w:cs="Arial" w:eastAsia="Arial" w:hAnsi="Arial"/>
          <w:sz w:val="22"/>
          <w:szCs w:val="22"/>
          <w:color w:val="auto"/>
        </w:rPr>
        <w:t>Following the Execution Date, the Parties shall negotiate in good faith to agree the form of the Definitive Agreements on or before [***] (or such later date as the Parties may mutually agree in writing) (the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w:t>
      </w:r>
      <w:r>
        <w:rPr>
          <w:rFonts w:ascii="Arial" w:cs="Arial" w:eastAsia="Arial" w:hAnsi="Arial"/>
          <w:sz w:val="22"/>
          <w:szCs w:val="22"/>
          <w:b w:val="1"/>
          <w:bCs w:val="1"/>
          <w:color w:val="auto"/>
        </w:rPr>
        <w:t>Deadline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2" w:right="339" w:bottom="1440" w:gutter="0" w:footer="0" w:header="0"/>
        </w:sectPr>
      </w:pPr>
    </w:p>
    <w:bookmarkStart w:id="680" w:name="page681"/>
    <w:bookmarkEnd w:id="680"/>
    <w:p>
      <w:pPr>
        <w:ind w:left="1300" w:hanging="644"/>
        <w:spacing w:after="0" w:line="263" w:lineRule="auto"/>
        <w:tabs>
          <w:tab w:leader="none" w:pos="1152" w:val="left"/>
        </w:tabs>
        <w:numPr>
          <w:ilvl w:val="0"/>
          <w:numId w:val="627"/>
        </w:numPr>
        <w:rPr>
          <w:rFonts w:ascii="Arial" w:cs="Arial" w:eastAsia="Arial" w:hAnsi="Arial"/>
          <w:sz w:val="22"/>
          <w:szCs w:val="22"/>
          <w:color w:val="auto"/>
        </w:rPr>
      </w:pPr>
      <w:r>
        <w:rPr>
          <w:rFonts w:ascii="Arial" w:cs="Arial" w:eastAsia="Arial" w:hAnsi="Arial"/>
          <w:sz w:val="22"/>
          <w:szCs w:val="22"/>
          <w:color w:val="auto"/>
        </w:rPr>
        <w:t>Novartis shall be responsible for preparing the initial drafts of the Definitive Agreements and providing such drafts to MPAG within [***] after the Execution Date.</w:t>
      </w:r>
    </w:p>
    <w:p>
      <w:pPr>
        <w:spacing w:after="0" w:line="174" w:lineRule="exact"/>
        <w:rPr>
          <w:rFonts w:ascii="Arial" w:cs="Arial" w:eastAsia="Arial" w:hAnsi="Arial"/>
          <w:sz w:val="22"/>
          <w:szCs w:val="22"/>
          <w:color w:val="auto"/>
        </w:rPr>
      </w:pPr>
    </w:p>
    <w:p>
      <w:pPr>
        <w:ind w:left="1300" w:hanging="644"/>
        <w:spacing w:after="0" w:line="263" w:lineRule="auto"/>
        <w:tabs>
          <w:tab w:leader="none" w:pos="1224" w:val="left"/>
        </w:tabs>
        <w:numPr>
          <w:ilvl w:val="0"/>
          <w:numId w:val="627"/>
        </w:numPr>
        <w:rPr>
          <w:rFonts w:ascii="Arial" w:cs="Arial" w:eastAsia="Arial" w:hAnsi="Arial"/>
          <w:sz w:val="22"/>
          <w:szCs w:val="22"/>
          <w:color w:val="auto"/>
        </w:rPr>
      </w:pPr>
      <w:r>
        <w:rPr>
          <w:rFonts w:ascii="Arial" w:cs="Arial" w:eastAsia="Arial" w:hAnsi="Arial"/>
          <w:sz w:val="22"/>
          <w:szCs w:val="22"/>
          <w:color w:val="auto"/>
        </w:rPr>
        <w:t>Following circulation of the initial draft of each Definitive Agreement, each Party shall use their commercially reasonable efforts to finalize the terms of such Definitive Agreement [***].</w:t>
      </w:r>
    </w:p>
    <w:p>
      <w:pPr>
        <w:spacing w:after="0" w:line="174" w:lineRule="exact"/>
        <w:rPr>
          <w:rFonts w:ascii="Arial" w:cs="Arial" w:eastAsia="Arial" w:hAnsi="Arial"/>
          <w:sz w:val="22"/>
          <w:szCs w:val="22"/>
          <w:color w:val="auto"/>
        </w:rPr>
      </w:pPr>
    </w:p>
    <w:p>
      <w:pPr>
        <w:ind w:left="1300" w:hanging="644"/>
        <w:spacing w:after="0" w:line="250" w:lineRule="auto"/>
        <w:tabs>
          <w:tab w:leader="none" w:pos="1205" w:val="left"/>
        </w:tabs>
        <w:numPr>
          <w:ilvl w:val="0"/>
          <w:numId w:val="627"/>
        </w:numPr>
        <w:rPr>
          <w:rFonts w:ascii="Arial" w:cs="Arial" w:eastAsia="Arial" w:hAnsi="Arial"/>
          <w:sz w:val="22"/>
          <w:szCs w:val="22"/>
          <w:color w:val="auto"/>
        </w:rPr>
      </w:pPr>
      <w:r>
        <w:rPr>
          <w:rFonts w:ascii="Arial" w:cs="Arial" w:eastAsia="Arial" w:hAnsi="Arial"/>
          <w:sz w:val="22"/>
          <w:szCs w:val="22"/>
          <w:color w:val="auto"/>
        </w:rPr>
        <w:t>For the avoidance of doubt, the Definitive Agreements shall be drafted to give effect to each of the terms in the License Term Sheet as those terms are set out therein. The Definitive Agreements shall also include such additional terms as the Parties, each acting reasonably, agree are customary for a licensing arrangement of the type described in the License Term Sheet.</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Exercise of Option; Finalization of Definitive Agreements</w:t>
      </w:r>
      <w:r>
        <w:rPr>
          <w:rFonts w:ascii="Arial" w:cs="Arial" w:eastAsia="Arial" w:hAnsi="Arial"/>
          <w:sz w:val="19"/>
          <w:szCs w:val="19"/>
          <w:color w:val="auto"/>
        </w:rPr>
        <w:t>.</w:t>
      </w:r>
    </w:p>
    <w:p>
      <w:pPr>
        <w:spacing w:after="0" w:line="220" w:lineRule="exact"/>
        <w:rPr>
          <w:sz w:val="20"/>
          <w:szCs w:val="20"/>
          <w:color w:val="auto"/>
        </w:rPr>
      </w:pPr>
    </w:p>
    <w:p>
      <w:pPr>
        <w:ind w:left="1300" w:hanging="644"/>
        <w:spacing w:after="0" w:line="269" w:lineRule="auto"/>
        <w:tabs>
          <w:tab w:leader="none" w:pos="1236" w:val="left"/>
        </w:tabs>
        <w:numPr>
          <w:ilvl w:val="0"/>
          <w:numId w:val="628"/>
        </w:numPr>
        <w:rPr>
          <w:rFonts w:ascii="Arial" w:cs="Arial" w:eastAsia="Arial" w:hAnsi="Arial"/>
          <w:sz w:val="22"/>
          <w:szCs w:val="22"/>
          <w:color w:val="auto"/>
        </w:rPr>
      </w:pPr>
      <w:r>
        <w:rPr>
          <w:rFonts w:ascii="Arial" w:cs="Arial" w:eastAsia="Arial" w:hAnsi="Arial"/>
          <w:sz w:val="22"/>
          <w:szCs w:val="22"/>
          <w:color w:val="auto"/>
        </w:rPr>
        <w:t>Novartis may exercise the Option by written notice (an “</w:t>
      </w:r>
      <w:r>
        <w:rPr>
          <w:rFonts w:ascii="Arial" w:cs="Arial" w:eastAsia="Arial" w:hAnsi="Arial"/>
          <w:sz w:val="22"/>
          <w:szCs w:val="22"/>
          <w:b w:val="1"/>
          <w:bCs w:val="1"/>
          <w:color w:val="auto"/>
        </w:rPr>
        <w:t>Exercise Notice</w:t>
      </w:r>
      <w:r>
        <w:rPr>
          <w:rFonts w:ascii="Arial" w:cs="Arial" w:eastAsia="Arial" w:hAnsi="Arial"/>
          <w:sz w:val="22"/>
          <w:szCs w:val="22"/>
          <w:color w:val="auto"/>
        </w:rPr>
        <w:t>”) to MPAG [***] during the Option Period.</w:t>
      </w:r>
    </w:p>
    <w:p>
      <w:pPr>
        <w:spacing w:after="0" w:line="167" w:lineRule="exact"/>
        <w:rPr>
          <w:rFonts w:ascii="Arial" w:cs="Arial" w:eastAsia="Arial" w:hAnsi="Arial"/>
          <w:sz w:val="22"/>
          <w:szCs w:val="22"/>
          <w:color w:val="auto"/>
        </w:rPr>
      </w:pPr>
    </w:p>
    <w:p>
      <w:pPr>
        <w:ind w:left="1120" w:hanging="464"/>
        <w:spacing w:after="0"/>
        <w:tabs>
          <w:tab w:leader="none" w:pos="1120" w:val="left"/>
        </w:tabs>
        <w:numPr>
          <w:ilvl w:val="0"/>
          <w:numId w:val="628"/>
        </w:numPr>
        <w:rPr>
          <w:rFonts w:ascii="Arial" w:cs="Arial" w:eastAsia="Arial" w:hAnsi="Arial"/>
          <w:sz w:val="22"/>
          <w:szCs w:val="22"/>
          <w:color w:val="auto"/>
        </w:rPr>
      </w:pPr>
      <w:r>
        <w:rPr>
          <w:rFonts w:ascii="Arial" w:cs="Arial" w:eastAsia="Arial" w:hAnsi="Arial"/>
          <w:sz w:val="22"/>
          <w:szCs w:val="22"/>
          <w:color w:val="auto"/>
        </w:rPr>
        <w:t>Following receipt by MPAG of the Exercise Notice:</w:t>
      </w:r>
    </w:p>
    <w:p>
      <w:pPr>
        <w:spacing w:after="0" w:line="219" w:lineRule="exact"/>
        <w:rPr>
          <w:rFonts w:ascii="Arial" w:cs="Arial" w:eastAsia="Arial" w:hAnsi="Arial"/>
          <w:sz w:val="22"/>
          <w:szCs w:val="22"/>
          <w:color w:val="auto"/>
        </w:rPr>
      </w:pPr>
    </w:p>
    <w:p>
      <w:pPr>
        <w:jc w:val="both"/>
        <w:ind w:left="1300" w:right="20" w:firstLine="4"/>
        <w:spacing w:after="0" w:line="271" w:lineRule="auto"/>
        <w:tabs>
          <w:tab w:leader="none" w:pos="1745" w:val="left"/>
        </w:tabs>
        <w:numPr>
          <w:ilvl w:val="1"/>
          <w:numId w:val="628"/>
        </w:numPr>
        <w:rPr>
          <w:rFonts w:ascii="Arial" w:cs="Arial" w:eastAsia="Arial" w:hAnsi="Arial"/>
          <w:sz w:val="21"/>
          <w:szCs w:val="21"/>
          <w:color w:val="auto"/>
        </w:rPr>
      </w:pPr>
      <w:r>
        <w:rPr>
          <w:rFonts w:ascii="Arial" w:cs="Arial" w:eastAsia="Arial" w:hAnsi="Arial"/>
          <w:sz w:val="21"/>
          <w:szCs w:val="21"/>
          <w:color w:val="auto"/>
        </w:rPr>
        <w:t>if the form of each of the Definitive Agreements has been agreed by the Parties before the date on which the Exercise Notice is delivered to MPAG, the Parties shall execute the Definitive Agreements as soon as reasonably practicable and, in any event, within [***] of the date of the Exercise Notice; and</w:t>
      </w:r>
    </w:p>
    <w:p>
      <w:pPr>
        <w:spacing w:after="0" w:line="167" w:lineRule="exact"/>
        <w:rPr>
          <w:rFonts w:ascii="Arial" w:cs="Arial" w:eastAsia="Arial" w:hAnsi="Arial"/>
          <w:sz w:val="21"/>
          <w:szCs w:val="21"/>
          <w:color w:val="auto"/>
        </w:rPr>
      </w:pPr>
    </w:p>
    <w:p>
      <w:pPr>
        <w:jc w:val="both"/>
        <w:ind w:left="1300" w:firstLine="4"/>
        <w:spacing w:after="0" w:line="265" w:lineRule="auto"/>
        <w:tabs>
          <w:tab w:leader="none" w:pos="1807" w:val="left"/>
        </w:tabs>
        <w:numPr>
          <w:ilvl w:val="1"/>
          <w:numId w:val="628"/>
        </w:numPr>
        <w:rPr>
          <w:rFonts w:ascii="Arial" w:cs="Arial" w:eastAsia="Arial" w:hAnsi="Arial"/>
          <w:sz w:val="21"/>
          <w:szCs w:val="21"/>
          <w:color w:val="auto"/>
        </w:rPr>
      </w:pPr>
      <w:r>
        <w:rPr>
          <w:rFonts w:ascii="Arial" w:cs="Arial" w:eastAsia="Arial" w:hAnsi="Arial"/>
          <w:sz w:val="21"/>
          <w:szCs w:val="21"/>
          <w:color w:val="auto"/>
        </w:rPr>
        <w:t>if the form of any of the Definitive Agreements has not been agreed by the Parties before the date on which the Exercise Notice is delivered to MPAG, the Parties shall meet (in person, telephonically or by means of videoconference) within [***] of the date of the Exercise Notice to agree upon a process and timeline to finalize the terms of and to execute the Definitive Agreements as soon as practicable.</w:t>
      </w:r>
    </w:p>
    <w:p>
      <w:pPr>
        <w:spacing w:after="0" w:line="175" w:lineRule="exact"/>
        <w:rPr>
          <w:rFonts w:ascii="Arial" w:cs="Arial" w:eastAsia="Arial" w:hAnsi="Arial"/>
          <w:sz w:val="21"/>
          <w:szCs w:val="21"/>
          <w:color w:val="auto"/>
        </w:rPr>
      </w:pPr>
    </w:p>
    <w:p>
      <w:pPr>
        <w:ind w:left="1300" w:hanging="644"/>
        <w:spacing w:after="0" w:line="289" w:lineRule="auto"/>
        <w:tabs>
          <w:tab w:leader="none" w:pos="1149" w:val="left"/>
        </w:tabs>
        <w:numPr>
          <w:ilvl w:val="0"/>
          <w:numId w:val="628"/>
        </w:numPr>
        <w:rPr>
          <w:rFonts w:ascii="Arial" w:cs="Arial" w:eastAsia="Arial" w:hAnsi="Arial"/>
          <w:sz w:val="19"/>
          <w:szCs w:val="19"/>
          <w:color w:val="auto"/>
        </w:rPr>
      </w:pPr>
      <w:r>
        <w:rPr>
          <w:rFonts w:ascii="Arial" w:cs="Arial" w:eastAsia="Arial" w:hAnsi="Arial"/>
          <w:sz w:val="19"/>
          <w:szCs w:val="19"/>
          <w:color w:val="auto"/>
        </w:rPr>
        <w:t>In the event that the Parties fail to agree on the final terms of and enter into the Definitive Agreements prior to the earlier to occur of: (i) the Agreement Deadline; and (ii) [***] following Novartis’ delivery of the Exercise Notice, then either Party may submit such matter for resolution by the [***] (the “</w:t>
      </w:r>
      <w:r>
        <w:rPr>
          <w:rFonts w:ascii="Arial" w:cs="Arial" w:eastAsia="Arial" w:hAnsi="Arial"/>
          <w:sz w:val="19"/>
          <w:szCs w:val="19"/>
          <w:b w:val="1"/>
          <w:bCs w:val="1"/>
          <w:color w:val="auto"/>
        </w:rPr>
        <w:t>Lead Executives</w:t>
      </w:r>
      <w:r>
        <w:rPr>
          <w:rFonts w:ascii="Arial" w:cs="Arial" w:eastAsia="Arial" w:hAnsi="Arial"/>
          <w:sz w:val="19"/>
          <w:szCs w:val="19"/>
          <w:color w:val="auto"/>
        </w:rPr>
        <w:t xml:space="preserve">”). If the Lead Executives of each of Novartis and MPAG cannot resolve such matter within an additional [***] period, then either Party may submit such matter for resolution in accordance with the procedure set forth on </w:t>
      </w:r>
      <w:r>
        <w:rPr>
          <w:rFonts w:ascii="Arial" w:cs="Arial" w:eastAsia="Arial" w:hAnsi="Arial"/>
          <w:sz w:val="19"/>
          <w:szCs w:val="19"/>
          <w:u w:val="single" w:color="auto"/>
          <w:color w:val="auto"/>
        </w:rPr>
        <w:t>Exhibit 2.5(c)</w:t>
      </w:r>
      <w:r>
        <w:rPr>
          <w:rFonts w:ascii="Arial" w:cs="Arial" w:eastAsia="Arial" w:hAnsi="Arial"/>
          <w:sz w:val="19"/>
          <w:szCs w:val="19"/>
          <w:color w:val="auto"/>
        </w:rPr>
        <w:t xml:space="preserve"> hereto. Pending completion of such resolution procedure and execution of the Definitive Agreements, unless otherwise agreed by the Parties, the terms and conditions set forth in this Option Agreement shall continue to apply. For clarity, if any such resolution procedure has not been completed prior to the end of the Option Period, then such procedure shall continue until its completion and the execution of the Definitive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681" w:name="page682"/>
    <w:bookmarkEnd w:id="681"/>
    <w:p>
      <w:pPr>
        <w:ind w:left="1300" w:right="20" w:hanging="644"/>
        <w:spacing w:after="0" w:line="263" w:lineRule="auto"/>
        <w:tabs>
          <w:tab w:leader="none" w:pos="1249" w:val="left"/>
        </w:tabs>
        <w:numPr>
          <w:ilvl w:val="1"/>
          <w:numId w:val="629"/>
        </w:numPr>
        <w:rPr>
          <w:rFonts w:ascii="Arial" w:cs="Arial" w:eastAsia="Arial" w:hAnsi="Arial"/>
          <w:sz w:val="22"/>
          <w:szCs w:val="22"/>
          <w:color w:val="auto"/>
        </w:rPr>
      </w:pPr>
      <w:r>
        <w:rPr>
          <w:rFonts w:ascii="Arial" w:cs="Arial" w:eastAsia="Arial" w:hAnsi="Arial"/>
          <w:sz w:val="22"/>
          <w:szCs w:val="22"/>
          <w:color w:val="auto"/>
        </w:rPr>
        <w:t>For clarity, Novartis’ exercise of the Option shall be subject to any applicable regulatory and competition law requirements.</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630"/>
        </w:numPr>
        <w:rPr>
          <w:rFonts w:ascii="Arial" w:cs="Arial" w:eastAsia="Arial" w:hAnsi="Arial"/>
          <w:sz w:val="22"/>
          <w:szCs w:val="22"/>
          <w:b w:val="1"/>
          <w:bCs w:val="1"/>
          <w:color w:val="auto"/>
        </w:rPr>
      </w:pPr>
      <w:r>
        <w:rPr>
          <w:rFonts w:ascii="Arial" w:cs="Arial" w:eastAsia="Arial" w:hAnsi="Arial"/>
          <w:sz w:val="22"/>
          <w:szCs w:val="22"/>
          <w:b w:val="1"/>
          <w:bCs w:val="1"/>
          <w:color w:val="auto"/>
        </w:rPr>
        <w:t>EQUITY Rights</w:t>
      </w:r>
    </w:p>
    <w:p>
      <w:pPr>
        <w:spacing w:after="0" w:line="220" w:lineRule="exact"/>
        <w:rPr>
          <w:sz w:val="20"/>
          <w:szCs w:val="20"/>
          <w:color w:val="auto"/>
        </w:rPr>
      </w:pPr>
    </w:p>
    <w:p>
      <w:pPr>
        <w:jc w:val="both"/>
        <w:ind w:left="540" w:hanging="647"/>
        <w:spacing w:after="0" w:line="304" w:lineRule="auto"/>
        <w:tabs>
          <w:tab w:leader="none" w:pos="5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b w:val="1"/>
          <w:bCs w:val="1"/>
          <w:color w:val="auto"/>
        </w:rPr>
        <w:t>Grant of Rights</w:t>
      </w:r>
      <w:r>
        <w:rPr>
          <w:rFonts w:ascii="Arial" w:cs="Arial" w:eastAsia="Arial" w:hAnsi="Arial"/>
          <w:sz w:val="19"/>
          <w:szCs w:val="19"/>
          <w:color w:val="auto"/>
        </w:rPr>
        <w:t>. Concurrently with and in the context of the Option grant, and as a further incentive to align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interests with regard to the Collaboration, with the purpose of providing additional financing to MPAG, Novartis shall be granted, accept and exercise, as further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a mandatorily exercisable right to acquire on or about the Execution Date the Equity Investment Shares pursuant to the terms and subject to the conditions of the Equity Investment.</w:t>
      </w:r>
    </w:p>
    <w:p>
      <w:pPr>
        <w:spacing w:after="0" w:line="13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8"/>
          <w:szCs w:val="18"/>
          <w:b w:val="1"/>
          <w:bCs w:val="1"/>
          <w:color w:val="auto"/>
        </w:rPr>
        <w:t>Exercise</w:t>
      </w:r>
      <w:r>
        <w:rPr>
          <w:rFonts w:ascii="Arial" w:cs="Arial" w:eastAsia="Arial" w:hAnsi="Arial"/>
          <w:sz w:val="18"/>
          <w:szCs w:val="18"/>
          <w:color w:val="auto"/>
        </w:rPr>
        <w:t>.</w:t>
      </w:r>
    </w:p>
    <w:p>
      <w:pPr>
        <w:spacing w:after="0" w:line="226" w:lineRule="exact"/>
        <w:rPr>
          <w:sz w:val="20"/>
          <w:szCs w:val="20"/>
          <w:color w:val="auto"/>
        </w:rPr>
      </w:pPr>
    </w:p>
    <w:p>
      <w:pPr>
        <w:ind w:left="1300" w:hanging="644"/>
        <w:spacing w:after="0" w:line="263" w:lineRule="auto"/>
        <w:tabs>
          <w:tab w:leader="none" w:pos="1143" w:val="left"/>
        </w:tabs>
        <w:numPr>
          <w:ilvl w:val="0"/>
          <w:numId w:val="631"/>
        </w:numPr>
        <w:rPr>
          <w:rFonts w:ascii="Arial" w:cs="Arial" w:eastAsia="Arial" w:hAnsi="Arial"/>
          <w:sz w:val="22"/>
          <w:szCs w:val="22"/>
          <w:color w:val="auto"/>
        </w:rPr>
      </w:pPr>
      <w:r>
        <w:rPr>
          <w:rFonts w:ascii="Arial" w:cs="Arial" w:eastAsia="Arial" w:hAnsi="Arial"/>
          <w:sz w:val="22"/>
          <w:szCs w:val="22"/>
          <w:color w:val="auto"/>
        </w:rPr>
        <w:t xml:space="preserve">On the Execution Date Novartis shall deliver to MPAG a duly executed (wet-ink) exercise notice in the form as set out in </w:t>
      </w:r>
      <w:r>
        <w:rPr>
          <w:rFonts w:ascii="Arial" w:cs="Arial" w:eastAsia="Arial" w:hAnsi="Arial"/>
          <w:sz w:val="22"/>
          <w:szCs w:val="22"/>
          <w:u w:val="single" w:color="auto"/>
          <w:color w:val="auto"/>
        </w:rPr>
        <w:t>Exhibit 3.2(a)</w:t>
      </w:r>
      <w:r>
        <w:rPr>
          <w:rFonts w:ascii="Arial" w:cs="Arial" w:eastAsia="Arial" w:hAnsi="Arial"/>
          <w:sz w:val="22"/>
          <w:szCs w:val="22"/>
          <w:color w:val="auto"/>
        </w:rPr>
        <w:t xml:space="preserve"> hereto;</w:t>
      </w:r>
    </w:p>
    <w:p>
      <w:pPr>
        <w:spacing w:after="0" w:line="174" w:lineRule="exact"/>
        <w:rPr>
          <w:rFonts w:ascii="Arial" w:cs="Arial" w:eastAsia="Arial" w:hAnsi="Arial"/>
          <w:sz w:val="22"/>
          <w:szCs w:val="22"/>
          <w:color w:val="auto"/>
        </w:rPr>
      </w:pPr>
    </w:p>
    <w:p>
      <w:pPr>
        <w:ind w:left="1300" w:hanging="644"/>
        <w:spacing w:after="0" w:line="247" w:lineRule="auto"/>
        <w:tabs>
          <w:tab w:leader="none" w:pos="1132" w:val="left"/>
        </w:tabs>
        <w:numPr>
          <w:ilvl w:val="0"/>
          <w:numId w:val="631"/>
        </w:numPr>
        <w:rPr>
          <w:rFonts w:ascii="Arial" w:cs="Arial" w:eastAsia="Arial" w:hAnsi="Arial"/>
          <w:sz w:val="22"/>
          <w:szCs w:val="22"/>
          <w:color w:val="auto"/>
        </w:rPr>
      </w:pPr>
      <w:r>
        <w:rPr>
          <w:rFonts w:ascii="Arial" w:cs="Arial" w:eastAsia="Arial" w:hAnsi="Arial"/>
          <w:sz w:val="22"/>
          <w:szCs w:val="22"/>
          <w:color w:val="auto"/>
        </w:rPr>
        <w:t>Subject to execution of this Option Agreement by MPAG, Novartis shall deposit or cause to be deposited an amount of forty million Swiss Francs (CHF 40,000,000), corresponding to the aggregate exercise amount for the Equity Investment Shares (the “</w:t>
      </w:r>
      <w:r>
        <w:rPr>
          <w:rFonts w:ascii="Arial" w:cs="Arial" w:eastAsia="Arial" w:hAnsi="Arial"/>
          <w:sz w:val="22"/>
          <w:szCs w:val="22"/>
          <w:b w:val="1"/>
          <w:bCs w:val="1"/>
          <w:color w:val="auto"/>
        </w:rPr>
        <w:t>Exercise Amount</w:t>
      </w:r>
      <w:r>
        <w:rPr>
          <w:rFonts w:ascii="Arial" w:cs="Arial" w:eastAsia="Arial" w:hAnsi="Arial"/>
          <w:sz w:val="22"/>
          <w:szCs w:val="22"/>
          <w:color w:val="auto"/>
        </w:rPr>
        <w:t>”), with [***] (the “</w:t>
      </w:r>
      <w:r>
        <w:rPr>
          <w:rFonts w:ascii="Arial" w:cs="Arial" w:eastAsia="Arial" w:hAnsi="Arial"/>
          <w:sz w:val="22"/>
          <w:szCs w:val="22"/>
          <w:b w:val="1"/>
          <w:bCs w:val="1"/>
          <w:color w:val="auto"/>
        </w:rPr>
        <w:t>Capital Increase Bank</w:t>
      </w:r>
      <w:r>
        <w:rPr>
          <w:rFonts w:ascii="Arial" w:cs="Arial" w:eastAsia="Arial" w:hAnsi="Arial"/>
          <w:sz w:val="22"/>
          <w:szCs w:val="22"/>
          <w:color w:val="auto"/>
        </w:rPr>
        <w:t>”) in the account with the number [***] (the “</w:t>
      </w:r>
      <w:r>
        <w:rPr>
          <w:rFonts w:ascii="Arial" w:cs="Arial" w:eastAsia="Arial" w:hAnsi="Arial"/>
          <w:sz w:val="22"/>
          <w:szCs w:val="22"/>
          <w:b w:val="1"/>
          <w:bCs w:val="1"/>
          <w:color w:val="auto"/>
        </w:rPr>
        <w:t>Capital Increase Account</w:t>
      </w:r>
      <w:r>
        <w:rPr>
          <w:rFonts w:ascii="Arial" w:cs="Arial" w:eastAsia="Arial" w:hAnsi="Arial"/>
          <w:sz w:val="22"/>
          <w:szCs w:val="22"/>
          <w:color w:val="auto"/>
        </w:rPr>
        <w:t>”), by no later than [***] (</w:t>
      </w:r>
      <w:r>
        <w:rPr>
          <w:rFonts w:ascii="Arial" w:cs="Arial" w:eastAsia="Arial" w:hAnsi="Arial"/>
          <w:sz w:val="22"/>
          <w:szCs w:val="22"/>
          <w:i w:val="1"/>
          <w:iCs w:val="1"/>
          <w:color w:val="auto"/>
        </w:rPr>
        <w:t>Valuta</w:t>
      </w:r>
      <w:r>
        <w:rPr>
          <w:rFonts w:ascii="Arial" w:cs="Arial" w:eastAsia="Arial" w:hAnsi="Arial"/>
          <w:sz w:val="22"/>
          <w:szCs w:val="22"/>
          <w:color w:val="auto"/>
        </w:rPr>
        <w:t>), and to cause the Capital Increase Bank to issue a confirmation relating to the crediting of the Exercise Amount to the Capital Increase Account by no later than [***]; and</w:t>
      </w:r>
    </w:p>
    <w:p>
      <w:pPr>
        <w:spacing w:after="0" w:line="192" w:lineRule="exact"/>
        <w:rPr>
          <w:rFonts w:ascii="Arial" w:cs="Arial" w:eastAsia="Arial" w:hAnsi="Arial"/>
          <w:sz w:val="22"/>
          <w:szCs w:val="22"/>
          <w:color w:val="auto"/>
        </w:rPr>
      </w:pPr>
    </w:p>
    <w:p>
      <w:pPr>
        <w:ind w:left="1300" w:hanging="644"/>
        <w:spacing w:after="0" w:line="250" w:lineRule="auto"/>
        <w:tabs>
          <w:tab w:leader="none" w:pos="1119" w:val="left"/>
        </w:tabs>
        <w:numPr>
          <w:ilvl w:val="0"/>
          <w:numId w:val="631"/>
        </w:numPr>
        <w:rPr>
          <w:rFonts w:ascii="Arial" w:cs="Arial" w:eastAsia="Arial" w:hAnsi="Arial"/>
          <w:sz w:val="22"/>
          <w:szCs w:val="22"/>
          <w:color w:val="auto"/>
        </w:rPr>
      </w:pPr>
      <w:r>
        <w:rPr>
          <w:rFonts w:ascii="Arial" w:cs="Arial" w:eastAsia="Arial" w:hAnsi="Arial"/>
          <w:sz w:val="22"/>
          <w:szCs w:val="22"/>
          <w:color w:val="auto"/>
        </w:rPr>
        <w:t xml:space="preserve">Subject to execution of this Option Agreement by MPAG, Novartis shall deliver, concurrently with the depositing of the amount pursuant to </w:t>
      </w:r>
      <w:r>
        <w:rPr>
          <w:rFonts w:ascii="Arial" w:cs="Arial" w:eastAsia="Arial" w:hAnsi="Arial"/>
          <w:sz w:val="22"/>
          <w:szCs w:val="22"/>
          <w:u w:val="single" w:color="auto"/>
          <w:color w:val="auto"/>
        </w:rPr>
        <w:t>Section 3.2(b)</w:t>
      </w:r>
      <w:r>
        <w:rPr>
          <w:rFonts w:ascii="Arial" w:cs="Arial" w:eastAsia="Arial" w:hAnsi="Arial"/>
          <w:sz w:val="22"/>
          <w:szCs w:val="22"/>
          <w:color w:val="auto"/>
        </w:rPr>
        <w:t xml:space="preserve">, to its custodian bank, with a copy to MPAG and the share registrar of MPAG, duly executed instructions for the transfer of the Equity Investment Shares in the form as set out in </w:t>
      </w:r>
      <w:r>
        <w:rPr>
          <w:rFonts w:ascii="Arial" w:cs="Arial" w:eastAsia="Arial" w:hAnsi="Arial"/>
          <w:sz w:val="22"/>
          <w:szCs w:val="22"/>
          <w:u w:val="single" w:color="auto"/>
          <w:color w:val="auto"/>
        </w:rPr>
        <w:t>Exhibit 3.2(c)</w:t>
      </w:r>
      <w:r>
        <w:rPr>
          <w:rFonts w:ascii="Arial" w:cs="Arial" w:eastAsia="Arial" w:hAnsi="Arial"/>
          <w:sz w:val="22"/>
          <w:szCs w:val="22"/>
          <w:color w:val="auto"/>
        </w:rPr>
        <w:t xml:space="preserve"> hereto.</w:t>
      </w:r>
    </w:p>
    <w:p>
      <w:pPr>
        <w:spacing w:after="0" w:line="18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b w:val="1"/>
          <w:bCs w:val="1"/>
          <w:color w:val="auto"/>
        </w:rPr>
        <w:t>Lock Up</w:t>
      </w:r>
      <w:r>
        <w:rPr>
          <w:rFonts w:ascii="Arial" w:cs="Arial" w:eastAsia="Arial" w:hAnsi="Arial"/>
          <w:sz w:val="19"/>
          <w:szCs w:val="19"/>
          <w:color w:val="auto"/>
        </w:rPr>
        <w:t>. During the period commencing on the Execution Date and ending on the later of (i) the date that falls [***] and</w:t>
      </w:r>
    </w:p>
    <w:p>
      <w:pPr>
        <w:spacing w:after="0" w:line="27" w:lineRule="exact"/>
        <w:rPr>
          <w:sz w:val="20"/>
          <w:szCs w:val="20"/>
          <w:color w:val="auto"/>
        </w:rPr>
      </w:pPr>
    </w:p>
    <w:p>
      <w:pPr>
        <w:jc w:val="both"/>
        <w:ind w:left="660" w:hanging="4"/>
        <w:spacing w:after="0" w:line="256" w:lineRule="auto"/>
        <w:tabs>
          <w:tab w:leader="none" w:pos="998" w:val="left"/>
        </w:tabs>
        <w:numPr>
          <w:ilvl w:val="0"/>
          <w:numId w:val="632"/>
        </w:numPr>
        <w:rPr>
          <w:rFonts w:ascii="Arial" w:cs="Arial" w:eastAsia="Arial" w:hAnsi="Arial"/>
          <w:sz w:val="21"/>
          <w:szCs w:val="21"/>
          <w:color w:val="auto"/>
        </w:rPr>
      </w:pPr>
      <w:r>
        <w:rPr>
          <w:rFonts w:ascii="Arial" w:cs="Arial" w:eastAsia="Arial" w:hAnsi="Arial"/>
          <w:sz w:val="21"/>
          <w:szCs w:val="21"/>
          <w:color w:val="auto"/>
        </w:rPr>
        <w:t>[***], Novartis shall not, without the prior written consent of MPAG, (a) issue, offer, sell, contract to sell, sell any option or contract to purchase, purchase any option or contract to sell, grant any option, right or warrant to purchase, pledge, grant instruction rights (</w:t>
      </w:r>
      <w:r>
        <w:rPr>
          <w:rFonts w:ascii="Arial" w:cs="Arial" w:eastAsia="Arial" w:hAnsi="Arial"/>
          <w:sz w:val="21"/>
          <w:szCs w:val="21"/>
          <w:i w:val="1"/>
          <w:iCs w:val="1"/>
          <w:color w:val="auto"/>
        </w:rPr>
        <w:t>Weisungsrechte</w:t>
      </w:r>
      <w:r>
        <w:rPr>
          <w:rFonts w:ascii="Arial" w:cs="Arial" w:eastAsia="Arial" w:hAnsi="Arial"/>
          <w:sz w:val="21"/>
          <w:szCs w:val="21"/>
          <w:color w:val="auto"/>
        </w:rPr>
        <w:t>) pursuant to article 25 of the FISA, or otherwise transfer or dispose of (or publicly announce any such issuance, offer, sale or disposal), directly or indirectly, or file a registration statement under any securities regulation relating to any Equity Investment Shares or any securities representing or convertible into or exchangeable or exercisable for Equity Investment Shares or warrants or other rights to purchase any Equity Investment Shares, (b) enter into any swap, hedge or other arrangement that transfers to another, in whole or in part, any of the economic consequences of ownership of the Equity Investment Shares, or (c) announce its intention to do any of the foregoing whether any such transaction described in subsection (a) or (b) above is to be settled by delivery of Equity Investment Shares or other securities,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682" w:name="page683"/>
    <w:bookmarkEnd w:id="682"/>
    <w:p>
      <w:pPr>
        <w:jc w:val="both"/>
        <w:ind w:left="660"/>
        <w:spacing w:after="0" w:line="263" w:lineRule="auto"/>
        <w:rPr>
          <w:sz w:val="20"/>
          <w:szCs w:val="20"/>
          <w:color w:val="auto"/>
        </w:rPr>
      </w:pPr>
      <w:r>
        <w:rPr>
          <w:rFonts w:ascii="Arial" w:cs="Arial" w:eastAsia="Arial" w:hAnsi="Arial"/>
          <w:sz w:val="21"/>
          <w:szCs w:val="21"/>
          <w:color w:val="auto"/>
        </w:rPr>
        <w:t>or otherwise. The foregoing undertaking shall not apply to the transfer of any Equity Investment Shares by Novartis to a directly or indirectly [***] owned subsidiary of Novartis AG (the “</w:t>
      </w:r>
      <w:r>
        <w:rPr>
          <w:rFonts w:ascii="Arial" w:cs="Arial" w:eastAsia="Arial" w:hAnsi="Arial"/>
          <w:sz w:val="21"/>
          <w:szCs w:val="21"/>
          <w:b w:val="1"/>
          <w:bCs w:val="1"/>
          <w:color w:val="auto"/>
        </w:rPr>
        <w:t>Acquiring Subsidiary</w:t>
      </w:r>
      <w:r>
        <w:rPr>
          <w:rFonts w:ascii="Arial" w:cs="Arial" w:eastAsia="Arial" w:hAnsi="Arial"/>
          <w:sz w:val="21"/>
          <w:szCs w:val="21"/>
          <w:color w:val="auto"/>
        </w:rPr>
        <w:t>”), provided that such subsidiary has, prior to such transfer agreed in writing to be bound by the same lock-up undertaking and to retransfer the Equity Investment Shares if it ceases to be directly or indirectly [***] owned by Novartis AG. Novartis hereby agrees to procure that the Acquiring Subsidiary will comply with such lock-up undertaking.</w:t>
      </w:r>
    </w:p>
    <w:p>
      <w:pPr>
        <w:spacing w:after="0" w:line="169" w:lineRule="exact"/>
        <w:rPr>
          <w:sz w:val="20"/>
          <w:szCs w:val="20"/>
          <w:color w:val="auto"/>
        </w:rPr>
      </w:pPr>
    </w:p>
    <w:p>
      <w:pPr>
        <w:jc w:val="both"/>
        <w:ind w:left="520" w:hanging="647"/>
        <w:spacing w:after="0" w:line="284" w:lineRule="auto"/>
        <w:tabs>
          <w:tab w:leader="none" w:pos="5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b w:val="1"/>
          <w:bCs w:val="1"/>
          <w:color w:val="auto"/>
        </w:rPr>
        <w:t>Stand-Still</w:t>
      </w:r>
      <w:r>
        <w:rPr>
          <w:rFonts w:ascii="Arial" w:cs="Arial" w:eastAsia="Arial" w:hAnsi="Arial"/>
          <w:sz w:val="19"/>
          <w:szCs w:val="19"/>
          <w:color w:val="auto"/>
        </w:rPr>
        <w:t>. Novartis shall procure that during the period commencing on the date hereof and ending on the later of (i)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that falls [***] and (ii) [***], neither Novartis nor the Acquiring Subsidiary nor any entity or individual that would be deemed to be acting in concert with Novartis or with the Acquiring Subsidiary within the meaning of articles 120 et seqq. of the FMIA and article 12 of the FMIO-FINMA shall, directly or indirectly, purchase or otherwise acquire shares or other purchase positions in MPAG as a result of which purchase or acquisition the shareholdings of such group acting in concert would reach or exceed [***] of the voting rights in MPAG (the “</w:t>
      </w:r>
      <w:r>
        <w:rPr>
          <w:rFonts w:ascii="Arial" w:cs="Arial" w:eastAsia="Arial" w:hAnsi="Arial"/>
          <w:sz w:val="19"/>
          <w:szCs w:val="19"/>
          <w:b w:val="1"/>
          <w:bCs w:val="1"/>
          <w:color w:val="auto"/>
        </w:rPr>
        <w:t>Standstill Restrictions</w:t>
      </w:r>
      <w:r>
        <w:rPr>
          <w:rFonts w:ascii="Arial" w:cs="Arial" w:eastAsia="Arial" w:hAnsi="Arial"/>
          <w:sz w:val="19"/>
          <w:szCs w:val="19"/>
          <w:color w:val="auto"/>
        </w:rPr>
        <w:t xml:space="preserve">”). The Standstill Restrictions shall not apply with respect to any party acting in concert with Novartis if and solely because (i) Novartis is, due to entering this Option Agreement deemed to form a group with MPAG within the meaning of articles 120 et seqq. of the FMIA and article 12 of the FMIO-FINMA or (ii) a Third Party enters into a similar lock-up undertaking vis-à-vis MPAG as Novartis under this Option Agreement and, as a result, Novartis and the Third Party form a lock-up group within the meaning of articles 120 et seqq. of the FMIA, article 12 of the FMIO-FINMA and the practice of the Disclosure Office of SIX Exchange Regulation. Furthermore, notwithstanding the provisions of this </w:t>
      </w:r>
      <w:r>
        <w:rPr>
          <w:rFonts w:ascii="Arial" w:cs="Arial" w:eastAsia="Arial" w:hAnsi="Arial"/>
          <w:sz w:val="19"/>
          <w:szCs w:val="19"/>
          <w:u w:val="single" w:color="auto"/>
          <w:color w:val="auto"/>
        </w:rPr>
        <w:t>Section 3.4</w:t>
      </w:r>
      <w:r>
        <w:rPr>
          <w:rFonts w:ascii="Arial" w:cs="Arial" w:eastAsia="Arial" w:hAnsi="Arial"/>
          <w:sz w:val="19"/>
          <w:szCs w:val="19"/>
          <w:color w:val="auto"/>
        </w:rPr>
        <w:t>, the Standstill Restrictions are not intended to and shall not prohibit or otherwise prevent (1) Novartis or any of its Affiliates from making a confidential proposal to MPAG or MPAG’s Board of Directors in relation to a transaction, arrangement or activity (including for the avoidance of doubt agreeing to an amendment to this Option Agreement or any provision thereof) that would otherwise be restricted by the Standstill Restrictions so long as such proposal is not made in a manner that would reasonably be expected to require either Party to make public disclosure thereof (prior to a mutual public disclosure regarding the transactions contemplated by this Option Agreement), (2) passive investments by a pension or employee benefit plan or trust for Novartis’ or its Affiliates’ employees so long as such investments are directed by independent trustees, administrators or employees, (3) Novartis’ or its Affiliates’ ownership of the shares of any mutual fund or similar financial institution, the investment activities of which are not controlled by Novartis or its Affiliates that owns MPAG securities, or (4) ownership of securities of MPAG by a Third Party acquired by Novartis (or any of its Affiliates) on the date such Third Party first entered into an agreement to be acquired by Novartis (or such Affiliate) or acquired after such Third Party was acquired by Novartis (or such Affiliate) pursuant to an agreement requiring (but only to the extent requiring) such Third Party to acquire such securities, which agreement was in effect on the date such Third Party first entered into an agreement to be acquired by Novartis (or such Affiliate); always provided that (i) the acquisition of the Third Party is not motivated by the indirect acquisition of the relevant MPAG shares or purchase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683" w:name="page684"/>
    <w:bookmarkEnd w:id="683"/>
    <w:p>
      <w:pPr>
        <w:jc w:val="both"/>
        <w:ind w:left="660"/>
        <w:spacing w:after="0" w:line="286" w:lineRule="auto"/>
        <w:rPr>
          <w:sz w:val="20"/>
          <w:szCs w:val="20"/>
          <w:color w:val="auto"/>
        </w:rPr>
      </w:pPr>
      <w:r>
        <w:rPr>
          <w:rFonts w:ascii="Arial" w:cs="Arial" w:eastAsia="Arial" w:hAnsi="Arial"/>
          <w:sz w:val="19"/>
          <w:szCs w:val="19"/>
          <w:color w:val="auto"/>
        </w:rPr>
        <w:t>and (ii), the number of shares or purchase positions that exceeds the Standstill Restrictions is divested as soon as reasonably practicable following closing of the acquisition of the Third Party. The Standstill Restrictions shall automatically terminate on the date on which (A) MPAG enters into a definitive agreement with respect to, or publicly announces that it is in negotiations in connection with, any transaction that would result in a Change of Control of MPAG;</w:t>
      </w:r>
    </w:p>
    <w:p>
      <w:pPr>
        <w:spacing w:after="0" w:line="3" w:lineRule="exact"/>
        <w:rPr>
          <w:sz w:val="20"/>
          <w:szCs w:val="20"/>
          <w:color w:val="auto"/>
        </w:rPr>
      </w:pPr>
    </w:p>
    <w:p>
      <w:pPr>
        <w:jc w:val="both"/>
        <w:ind w:left="660" w:hanging="4"/>
        <w:spacing w:after="0" w:line="292" w:lineRule="auto"/>
        <w:tabs>
          <w:tab w:leader="none" w:pos="1004" w:val="left"/>
        </w:tabs>
        <w:numPr>
          <w:ilvl w:val="1"/>
          <w:numId w:val="633"/>
        </w:numPr>
        <w:rPr>
          <w:rFonts w:ascii="Arial" w:cs="Arial" w:eastAsia="Arial" w:hAnsi="Arial"/>
          <w:sz w:val="19"/>
          <w:szCs w:val="19"/>
          <w:color w:val="auto"/>
        </w:rPr>
      </w:pPr>
      <w:r>
        <w:rPr>
          <w:rFonts w:ascii="Arial" w:cs="Arial" w:eastAsia="Arial" w:hAnsi="Arial"/>
          <w:sz w:val="19"/>
          <w:szCs w:val="19"/>
          <w:color w:val="auto"/>
        </w:rPr>
        <w:t xml:space="preserve">a tender offer or exchange offer is commenced by a Third Party or group of Third Parties (which does not involve any breach by Novartis or its Affiliates of this </w:t>
      </w:r>
      <w:r>
        <w:rPr>
          <w:rFonts w:ascii="Arial" w:cs="Arial" w:eastAsia="Arial" w:hAnsi="Arial"/>
          <w:sz w:val="19"/>
          <w:szCs w:val="19"/>
          <w:u w:val="single" w:color="auto"/>
          <w:color w:val="auto"/>
        </w:rPr>
        <w:t>Section 3.4</w:t>
      </w:r>
      <w:r>
        <w:rPr>
          <w:rFonts w:ascii="Arial" w:cs="Arial" w:eastAsia="Arial" w:hAnsi="Arial"/>
          <w:sz w:val="19"/>
          <w:szCs w:val="19"/>
          <w:color w:val="auto"/>
        </w:rPr>
        <w:t>) which, if consummated, would make such Third Party or group of Third Parties the beneficial owner of securities having more than [***] of the total combined voting power entitled to vote in the election of directors of MPAG; or (C) any person or group commences a proxy solicitation in which the Third Party or group of Third Parties would, if successful, elect or acquire the ability to elect a majority of the directors of MPAG.</w:t>
      </w:r>
    </w:p>
    <w:p>
      <w:pPr>
        <w:spacing w:after="0" w:line="145" w:lineRule="exact"/>
        <w:rPr>
          <w:rFonts w:ascii="Arial" w:cs="Arial" w:eastAsia="Arial" w:hAnsi="Arial"/>
          <w:sz w:val="19"/>
          <w:szCs w:val="19"/>
          <w:color w:val="auto"/>
        </w:rPr>
      </w:pPr>
    </w:p>
    <w:p>
      <w:pPr>
        <w:ind w:left="380" w:hanging="372"/>
        <w:spacing w:after="0"/>
        <w:tabs>
          <w:tab w:leader="none" w:pos="380" w:val="left"/>
        </w:tabs>
        <w:numPr>
          <w:ilvl w:val="0"/>
          <w:numId w:val="634"/>
        </w:numPr>
        <w:rPr>
          <w:rFonts w:ascii="Arial" w:cs="Arial" w:eastAsia="Arial" w:hAnsi="Arial"/>
          <w:sz w:val="22"/>
          <w:szCs w:val="22"/>
          <w:b w:val="1"/>
          <w:bCs w:val="1"/>
          <w:color w:val="auto"/>
        </w:rPr>
      </w:pPr>
      <w:r>
        <w:rPr>
          <w:rFonts w:ascii="Arial" w:cs="Arial" w:eastAsia="Arial" w:hAnsi="Arial"/>
          <w:sz w:val="22"/>
          <w:szCs w:val="22"/>
          <w:b w:val="1"/>
          <w:bCs w:val="1"/>
          <w:color w:val="auto"/>
        </w:rPr>
        <w:t>OPTION PERIOD DEVELOPMENT OF THE PRODUCTS</w:t>
      </w:r>
    </w:p>
    <w:p>
      <w:pPr>
        <w:spacing w:after="0" w:line="220" w:lineRule="exact"/>
        <w:rPr>
          <w:sz w:val="20"/>
          <w:szCs w:val="20"/>
          <w:color w:val="auto"/>
        </w:rPr>
      </w:pPr>
    </w:p>
    <w:p>
      <w:pPr>
        <w:jc w:val="both"/>
        <w:ind w:left="500" w:hanging="647"/>
        <w:spacing w:after="0" w:line="261" w:lineRule="auto"/>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b w:val="1"/>
          <w:bCs w:val="1"/>
          <w:color w:val="auto"/>
        </w:rPr>
        <w:t>Overview</w:t>
      </w:r>
      <w:r>
        <w:rPr>
          <w:rFonts w:ascii="Arial" w:cs="Arial" w:eastAsia="Arial" w:hAnsi="Arial"/>
          <w:sz w:val="21"/>
          <w:szCs w:val="21"/>
          <w:color w:val="auto"/>
        </w:rPr>
        <w:t>. The intent of this Collaboration during the Option Period is for (a) MPAG to conduct the MPAG Activities as set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forth in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(b) MPAG to provide Novartis with clinical supply of the Products in quantities sufficient for Novartis to conduct its Novartis Activities as set forth in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(c) Novartis to conduct the Novartis Activities as set forth in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and (d) MPAG to grant to Novartis the exclusive Option in respect of the Products as set forth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The purpose of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is to provide a high-level overview of the roles, responsibilities, rights and obligations of each Party under this Option Agreement with regard to the Products.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is qualified in its entirety by the more detailed provisions otherwise set forth in this Option Agreement.</w:t>
      </w:r>
    </w:p>
    <w:p>
      <w:pPr>
        <w:spacing w:after="0" w:line="173"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b w:val="1"/>
          <w:bCs w:val="1"/>
          <w:color w:val="auto"/>
        </w:rPr>
        <w:t>Development Plan</w:t>
      </w:r>
      <w:r>
        <w:rPr>
          <w:rFonts w:ascii="Arial" w:cs="Arial" w:eastAsia="Arial" w:hAnsi="Arial"/>
          <w:sz w:val="21"/>
          <w:szCs w:val="21"/>
          <w:color w:val="auto"/>
        </w:rPr>
        <w:t>. The Parties have agreed on an initial, high-level Development Plan, attached as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Exhibit A</w:t>
      </w:r>
      <w:r>
        <w:rPr>
          <w:rFonts w:ascii="Arial" w:cs="Arial" w:eastAsia="Arial" w:hAnsi="Arial"/>
          <w:sz w:val="21"/>
          <w:szCs w:val="21"/>
          <w:color w:val="auto"/>
        </w:rPr>
        <w:t>, that</w:t>
      </w:r>
      <w:r>
        <w:rPr>
          <w:rFonts w:ascii="Arial" w:cs="Arial" w:eastAsia="Arial" w:hAnsi="Arial"/>
          <w:sz w:val="21"/>
          <w:szCs w:val="21"/>
          <w:b w:val="1"/>
          <w:bCs w:val="1"/>
          <w:color w:val="auto"/>
        </w:rPr>
        <w:t xml:space="preserve"> </w:t>
      </w:r>
      <w:r>
        <w:rPr>
          <w:rFonts w:ascii="Arial" w:cs="Arial" w:eastAsia="Arial" w:hAnsi="Arial"/>
          <w:sz w:val="21"/>
          <w:szCs w:val="21"/>
          <w:color w:val="auto"/>
        </w:rPr>
        <w:t>describes the general nature of the development activities contemplated under this Option Agreement and the responsibilities of the Parties with respect thereto, as applicable (the “</w:t>
      </w:r>
      <w:r>
        <w:rPr>
          <w:rFonts w:ascii="Arial" w:cs="Arial" w:eastAsia="Arial" w:hAnsi="Arial"/>
          <w:sz w:val="21"/>
          <w:szCs w:val="21"/>
          <w:u w:val="single" w:color="auto"/>
          <w:color w:val="auto"/>
        </w:rPr>
        <w:t>Initial Development Plan</w:t>
      </w:r>
      <w:r>
        <w:rPr>
          <w:rFonts w:ascii="Arial" w:cs="Arial" w:eastAsia="Arial" w:hAnsi="Arial"/>
          <w:sz w:val="21"/>
          <w:szCs w:val="21"/>
          <w:color w:val="auto"/>
        </w:rPr>
        <w:t>”). Promptly after the Execution Date, and in any event no later than [***] thereafter, the Parties shall negotiate in good faith and agree in writing on a reasonably detailed, updated development plan (the “</w:t>
      </w:r>
      <w:r>
        <w:rPr>
          <w:rFonts w:ascii="Arial" w:cs="Arial" w:eastAsia="Arial" w:hAnsi="Arial"/>
          <w:sz w:val="21"/>
          <w:szCs w:val="21"/>
          <w:u w:val="single" w:color="auto"/>
          <w:color w:val="auto"/>
        </w:rPr>
        <w:t>Full Form Development Plan</w:t>
      </w:r>
      <w:r>
        <w:rPr>
          <w:rFonts w:ascii="Arial" w:cs="Arial" w:eastAsia="Arial" w:hAnsi="Arial"/>
          <w:sz w:val="21"/>
          <w:szCs w:val="21"/>
          <w:color w:val="auto"/>
        </w:rPr>
        <w:t>”) for the conduct of development activities with respect to the Products in the Field in the Territory that (a) is consistent with the Initial Development Plan, (b) describes the MPAG Activities (the costs and expenses for which shall be borne by MPAG, subject to Section 4.5) and the Novartis Activities (the costs and expenses for which shall be borne by Novartis), and (c) includes the applicable concept sheet or synopsis for the Clinical Trials to be conducted under the Development Plan (the Initial Development Plan together with the Full Form Development Plan all updates and amendments to either of them, the “</w:t>
      </w:r>
      <w:r>
        <w:rPr>
          <w:rFonts w:ascii="Arial" w:cs="Arial" w:eastAsia="Arial" w:hAnsi="Arial"/>
          <w:sz w:val="21"/>
          <w:szCs w:val="21"/>
          <w:u w:val="single" w:color="auto"/>
          <w:color w:val="auto"/>
        </w:rPr>
        <w:t>Development Plan</w:t>
      </w:r>
      <w:r>
        <w:rPr>
          <w:rFonts w:ascii="Arial" w:cs="Arial" w:eastAsia="Arial" w:hAnsi="Arial"/>
          <w:sz w:val="21"/>
          <w:szCs w:val="21"/>
          <w:color w:val="auto"/>
        </w:rPr>
        <w:t>”). Within [***] from the Execution Date, the Parties will negotiate in good faith to include MP0423 in the Development Plan and to apportion costs for development activities in respect of MP0423 appropriately. In negotiating the Development Plan, each Party shall use good faith efforts to agree on the contents of the Development Plan and shall not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684" w:name="page685"/>
    <w:bookmarkEnd w:id="684"/>
    <w:p>
      <w:pPr>
        <w:jc w:val="both"/>
        <w:ind w:left="660"/>
        <w:spacing w:after="0" w:line="290" w:lineRule="auto"/>
        <w:rPr>
          <w:sz w:val="20"/>
          <w:szCs w:val="20"/>
          <w:color w:val="auto"/>
        </w:rPr>
      </w:pPr>
      <w:r>
        <w:rPr>
          <w:rFonts w:ascii="Arial" w:cs="Arial" w:eastAsia="Arial" w:hAnsi="Arial"/>
          <w:sz w:val="19"/>
          <w:szCs w:val="19"/>
          <w:color w:val="auto"/>
        </w:rPr>
        <w:t xml:space="preserve">reason withhold, condition, or delay their consent to the Development Plan. For clarity, and notwithstanding anything to the contrary in this Option Agreement: (i) this Option Agreement does not limit in any way MPAG’s right or ability to perform any pre-clinical, clinical, and non-clinical development activities for the Products at MPAG’s sole cost and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MPAG shall not, without the prior written consent of Novartis, initiate any Clinical Trial in respect of either of the Products that is not contemplated by the Development Plan; and (ii) neither Party shall be required to undertake any activities, including, as applicable MPAG Activities or Novartis Activities, that are not set forth in a Development Plan. For the avoidance of doubt, the Initial Development Plan shall serve as the Development Plan to the extent required for the purposes of this Option Agreement until such time as the Parties agree a new Development Plan pursuant to the terms of this </w:t>
      </w:r>
      <w:r>
        <w:rPr>
          <w:rFonts w:ascii="Arial" w:cs="Arial" w:eastAsia="Arial" w:hAnsi="Arial"/>
          <w:sz w:val="19"/>
          <w:szCs w:val="19"/>
          <w:u w:val="single" w:color="auto"/>
          <w:color w:val="auto"/>
        </w:rPr>
        <w:t>Section 4.2</w:t>
      </w:r>
      <w:r>
        <w:rPr>
          <w:rFonts w:ascii="Arial" w:cs="Arial" w:eastAsia="Arial" w:hAnsi="Arial"/>
          <w:sz w:val="19"/>
          <w:szCs w:val="19"/>
          <w:color w:val="auto"/>
        </w:rPr>
        <w:t>.</w:t>
      </w:r>
    </w:p>
    <w:p>
      <w:pPr>
        <w:spacing w:after="0" w:line="200" w:lineRule="exact"/>
        <w:rPr>
          <w:sz w:val="20"/>
          <w:szCs w:val="20"/>
          <w:color w:val="auto"/>
        </w:rPr>
      </w:pPr>
    </w:p>
    <w:p>
      <w:pPr>
        <w:spacing w:after="0" w:line="206"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b w:val="1"/>
          <w:bCs w:val="1"/>
          <w:color w:val="auto"/>
        </w:rPr>
        <w:t>Option Period MPAG Activities</w:t>
      </w:r>
      <w:r>
        <w:rPr>
          <w:rFonts w:ascii="Arial" w:cs="Arial" w:eastAsia="Arial" w:hAnsi="Arial"/>
          <w:sz w:val="22"/>
          <w:szCs w:val="22"/>
          <w:color w:val="auto"/>
        </w:rPr>
        <w:t>. During the Option Period, except as otherwise expressly provided in this Option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MPAG shall be solely responsible, at its sole expense, for all research and preclinical development of the Products, including sourcing of clinical supply of such Product, as required, as outlined as MPAG responsibilities in the Development Plan. Without limiting the generality of the foregoing:</w:t>
      </w:r>
    </w:p>
    <w:p>
      <w:pPr>
        <w:spacing w:after="0" w:line="186" w:lineRule="exact"/>
        <w:rPr>
          <w:sz w:val="20"/>
          <w:szCs w:val="20"/>
          <w:color w:val="auto"/>
        </w:rPr>
      </w:pPr>
    </w:p>
    <w:p>
      <w:pPr>
        <w:ind w:left="1120" w:hanging="464"/>
        <w:spacing w:after="0"/>
        <w:tabs>
          <w:tab w:leader="none" w:pos="1120" w:val="left"/>
        </w:tabs>
        <w:numPr>
          <w:ilvl w:val="0"/>
          <w:numId w:val="635"/>
        </w:numPr>
        <w:rPr>
          <w:rFonts w:ascii="Arial" w:cs="Arial" w:eastAsia="Arial" w:hAnsi="Arial"/>
          <w:sz w:val="22"/>
          <w:szCs w:val="22"/>
          <w:color w:val="auto"/>
        </w:rPr>
      </w:pPr>
      <w:r>
        <w:rPr>
          <w:rFonts w:ascii="Arial" w:cs="Arial" w:eastAsia="Arial" w:hAnsi="Arial"/>
          <w:sz w:val="22"/>
          <w:szCs w:val="22"/>
          <w:color w:val="auto"/>
        </w:rPr>
        <w:t>MPAG shall:</w:t>
      </w:r>
    </w:p>
    <w:p>
      <w:pPr>
        <w:spacing w:after="0" w:line="219" w:lineRule="exact"/>
        <w:rPr>
          <w:rFonts w:ascii="Arial" w:cs="Arial" w:eastAsia="Arial" w:hAnsi="Arial"/>
          <w:sz w:val="22"/>
          <w:szCs w:val="22"/>
          <w:color w:val="auto"/>
        </w:rPr>
      </w:pPr>
    </w:p>
    <w:p>
      <w:pPr>
        <w:ind w:left="1300" w:firstLine="4"/>
        <w:spacing w:after="0" w:line="343" w:lineRule="auto"/>
        <w:tabs>
          <w:tab w:leader="none" w:pos="1731" w:val="left"/>
        </w:tabs>
        <w:numPr>
          <w:ilvl w:val="1"/>
          <w:numId w:val="635"/>
        </w:numPr>
        <w:rPr>
          <w:rFonts w:ascii="Arial" w:cs="Arial" w:eastAsia="Arial" w:hAnsi="Arial"/>
          <w:sz w:val="19"/>
          <w:szCs w:val="19"/>
          <w:color w:val="auto"/>
        </w:rPr>
      </w:pPr>
      <w:r>
        <w:rPr>
          <w:rFonts w:ascii="Arial" w:cs="Arial" w:eastAsia="Arial" w:hAnsi="Arial"/>
          <w:sz w:val="19"/>
          <w:szCs w:val="19"/>
          <w:color w:val="auto"/>
        </w:rPr>
        <w:t xml:space="preserve">initiate and use its Commercially Reasonable Efforts to conduct the Planned Phase 1 Trial in accordance with the protocol therefor, which is attached hereto as </w:t>
      </w:r>
      <w:r>
        <w:rPr>
          <w:rFonts w:ascii="Arial" w:cs="Arial" w:eastAsia="Arial" w:hAnsi="Arial"/>
          <w:sz w:val="19"/>
          <w:szCs w:val="19"/>
          <w:u w:val="single" w:color="auto"/>
          <w:color w:val="auto"/>
        </w:rPr>
        <w:t>Exhibit 4.3</w:t>
      </w:r>
      <w:r>
        <w:rPr>
          <w:rFonts w:ascii="Arial" w:cs="Arial" w:eastAsia="Arial" w:hAnsi="Arial"/>
          <w:sz w:val="19"/>
          <w:szCs w:val="19"/>
          <w:color w:val="auto"/>
        </w:rPr>
        <w:t xml:space="preserve"> (the “</w:t>
      </w:r>
      <w:r>
        <w:rPr>
          <w:rFonts w:ascii="Arial" w:cs="Arial" w:eastAsia="Arial" w:hAnsi="Arial"/>
          <w:sz w:val="19"/>
          <w:szCs w:val="19"/>
          <w:b w:val="1"/>
          <w:bCs w:val="1"/>
          <w:color w:val="auto"/>
        </w:rPr>
        <w:t>Planned Phase 1 Trial Protocol</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300" w:firstLine="4"/>
        <w:spacing w:after="0" w:line="263" w:lineRule="auto"/>
        <w:tabs>
          <w:tab w:leader="none" w:pos="1825" w:val="left"/>
        </w:tabs>
        <w:numPr>
          <w:ilvl w:val="1"/>
          <w:numId w:val="635"/>
        </w:numPr>
        <w:rPr>
          <w:rFonts w:ascii="Arial" w:cs="Arial" w:eastAsia="Arial" w:hAnsi="Arial"/>
          <w:sz w:val="22"/>
          <w:szCs w:val="22"/>
          <w:color w:val="auto"/>
        </w:rPr>
      </w:pPr>
      <w:r>
        <w:rPr>
          <w:rFonts w:ascii="Arial" w:cs="Arial" w:eastAsia="Arial" w:hAnsi="Arial"/>
          <w:sz w:val="22"/>
          <w:szCs w:val="22"/>
          <w:color w:val="auto"/>
        </w:rPr>
        <w:t>subject to Successful Completion of the Planned Phase 1 Trial, use its Commercially Reasonable Efforts to submit MP0420 to ACTIV 2 and ACTIV 3; and</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1"/>
          <w:numId w:val="635"/>
        </w:numPr>
        <w:rPr>
          <w:rFonts w:ascii="Arial" w:cs="Arial" w:eastAsia="Arial" w:hAnsi="Arial"/>
          <w:sz w:val="22"/>
          <w:szCs w:val="22"/>
          <w:color w:val="auto"/>
        </w:rPr>
      </w:pPr>
      <w:r>
        <w:rPr>
          <w:rFonts w:ascii="Arial" w:cs="Arial" w:eastAsia="Arial" w:hAnsi="Arial"/>
          <w:sz w:val="22"/>
          <w:szCs w:val="22"/>
          <w:color w:val="auto"/>
        </w:rPr>
        <w:t>subject to the terms of this Option Agreement, act as the Sponsor the Phase 2 (I.V.) Trial.</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35"/>
        </w:numPr>
        <w:rPr>
          <w:rFonts w:ascii="Arial" w:cs="Arial" w:eastAsia="Arial" w:hAnsi="Arial"/>
          <w:sz w:val="19"/>
          <w:szCs w:val="19"/>
          <w:color w:val="auto"/>
        </w:rPr>
      </w:pPr>
      <w:r>
        <w:rPr>
          <w:rFonts w:ascii="Arial" w:cs="Arial" w:eastAsia="Arial" w:hAnsi="Arial"/>
          <w:sz w:val="19"/>
          <w:szCs w:val="19"/>
          <w:color w:val="auto"/>
        </w:rPr>
        <w:t>MPAG shall promptly inform Novartis of any variation to or deviation from the Planned Phase 1 Trial Protocol.</w:t>
      </w:r>
    </w:p>
    <w:p>
      <w:pPr>
        <w:spacing w:after="0" w:line="254" w:lineRule="exact"/>
        <w:rPr>
          <w:rFonts w:ascii="Arial" w:cs="Arial" w:eastAsia="Arial" w:hAnsi="Arial"/>
          <w:sz w:val="19"/>
          <w:szCs w:val="19"/>
          <w:color w:val="auto"/>
        </w:rPr>
      </w:pPr>
    </w:p>
    <w:p>
      <w:pPr>
        <w:ind w:left="1300" w:hanging="644"/>
        <w:spacing w:after="0" w:line="294" w:lineRule="auto"/>
        <w:tabs>
          <w:tab w:leader="none" w:pos="1125" w:val="left"/>
        </w:tabs>
        <w:numPr>
          <w:ilvl w:val="0"/>
          <w:numId w:val="635"/>
        </w:numPr>
        <w:rPr>
          <w:rFonts w:ascii="Arial" w:cs="Arial" w:eastAsia="Arial" w:hAnsi="Arial"/>
          <w:sz w:val="19"/>
          <w:szCs w:val="19"/>
          <w:color w:val="auto"/>
        </w:rPr>
      </w:pPr>
      <w:r>
        <w:rPr>
          <w:rFonts w:ascii="Arial" w:cs="Arial" w:eastAsia="Arial" w:hAnsi="Arial"/>
          <w:sz w:val="19"/>
          <w:szCs w:val="19"/>
          <w:color w:val="auto"/>
        </w:rPr>
        <w:t xml:space="preserve">MPAG shall use its Commercially Reasonable Efforts to conduct the MPAG Activities pursuant to the Development Plan; </w:t>
      </w:r>
      <w:r>
        <w:rPr>
          <w:rFonts w:ascii="Arial" w:cs="Arial" w:eastAsia="Arial" w:hAnsi="Arial"/>
          <w:sz w:val="19"/>
          <w:szCs w:val="19"/>
          <w:u w:val="single" w:color="auto"/>
          <w:color w:val="auto"/>
        </w:rPr>
        <w:t>provided</w:t>
      </w:r>
      <w:r>
        <w:rPr>
          <w:rFonts w:ascii="Arial" w:cs="Arial" w:eastAsia="Arial" w:hAnsi="Arial"/>
          <w:sz w:val="19"/>
          <w:szCs w:val="19"/>
          <w:color w:val="auto"/>
        </w:rPr>
        <w:t>, that notwithstanding the foregoing, MPAG shall not be required to conduct any pre-clinical, clinical, or non-clinical development activities for the Products unless (a) set forth in a mutually agreed Development Plan or (b) Novartis agrees in writing to reimburse MPAG, on invoice, for all documented external costs on a pass-through basis and internal expenses at the FTE Rate, in each case, that are reasonably incurred by MPAG in connection with such pre-clinical, clinical, or non-clinical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685" w:name="page686"/>
    <w:bookmarkEnd w:id="685"/>
    <w:p>
      <w:pPr>
        <w:jc w:val="both"/>
        <w:ind w:left="500" w:hanging="647"/>
        <w:spacing w:after="0" w:line="261" w:lineRule="auto"/>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1"/>
          <w:szCs w:val="21"/>
          <w:b w:val="1"/>
          <w:bCs w:val="1"/>
          <w:color w:val="auto"/>
        </w:rPr>
        <w:t>MP0423 Option Period Milestone</w:t>
      </w:r>
      <w:r>
        <w:rPr>
          <w:rFonts w:ascii="Arial" w:cs="Arial" w:eastAsia="Arial" w:hAnsi="Arial"/>
          <w:sz w:val="21"/>
          <w:szCs w:val="21"/>
          <w:color w:val="auto"/>
        </w:rPr>
        <w:t>. In the event that, during the Option Period, the Parties agree on a Phase 1 Clinical Trial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for MP0423 Novartis shall pay to MPAG (a) a one-time milestone fee of two million five hundred thousand Swiss Francs (CHF 2,500,000) to MPAG upon the first dosing of the first patient in such Phase 1 Clinical Trial for MP0423 and (b) a one-time milestone fee of two million five hundred thousand Swiss Francs (CHF 2,500,000) to MPAG upon Successful Completion of such Phase 1 Clinical Trial for MP0423, in accordance with this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MPAG shall issue invoices to Novartis in the form of </w:t>
      </w:r>
      <w:r>
        <w:rPr>
          <w:rFonts w:ascii="Arial" w:cs="Arial" w:eastAsia="Arial" w:hAnsi="Arial"/>
          <w:sz w:val="21"/>
          <w:szCs w:val="21"/>
          <w:u w:val="single" w:color="auto"/>
          <w:color w:val="auto"/>
        </w:rPr>
        <w:t>Exhibit 2.2</w:t>
      </w:r>
      <w:r>
        <w:rPr>
          <w:rFonts w:ascii="Arial" w:cs="Arial" w:eastAsia="Arial" w:hAnsi="Arial"/>
          <w:sz w:val="21"/>
          <w:szCs w:val="21"/>
          <w:color w:val="auto"/>
        </w:rPr>
        <w:t xml:space="preserve"> hereto in respect of the aforementioned milestone fees and Novartis will pay such invoice within [***] after receipt by Novartis.</w:t>
      </w:r>
    </w:p>
    <w:p>
      <w:pPr>
        <w:spacing w:after="0" w:line="173" w:lineRule="exact"/>
        <w:rPr>
          <w:sz w:val="20"/>
          <w:szCs w:val="20"/>
          <w:color w:val="auto"/>
        </w:rPr>
      </w:pPr>
    </w:p>
    <w:p>
      <w:pPr>
        <w:jc w:val="both"/>
        <w:ind w:left="580" w:hanging="647"/>
        <w:spacing w:after="0" w:line="285" w:lineRule="auto"/>
        <w:tabs>
          <w:tab w:leader="none" w:pos="56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color w:val="auto"/>
        </w:rPr>
        <w:t>Option Period MPAG Activities on a Product-by-Product Basis</w:t>
      </w:r>
      <w:r>
        <w:rPr>
          <w:rFonts w:ascii="Arial" w:cs="Arial" w:eastAsia="Arial" w:hAnsi="Arial"/>
          <w:sz w:val="19"/>
          <w:szCs w:val="19"/>
          <w:color w:val="auto"/>
        </w:rPr>
        <w:t>. During the Option Period, on a Product-by-Product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basis, MPAG shall use Commercially Reasonable Efforts to conduct the MPAG Activities under the Development Plan for such Product in accordance with the timelines specified therein, until the earlier of the date: (w) Novartis exercises the Option for the Products under this Option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Novartis exercises its Option before MPAG completes the MPAG Activities, MPAG will use its Commercially Reasonable Efforts to complete such remaining uncompleted MPAG Activities on the timeline and subject to the terms set out in the Development Plan, unless otherwise instructed by Novartis; (x) the Option Period has expired; (y) the Parties mutually agree that, for scientific, medical or other reasons, continuing to conduct the MPAG Activities under the Development Plan for such Product is futile; and (z) that MPAG in good faith believes that continuing such MPAG Activities for such Product (A) poses an unacceptable risk or threat of harm in humans, or (B) violates any Applicable Law, ethical principles, or principles of scientific integrity. If there are additional activities Novartis wishes MPAG to conduct under a Development Plan as MPAG Activities [***], the Parties will discuss any such additional activities through the Governance Committee, and if mutually agreed by the Parties at the Governance Committee, such additional activities will automatically become MPAG Activities hereunder, </w:t>
      </w:r>
      <w:r>
        <w:rPr>
          <w:rFonts w:ascii="Arial" w:cs="Arial" w:eastAsia="Arial" w:hAnsi="Arial"/>
          <w:sz w:val="19"/>
          <w:szCs w:val="19"/>
          <w:i w:val="1"/>
          <w:iCs w:val="1"/>
          <w:color w:val="auto"/>
        </w:rPr>
        <w:t>provided</w:t>
      </w:r>
      <w:r>
        <w:rPr>
          <w:rFonts w:ascii="Arial" w:cs="Arial" w:eastAsia="Arial" w:hAnsi="Arial"/>
          <w:sz w:val="19"/>
          <w:szCs w:val="19"/>
          <w:color w:val="auto"/>
        </w:rPr>
        <w:t>, that Novartis shall reimburse MPAG, on invoice, for all documented external costs on a pass-through basis and</w:t>
      </w:r>
      <w:r>
        <w:rPr>
          <w:rFonts w:ascii="Arial" w:cs="Arial" w:eastAsia="Arial" w:hAnsi="Arial"/>
          <w:sz w:val="19"/>
          <w:szCs w:val="19"/>
          <w:i w:val="1"/>
          <w:iCs w:val="1"/>
          <w:color w:val="auto"/>
        </w:rPr>
        <w:t xml:space="preserve"> </w:t>
      </w:r>
      <w:r>
        <w:rPr>
          <w:rFonts w:ascii="Arial" w:cs="Arial" w:eastAsia="Arial" w:hAnsi="Arial"/>
          <w:sz w:val="19"/>
          <w:szCs w:val="19"/>
          <w:color w:val="auto"/>
        </w:rPr>
        <w:t>internal expenses at the FTE Rate, in each case, that are reasonably incurred by MPAG in the conduct of such additional MPAG Activities that have been requested by Novartis, and the Parties shall update the Development Plan accordingly. MPAG will use Commercially Reasonable Efforts to conduct such agreed activities under such Development Plan (and such plan will be updated accordingly).</w:t>
      </w:r>
    </w:p>
    <w:p>
      <w:pPr>
        <w:spacing w:after="0" w:line="200" w:lineRule="exact"/>
        <w:rPr>
          <w:sz w:val="20"/>
          <w:szCs w:val="20"/>
          <w:color w:val="auto"/>
        </w:rPr>
      </w:pPr>
    </w:p>
    <w:p>
      <w:pPr>
        <w:spacing w:after="0" w:line="222"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b w:val="1"/>
          <w:bCs w:val="1"/>
          <w:color w:val="auto"/>
        </w:rPr>
        <w:t>Option Period Novartis Activities</w:t>
      </w:r>
      <w:r>
        <w:rPr>
          <w:rFonts w:ascii="Arial" w:cs="Arial" w:eastAsia="Arial" w:hAnsi="Arial"/>
          <w:sz w:val="22"/>
          <w:szCs w:val="22"/>
          <w:color w:val="auto"/>
        </w:rPr>
        <w:t>. During the Option Period, on a Product-by-Product basis, Novartis shall use</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Commercially Reasonable Efforts to conduct the Novartis Activities under the Development Plan for such Product in accordance with the timelines specified therein and at Novartis’s sole cost and expense. Without limiting the generality of the foregoing:</w:t>
      </w:r>
    </w:p>
    <w:p>
      <w:pPr>
        <w:spacing w:after="0" w:line="186" w:lineRule="exact"/>
        <w:rPr>
          <w:sz w:val="20"/>
          <w:szCs w:val="20"/>
          <w:color w:val="auto"/>
        </w:rPr>
      </w:pPr>
    </w:p>
    <w:p>
      <w:pPr>
        <w:ind w:left="1300" w:hanging="644"/>
        <w:spacing w:after="0" w:line="263" w:lineRule="auto"/>
        <w:tabs>
          <w:tab w:leader="none" w:pos="1256" w:val="left"/>
        </w:tabs>
        <w:numPr>
          <w:ilvl w:val="0"/>
          <w:numId w:val="636"/>
        </w:numPr>
        <w:rPr>
          <w:rFonts w:ascii="Arial" w:cs="Arial" w:eastAsia="Arial" w:hAnsi="Arial"/>
          <w:sz w:val="22"/>
          <w:szCs w:val="22"/>
          <w:color w:val="auto"/>
        </w:rPr>
      </w:pPr>
      <w:r>
        <w:rPr>
          <w:rFonts w:ascii="Arial" w:cs="Arial" w:eastAsia="Arial" w:hAnsi="Arial"/>
          <w:sz w:val="22"/>
          <w:szCs w:val="22"/>
          <w:i w:val="1"/>
          <w:iCs w:val="1"/>
          <w:color w:val="auto"/>
        </w:rPr>
        <w:t xml:space="preserve">Manufacture and Supply </w:t>
      </w:r>
      <w:r>
        <w:rPr>
          <w:rFonts w:ascii="Arial" w:cs="Arial" w:eastAsia="Arial" w:hAnsi="Arial"/>
          <w:sz w:val="22"/>
          <w:szCs w:val="22"/>
          <w:color w:val="auto"/>
        </w:rPr>
        <w:t>– Novartis shall itself or through an Affiliate, enter into the Contract Manufacturing</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which shall govern the commercial supply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2" w:right="339" w:bottom="1440" w:gutter="0" w:footer="0" w:header="0"/>
        </w:sectPr>
      </w:pPr>
    </w:p>
    <w:bookmarkStart w:id="686" w:name="page687"/>
    <w:bookmarkEnd w:id="686"/>
    <w:p>
      <w:pPr>
        <w:ind w:left="644"/>
        <w:spacing w:after="0" w:line="263" w:lineRule="auto"/>
        <w:rPr>
          <w:sz w:val="20"/>
          <w:szCs w:val="20"/>
          <w:color w:val="auto"/>
        </w:rPr>
      </w:pPr>
      <w:r>
        <w:rPr>
          <w:rFonts w:ascii="Arial" w:cs="Arial" w:eastAsia="Arial" w:hAnsi="Arial"/>
          <w:sz w:val="22"/>
          <w:szCs w:val="22"/>
          <w:color w:val="auto"/>
        </w:rPr>
        <w:t>of MP0420 in the event the Option is not exercised by Novartis and MPAG decides to enter into the Contract Manufacturing Agreement;</w:t>
      </w:r>
    </w:p>
    <w:p>
      <w:pPr>
        <w:spacing w:after="0" w:line="175" w:lineRule="exact"/>
        <w:rPr>
          <w:sz w:val="20"/>
          <w:szCs w:val="20"/>
          <w:color w:val="auto"/>
        </w:rPr>
      </w:pPr>
    </w:p>
    <w:p>
      <w:pPr>
        <w:ind w:left="644" w:hanging="644"/>
        <w:spacing w:after="0" w:line="312" w:lineRule="auto"/>
        <w:tabs>
          <w:tab w:leader="none" w:pos="491" w:val="left"/>
        </w:tabs>
        <w:numPr>
          <w:ilvl w:val="0"/>
          <w:numId w:val="637"/>
        </w:numPr>
        <w:rPr>
          <w:rFonts w:ascii="Arial" w:cs="Arial" w:eastAsia="Arial" w:hAnsi="Arial"/>
          <w:sz w:val="19"/>
          <w:szCs w:val="19"/>
          <w:color w:val="auto"/>
        </w:rPr>
      </w:pPr>
      <w:r>
        <w:rPr>
          <w:rFonts w:ascii="Arial" w:cs="Arial" w:eastAsia="Arial" w:hAnsi="Arial"/>
          <w:sz w:val="19"/>
          <w:szCs w:val="19"/>
          <w:i w:val="1"/>
          <w:iCs w:val="1"/>
          <w:color w:val="auto"/>
        </w:rPr>
        <w:t>Technical Research and Development (</w:t>
      </w:r>
      <w:r>
        <w:rPr>
          <w:rFonts w:ascii="Arial" w:cs="Arial" w:eastAsia="Arial" w:hAnsi="Arial"/>
          <w:sz w:val="19"/>
          <w:szCs w:val="19"/>
          <w:color w:val="auto"/>
        </w:rPr>
        <w:t>“</w:t>
      </w:r>
      <w:r>
        <w:rPr>
          <w:rFonts w:ascii="Arial" w:cs="Arial" w:eastAsia="Arial" w:hAnsi="Arial"/>
          <w:sz w:val="19"/>
          <w:szCs w:val="19"/>
          <w:i w:val="1"/>
          <w:iCs w:val="1"/>
          <w:color w:val="auto"/>
        </w:rPr>
        <w:t>TRD</w:t>
      </w:r>
      <w:r>
        <w:rPr>
          <w:rFonts w:ascii="Arial" w:cs="Arial" w:eastAsia="Arial" w:hAnsi="Arial"/>
          <w:sz w:val="19"/>
          <w:szCs w:val="19"/>
          <w:color w:val="auto"/>
        </w:rPr>
        <w:t>”</w:t>
      </w:r>
      <w:r>
        <w:rPr>
          <w:rFonts w:ascii="Arial" w:cs="Arial" w:eastAsia="Arial" w:hAnsi="Arial"/>
          <w:sz w:val="19"/>
          <w:szCs w:val="19"/>
          <w:i w:val="1"/>
          <w:iCs w:val="1"/>
          <w:color w:val="auto"/>
        </w:rPr>
        <w:t xml:space="preserve">) and CMC </w:t>
      </w:r>
      <w:r>
        <w:rPr>
          <w:rFonts w:ascii="Arial" w:cs="Arial" w:eastAsia="Arial" w:hAnsi="Arial"/>
          <w:sz w:val="19"/>
          <w:szCs w:val="19"/>
          <w:color w:val="auto"/>
        </w:rPr>
        <w:t>– Novartis shall provide support, as reasonably requested</w:t>
      </w:r>
      <w:r>
        <w:rPr>
          <w:rFonts w:ascii="Arial" w:cs="Arial" w:eastAsia="Arial" w:hAnsi="Arial"/>
          <w:sz w:val="19"/>
          <w:szCs w:val="19"/>
          <w:i w:val="1"/>
          <w:iCs w:val="1"/>
          <w:color w:val="auto"/>
        </w:rPr>
        <w:t xml:space="preserve"> </w:t>
      </w:r>
      <w:r>
        <w:rPr>
          <w:rFonts w:ascii="Arial" w:cs="Arial" w:eastAsia="Arial" w:hAnsi="Arial"/>
          <w:sz w:val="19"/>
          <w:szCs w:val="19"/>
          <w:color w:val="auto"/>
        </w:rPr>
        <w:t>by MPAG, in connection with ongoing TRD and CMC activities relating to the Products that are contemplated by the Development Plan, including (if required) assisting MPAG with the planning, preparation, and execution of:</w:t>
      </w:r>
    </w:p>
    <w:p>
      <w:pPr>
        <w:spacing w:after="0" w:line="133" w:lineRule="exact"/>
        <w:rPr>
          <w:rFonts w:ascii="Arial" w:cs="Arial" w:eastAsia="Arial" w:hAnsi="Arial"/>
          <w:sz w:val="19"/>
          <w:szCs w:val="19"/>
          <w:color w:val="auto"/>
        </w:rPr>
      </w:pPr>
    </w:p>
    <w:p>
      <w:pPr>
        <w:ind w:left="1064" w:hanging="416"/>
        <w:spacing w:after="0"/>
        <w:tabs>
          <w:tab w:leader="none" w:pos="1064" w:val="left"/>
        </w:tabs>
        <w:numPr>
          <w:ilvl w:val="1"/>
          <w:numId w:val="637"/>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124" w:hanging="476"/>
        <w:spacing w:after="0"/>
        <w:tabs>
          <w:tab w:leader="none" w:pos="1124" w:val="left"/>
        </w:tabs>
        <w:numPr>
          <w:ilvl w:val="1"/>
          <w:numId w:val="63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44" w:hanging="644"/>
        <w:spacing w:after="0" w:line="258" w:lineRule="auto"/>
        <w:tabs>
          <w:tab w:leader="none" w:pos="546" w:val="left"/>
        </w:tabs>
        <w:numPr>
          <w:ilvl w:val="0"/>
          <w:numId w:val="637"/>
        </w:numPr>
        <w:rPr>
          <w:rFonts w:ascii="Arial" w:cs="Arial" w:eastAsia="Arial" w:hAnsi="Arial"/>
          <w:sz w:val="21"/>
          <w:szCs w:val="21"/>
          <w:color w:val="auto"/>
        </w:rPr>
      </w:pPr>
      <w:r>
        <w:rPr>
          <w:rFonts w:ascii="Arial" w:cs="Arial" w:eastAsia="Arial" w:hAnsi="Arial"/>
          <w:sz w:val="21"/>
          <w:szCs w:val="21"/>
          <w:i w:val="1"/>
          <w:iCs w:val="1"/>
          <w:color w:val="auto"/>
        </w:rPr>
        <w:t xml:space="preserve">Clinical and Regulatory Support </w:t>
      </w:r>
      <w:r>
        <w:rPr>
          <w:rFonts w:ascii="Arial" w:cs="Arial" w:eastAsia="Arial" w:hAnsi="Arial"/>
          <w:sz w:val="21"/>
          <w:szCs w:val="21"/>
          <w:color w:val="auto"/>
        </w:rPr>
        <w:t>– Novartis shall (i) negotiate in good faith and execute a clinical collaboration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agreement pursuant to </w:t>
      </w:r>
      <w:r>
        <w:rPr>
          <w:rFonts w:ascii="Arial" w:cs="Arial" w:eastAsia="Arial" w:hAnsi="Arial"/>
          <w:sz w:val="21"/>
          <w:szCs w:val="21"/>
          <w:u w:val="single" w:color="auto"/>
          <w:color w:val="auto"/>
        </w:rPr>
        <w:t>Section 4.7</w:t>
      </w:r>
      <w:r>
        <w:rPr>
          <w:rFonts w:ascii="Arial" w:cs="Arial" w:eastAsia="Arial" w:hAnsi="Arial"/>
          <w:sz w:val="21"/>
          <w:szCs w:val="21"/>
          <w:color w:val="auto"/>
        </w:rPr>
        <w:t xml:space="preserve">; (ii) subject to Successful Completion of the Planned Phase 1 Trial, use its Commercially Reasonable Efforts to conduct the Phase 2 (I.V.) Trial, for which MPAG shall be the Sponsor, (iii) reimburse MPAG, on invoice, all documented external costs on a pass-through basis and internal expenses at the FTE Rate, in each case, that are reasonably incurred by MPAG in connection with the Phase 2 (I.V.) Trial upon [***] invoices raised by MPAG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Novartis shall only reimburse MPAG for internal expenses that are incurred by MPAG after the date of the first in human administration of MP0420 in the Phase 2 (I.V.) Trial, and (iv) provide such medical, clinical, regulatory (including to support MPAG’s Regulatory Filings), and operational support as may be reasonably required by MPAG in connection with the activities referred to in the Development Plan;</w:t>
      </w:r>
    </w:p>
    <w:p>
      <w:pPr>
        <w:spacing w:after="0" w:line="185" w:lineRule="exact"/>
        <w:rPr>
          <w:rFonts w:ascii="Arial" w:cs="Arial" w:eastAsia="Arial" w:hAnsi="Arial"/>
          <w:sz w:val="21"/>
          <w:szCs w:val="21"/>
          <w:color w:val="auto"/>
        </w:rPr>
      </w:pPr>
    </w:p>
    <w:p>
      <w:pPr>
        <w:ind w:left="644" w:hanging="644"/>
        <w:spacing w:after="0" w:line="302" w:lineRule="auto"/>
        <w:tabs>
          <w:tab w:leader="none" w:pos="491" w:val="left"/>
        </w:tabs>
        <w:numPr>
          <w:ilvl w:val="0"/>
          <w:numId w:val="637"/>
        </w:numPr>
        <w:rPr>
          <w:rFonts w:ascii="Arial" w:cs="Arial" w:eastAsia="Arial" w:hAnsi="Arial"/>
          <w:sz w:val="19"/>
          <w:szCs w:val="19"/>
          <w:color w:val="auto"/>
        </w:rPr>
      </w:pPr>
      <w:r>
        <w:rPr>
          <w:rFonts w:ascii="Arial" w:cs="Arial" w:eastAsia="Arial" w:hAnsi="Arial"/>
          <w:sz w:val="19"/>
          <w:szCs w:val="19"/>
          <w:i w:val="1"/>
          <w:iCs w:val="1"/>
          <w:color w:val="auto"/>
        </w:rPr>
        <w:t xml:space="preserve">Operational Support </w:t>
      </w:r>
      <w:r>
        <w:rPr>
          <w:rFonts w:ascii="Arial" w:cs="Arial" w:eastAsia="Arial" w:hAnsi="Arial"/>
          <w:sz w:val="19"/>
          <w:szCs w:val="19"/>
          <w:color w:val="auto"/>
        </w:rPr>
        <w:t>– Novartis shall provide such operational support as is reasonably agreed by the Parties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Governance Committee to facilitate the development of the Products in the manner set out in the Development Plan in a timely manner, leveraging Novartis’ experience and expertise in designing and running clinical trials, facilitating the recruitment of patients and moving products from a clinical to a commercial setting; and</w:t>
      </w:r>
    </w:p>
    <w:p>
      <w:pPr>
        <w:spacing w:after="0" w:line="142" w:lineRule="exact"/>
        <w:rPr>
          <w:rFonts w:ascii="Arial" w:cs="Arial" w:eastAsia="Arial" w:hAnsi="Arial"/>
          <w:sz w:val="19"/>
          <w:szCs w:val="19"/>
          <w:color w:val="auto"/>
        </w:rPr>
      </w:pPr>
    </w:p>
    <w:p>
      <w:pPr>
        <w:ind w:left="644" w:hanging="644"/>
        <w:spacing w:after="0" w:line="248" w:lineRule="auto"/>
        <w:tabs>
          <w:tab w:leader="none" w:pos="546" w:val="left"/>
        </w:tabs>
        <w:numPr>
          <w:ilvl w:val="0"/>
          <w:numId w:val="637"/>
        </w:numPr>
        <w:rPr>
          <w:rFonts w:ascii="Arial" w:cs="Arial" w:eastAsia="Arial" w:hAnsi="Arial"/>
          <w:sz w:val="22"/>
          <w:szCs w:val="22"/>
          <w:color w:val="auto"/>
        </w:rPr>
      </w:pPr>
      <w:r>
        <w:rPr>
          <w:rFonts w:ascii="Arial" w:cs="Arial" w:eastAsia="Arial" w:hAnsi="Arial"/>
          <w:sz w:val="22"/>
          <w:szCs w:val="22"/>
          <w:i w:val="1"/>
          <w:iCs w:val="1"/>
          <w:color w:val="auto"/>
        </w:rPr>
        <w:t xml:space="preserve">Preparation for exercise of the Option </w:t>
      </w:r>
      <w:r>
        <w:rPr>
          <w:rFonts w:ascii="Arial" w:cs="Arial" w:eastAsia="Arial" w:hAnsi="Arial"/>
          <w:sz w:val="22"/>
          <w:szCs w:val="22"/>
          <w:color w:val="auto"/>
        </w:rPr>
        <w:t>– Novartis shall take such steps as Novartis deems necessary in order to</w:t>
      </w:r>
      <w:r>
        <w:rPr>
          <w:rFonts w:ascii="Arial" w:cs="Arial" w:eastAsia="Arial" w:hAnsi="Arial"/>
          <w:sz w:val="22"/>
          <w:szCs w:val="22"/>
          <w:i w:val="1"/>
          <w:iCs w:val="1"/>
          <w:color w:val="auto"/>
        </w:rPr>
        <w:t xml:space="preserve"> </w:t>
      </w:r>
      <w:r>
        <w:rPr>
          <w:rFonts w:ascii="Arial" w:cs="Arial" w:eastAsia="Arial" w:hAnsi="Arial"/>
          <w:sz w:val="22"/>
          <w:szCs w:val="22"/>
          <w:color w:val="auto"/>
        </w:rPr>
        <w:t>enable it to take over development, manufacture (including commercial manufacture), commercialization and distribution of the Products as soon as practicable following exercise of the Option, including discussing with MPAG a technical transfer plan allowing for the technical transfer from MPAG’s current contract manufacturing organizations to Novartis.</w:t>
      </w:r>
    </w:p>
    <w:p>
      <w:pPr>
        <w:spacing w:after="0" w:line="192" w:lineRule="exact"/>
        <w:rPr>
          <w:sz w:val="20"/>
          <w:szCs w:val="20"/>
          <w:color w:val="auto"/>
        </w:rPr>
      </w:pPr>
    </w:p>
    <w:p>
      <w:pPr>
        <w:jc w:val="both"/>
        <w:ind w:left="4"/>
        <w:spacing w:after="0" w:line="265" w:lineRule="auto"/>
        <w:rPr>
          <w:sz w:val="20"/>
          <w:szCs w:val="20"/>
          <w:color w:val="auto"/>
        </w:rPr>
      </w:pPr>
      <w:r>
        <w:rPr>
          <w:rFonts w:ascii="Arial" w:cs="Arial" w:eastAsia="Arial" w:hAnsi="Arial"/>
          <w:sz w:val="21"/>
          <w:szCs w:val="21"/>
          <w:color w:val="auto"/>
        </w:rPr>
        <w:t xml:space="preserve">Novartis shall perform such other tasks and duties outlined as Novartis responsibilities in the Development Plan or otherwise agreed in writing between the Parties. For the avoidance of doubt the costs of any action taken by Novartis during the Option Period (except as set forth in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and/or the Contract Manufacturing Agreement) shall be borne solely by Novartis and shall not be charged to MPAG. Novartis acknowledges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4"/>
          </w:cols>
          <w:pgMar w:left="976" w:top="1428" w:right="339" w:bottom="1440" w:gutter="0" w:footer="0" w:header="0"/>
        </w:sectPr>
      </w:pPr>
    </w:p>
    <w:bookmarkStart w:id="687" w:name="page688"/>
    <w:bookmarkEnd w:id="687"/>
    <w:p>
      <w:pPr>
        <w:spacing w:after="0" w:line="205"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 xml:space="preserve">in conducting the Novartis Activities pursuant to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it shall (x) incur costs and commit human resources to such Novartis Activities during the Option Period, (y) consider requests for support and assistance from MPAG during the Option Period in good faith, and (z) execute its Novartis Activities with a substantially similar level of care and diligence as it would exercise when carrying out such activities in relation to a drug candidate being developed internally by Novartis and provided that Novartis shall not be required to commit financial or human resources towards the Product that are in excess of such resources as Novartis would use for a product owned by it or to which it has rights, which product is of similar market and economic potential as the product, and at a similar stage in its development or product life as the Products, taking into account efficacy, safety, approved labeling, the competitiveness of alternative products in the marketplace, the patent and other proprietary position of the product, the likelihood of Regulatory Approval given the regulatory structure involved, the profitability, and other relevant factors commonly considered in similar circumstances (including access and coverage factors).</w:t>
      </w:r>
    </w:p>
    <w:p>
      <w:pPr>
        <w:spacing w:after="0" w:line="157" w:lineRule="exact"/>
        <w:rPr>
          <w:sz w:val="20"/>
          <w:szCs w:val="20"/>
          <w:color w:val="auto"/>
        </w:rPr>
      </w:pPr>
    </w:p>
    <w:p>
      <w:pPr>
        <w:jc w:val="both"/>
        <w:ind w:left="540" w:hanging="647"/>
        <w:spacing w:after="0" w:line="287" w:lineRule="auto"/>
        <w:tabs>
          <w:tab w:leader="none" w:pos="52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b w:val="1"/>
          <w:bCs w:val="1"/>
          <w:color w:val="auto"/>
        </w:rPr>
        <w:t>Clinical Collaboration Agreement and Conduct of Clinical Trials</w:t>
      </w:r>
      <w:r>
        <w:rPr>
          <w:rFonts w:ascii="Arial" w:cs="Arial" w:eastAsia="Arial" w:hAnsi="Arial"/>
          <w:sz w:val="19"/>
          <w:szCs w:val="19"/>
          <w:color w:val="auto"/>
        </w:rPr>
        <w:t>. With respect to any Clinical Trial that Novartis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conduct under this Option Agreement on behalf of MPAG as Sponsor and as agreed in the Development Plan, the Parties shall negotiate and agree on a written clinical collaboration agreement [***] (the “</w:t>
      </w:r>
      <w:r>
        <w:rPr>
          <w:rFonts w:ascii="Arial" w:cs="Arial" w:eastAsia="Arial" w:hAnsi="Arial"/>
          <w:sz w:val="19"/>
          <w:szCs w:val="19"/>
          <w:b w:val="1"/>
          <w:bCs w:val="1"/>
          <w:color w:val="auto"/>
        </w:rPr>
        <w:t>Clinical Collaboration Agreement</w:t>
      </w:r>
      <w:r>
        <w:rPr>
          <w:rFonts w:ascii="Arial" w:cs="Arial" w:eastAsia="Arial" w:hAnsi="Arial"/>
          <w:sz w:val="19"/>
          <w:szCs w:val="19"/>
          <w:color w:val="auto"/>
        </w:rPr>
        <w:t>”), which will include terms and conditions that are customary for the conduct of Clinical Trials on behalf of a Sponsor, including with respect to subcontracting (which would require MPAG’s prior written consent, such consent not to be unreasonably withheld, delayed or conditioned). Novartis shall perform (or shall subcontract the performance of) such Clinical Trials in strict accordance with the terms and conditions contained in this Option Agreement, the Clinical Collaboration Agreement, the applicable protocol and any agreed amendments to the foregoing. Without the prior written consent of MPAG (such consent not to be unreasonably withheld or delayed) and unless agreed upon in writing in advance by the IRB, Novartis shall not deviate from the applicable protocol or MPAG’s other written instructions, except for any deviation that, in the reasonable medical judgment of Novartis, is necessary due to emergent or urgent medical conditions. Novartis shall promptly inform MPAG of any variation of deviation from the protocol or MPAG’s other written instructions for the Phase 2 (I.V.) Trial or any additional Clinical Trials for MP0423. [***]</w:t>
      </w:r>
    </w:p>
    <w:p>
      <w:pPr>
        <w:spacing w:after="0" w:line="154" w:lineRule="exact"/>
        <w:rPr>
          <w:sz w:val="20"/>
          <w:szCs w:val="20"/>
          <w:color w:val="auto"/>
        </w:rPr>
      </w:pPr>
    </w:p>
    <w:p>
      <w:pPr>
        <w:jc w:val="both"/>
        <w:ind w:left="580" w:hanging="647"/>
        <w:spacing w:after="0" w:line="249" w:lineRule="auto"/>
        <w:tabs>
          <w:tab w:leader="none" w:pos="56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22"/>
          <w:szCs w:val="22"/>
          <w:b w:val="1"/>
          <w:bCs w:val="1"/>
          <w:color w:val="auto"/>
        </w:rPr>
        <w:t>Compliance</w:t>
      </w:r>
      <w:r>
        <w:rPr>
          <w:rFonts w:ascii="Arial" w:cs="Arial" w:eastAsia="Arial" w:hAnsi="Arial"/>
          <w:sz w:val="22"/>
          <w:szCs w:val="22"/>
          <w:color w:val="auto"/>
        </w:rPr>
        <w:t>. Each Party covenants that, in performing its obligations under this Option Agreement and in undertaking</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work in connection with the Product generally, including the conduct of Clinical Trials: (a) it shall comply with all applicable laws and applicable regulatory standards, including cGMP, cGLP, cGCP and other rules, regulations and requirements; and (b) it will not employ or knowingly use the services of any person that has been debarred under Section 306(a) or 306(b) of the FD&amp;C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688" w:name="page689"/>
    <w:bookmarkEnd w:id="688"/>
    <w:p>
      <w:pPr>
        <w:spacing w:after="0"/>
        <w:tabs>
          <w:tab w:leader="none" w:pos="48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9"/>
          <w:szCs w:val="19"/>
          <w:b w:val="1"/>
          <w:bCs w:val="1"/>
          <w:color w:val="auto"/>
        </w:rPr>
        <w:t>Data Package</w:t>
      </w:r>
      <w:r>
        <w:rPr>
          <w:rFonts w:ascii="Arial" w:cs="Arial" w:eastAsia="Arial" w:hAnsi="Arial"/>
          <w:sz w:val="19"/>
          <w:szCs w:val="19"/>
          <w:color w:val="auto"/>
        </w:rPr>
        <w:t>.</w:t>
      </w:r>
    </w:p>
    <w:p>
      <w:pPr>
        <w:spacing w:after="0" w:line="226" w:lineRule="exact"/>
        <w:rPr>
          <w:sz w:val="20"/>
          <w:szCs w:val="20"/>
          <w:color w:val="auto"/>
        </w:rPr>
      </w:pPr>
    </w:p>
    <w:p>
      <w:pPr>
        <w:ind w:left="1300" w:hanging="644"/>
        <w:spacing w:after="0" w:line="253" w:lineRule="auto"/>
        <w:tabs>
          <w:tab w:leader="none" w:pos="1131" w:val="left"/>
        </w:tabs>
        <w:numPr>
          <w:ilvl w:val="0"/>
          <w:numId w:val="638"/>
        </w:numPr>
        <w:rPr>
          <w:rFonts w:ascii="Arial" w:cs="Arial" w:eastAsia="Arial" w:hAnsi="Arial"/>
          <w:sz w:val="22"/>
          <w:szCs w:val="22"/>
          <w:color w:val="auto"/>
        </w:rPr>
      </w:pPr>
      <w:r>
        <w:rPr>
          <w:rFonts w:ascii="Arial" w:cs="Arial" w:eastAsia="Arial" w:hAnsi="Arial"/>
          <w:sz w:val="22"/>
          <w:szCs w:val="22"/>
          <w:color w:val="auto"/>
        </w:rPr>
        <w:t>[***] following completion of the Planned Phase 1 Trial, Phase 2 (I.V.) Trial and, if conducted during the Term, the ACTIV Phase 2b/Phase 3 Trial, MPAG shall deliver the applicable Data Package to Novartis. Novartis shall promptly confirm in writing receipt of such Data Package.</w:t>
      </w:r>
    </w:p>
    <w:p>
      <w:pPr>
        <w:spacing w:after="0" w:line="185" w:lineRule="exact"/>
        <w:rPr>
          <w:rFonts w:ascii="Arial" w:cs="Arial" w:eastAsia="Arial" w:hAnsi="Arial"/>
          <w:sz w:val="22"/>
          <w:szCs w:val="22"/>
          <w:color w:val="auto"/>
        </w:rPr>
      </w:pPr>
    </w:p>
    <w:p>
      <w:pPr>
        <w:ind w:left="1300" w:hanging="644"/>
        <w:spacing w:after="0" w:line="247" w:lineRule="auto"/>
        <w:tabs>
          <w:tab w:leader="none" w:pos="1157" w:val="left"/>
        </w:tabs>
        <w:numPr>
          <w:ilvl w:val="0"/>
          <w:numId w:val="638"/>
        </w:numPr>
        <w:rPr>
          <w:rFonts w:ascii="Arial" w:cs="Arial" w:eastAsia="Arial" w:hAnsi="Arial"/>
          <w:sz w:val="22"/>
          <w:szCs w:val="22"/>
          <w:color w:val="auto"/>
        </w:rPr>
      </w:pPr>
      <w:r>
        <w:rPr>
          <w:rFonts w:ascii="Arial" w:cs="Arial" w:eastAsia="Arial" w:hAnsi="Arial"/>
          <w:sz w:val="22"/>
          <w:szCs w:val="22"/>
          <w:color w:val="auto"/>
        </w:rPr>
        <w:t>[***], Novartis shall have the right to request from MPAG such additional information then in the possession of or readily available to MPAG (without the need for MPAG to incur additional material external costs or additional material internal expense) as Novartis may reasonably require in order to make a scientific, legal and business evaluation of the development and marketing potential of the Product. MPAG shall also promptly notify Novartis of, and promptly provide to Novartis, all material new data relating to the Product that comes into MPAG’s possession [***].</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8"/>
          <w:szCs w:val="18"/>
          <w:b w:val="1"/>
          <w:bCs w:val="1"/>
          <w:color w:val="auto"/>
        </w:rPr>
        <w:t>Disclosure of Results</w:t>
      </w:r>
      <w:r>
        <w:rPr>
          <w:rFonts w:ascii="Arial" w:cs="Arial" w:eastAsia="Arial" w:hAnsi="Arial"/>
          <w:sz w:val="18"/>
          <w:szCs w:val="18"/>
          <w:color w:val="auto"/>
        </w:rPr>
        <w:t>.</w:t>
      </w:r>
    </w:p>
    <w:p>
      <w:pPr>
        <w:spacing w:after="0" w:line="226" w:lineRule="exact"/>
        <w:rPr>
          <w:sz w:val="20"/>
          <w:szCs w:val="20"/>
          <w:color w:val="auto"/>
        </w:rPr>
      </w:pPr>
    </w:p>
    <w:p>
      <w:pPr>
        <w:ind w:left="1300" w:hanging="644"/>
        <w:spacing w:after="0" w:line="261" w:lineRule="auto"/>
        <w:tabs>
          <w:tab w:leader="none" w:pos="1149" w:val="left"/>
        </w:tabs>
        <w:numPr>
          <w:ilvl w:val="0"/>
          <w:numId w:val="639"/>
        </w:numPr>
        <w:rPr>
          <w:rFonts w:ascii="Arial" w:cs="Arial" w:eastAsia="Arial" w:hAnsi="Arial"/>
          <w:sz w:val="21"/>
          <w:szCs w:val="21"/>
          <w:color w:val="auto"/>
        </w:rPr>
      </w:pPr>
      <w:r>
        <w:rPr>
          <w:rFonts w:ascii="Arial" w:cs="Arial" w:eastAsia="Arial" w:hAnsi="Arial"/>
          <w:sz w:val="21"/>
          <w:szCs w:val="21"/>
          <w:color w:val="auto"/>
        </w:rPr>
        <w:t>MPAG shall provide an update to Novartis on the MPAG Activities at each meeting of the Governance Committee together with a summary of relevant data or other information generated by MPAG from conducting such activities. If reasonably requested by Novartis, MPAG shall promptly provide to Novartis relevant data supporting such Governance Committee update that MPAG has not previously delivered to Novartis under this Option Agreement. MPAG will provide reports and analyses at each Governance Committee meeting detailing the current status of each Product under the applicable Development Plan.</w:t>
      </w:r>
    </w:p>
    <w:p>
      <w:pPr>
        <w:spacing w:after="0" w:line="179" w:lineRule="exact"/>
        <w:rPr>
          <w:rFonts w:ascii="Arial" w:cs="Arial" w:eastAsia="Arial" w:hAnsi="Arial"/>
          <w:sz w:val="21"/>
          <w:szCs w:val="21"/>
          <w:color w:val="auto"/>
        </w:rPr>
      </w:pPr>
    </w:p>
    <w:p>
      <w:pPr>
        <w:ind w:left="1300" w:hanging="644"/>
        <w:spacing w:after="0" w:line="261" w:lineRule="auto"/>
        <w:tabs>
          <w:tab w:leader="none" w:pos="1133" w:val="left"/>
        </w:tabs>
        <w:numPr>
          <w:ilvl w:val="0"/>
          <w:numId w:val="639"/>
        </w:numPr>
        <w:rPr>
          <w:rFonts w:ascii="Arial" w:cs="Arial" w:eastAsia="Arial" w:hAnsi="Arial"/>
          <w:sz w:val="21"/>
          <w:szCs w:val="21"/>
          <w:color w:val="auto"/>
        </w:rPr>
      </w:pPr>
      <w:r>
        <w:rPr>
          <w:rFonts w:ascii="Arial" w:cs="Arial" w:eastAsia="Arial" w:hAnsi="Arial"/>
          <w:sz w:val="21"/>
          <w:szCs w:val="21"/>
          <w:color w:val="auto"/>
        </w:rPr>
        <w:t>Novartis shall provide an update to MPAG on the Novartis Activities at each meeting of the Governance Committee together with a summary of relevant data or other information generated by Novartis from conducting such activities. If reasonably requested by MPAG, Novartis shall promptly provide to MPAG relevant data supporting such Governance Committee update that Novartis has not previously delivered to MPAG under this Option Agreement. Novartis will provide reports and analyses at each Governance Committee meeting detailing the current status of each Product under the applicable Development Plan.</w:t>
      </w:r>
    </w:p>
    <w:p>
      <w:pPr>
        <w:spacing w:after="0" w:line="179" w:lineRule="exact"/>
        <w:rPr>
          <w:rFonts w:ascii="Arial" w:cs="Arial" w:eastAsia="Arial" w:hAnsi="Arial"/>
          <w:sz w:val="21"/>
          <w:szCs w:val="21"/>
          <w:color w:val="auto"/>
        </w:rPr>
      </w:pPr>
    </w:p>
    <w:p>
      <w:pPr>
        <w:ind w:left="1300" w:hanging="644"/>
        <w:spacing w:after="0" w:line="263" w:lineRule="auto"/>
        <w:tabs>
          <w:tab w:leader="none" w:pos="1198" w:val="left"/>
        </w:tabs>
        <w:numPr>
          <w:ilvl w:val="0"/>
          <w:numId w:val="639"/>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the results, reports, analyses and other information regarding the Products disclosed by one Party to the other Party pursuant hereto may be used only in accordance with the rights granted and other terms and conditions under this Option Agreement. Any reports required under this </w:t>
      </w:r>
      <w:r>
        <w:rPr>
          <w:rFonts w:ascii="Arial" w:cs="Arial" w:eastAsia="Arial" w:hAnsi="Arial"/>
          <w:sz w:val="21"/>
          <w:szCs w:val="21"/>
          <w:u w:val="single" w:color="auto"/>
          <w:color w:val="auto"/>
        </w:rPr>
        <w:t>Section 4.10</w:t>
      </w:r>
      <w:r>
        <w:rPr>
          <w:rFonts w:ascii="Arial" w:cs="Arial" w:eastAsia="Arial" w:hAnsi="Arial"/>
          <w:sz w:val="21"/>
          <w:szCs w:val="21"/>
          <w:color w:val="auto"/>
        </w:rPr>
        <w:t xml:space="preserve"> may take the form of and be recorded in minutes of the Governance Committee that will contain copies of any slides relating to the results and presented to the Governance Committee.</w:t>
      </w:r>
    </w:p>
    <w:p>
      <w:pPr>
        <w:spacing w:after="0" w:line="169" w:lineRule="exact"/>
        <w:rPr>
          <w:sz w:val="20"/>
          <w:szCs w:val="20"/>
          <w:color w:val="auto"/>
        </w:rPr>
      </w:pPr>
    </w:p>
    <w:p>
      <w:pPr>
        <w:ind w:left="600" w:hanging="647"/>
        <w:spacing w:after="0" w:line="269" w:lineRule="auto"/>
        <w:tabs>
          <w:tab w:leader="none" w:pos="58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22"/>
          <w:szCs w:val="22"/>
          <w:b w:val="1"/>
          <w:bCs w:val="1"/>
          <w:color w:val="auto"/>
        </w:rPr>
        <w:t>Option Period License Grant to Novartis</w:t>
      </w:r>
      <w:r>
        <w:rPr>
          <w:rFonts w:ascii="Arial" w:cs="Arial" w:eastAsia="Arial" w:hAnsi="Arial"/>
          <w:sz w:val="22"/>
          <w:szCs w:val="22"/>
          <w:color w:val="auto"/>
        </w:rPr>
        <w:t>. Subject to the terms and conditions of this Option Agreement, MPAG hereby</w:t>
      </w:r>
      <w:r>
        <w:rPr>
          <w:rFonts w:ascii="Arial" w:cs="Arial" w:eastAsia="Arial" w:hAnsi="Arial"/>
          <w:sz w:val="22"/>
          <w:szCs w:val="22"/>
          <w:b w:val="1"/>
          <w:bCs w:val="1"/>
          <w:color w:val="auto"/>
        </w:rPr>
        <w:t xml:space="preserve"> </w:t>
      </w:r>
      <w:r>
        <w:rPr>
          <w:rFonts w:ascii="Arial" w:cs="Arial" w:eastAsia="Arial" w:hAnsi="Arial"/>
          <w:sz w:val="22"/>
          <w:szCs w:val="22"/>
          <w:color w:val="auto"/>
        </w:rPr>
        <w:t>grants Novartis, a worldwide, non-exclusive,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2" w:right="339" w:bottom="1440" w:gutter="0" w:footer="0" w:header="0"/>
        </w:sectPr>
      </w:pPr>
    </w:p>
    <w:bookmarkStart w:id="689" w:name="page690"/>
    <w:bookmarkEnd w:id="689"/>
    <w:p>
      <w:pPr>
        <w:ind w:left="660"/>
        <w:spacing w:after="0" w:line="343" w:lineRule="auto"/>
        <w:rPr>
          <w:sz w:val="20"/>
          <w:szCs w:val="20"/>
          <w:color w:val="auto"/>
        </w:rPr>
      </w:pPr>
      <w:r>
        <w:rPr>
          <w:rFonts w:ascii="Arial" w:cs="Arial" w:eastAsia="Arial" w:hAnsi="Arial"/>
          <w:sz w:val="19"/>
          <w:szCs w:val="19"/>
          <w:color w:val="auto"/>
        </w:rPr>
        <w:t xml:space="preserve">sublicensable (but only by Novartis to a Novartis Affiliate or a subcontractor permitted under this </w:t>
      </w:r>
      <w:r>
        <w:rPr>
          <w:rFonts w:ascii="Arial" w:cs="Arial" w:eastAsia="Arial" w:hAnsi="Arial"/>
          <w:sz w:val="19"/>
          <w:szCs w:val="19"/>
          <w:u w:val="single" w:color="auto"/>
          <w:color w:val="auto"/>
        </w:rPr>
        <w:t>Section 4.11</w:t>
      </w:r>
      <w:r>
        <w:rPr>
          <w:rFonts w:ascii="Arial" w:cs="Arial" w:eastAsia="Arial" w:hAnsi="Arial"/>
          <w:sz w:val="19"/>
          <w:szCs w:val="19"/>
          <w:color w:val="auto"/>
        </w:rPr>
        <w:t>), royalty-free license under the Products IP and Platform IP solely to conduct the Novartis Activities during the Option Period.</w:t>
      </w:r>
    </w:p>
    <w:p>
      <w:pPr>
        <w:spacing w:after="0" w:line="98" w:lineRule="exact"/>
        <w:rPr>
          <w:sz w:val="20"/>
          <w:szCs w:val="20"/>
          <w:color w:val="auto"/>
        </w:rPr>
      </w:pPr>
    </w:p>
    <w:p>
      <w:pPr>
        <w:jc w:val="both"/>
        <w:ind w:left="620" w:hanging="647"/>
        <w:spacing w:after="0" w:line="256" w:lineRule="auto"/>
        <w:tabs>
          <w:tab w:leader="none" w:pos="60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22"/>
          <w:szCs w:val="22"/>
          <w:b w:val="1"/>
          <w:bCs w:val="1"/>
          <w:color w:val="auto"/>
        </w:rPr>
        <w:t>Option Period License Grant to MPAG</w:t>
      </w:r>
      <w:r>
        <w:rPr>
          <w:rFonts w:ascii="Arial" w:cs="Arial" w:eastAsia="Arial" w:hAnsi="Arial"/>
          <w:sz w:val="22"/>
          <w:szCs w:val="22"/>
          <w:color w:val="auto"/>
        </w:rPr>
        <w:t>. Subject to the terms and conditions of this Option Agreement, Novartis hereby</w:t>
      </w:r>
      <w:r>
        <w:rPr>
          <w:rFonts w:ascii="Arial" w:cs="Arial" w:eastAsia="Arial" w:hAnsi="Arial"/>
          <w:sz w:val="22"/>
          <w:szCs w:val="22"/>
          <w:b w:val="1"/>
          <w:bCs w:val="1"/>
          <w:color w:val="auto"/>
        </w:rPr>
        <w:t xml:space="preserve"> </w:t>
      </w:r>
      <w:r>
        <w:rPr>
          <w:rFonts w:ascii="Arial" w:cs="Arial" w:eastAsia="Arial" w:hAnsi="Arial"/>
          <w:sz w:val="22"/>
          <w:szCs w:val="22"/>
          <w:color w:val="auto"/>
        </w:rPr>
        <w:t>grants MPAG, a worldwide, non-exclusive, royalty-free license under Novartis Background Technology solely to conduct the MPAG Activities during the Option Period.</w:t>
      </w:r>
    </w:p>
    <w:p>
      <w:pPr>
        <w:spacing w:after="0" w:line="176"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b w:val="1"/>
          <w:bCs w:val="1"/>
          <w:color w:val="auto"/>
        </w:rPr>
        <w:t>CMC/Manufacturing Costs</w:t>
      </w:r>
      <w:r>
        <w:rPr>
          <w:rFonts w:ascii="Arial" w:cs="Arial" w:eastAsia="Arial" w:hAnsi="Arial"/>
          <w:sz w:val="19"/>
          <w:szCs w:val="19"/>
          <w:color w:val="auto"/>
        </w:rPr>
        <w:t>. Notwithstanding any other provision of this Option Agreement or the Definitive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with respect to the MP0420 CMC/Manufacturing Activities, in no event shall MPAG be responsible for costs and expenses of such MP0420 CMC/Manufacturing Activities in excess of [***] (the “</w:t>
      </w:r>
      <w:r>
        <w:rPr>
          <w:rFonts w:ascii="Arial" w:cs="Arial" w:eastAsia="Arial" w:hAnsi="Arial"/>
          <w:sz w:val="19"/>
          <w:szCs w:val="19"/>
          <w:b w:val="1"/>
          <w:bCs w:val="1"/>
          <w:color w:val="auto"/>
        </w:rPr>
        <w:t>MPAG</w:t>
      </w:r>
      <w:r>
        <w:rPr>
          <w:rFonts w:ascii="Arial" w:cs="Arial" w:eastAsia="Arial" w:hAnsi="Arial"/>
          <w:sz w:val="19"/>
          <w:szCs w:val="19"/>
          <w:color w:val="auto"/>
        </w:rPr>
        <w:t xml:space="preserve"> </w:t>
      </w:r>
      <w:r>
        <w:rPr>
          <w:rFonts w:ascii="Arial" w:cs="Arial" w:eastAsia="Arial" w:hAnsi="Arial"/>
          <w:sz w:val="19"/>
          <w:szCs w:val="19"/>
          <w:b w:val="1"/>
          <w:bCs w:val="1"/>
          <w:color w:val="auto"/>
        </w:rPr>
        <w:t>CMC/Manufacturing Cap</w:t>
      </w:r>
      <w:r>
        <w:rPr>
          <w:rFonts w:ascii="Arial" w:cs="Arial" w:eastAsia="Arial" w:hAnsi="Arial"/>
          <w:sz w:val="19"/>
          <w:szCs w:val="19"/>
          <w:color w:val="auto"/>
        </w:rPr>
        <w:t>”), and Novartis shall cover MP0420 CMC/Manufacturing Activities costs based on the costs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agreed work packages that are in excess of the MPAG CMC/Manufacturing Cap, up to an amount equal to [***] (the “</w:t>
      </w:r>
      <w:r>
        <w:rPr>
          <w:rFonts w:ascii="Arial" w:cs="Arial" w:eastAsia="Arial" w:hAnsi="Arial"/>
          <w:sz w:val="19"/>
          <w:szCs w:val="19"/>
          <w:b w:val="1"/>
          <w:bCs w:val="1"/>
          <w:color w:val="auto"/>
        </w:rPr>
        <w:t>Novartis CMC/Manufacturing Cap</w:t>
      </w:r>
      <w:r>
        <w:rPr>
          <w:rFonts w:ascii="Arial" w:cs="Arial" w:eastAsia="Arial" w:hAnsi="Arial"/>
          <w:sz w:val="19"/>
          <w:szCs w:val="19"/>
          <w:color w:val="auto"/>
        </w:rPr>
        <w:t>”). Any costs and expenses incurred by either Party in respect of the MP0420 CMC/Manufacturing Activities in excess of the MPAG CMC/Manufacturing Cap and the Novartis CMC/Manufacturing Cap (the “</w:t>
      </w:r>
      <w:r>
        <w:rPr>
          <w:rFonts w:ascii="Arial" w:cs="Arial" w:eastAsia="Arial" w:hAnsi="Arial"/>
          <w:sz w:val="19"/>
          <w:szCs w:val="19"/>
          <w:b w:val="1"/>
          <w:bCs w:val="1"/>
          <w:color w:val="auto"/>
        </w:rPr>
        <w:t>CMC/Manufacturing Excess Costs</w:t>
      </w:r>
      <w:r>
        <w:rPr>
          <w:rFonts w:ascii="Arial" w:cs="Arial" w:eastAsia="Arial" w:hAnsi="Arial"/>
          <w:sz w:val="19"/>
          <w:szCs w:val="19"/>
          <w:color w:val="auto"/>
        </w:rPr>
        <w:t>”) shall be submitted to the Governance Committee for apportionment between the Parties, provided, if the Governance Committee cannot agree on such apportionment, Novartis shall be entitled to offset [***] of the CMC/Manufacturing Excess Costs from any future amounts due or owing from Novartis to MPAG under the Option Agreement or any Definitive Agreement.</w:t>
      </w:r>
    </w:p>
    <w:p>
      <w:pPr>
        <w:spacing w:after="0" w:line="200" w:lineRule="exact"/>
        <w:rPr>
          <w:sz w:val="20"/>
          <w:szCs w:val="20"/>
          <w:color w:val="auto"/>
        </w:rPr>
      </w:pP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b w:val="1"/>
          <w:bCs w:val="1"/>
          <w:color w:val="auto"/>
        </w:rPr>
        <w:t>Regulatory Matters</w:t>
      </w:r>
      <w:r>
        <w:rPr>
          <w:rFonts w:ascii="Arial" w:cs="Arial" w:eastAsia="Arial" w:hAnsi="Arial"/>
          <w:sz w:val="19"/>
          <w:szCs w:val="19"/>
          <w:color w:val="auto"/>
        </w:rPr>
        <w:t>.</w:t>
      </w:r>
    </w:p>
    <w:p>
      <w:pPr>
        <w:spacing w:after="0" w:line="226" w:lineRule="exact"/>
        <w:rPr>
          <w:sz w:val="20"/>
          <w:szCs w:val="20"/>
          <w:color w:val="auto"/>
        </w:rPr>
      </w:pPr>
    </w:p>
    <w:p>
      <w:pPr>
        <w:ind w:left="1300" w:right="20" w:hanging="644"/>
        <w:spacing w:after="0" w:line="287" w:lineRule="auto"/>
        <w:tabs>
          <w:tab w:leader="none" w:pos="1276" w:val="left"/>
        </w:tabs>
        <w:numPr>
          <w:ilvl w:val="0"/>
          <w:numId w:val="640"/>
        </w:numPr>
        <w:rPr>
          <w:rFonts w:ascii="Arial" w:cs="Arial" w:eastAsia="Arial" w:hAnsi="Arial"/>
          <w:sz w:val="21"/>
          <w:szCs w:val="21"/>
          <w:color w:val="auto"/>
        </w:rPr>
      </w:pPr>
      <w:r>
        <w:rPr>
          <w:rFonts w:ascii="Arial" w:cs="Arial" w:eastAsia="Arial" w:hAnsi="Arial"/>
          <w:sz w:val="21"/>
          <w:szCs w:val="21"/>
          <w:color w:val="auto"/>
        </w:rPr>
        <w:t>During the Term MPAG shall be solely responsible for all communications and interactions with Regulatory Authorities with respect to the Products and the Clinical Trials set forth in a Development Plan.</w:t>
      </w:r>
    </w:p>
    <w:p>
      <w:pPr>
        <w:spacing w:after="0" w:line="151" w:lineRule="exact"/>
        <w:rPr>
          <w:rFonts w:ascii="Arial" w:cs="Arial" w:eastAsia="Arial" w:hAnsi="Arial"/>
          <w:sz w:val="21"/>
          <w:szCs w:val="21"/>
          <w:color w:val="auto"/>
        </w:rPr>
      </w:pPr>
    </w:p>
    <w:p>
      <w:pPr>
        <w:ind w:left="1300" w:hanging="644"/>
        <w:spacing w:after="0" w:line="253" w:lineRule="auto"/>
        <w:tabs>
          <w:tab w:leader="none" w:pos="1145" w:val="left"/>
        </w:tabs>
        <w:numPr>
          <w:ilvl w:val="0"/>
          <w:numId w:val="640"/>
        </w:numPr>
        <w:rPr>
          <w:rFonts w:ascii="Arial" w:cs="Arial" w:eastAsia="Arial" w:hAnsi="Arial"/>
          <w:sz w:val="22"/>
          <w:szCs w:val="22"/>
          <w:color w:val="auto"/>
        </w:rPr>
      </w:pPr>
      <w:r>
        <w:rPr>
          <w:rFonts w:ascii="Arial" w:cs="Arial" w:eastAsia="Arial" w:hAnsi="Arial"/>
          <w:sz w:val="22"/>
          <w:szCs w:val="22"/>
          <w:color w:val="auto"/>
        </w:rPr>
        <w:t>To the extent requested by Novartis and not prohibited by Applicable Law, MPAG shall allow Novartis to attend or participate in any meetings or other interactions between MPAG and the FDA or other Regulatory Authorities in relation to the Products or the Clinical Trials set forth in a Development Plan.</w:t>
      </w:r>
    </w:p>
    <w:p>
      <w:pPr>
        <w:spacing w:after="0" w:line="185" w:lineRule="exact"/>
        <w:rPr>
          <w:rFonts w:ascii="Arial" w:cs="Arial" w:eastAsia="Arial" w:hAnsi="Arial"/>
          <w:sz w:val="22"/>
          <w:szCs w:val="22"/>
          <w:color w:val="auto"/>
        </w:rPr>
      </w:pPr>
    </w:p>
    <w:p>
      <w:pPr>
        <w:ind w:left="1300" w:hanging="644"/>
        <w:spacing w:after="0" w:line="250" w:lineRule="auto"/>
        <w:tabs>
          <w:tab w:leader="none" w:pos="1167" w:val="left"/>
        </w:tabs>
        <w:numPr>
          <w:ilvl w:val="0"/>
          <w:numId w:val="640"/>
        </w:numPr>
        <w:rPr>
          <w:rFonts w:ascii="Arial" w:cs="Arial" w:eastAsia="Arial" w:hAnsi="Arial"/>
          <w:sz w:val="22"/>
          <w:szCs w:val="22"/>
          <w:color w:val="auto"/>
        </w:rPr>
      </w:pPr>
      <w:r>
        <w:rPr>
          <w:rFonts w:ascii="Arial" w:cs="Arial" w:eastAsia="Arial" w:hAnsi="Arial"/>
          <w:sz w:val="22"/>
          <w:szCs w:val="22"/>
          <w:color w:val="auto"/>
        </w:rPr>
        <w:t>MPAG shall provide Novartis with all correspondence and other communications received from the FDA or other Regulatory Authorities and all other Regulatory Materials with respect to the Product promptly after its receipt thereof (including Regulatory Materials received prior to the date of this Option Agreement which shall be provided following execution of this Option Agreement).</w:t>
      </w:r>
    </w:p>
    <w:p>
      <w:pPr>
        <w:spacing w:after="0" w:line="187" w:lineRule="exact"/>
        <w:rPr>
          <w:rFonts w:ascii="Arial" w:cs="Arial" w:eastAsia="Arial" w:hAnsi="Arial"/>
          <w:sz w:val="22"/>
          <w:szCs w:val="22"/>
          <w:color w:val="auto"/>
        </w:rPr>
      </w:pPr>
    </w:p>
    <w:p>
      <w:pPr>
        <w:ind w:left="1300" w:hanging="644"/>
        <w:spacing w:after="0" w:line="271" w:lineRule="auto"/>
        <w:tabs>
          <w:tab w:leader="none" w:pos="1176" w:val="left"/>
        </w:tabs>
        <w:numPr>
          <w:ilvl w:val="0"/>
          <w:numId w:val="640"/>
        </w:numPr>
        <w:rPr>
          <w:rFonts w:ascii="Arial" w:cs="Arial" w:eastAsia="Arial" w:hAnsi="Arial"/>
          <w:sz w:val="21"/>
          <w:szCs w:val="21"/>
          <w:color w:val="auto"/>
        </w:rPr>
      </w:pPr>
      <w:r>
        <w:rPr>
          <w:rFonts w:ascii="Arial" w:cs="Arial" w:eastAsia="Arial" w:hAnsi="Arial"/>
          <w:sz w:val="21"/>
          <w:szCs w:val="21"/>
          <w:color w:val="auto"/>
        </w:rPr>
        <w:t>MPAG shall submit to Novartis a copy of any proposed filings, submissions and correspondence with the FDA or any other Regulatory Authority with respect to the Products for Novartis’ review and comment prior to submission thereof, and MPAG shall consider incorporating such comments in good faith but will retain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690" w:name="page691"/>
    <w:bookmarkEnd w:id="690"/>
    <w:p>
      <w:pPr>
        <w:ind w:left="1300"/>
        <w:spacing w:after="0"/>
        <w:rPr>
          <w:sz w:val="20"/>
          <w:szCs w:val="20"/>
          <w:color w:val="auto"/>
        </w:rPr>
      </w:pPr>
      <w:r>
        <w:rPr>
          <w:rFonts w:ascii="Arial" w:cs="Arial" w:eastAsia="Arial" w:hAnsi="Arial"/>
          <w:sz w:val="22"/>
          <w:szCs w:val="22"/>
          <w:color w:val="auto"/>
        </w:rPr>
        <w:t>decision-making rights with respect to all such filings, submissions and correspondence.</w:t>
      </w:r>
    </w:p>
    <w:p>
      <w:pPr>
        <w:spacing w:after="0" w:line="220" w:lineRule="exact"/>
        <w:rPr>
          <w:sz w:val="20"/>
          <w:szCs w:val="20"/>
          <w:color w:val="auto"/>
        </w:rPr>
      </w:pPr>
    </w:p>
    <w:p>
      <w:pPr>
        <w:ind w:left="1300" w:hanging="644"/>
        <w:spacing w:after="0" w:line="288" w:lineRule="auto"/>
        <w:tabs>
          <w:tab w:leader="none" w:pos="1133" w:val="left"/>
        </w:tabs>
        <w:numPr>
          <w:ilvl w:val="1"/>
          <w:numId w:val="641"/>
        </w:numPr>
        <w:rPr>
          <w:rFonts w:ascii="Arial" w:cs="Arial" w:eastAsia="Arial" w:hAnsi="Arial"/>
          <w:sz w:val="19"/>
          <w:szCs w:val="19"/>
          <w:color w:val="auto"/>
        </w:rPr>
      </w:pPr>
      <w:r>
        <w:rPr>
          <w:rFonts w:ascii="Arial" w:cs="Arial" w:eastAsia="Arial" w:hAnsi="Arial"/>
          <w:sz w:val="19"/>
          <w:szCs w:val="19"/>
          <w:color w:val="auto"/>
        </w:rPr>
        <w:t xml:space="preserve">If a Regulatory Authority requires any changes to the MPAG Activities or the Novartis Activities during the Option Period, then the Parties will discuss and implement such changes in good faith through the Governance Committee. If the Governance Committee cannot mutually agree on how to implement such a change to the MPAG Activities or the Novartis Activities, as applicable, then MPAG will have the final decision-making authority regarding whether such change is implemented;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change complies with Applicable Law, and each Party will [***]. If Novartis requests any changes to the MPAG Activities that are not required by a Regulatory Authority and MPAG agrees (through the Governance Committee) to implement such changes, then Novartis will pay MPAG, on invoice, all documented external costs on a pass-through basis and internal expenses at the FTE Rate, in each case, that are reasonably incurred by MPAG to implement such changes and MPAG and Novartis will update the applicable Development Plan with any such revised activities.</w:t>
      </w:r>
    </w:p>
    <w:p>
      <w:pPr>
        <w:spacing w:after="0" w:line="153" w:lineRule="exact"/>
        <w:rPr>
          <w:rFonts w:ascii="Arial" w:cs="Arial" w:eastAsia="Arial" w:hAnsi="Arial"/>
          <w:sz w:val="19"/>
          <w:szCs w:val="19"/>
          <w:color w:val="auto"/>
        </w:rPr>
      </w:pPr>
    </w:p>
    <w:p>
      <w:pPr>
        <w:ind w:left="380" w:hanging="372"/>
        <w:spacing w:after="0"/>
        <w:tabs>
          <w:tab w:leader="none" w:pos="380" w:val="left"/>
        </w:tabs>
        <w:numPr>
          <w:ilvl w:val="0"/>
          <w:numId w:val="642"/>
        </w:numPr>
        <w:rPr>
          <w:rFonts w:ascii="Arial" w:cs="Arial" w:eastAsia="Arial" w:hAnsi="Arial"/>
          <w:sz w:val="22"/>
          <w:szCs w:val="22"/>
          <w:b w:val="1"/>
          <w:bCs w:val="1"/>
          <w:color w:val="auto"/>
        </w:rPr>
      </w:pPr>
      <w:r>
        <w:rPr>
          <w:rFonts w:ascii="Arial" w:cs="Arial" w:eastAsia="Arial" w:hAnsi="Arial"/>
          <w:sz w:val="22"/>
          <w:szCs w:val="22"/>
          <w:b w:val="1"/>
          <w:bCs w:val="1"/>
          <w:color w:val="auto"/>
        </w:rPr>
        <w:t>COLLABORATION MANAGEMENT AND COSTS</w:t>
      </w:r>
    </w:p>
    <w:p>
      <w:pPr>
        <w:spacing w:after="0" w:line="220"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Governance Committee</w:t>
      </w:r>
      <w:r>
        <w:rPr>
          <w:rFonts w:ascii="Arial" w:cs="Arial" w:eastAsia="Arial" w:hAnsi="Arial"/>
          <w:sz w:val="19"/>
          <w:szCs w:val="19"/>
          <w:color w:val="auto"/>
        </w:rPr>
        <w:t>. The Parties will establish a Governance Committee (“</w:t>
      </w:r>
      <w:r>
        <w:rPr>
          <w:rFonts w:ascii="Arial" w:cs="Arial" w:eastAsia="Arial" w:hAnsi="Arial"/>
          <w:sz w:val="19"/>
          <w:szCs w:val="19"/>
          <w:b w:val="1"/>
          <w:bCs w:val="1"/>
          <w:color w:val="auto"/>
        </w:rPr>
        <w:t>Governance Committee</w:t>
      </w:r>
      <w:r>
        <w:rPr>
          <w:rFonts w:ascii="Arial" w:cs="Arial" w:eastAsia="Arial" w:hAnsi="Arial"/>
          <w:sz w:val="19"/>
          <w:szCs w:val="19"/>
          <w:color w:val="auto"/>
        </w:rPr>
        <w: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powers, roles and responsibilities set forth in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to provide oversight for the Collaboration during the Option Period. The Governance Committee will consist of an equal number of representatives appointed by MPAG and Novartis (which may include representative(s) from each Party’s Affiliates). The Governance Committee will determine, consistent with the terms of this Option Agreement, the Governance Committee operating procedures at its first meeting, including the Governance Committee’s policies for replacing Governance Committee members, policies for participation by additional representatives or consultants invited to attend Governance Committee meetings including employees of each Party or their respective Affiliates and/or consultants selected by each Party and representing various development functions (e.g. clinical, medical, regulatory, technical operations, statistics, manufacturing, intellectual property) and other functions, on an </w:t>
      </w:r>
      <w:r>
        <w:rPr>
          <w:rFonts w:ascii="Arial" w:cs="Arial" w:eastAsia="Arial" w:hAnsi="Arial"/>
          <w:sz w:val="19"/>
          <w:szCs w:val="19"/>
          <w:i w:val="1"/>
          <w:iCs w:val="1"/>
          <w:color w:val="auto"/>
        </w:rPr>
        <w:t>ad hoc</w:t>
      </w:r>
      <w:r>
        <w:rPr>
          <w:rFonts w:ascii="Arial" w:cs="Arial" w:eastAsia="Arial" w:hAnsi="Arial"/>
          <w:sz w:val="19"/>
          <w:szCs w:val="19"/>
          <w:color w:val="auto"/>
        </w:rPr>
        <w:t xml:space="preserve"> basis, and as required from time to time, and the location of meetings, which will be codified in the written minutes of the first Governance Committee meeting. Each Party will be responsible for the costs and expenses of its own employees or consultants attending Governance Committee meetings. All additional participants at a Governance Committee meeting shall be caused to be bound by appropriate confidentiality obligations.</w:t>
      </w:r>
    </w:p>
    <w:p>
      <w:pPr>
        <w:spacing w:after="0" w:line="154" w:lineRule="exact"/>
        <w:rPr>
          <w:sz w:val="20"/>
          <w:szCs w:val="20"/>
          <w:color w:val="auto"/>
        </w:rPr>
      </w:pPr>
    </w:p>
    <w:p>
      <w:pPr>
        <w:jc w:val="both"/>
        <w:ind w:left="620" w:hanging="647"/>
        <w:spacing w:after="0" w:line="256" w:lineRule="auto"/>
        <w:tabs>
          <w:tab w:leader="none" w:pos="6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b w:val="1"/>
          <w:bCs w:val="1"/>
          <w:color w:val="auto"/>
        </w:rPr>
        <w:t>Role of the Governance Committee</w:t>
      </w:r>
      <w:r>
        <w:rPr>
          <w:rFonts w:ascii="Arial" w:cs="Arial" w:eastAsia="Arial" w:hAnsi="Arial"/>
          <w:sz w:val="22"/>
          <w:szCs w:val="22"/>
          <w:color w:val="auto"/>
        </w:rPr>
        <w:t>. Without limiting any of the foregoing, subject to Section 5.4, the Governance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will perform the following functions, some or all of which may be addressed directly at any given Governance Committee meeting:</w:t>
      </w:r>
    </w:p>
    <w:p>
      <w:pPr>
        <w:spacing w:after="0" w:line="182" w:lineRule="exact"/>
        <w:rPr>
          <w:sz w:val="20"/>
          <w:szCs w:val="20"/>
          <w:color w:val="auto"/>
        </w:rPr>
      </w:pPr>
    </w:p>
    <w:p>
      <w:pPr>
        <w:ind w:left="1300" w:hanging="644"/>
        <w:spacing w:after="0" w:line="263" w:lineRule="auto"/>
        <w:tabs>
          <w:tab w:leader="none" w:pos="1232" w:val="left"/>
        </w:tabs>
        <w:numPr>
          <w:ilvl w:val="0"/>
          <w:numId w:val="643"/>
        </w:numPr>
        <w:rPr>
          <w:rFonts w:ascii="Arial" w:cs="Arial" w:eastAsia="Arial" w:hAnsi="Arial"/>
          <w:sz w:val="22"/>
          <w:szCs w:val="22"/>
          <w:color w:val="auto"/>
        </w:rPr>
      </w:pPr>
      <w:r>
        <w:rPr>
          <w:rFonts w:ascii="Arial" w:cs="Arial" w:eastAsia="Arial" w:hAnsi="Arial"/>
          <w:sz w:val="22"/>
          <w:szCs w:val="22"/>
          <w:color w:val="auto"/>
        </w:rPr>
        <w:t>Discuss and approve material amendments to the Development Plans, including approving any additional costs associated with any approved changes to the MPAG Activities or Novartis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691" w:name="page692"/>
    <w:bookmarkEnd w:id="691"/>
    <w:p>
      <w:pPr>
        <w:ind w:left="1120" w:hanging="464"/>
        <w:spacing w:after="0"/>
        <w:tabs>
          <w:tab w:leader="none" w:pos="1120" w:val="left"/>
        </w:tabs>
        <w:numPr>
          <w:ilvl w:val="0"/>
          <w:numId w:val="644"/>
        </w:numPr>
        <w:rPr>
          <w:rFonts w:ascii="Arial" w:cs="Arial" w:eastAsia="Arial" w:hAnsi="Arial"/>
          <w:sz w:val="22"/>
          <w:szCs w:val="22"/>
          <w:color w:val="auto"/>
        </w:rPr>
      </w:pPr>
      <w:r>
        <w:rPr>
          <w:rFonts w:ascii="Arial" w:cs="Arial" w:eastAsia="Arial" w:hAnsi="Arial"/>
          <w:sz w:val="22"/>
          <w:szCs w:val="22"/>
          <w:color w:val="auto"/>
        </w:rPr>
        <w:t>review the protocols for any Clinical Trial contemplated by a Development Plan;</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159" w:val="left"/>
        </w:tabs>
        <w:numPr>
          <w:ilvl w:val="0"/>
          <w:numId w:val="644"/>
        </w:numPr>
        <w:rPr>
          <w:rFonts w:ascii="Arial" w:cs="Arial" w:eastAsia="Arial" w:hAnsi="Arial"/>
          <w:sz w:val="22"/>
          <w:szCs w:val="22"/>
          <w:color w:val="auto"/>
        </w:rPr>
      </w:pPr>
      <w:r>
        <w:rPr>
          <w:rFonts w:ascii="Arial" w:cs="Arial" w:eastAsia="Arial" w:hAnsi="Arial"/>
          <w:sz w:val="22"/>
          <w:szCs w:val="22"/>
          <w:color w:val="auto"/>
        </w:rPr>
        <w:t xml:space="preserve">discuss any additional activities Novartis wishes MPAG to conduct under a Development Plan as contemplated by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70" w:val="left"/>
        </w:tabs>
        <w:numPr>
          <w:ilvl w:val="0"/>
          <w:numId w:val="644"/>
        </w:numPr>
        <w:rPr>
          <w:rFonts w:ascii="Arial" w:cs="Arial" w:eastAsia="Arial" w:hAnsi="Arial"/>
          <w:sz w:val="22"/>
          <w:szCs w:val="22"/>
          <w:color w:val="auto"/>
        </w:rPr>
      </w:pPr>
      <w:r>
        <w:rPr>
          <w:rFonts w:ascii="Arial" w:cs="Arial" w:eastAsia="Arial" w:hAnsi="Arial"/>
          <w:sz w:val="22"/>
          <w:szCs w:val="22"/>
          <w:color w:val="auto"/>
        </w:rPr>
        <w:t xml:space="preserve">review MPAG’s material planned interactions and material submissions to Regulatory Authorities as contemplated by </w:t>
      </w:r>
      <w:r>
        <w:rPr>
          <w:rFonts w:ascii="Arial" w:cs="Arial" w:eastAsia="Arial" w:hAnsi="Arial"/>
          <w:sz w:val="22"/>
          <w:szCs w:val="22"/>
          <w:u w:val="single" w:color="auto"/>
          <w:color w:val="auto"/>
        </w:rPr>
        <w:t>Section 4.12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300" w:hanging="644"/>
        <w:spacing w:after="0" w:line="253" w:lineRule="auto"/>
        <w:tabs>
          <w:tab w:leader="none" w:pos="1170" w:val="left"/>
        </w:tabs>
        <w:numPr>
          <w:ilvl w:val="0"/>
          <w:numId w:val="644"/>
        </w:numPr>
        <w:rPr>
          <w:rFonts w:ascii="Arial" w:cs="Arial" w:eastAsia="Arial" w:hAnsi="Arial"/>
          <w:sz w:val="22"/>
          <w:szCs w:val="22"/>
          <w:color w:val="auto"/>
        </w:rPr>
      </w:pPr>
      <w:r>
        <w:rPr>
          <w:rFonts w:ascii="Arial" w:cs="Arial" w:eastAsia="Arial" w:hAnsi="Arial"/>
          <w:sz w:val="22"/>
          <w:szCs w:val="22"/>
          <w:color w:val="auto"/>
        </w:rPr>
        <w:t xml:space="preserve">review reports and analyses provided by MPAG detailing the current status of each Product under a Development Plan (including any summary of the data generated by MPAG under such plan) as contemplated by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4.10(a)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300" w:hanging="644"/>
        <w:spacing w:after="0" w:line="343" w:lineRule="auto"/>
        <w:tabs>
          <w:tab w:leader="none" w:pos="1203" w:val="left"/>
        </w:tabs>
        <w:numPr>
          <w:ilvl w:val="0"/>
          <w:numId w:val="644"/>
        </w:numPr>
        <w:rPr>
          <w:rFonts w:ascii="Arial" w:cs="Arial" w:eastAsia="Arial" w:hAnsi="Arial"/>
          <w:sz w:val="19"/>
          <w:szCs w:val="19"/>
          <w:color w:val="auto"/>
        </w:rPr>
      </w:pPr>
      <w:r>
        <w:rPr>
          <w:rFonts w:ascii="Arial" w:cs="Arial" w:eastAsia="Arial" w:hAnsi="Arial"/>
          <w:sz w:val="19"/>
          <w:szCs w:val="19"/>
          <w:color w:val="auto"/>
        </w:rPr>
        <w:t xml:space="preserve">review updates provided by Novartis on the Novartis Activities (including a summary of relevant data or other information generated by Novartis from conducting such activities) as contemplated by </w:t>
      </w:r>
      <w:r>
        <w:rPr>
          <w:rFonts w:ascii="Arial" w:cs="Arial" w:eastAsia="Arial" w:hAnsi="Arial"/>
          <w:sz w:val="19"/>
          <w:szCs w:val="19"/>
          <w:u w:val="single" w:color="auto"/>
          <w:color w:val="auto"/>
        </w:rPr>
        <w:t>Section 4.10(b)</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300" w:hanging="644"/>
        <w:spacing w:after="0" w:line="263" w:lineRule="auto"/>
        <w:tabs>
          <w:tab w:leader="none" w:pos="1233" w:val="left"/>
        </w:tabs>
        <w:numPr>
          <w:ilvl w:val="0"/>
          <w:numId w:val="644"/>
        </w:numPr>
        <w:rPr>
          <w:rFonts w:ascii="Arial" w:cs="Arial" w:eastAsia="Arial" w:hAnsi="Arial"/>
          <w:sz w:val="22"/>
          <w:szCs w:val="22"/>
          <w:color w:val="auto"/>
        </w:rPr>
      </w:pPr>
      <w:r>
        <w:rPr>
          <w:rFonts w:ascii="Arial" w:cs="Arial" w:eastAsia="Arial" w:hAnsi="Arial"/>
          <w:sz w:val="22"/>
          <w:szCs w:val="22"/>
          <w:color w:val="auto"/>
        </w:rPr>
        <w:t>review proposals by Novartis or MPAG for the addition or removal of any country or territory from the list of “Commercial Territories”;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644"/>
        </w:numPr>
        <w:rPr>
          <w:rFonts w:ascii="Arial" w:cs="Arial" w:eastAsia="Arial" w:hAnsi="Arial"/>
          <w:sz w:val="22"/>
          <w:szCs w:val="22"/>
          <w:color w:val="auto"/>
        </w:rPr>
      </w:pPr>
      <w:r>
        <w:rPr>
          <w:rFonts w:ascii="Arial" w:cs="Arial" w:eastAsia="Arial" w:hAnsi="Arial"/>
          <w:sz w:val="22"/>
          <w:szCs w:val="22"/>
          <w:color w:val="auto"/>
        </w:rPr>
        <w:t>assist with and participate in the resolution of Option Period disputes that may arise during the Term;</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644"/>
        </w:numPr>
        <w:rPr>
          <w:rFonts w:ascii="Arial" w:cs="Arial" w:eastAsia="Arial" w:hAnsi="Arial"/>
          <w:sz w:val="19"/>
          <w:szCs w:val="19"/>
          <w:color w:val="auto"/>
        </w:rPr>
      </w:pPr>
      <w:r>
        <w:rPr>
          <w:rFonts w:ascii="Arial" w:cs="Arial" w:eastAsia="Arial" w:hAnsi="Arial"/>
          <w:sz w:val="19"/>
          <w:szCs w:val="19"/>
          <w:color w:val="auto"/>
        </w:rPr>
        <w:t>establish teams, committees and working groups to oversee and manage activities under the Collaboration; and</w:t>
      </w:r>
    </w:p>
    <w:p>
      <w:pPr>
        <w:spacing w:after="0" w:line="254" w:lineRule="exact"/>
        <w:rPr>
          <w:rFonts w:ascii="Arial" w:cs="Arial" w:eastAsia="Arial" w:hAnsi="Arial"/>
          <w:sz w:val="19"/>
          <w:szCs w:val="19"/>
          <w:color w:val="auto"/>
        </w:rPr>
      </w:pPr>
    </w:p>
    <w:p>
      <w:pPr>
        <w:ind w:left="1300" w:hanging="644"/>
        <w:spacing w:after="0" w:line="263" w:lineRule="auto"/>
        <w:tabs>
          <w:tab w:leader="none" w:pos="1172" w:val="left"/>
        </w:tabs>
        <w:numPr>
          <w:ilvl w:val="0"/>
          <w:numId w:val="644"/>
        </w:numPr>
        <w:rPr>
          <w:rFonts w:ascii="Arial" w:cs="Arial" w:eastAsia="Arial" w:hAnsi="Arial"/>
          <w:sz w:val="22"/>
          <w:szCs w:val="22"/>
          <w:color w:val="auto"/>
        </w:rPr>
      </w:pPr>
      <w:r>
        <w:rPr>
          <w:rFonts w:ascii="Arial" w:cs="Arial" w:eastAsia="Arial" w:hAnsi="Arial"/>
          <w:sz w:val="22"/>
          <w:szCs w:val="22"/>
          <w:color w:val="auto"/>
        </w:rPr>
        <w:t>such other review and advisory responsibilities as may be assigned to the Governance Committee by the Parties pursuant to this Option Agreement.</w:t>
      </w:r>
    </w:p>
    <w:p>
      <w:pPr>
        <w:spacing w:after="0" w:line="169" w:lineRule="exact"/>
        <w:rPr>
          <w:sz w:val="20"/>
          <w:szCs w:val="20"/>
          <w:color w:val="auto"/>
        </w:rPr>
      </w:pPr>
    </w:p>
    <w:p>
      <w:pPr>
        <w:jc w:val="both"/>
        <w:ind w:left="580" w:hanging="647"/>
        <w:spacing w:after="0" w:line="259" w:lineRule="auto"/>
        <w:tabs>
          <w:tab w:leader="none" w:pos="5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b w:val="1"/>
          <w:bCs w:val="1"/>
          <w:color w:val="auto"/>
        </w:rPr>
        <w:t>Meeting Logistics</w:t>
      </w:r>
      <w:r>
        <w:rPr>
          <w:rFonts w:ascii="Arial" w:cs="Arial" w:eastAsia="Arial" w:hAnsi="Arial"/>
          <w:sz w:val="21"/>
          <w:szCs w:val="21"/>
          <w:color w:val="auto"/>
        </w:rPr>
        <w:t>. The Governance Committee shall meet no less frequently than [***] and at such other times as the</w:t>
      </w:r>
      <w:r>
        <w:rPr>
          <w:rFonts w:ascii="Arial" w:cs="Arial" w:eastAsia="Arial" w:hAnsi="Arial"/>
          <w:sz w:val="21"/>
          <w:szCs w:val="21"/>
          <w:b w:val="1"/>
          <w:bCs w:val="1"/>
          <w:color w:val="auto"/>
        </w:rPr>
        <w:t xml:space="preserve"> </w:t>
      </w:r>
      <w:r>
        <w:rPr>
          <w:rFonts w:ascii="Arial" w:cs="Arial" w:eastAsia="Arial" w:hAnsi="Arial"/>
          <w:sz w:val="21"/>
          <w:szCs w:val="21"/>
          <w:color w:val="auto"/>
        </w:rPr>
        <w:t>Governance Committee or the Parties may reasonably agree. The first meeting of the Governance Committee shall be held as soon as reasonably practicable, but in no event later than [***] following the Execution Date. Meetings may be held in person, telephonically or by means of videoconference. The Parties shall appoint [***] of its representatives on the Governance Committee to act as chairperson of the Governance Committee, and each Party shall chair the Governance Committee on an alternate basis. The chairperson shall appoint [***] person (who need not be a member of the Governance Committee) to set agendas and manage logistical aspects for meetings and attend the meeting to record the minutes of the meeting in writing. Such minutes shall be circulated to the Parties promptly following the meeting for review, comment and approval. If no comments are received within [***] of the minutes’ receipt by a Party, unless otherwise agreed, they shall be deemed to be approved by such Party.</w:t>
      </w:r>
    </w:p>
    <w:p>
      <w:pPr>
        <w:spacing w:after="0" w:line="175" w:lineRule="exact"/>
        <w:rPr>
          <w:sz w:val="20"/>
          <w:szCs w:val="20"/>
          <w:color w:val="auto"/>
        </w:rPr>
      </w:pPr>
    </w:p>
    <w:p>
      <w:pPr>
        <w:jc w:val="both"/>
        <w:ind w:left="540" w:hanging="647"/>
        <w:spacing w:after="0" w:line="256" w:lineRule="auto"/>
        <w:tabs>
          <w:tab w:leader="none" w:pos="5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b w:val="1"/>
          <w:bCs w:val="1"/>
          <w:color w:val="auto"/>
        </w:rPr>
        <w:t>Decision Making</w:t>
      </w:r>
      <w:r>
        <w:rPr>
          <w:rFonts w:ascii="Arial" w:cs="Arial" w:eastAsia="Arial" w:hAnsi="Arial"/>
          <w:sz w:val="22"/>
          <w:szCs w:val="22"/>
          <w:color w:val="auto"/>
        </w:rPr>
        <w:t>. Each Party will give due consideration to, and consider in good faith, the recommendations and advice</w:t>
      </w:r>
      <w:r>
        <w:rPr>
          <w:rFonts w:ascii="Arial" w:cs="Arial" w:eastAsia="Arial" w:hAnsi="Arial"/>
          <w:sz w:val="22"/>
          <w:szCs w:val="22"/>
          <w:b w:val="1"/>
          <w:bCs w:val="1"/>
          <w:color w:val="auto"/>
        </w:rPr>
        <w:t xml:space="preserve"> </w:t>
      </w:r>
      <w:r>
        <w:rPr>
          <w:rFonts w:ascii="Arial" w:cs="Arial" w:eastAsia="Arial" w:hAnsi="Arial"/>
          <w:sz w:val="22"/>
          <w:szCs w:val="22"/>
          <w:color w:val="auto"/>
        </w:rPr>
        <w:t>of the other Party’s members of the Governance Committee regarding matters properly before the Governance Committee.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692" w:name="page693"/>
    <w:bookmarkEnd w:id="692"/>
    <w:p>
      <w:pPr>
        <w:jc w:val="both"/>
        <w:ind w:left="660"/>
        <w:spacing w:after="0" w:line="250" w:lineRule="auto"/>
        <w:rPr>
          <w:sz w:val="20"/>
          <w:szCs w:val="20"/>
          <w:color w:val="auto"/>
        </w:rPr>
      </w:pPr>
      <w:r>
        <w:rPr>
          <w:rFonts w:ascii="Arial" w:cs="Arial" w:eastAsia="Arial" w:hAnsi="Arial"/>
          <w:sz w:val="22"/>
          <w:szCs w:val="22"/>
          <w:color w:val="auto"/>
        </w:rPr>
        <w:t>Governance Committee will endeavor to reach consensus on all decisions to be made by the Governance Committee, however, if the Governance Committee cannot unanimously agree on a matter to be decided by the Governance Committee then [***] will have the final decision-making authority regarding [***], provided that notwithstanding the foregoing:</w:t>
      </w:r>
    </w:p>
    <w:p>
      <w:pPr>
        <w:spacing w:after="0" w:line="188" w:lineRule="exact"/>
        <w:rPr>
          <w:sz w:val="20"/>
          <w:szCs w:val="20"/>
          <w:color w:val="auto"/>
        </w:rPr>
      </w:pPr>
    </w:p>
    <w:p>
      <w:pPr>
        <w:ind w:left="1120" w:hanging="464"/>
        <w:spacing w:after="0"/>
        <w:tabs>
          <w:tab w:leader="none" w:pos="1120" w:val="left"/>
        </w:tabs>
        <w:numPr>
          <w:ilvl w:val="0"/>
          <w:numId w:val="645"/>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45"/>
        </w:numPr>
        <w:rPr>
          <w:rFonts w:ascii="Arial" w:cs="Arial" w:eastAsia="Arial" w:hAnsi="Arial"/>
          <w:sz w:val="22"/>
          <w:szCs w:val="22"/>
          <w:color w:val="auto"/>
        </w:rPr>
      </w:pPr>
      <w:r>
        <w:rPr>
          <w:rFonts w:ascii="Arial" w:cs="Arial" w:eastAsia="Arial" w:hAnsi="Arial"/>
          <w:sz w:val="22"/>
          <w:szCs w:val="22"/>
          <w:color w:val="auto"/>
        </w:rPr>
        <w:t>[***]</w:t>
      </w:r>
    </w:p>
    <w:p>
      <w:pPr>
        <w:spacing w:after="0" w:line="214" w:lineRule="exact"/>
        <w:rPr>
          <w:sz w:val="20"/>
          <w:szCs w:val="20"/>
          <w:color w:val="auto"/>
        </w:rPr>
      </w:pPr>
    </w:p>
    <w:p>
      <w:pPr>
        <w:jc w:val="both"/>
        <w:ind w:left="560" w:hanging="647"/>
        <w:spacing w:after="0" w:line="252" w:lineRule="auto"/>
        <w:tabs>
          <w:tab w:leader="none" w:pos="5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b w:val="1"/>
          <w:bCs w:val="1"/>
          <w:color w:val="auto"/>
        </w:rPr>
        <w:t>Inventions at the Governance Committee</w:t>
      </w:r>
      <w:r>
        <w:rPr>
          <w:rFonts w:ascii="Arial" w:cs="Arial" w:eastAsia="Arial" w:hAnsi="Arial"/>
          <w:sz w:val="22"/>
          <w:szCs w:val="22"/>
          <w:color w:val="auto"/>
        </w:rPr>
        <w:t>. To the extent that any inventions, discoveries, or other intellectual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rights are conceived or reduced to practice pursuant to any activities of the Governance Committee, such intellectual property rights shall be owned solely by MPAG and shall be considered MPAG Patents or MPAG Know-How, as the context admits.</w:t>
      </w:r>
    </w:p>
    <w:p>
      <w:pPr>
        <w:spacing w:after="0" w:line="180" w:lineRule="exact"/>
        <w:rPr>
          <w:sz w:val="20"/>
          <w:szCs w:val="20"/>
          <w:color w:val="auto"/>
        </w:rPr>
      </w:pPr>
    </w:p>
    <w:p>
      <w:pPr>
        <w:jc w:val="both"/>
        <w:ind w:left="540" w:hanging="647"/>
        <w:spacing w:after="0" w:line="290" w:lineRule="auto"/>
        <w:tabs>
          <w:tab w:leader="none" w:pos="5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color w:val="auto"/>
        </w:rPr>
        <w:t>Alliance Directors</w:t>
      </w:r>
      <w:r>
        <w:rPr>
          <w:rFonts w:ascii="Arial" w:cs="Arial" w:eastAsia="Arial" w:hAnsi="Arial"/>
          <w:sz w:val="19"/>
          <w:szCs w:val="19"/>
          <w:color w:val="auto"/>
        </w:rPr>
        <w:t>. Promptly following the Execution Date, each Party will appoint (and notify the other Party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of the identity of) a senior representative having a general understanding of development and manufacturing issues to act as its alliance director under this Option Agreement (each, an “</w:t>
      </w:r>
      <w:r>
        <w:rPr>
          <w:rFonts w:ascii="Arial" w:cs="Arial" w:eastAsia="Arial" w:hAnsi="Arial"/>
          <w:sz w:val="19"/>
          <w:szCs w:val="19"/>
          <w:b w:val="1"/>
          <w:bCs w:val="1"/>
          <w:color w:val="auto"/>
        </w:rPr>
        <w:t>Alliance Director</w:t>
      </w:r>
      <w:r>
        <w:rPr>
          <w:rFonts w:ascii="Arial" w:cs="Arial" w:eastAsia="Arial" w:hAnsi="Arial"/>
          <w:sz w:val="19"/>
          <w:szCs w:val="19"/>
          <w:color w:val="auto"/>
        </w:rPr>
        <w:t>”). The Alliance Directors will serve as the contact point between the Parties for the purpose of having oversight and progressing and facilitating coordination of the various activities between the Parties under this Option Agreement and will be primarily responsible for: (a) facilitating the flow of information and otherwise promoting communication, coordination, and collaboration between the Parties; (b) raising cross-Party or cross-functional issues and disputes to their management in a timely manner including managing disputes; and (c) ensuring the Parties follow necessary steps to prepare for exercising the Option as set forth in Article 2. Each Party may replace its Alliance Director on written notice to the other Party.</w:t>
      </w:r>
    </w:p>
    <w:p>
      <w:pPr>
        <w:spacing w:after="0" w:line="148" w:lineRule="exact"/>
        <w:rPr>
          <w:sz w:val="20"/>
          <w:szCs w:val="20"/>
          <w:color w:val="auto"/>
        </w:rPr>
      </w:pPr>
    </w:p>
    <w:p>
      <w:pPr>
        <w:ind w:left="380" w:hanging="372"/>
        <w:spacing w:after="0"/>
        <w:tabs>
          <w:tab w:leader="none" w:pos="380" w:val="left"/>
        </w:tabs>
        <w:numPr>
          <w:ilvl w:val="0"/>
          <w:numId w:val="646"/>
        </w:numPr>
        <w:rPr>
          <w:rFonts w:ascii="Arial" w:cs="Arial" w:eastAsia="Arial" w:hAnsi="Arial"/>
          <w:sz w:val="22"/>
          <w:szCs w:val="22"/>
          <w:b w:val="1"/>
          <w:bCs w:val="1"/>
          <w:color w:val="auto"/>
        </w:rPr>
      </w:pPr>
      <w:r>
        <w:rPr>
          <w:rFonts w:ascii="Arial" w:cs="Arial" w:eastAsia="Arial" w:hAnsi="Arial"/>
          <w:sz w:val="22"/>
          <w:szCs w:val="22"/>
          <w:b w:val="1"/>
          <w:bCs w:val="1"/>
          <w:color w:val="auto"/>
        </w:rPr>
        <w:t>DUE DILIGENCE</w:t>
      </w:r>
    </w:p>
    <w:p>
      <w:pPr>
        <w:spacing w:after="0" w:line="226"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22"/>
          <w:szCs w:val="22"/>
          <w:color w:val="auto"/>
        </w:rPr>
        <w:t>6.1</w:t>
        <w:tab/>
        <w:t>During the Term, MPAG shall permit Novartis to conduct additional reasonable due diligence investigations with MPAG and its key contractors related to the Products to supplement the due diligence undertaken by Novartis prior to the Execution Date.</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key due diligence items shall include:</w:t>
      </w:r>
    </w:p>
    <w:p>
      <w:pPr>
        <w:spacing w:after="0" w:line="220" w:lineRule="exact"/>
        <w:rPr>
          <w:sz w:val="20"/>
          <w:szCs w:val="20"/>
          <w:color w:val="auto"/>
        </w:rPr>
      </w:pPr>
    </w:p>
    <w:p>
      <w:pPr>
        <w:ind w:left="1300" w:hanging="644"/>
        <w:spacing w:after="0" w:line="253" w:lineRule="auto"/>
        <w:tabs>
          <w:tab w:leader="none" w:pos="1210" w:val="left"/>
        </w:tabs>
        <w:numPr>
          <w:ilvl w:val="0"/>
          <w:numId w:val="647"/>
        </w:numPr>
        <w:rPr>
          <w:rFonts w:ascii="Arial" w:cs="Arial" w:eastAsia="Arial" w:hAnsi="Arial"/>
          <w:sz w:val="22"/>
          <w:szCs w:val="22"/>
          <w:color w:val="auto"/>
        </w:rPr>
      </w:pPr>
      <w:r>
        <w:rPr>
          <w:rFonts w:ascii="Arial" w:cs="Arial" w:eastAsia="Arial" w:hAnsi="Arial"/>
          <w:sz w:val="22"/>
          <w:szCs w:val="22"/>
          <w:color w:val="auto"/>
        </w:rPr>
        <w:t>discussions with MPAG and its key contractors related to the Product regarding interactions, all correspondence from and to the regulatory authorities relating to the Products (including all FDA correspondence) and all past, current, and planned related Clinical Trials relating to the Product;</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321" w:val="left"/>
        </w:tabs>
        <w:numPr>
          <w:ilvl w:val="0"/>
          <w:numId w:val="647"/>
        </w:numPr>
        <w:rPr>
          <w:rFonts w:ascii="Arial" w:cs="Arial" w:eastAsia="Arial" w:hAnsi="Arial"/>
          <w:sz w:val="22"/>
          <w:szCs w:val="22"/>
          <w:color w:val="auto"/>
        </w:rPr>
      </w:pPr>
      <w:r>
        <w:rPr>
          <w:rFonts w:ascii="Arial" w:cs="Arial" w:eastAsia="Arial" w:hAnsi="Arial"/>
          <w:sz w:val="22"/>
          <w:szCs w:val="22"/>
          <w:color w:val="auto"/>
        </w:rPr>
        <w:t>discussions with MPAG with respect to intellectual property matters relating to the Products, including the intellectual property estate relating to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693" w:name="page694"/>
    <w:bookmarkEnd w:id="693"/>
    <w:p>
      <w:pPr>
        <w:ind w:left="1300" w:hanging="644"/>
        <w:spacing w:after="0" w:line="263" w:lineRule="auto"/>
        <w:tabs>
          <w:tab w:leader="none" w:pos="1176" w:val="left"/>
        </w:tabs>
        <w:numPr>
          <w:ilvl w:val="0"/>
          <w:numId w:val="648"/>
        </w:numPr>
        <w:rPr>
          <w:rFonts w:ascii="Arial" w:cs="Arial" w:eastAsia="Arial" w:hAnsi="Arial"/>
          <w:sz w:val="22"/>
          <w:szCs w:val="22"/>
          <w:color w:val="auto"/>
        </w:rPr>
      </w:pPr>
      <w:r>
        <w:rPr>
          <w:rFonts w:ascii="Arial" w:cs="Arial" w:eastAsia="Arial" w:hAnsi="Arial"/>
          <w:sz w:val="22"/>
          <w:szCs w:val="22"/>
          <w:color w:val="auto"/>
        </w:rPr>
        <w:t>further review of all pre-clinical, clinical data and CMC data, in each case, related to the Products, and review of audits with respect to regulatory compliance (</w:t>
      </w:r>
      <w:r>
        <w:rPr>
          <w:rFonts w:ascii="Arial" w:cs="Arial" w:eastAsia="Arial" w:hAnsi="Arial"/>
          <w:sz w:val="22"/>
          <w:szCs w:val="22"/>
          <w:i w:val="1"/>
          <w:iCs w:val="1"/>
          <w:color w:val="auto"/>
        </w:rPr>
        <w:t>e.g.</w:t>
      </w:r>
      <w:r>
        <w:rPr>
          <w:rFonts w:ascii="Arial" w:cs="Arial" w:eastAsia="Arial" w:hAnsi="Arial"/>
          <w:sz w:val="22"/>
          <w:szCs w:val="22"/>
          <w:color w:val="auto"/>
        </w:rPr>
        <w:t>, cGMP compliance for clinical supplies);</w:t>
      </w:r>
    </w:p>
    <w:p>
      <w:pPr>
        <w:spacing w:after="0" w:line="174" w:lineRule="exact"/>
        <w:rPr>
          <w:rFonts w:ascii="Arial" w:cs="Arial" w:eastAsia="Arial" w:hAnsi="Arial"/>
          <w:sz w:val="22"/>
          <w:szCs w:val="22"/>
          <w:color w:val="auto"/>
        </w:rPr>
      </w:pPr>
    </w:p>
    <w:p>
      <w:pPr>
        <w:ind w:left="1300" w:hanging="644"/>
        <w:spacing w:after="0" w:line="253" w:lineRule="auto"/>
        <w:tabs>
          <w:tab w:leader="none" w:pos="1177" w:val="left"/>
        </w:tabs>
        <w:numPr>
          <w:ilvl w:val="0"/>
          <w:numId w:val="648"/>
        </w:numPr>
        <w:rPr>
          <w:rFonts w:ascii="Arial" w:cs="Arial" w:eastAsia="Arial" w:hAnsi="Arial"/>
          <w:sz w:val="22"/>
          <w:szCs w:val="22"/>
          <w:color w:val="auto"/>
        </w:rPr>
      </w:pPr>
      <w:r>
        <w:rPr>
          <w:rFonts w:ascii="Arial" w:cs="Arial" w:eastAsia="Arial" w:hAnsi="Arial"/>
          <w:sz w:val="22"/>
          <w:szCs w:val="22"/>
          <w:color w:val="auto"/>
        </w:rPr>
        <w:t>performing a pre-qualification assessment, site visit or similar review of any site or facility where development or manufacturing activities for the Products (including drug substance, drug product or any component thereof) have taken place or are expected to take place;</w:t>
      </w:r>
    </w:p>
    <w:p>
      <w:pPr>
        <w:spacing w:after="0" w:line="185" w:lineRule="exact"/>
        <w:rPr>
          <w:rFonts w:ascii="Arial" w:cs="Arial" w:eastAsia="Arial" w:hAnsi="Arial"/>
          <w:sz w:val="22"/>
          <w:szCs w:val="22"/>
          <w:color w:val="auto"/>
        </w:rPr>
      </w:pPr>
    </w:p>
    <w:p>
      <w:pPr>
        <w:ind w:left="1300" w:hanging="644"/>
        <w:spacing w:after="0" w:line="312" w:lineRule="auto"/>
        <w:tabs>
          <w:tab w:leader="none" w:pos="1181" w:val="left"/>
        </w:tabs>
        <w:numPr>
          <w:ilvl w:val="0"/>
          <w:numId w:val="648"/>
        </w:numPr>
        <w:rPr>
          <w:rFonts w:ascii="Arial" w:cs="Arial" w:eastAsia="Arial" w:hAnsi="Arial"/>
          <w:sz w:val="19"/>
          <w:szCs w:val="19"/>
          <w:color w:val="auto"/>
        </w:rPr>
      </w:pPr>
      <w:r>
        <w:rPr>
          <w:rFonts w:ascii="Arial" w:cs="Arial" w:eastAsia="Arial" w:hAnsi="Arial"/>
          <w:sz w:val="19"/>
          <w:szCs w:val="19"/>
          <w:color w:val="auto"/>
        </w:rPr>
        <w:t>review of all documentation relating to any pending or threatened proceedings (including settlement agreements), including any (civil or criminal) government or regulatory investigation, and any other litigation, or product liability claims, returns, recalls or similar liabilities, in each case, relating to the Products; and</w:t>
      </w:r>
    </w:p>
    <w:p>
      <w:pPr>
        <w:spacing w:after="0" w:line="133" w:lineRule="exact"/>
        <w:rPr>
          <w:rFonts w:ascii="Arial" w:cs="Arial" w:eastAsia="Arial" w:hAnsi="Arial"/>
          <w:sz w:val="19"/>
          <w:szCs w:val="19"/>
          <w:color w:val="auto"/>
        </w:rPr>
      </w:pPr>
    </w:p>
    <w:p>
      <w:pPr>
        <w:ind w:left="1080" w:hanging="424"/>
        <w:spacing w:after="0"/>
        <w:tabs>
          <w:tab w:leader="none" w:pos="1080" w:val="left"/>
        </w:tabs>
        <w:numPr>
          <w:ilvl w:val="0"/>
          <w:numId w:val="648"/>
        </w:numPr>
        <w:rPr>
          <w:rFonts w:ascii="Arial" w:cs="Arial" w:eastAsia="Arial" w:hAnsi="Arial"/>
          <w:sz w:val="22"/>
          <w:szCs w:val="22"/>
          <w:color w:val="auto"/>
        </w:rPr>
      </w:pPr>
      <w:r>
        <w:rPr>
          <w:rFonts w:ascii="Arial" w:cs="Arial" w:eastAsia="Arial" w:hAnsi="Arial"/>
          <w:sz w:val="22"/>
          <w:szCs w:val="22"/>
          <w:color w:val="auto"/>
        </w:rPr>
        <w:t>any other items reasonably related to the Products.</w:t>
      </w:r>
    </w:p>
    <w:p>
      <w:pPr>
        <w:spacing w:after="0" w:line="220"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22"/>
          <w:szCs w:val="22"/>
          <w:color w:val="auto"/>
        </w:rPr>
        <w:t>6.3</w:t>
        <w:tab/>
        <w:t>Novartis shall be entitled to conduct such additional due diligence investigations on a periodic basis upon reasonable notice to MPAG and in a manner that does not unreasonably interfere with the operations of MPAG. Without limiting the foregoing, MPAG shall promptly notify Novartis of any substantive changes to its patent portfolio with respect to the Product.</w:t>
      </w:r>
    </w:p>
    <w:p>
      <w:pPr>
        <w:spacing w:after="0" w:line="188" w:lineRule="exact"/>
        <w:rPr>
          <w:sz w:val="20"/>
          <w:szCs w:val="20"/>
          <w:color w:val="auto"/>
        </w:rPr>
      </w:pPr>
    </w:p>
    <w:p>
      <w:pPr>
        <w:jc w:val="both"/>
        <w:ind w:left="620" w:hanging="647"/>
        <w:spacing w:after="0" w:line="294" w:lineRule="auto"/>
        <w:tabs>
          <w:tab w:leader="none" w:pos="60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All due diligence items requested by Novartis during the Option Period shall be promptly provided (in writing, if so requested) by MPAG to Novartis; provided, that MPAG shall not have any obligation to provide any items or information that are either not in its possession or are not otherwise reasonably available to it. All information (whether provided in written, oral or other tangible form, or by observation) provided in accordance with this Article 6 is the Confidential Information of MPAG. Novartis may only use such information for the purposes of evaluating the exercise of the Option or, as and to the extent covered by the express license or other rights granted to Novartis hereunder.</w:t>
      </w:r>
    </w:p>
    <w:p>
      <w:pPr>
        <w:spacing w:after="0" w:line="143" w:lineRule="exact"/>
        <w:rPr>
          <w:sz w:val="20"/>
          <w:szCs w:val="20"/>
          <w:color w:val="auto"/>
        </w:rPr>
      </w:pPr>
    </w:p>
    <w:p>
      <w:pPr>
        <w:ind w:left="380" w:hanging="372"/>
        <w:spacing w:after="0"/>
        <w:tabs>
          <w:tab w:leader="none" w:pos="380" w:val="left"/>
        </w:tabs>
        <w:numPr>
          <w:ilvl w:val="0"/>
          <w:numId w:val="649"/>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20" w:lineRule="exact"/>
        <w:rPr>
          <w:sz w:val="20"/>
          <w:szCs w:val="20"/>
          <w:color w:val="auto"/>
        </w:rPr>
      </w:pPr>
    </w:p>
    <w:p>
      <w:pPr>
        <w:jc w:val="both"/>
        <w:ind w:left="500" w:hanging="647"/>
        <w:spacing w:after="0" w:line="295" w:lineRule="auto"/>
        <w:tabs>
          <w:tab w:leader="none" w:pos="4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Option Period Data</w:t>
      </w:r>
      <w:r>
        <w:rPr>
          <w:rFonts w:ascii="Arial" w:cs="Arial" w:eastAsia="Arial" w:hAnsi="Arial"/>
          <w:sz w:val="19"/>
          <w:szCs w:val="19"/>
          <w:color w:val="auto"/>
        </w:rPr>
        <w:t>. As between the Parties, MPAG solely owns and retain all right, title, and interest in and to all Option</w:t>
      </w:r>
      <w:r>
        <w:rPr>
          <w:rFonts w:ascii="Arial" w:cs="Arial" w:eastAsia="Arial" w:hAnsi="Arial"/>
          <w:sz w:val="19"/>
          <w:szCs w:val="19"/>
          <w:b w:val="1"/>
          <w:bCs w:val="1"/>
          <w:color w:val="auto"/>
        </w:rPr>
        <w:t xml:space="preserve"> </w:t>
      </w:r>
      <w:r>
        <w:rPr>
          <w:rFonts w:ascii="Arial" w:cs="Arial" w:eastAsia="Arial" w:hAnsi="Arial"/>
          <w:sz w:val="19"/>
          <w:szCs w:val="19"/>
          <w:color w:val="auto"/>
        </w:rPr>
        <w:t>Period Data. If Novartis exercises the Option during the Option Period, all of MPAG’s right, title and interest in and to the Option Period Data shall be included in the exclusive or non-exclusive license, as applicable, to Novartis under the Definitive Agreements. Novartis (on behalf of itself and its Affiliates) shall assign, and hereby assigns, to MPAG, all of Novartis’s (or such Affiliates’) right, title, and interest in and to the Option Period Data. At MPAG’s reasonable request, Novartis shall execute such documents to effect such assignment of such Option Period Data.</w:t>
      </w:r>
    </w:p>
    <w:p>
      <w:pPr>
        <w:spacing w:after="0" w:line="144" w:lineRule="exact"/>
        <w:rPr>
          <w:sz w:val="20"/>
          <w:szCs w:val="20"/>
          <w:color w:val="auto"/>
        </w:rPr>
      </w:pPr>
    </w:p>
    <w:p>
      <w:pPr>
        <w:jc w:val="both"/>
        <w:ind w:left="560" w:hanging="647"/>
        <w:spacing w:after="0" w:line="269" w:lineRule="auto"/>
        <w:tabs>
          <w:tab w:leader="none" w:pos="5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b w:val="1"/>
          <w:bCs w:val="1"/>
          <w:color w:val="auto"/>
        </w:rPr>
        <w:t>Background Intellectual Property</w:t>
      </w:r>
      <w:r>
        <w:rPr>
          <w:rFonts w:ascii="Arial" w:cs="Arial" w:eastAsia="Arial" w:hAnsi="Arial"/>
          <w:sz w:val="22"/>
          <w:szCs w:val="22"/>
          <w:color w:val="auto"/>
        </w:rPr>
        <w:t>. Except as expressly set forth herein, as between the Parties, each Party is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the owner of all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694" w:name="page695"/>
    <w:bookmarkEnd w:id="694"/>
    <w:p>
      <w:pPr>
        <w:ind w:left="660"/>
        <w:spacing w:after="0" w:line="263" w:lineRule="auto"/>
        <w:rPr>
          <w:sz w:val="20"/>
          <w:szCs w:val="20"/>
          <w:color w:val="auto"/>
        </w:rPr>
      </w:pPr>
      <w:r>
        <w:rPr>
          <w:rFonts w:ascii="Arial" w:cs="Arial" w:eastAsia="Arial" w:hAnsi="Arial"/>
          <w:sz w:val="22"/>
          <w:szCs w:val="22"/>
          <w:color w:val="auto"/>
        </w:rPr>
        <w:t>Confidential Information that it owned as of the Execution Date or that it develops or acquires thereafter pursuant to activities independent of this Option Agreement.</w:t>
      </w:r>
    </w:p>
    <w:p>
      <w:pPr>
        <w:spacing w:after="0" w:line="169"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New Manufacturing IP</w:t>
      </w:r>
      <w:r>
        <w:rPr>
          <w:rFonts w:ascii="Arial" w:cs="Arial" w:eastAsia="Arial" w:hAnsi="Arial"/>
          <w:sz w:val="19"/>
          <w:szCs w:val="19"/>
          <w:color w:val="auto"/>
        </w:rPr>
        <w:t>. New Manufacturing IP shall be jointly owned by the Parties, independent of inventorship.</w:t>
      </w:r>
      <w:r>
        <w:rPr>
          <w:rFonts w:ascii="Arial" w:cs="Arial" w:eastAsia="Arial" w:hAnsi="Arial"/>
          <w:sz w:val="19"/>
          <w:szCs w:val="19"/>
          <w:b w:val="1"/>
          <w:bCs w:val="1"/>
          <w:color w:val="auto"/>
        </w:rPr>
        <w:t xml:space="preserve"> </w:t>
      </w:r>
      <w:r>
        <w:rPr>
          <w:rFonts w:ascii="Arial" w:cs="Arial" w:eastAsia="Arial" w:hAnsi="Arial"/>
          <w:sz w:val="19"/>
          <w:szCs w:val="19"/>
          <w:color w:val="auto"/>
        </w:rPr>
        <w:t>Novartis hereby grants MPAG, a worldwide, perpetual, royalty-free, non-exclusive license under its interest in the New Manufacturing IP for any application of the New Manufacturing IP, including a right to sublicense to third parties to make and have made products; provided, for clarity, if MPAG desires to obtain a license to any Novartis Background Technology to practice the New Manufacturing IP to make or have made the Products, then such right shall be subject to a good faith obligation of Novartis to negotiate with MPAG commercial terms on which Novartis would grant a non-exclusive license to Novartis Background Technology for such purpose. MPAG shall have the first right to prosecute, maintain and enforce any patent claims in New Manufacturing IP that primarily relate to the Platform or designed ankyrin repeat protein products. MPAG hereby grants Novartis, a worldwide, perpetual, royalty-free, non-exclusive license under its interest in the New Manufacturing IP for any application of the New Manufacturing IP, including a right to sublicense to third parties to make and have made products; provided, for clarity, if Novartis desires to obtain a license to any MPAG Background IP that do not primarily relate to the Platform or designed ankyrin repeat protein products to practice the New Manufacturing IP, then such right shall be subject to a good faith obligation of MPAG to negotiate with Novartis commercial terms on which MPAG would grant a non-exclusive license to MPAG Background IP for such purpose. Novartis shall have the first right to prosecute, maintain and enforce any patent claims in New Manufacturing IP that do not primarily relate to the Platform or designed ankyrin repeat protein products. Upon the License Effective Date, New Manufacturing IP shall be governed by the Definitive Agreements.</w:t>
      </w:r>
    </w:p>
    <w:p>
      <w:pPr>
        <w:spacing w:after="0" w:line="200" w:lineRule="exact"/>
        <w:rPr>
          <w:sz w:val="20"/>
          <w:szCs w:val="20"/>
          <w:color w:val="auto"/>
        </w:rPr>
      </w:pPr>
    </w:p>
    <w:p>
      <w:pPr>
        <w:spacing w:after="0" w:line="211" w:lineRule="exact"/>
        <w:rPr>
          <w:sz w:val="20"/>
          <w:szCs w:val="20"/>
          <w:color w:val="auto"/>
        </w:rPr>
      </w:pPr>
    </w:p>
    <w:p>
      <w:pPr>
        <w:jc w:val="both"/>
        <w:ind w:left="620" w:hanging="647"/>
        <w:spacing w:after="0" w:line="259" w:lineRule="auto"/>
        <w:tabs>
          <w:tab w:leader="none" w:pos="60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1"/>
          <w:szCs w:val="21"/>
          <w:b w:val="1"/>
          <w:bCs w:val="1"/>
          <w:color w:val="auto"/>
        </w:rPr>
        <w:t>Inventions</w:t>
      </w:r>
      <w:r>
        <w:rPr>
          <w:rFonts w:ascii="Arial" w:cs="Arial" w:eastAsia="Arial" w:hAnsi="Arial"/>
          <w:sz w:val="21"/>
          <w:szCs w:val="21"/>
          <w:color w:val="auto"/>
        </w:rPr>
        <w:t>. As between the Parties, MPAG solely owns and retains all right, title, and interest in and to any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Inventions, and any and all Patent Rights and other intellectual property rights with respect thereto. If Novartis exercises the Option during the Option Period, all of MPAG’s right, title and interest in and to such Inventions and all Patent Rights and other intellectual property rights with respect thereto shall be included in the exclusive or non-exclusive license, as applicable, to Novartis under the Definitive Agreements. Novartis (on behalf of itself and its Affiliates) shall assign, and hereby assigns, to MPAG, all of Novartis’s (or such Affiliates’) right, title, and interest in and to the Inventions. At MPAG’s request, Novartis shall execute such documents to effect such assignment of such Inventions. For clarity, MPAG has the sole right to file, prosecute, and maintain Patent Rights claiming any Inventions and to enforce and to defend such Patent Rights.</w:t>
      </w:r>
    </w:p>
    <w:p>
      <w:pPr>
        <w:spacing w:after="0" w:line="179" w:lineRule="exact"/>
        <w:rPr>
          <w:sz w:val="20"/>
          <w:szCs w:val="20"/>
          <w:color w:val="auto"/>
        </w:rPr>
      </w:pPr>
    </w:p>
    <w:p>
      <w:pPr>
        <w:ind w:left="380" w:hanging="372"/>
        <w:spacing w:after="0"/>
        <w:tabs>
          <w:tab w:leader="none" w:pos="380" w:val="left"/>
        </w:tabs>
        <w:numPr>
          <w:ilvl w:val="0"/>
          <w:numId w:val="650"/>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0" w:lineRule="exact"/>
        <w:rPr>
          <w:sz w:val="20"/>
          <w:szCs w:val="20"/>
          <w:color w:val="auto"/>
        </w:rPr>
      </w:pPr>
    </w:p>
    <w:p>
      <w:pPr>
        <w:jc w:val="both"/>
        <w:ind w:left="520" w:hanging="647"/>
        <w:spacing w:after="0" w:line="256" w:lineRule="auto"/>
        <w:tabs>
          <w:tab w:leader="none" w:pos="5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b w:val="1"/>
          <w:bCs w:val="1"/>
          <w:color w:val="auto"/>
        </w:rPr>
        <w:t>Duty of Confidence</w:t>
      </w:r>
      <w:r>
        <w:rPr>
          <w:rFonts w:ascii="Arial" w:cs="Arial" w:eastAsia="Arial" w:hAnsi="Arial"/>
          <w:sz w:val="22"/>
          <w:szCs w:val="22"/>
          <w:color w:val="auto"/>
        </w:rPr>
        <w:t>. Subject to the other provisions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7</w:t>
      </w:r>
      <w:r>
        <w:rPr>
          <w:rFonts w:ascii="Arial" w:cs="Arial" w:eastAsia="Arial" w:hAnsi="Arial"/>
          <w:sz w:val="22"/>
          <w:szCs w:val="22"/>
          <w:color w:val="auto"/>
        </w:rPr>
        <w:t>, all Confidential Information disclosed by a Party 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 its Affiliates (the “</w:t>
      </w:r>
      <w:r>
        <w:rPr>
          <w:rFonts w:ascii="Arial" w:cs="Arial" w:eastAsia="Arial" w:hAnsi="Arial"/>
          <w:sz w:val="22"/>
          <w:szCs w:val="22"/>
          <w:b w:val="1"/>
          <w:bCs w:val="1"/>
          <w:color w:val="auto"/>
        </w:rPr>
        <w:t>Disclosing Party</w:t>
      </w:r>
      <w:r>
        <w:rPr>
          <w:rFonts w:ascii="Arial" w:cs="Arial" w:eastAsia="Arial" w:hAnsi="Arial"/>
          <w:sz w:val="22"/>
          <w:szCs w:val="22"/>
          <w:color w:val="auto"/>
        </w:rPr>
        <w:t>”) under this Option Agreement will be maintained in confidence and otherwise safeguarded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695" w:name="page696"/>
    <w:bookmarkEnd w:id="695"/>
    <w:p>
      <w:pPr>
        <w:jc w:val="both"/>
        <w:ind w:left="660"/>
        <w:spacing w:after="0" w:line="288" w:lineRule="auto"/>
        <w:rPr>
          <w:sz w:val="20"/>
          <w:szCs w:val="20"/>
          <w:color w:val="auto"/>
        </w:rPr>
      </w:pPr>
      <w:r>
        <w:rPr>
          <w:rFonts w:ascii="Arial" w:cs="Arial" w:eastAsia="Arial" w:hAnsi="Arial"/>
          <w:sz w:val="19"/>
          <w:szCs w:val="19"/>
          <w:color w:val="auto"/>
        </w:rPr>
        <w:t>the recipient Party or any of its Affiliates (“</w:t>
      </w:r>
      <w:r>
        <w:rPr>
          <w:rFonts w:ascii="Arial" w:cs="Arial" w:eastAsia="Arial" w:hAnsi="Arial"/>
          <w:sz w:val="19"/>
          <w:szCs w:val="19"/>
          <w:b w:val="1"/>
          <w:bCs w:val="1"/>
          <w:color w:val="auto"/>
        </w:rPr>
        <w:t>Recipient Party</w:t>
      </w:r>
      <w:r>
        <w:rPr>
          <w:rFonts w:ascii="Arial" w:cs="Arial" w:eastAsia="Arial" w:hAnsi="Arial"/>
          <w:sz w:val="19"/>
          <w:szCs w:val="19"/>
          <w:color w:val="auto"/>
        </w:rPr>
        <w:t xml:space="preserve">”). Notwithstanding the foregoing, all Option Period Data and Inventions are the Confidential Information of MPAG and the terms of this Option Agreement are the Confidential Information of both Parties. The Recipient Party may only use the Confidential Information of the Disclosing Party for the purposes of this Option Agreement. Subject to the other provisions of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each Party shall hold as confidential such Confidential Information of the other Party or its Affiliates in the same manner and with the same protection as such Recipient Party maintains its own confidential information. Subject to the other provisions of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a Recipient Party may only disclose Confidential Information of the other Party to employees, agents, contractors, consultants and advisers of such Party and its Affiliates and sublicensees and to Third Parties, in each case, to the extent reasonably necessary for the purposes of, and for those matters undertaken pursuant to, this Option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such persons are bound to maintain the confidentiality of the Confidential Information in a manner consistent with the confidentiality provisions of this Option Agreement.</w:t>
      </w:r>
    </w:p>
    <w:p>
      <w:pPr>
        <w:spacing w:after="0" w:line="153" w:lineRule="exact"/>
        <w:rPr>
          <w:sz w:val="20"/>
          <w:szCs w:val="20"/>
          <w:color w:val="auto"/>
        </w:rPr>
      </w:pPr>
    </w:p>
    <w:p>
      <w:pPr>
        <w:ind w:left="500" w:hanging="647"/>
        <w:spacing w:after="0" w:line="269" w:lineRule="auto"/>
        <w:tabs>
          <w:tab w:leader="none" w:pos="4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b w:val="1"/>
          <w:bCs w:val="1"/>
          <w:color w:val="auto"/>
        </w:rPr>
        <w:t>Exceptions</w:t>
      </w:r>
      <w:r>
        <w:rPr>
          <w:rFonts w:ascii="Arial" w:cs="Arial" w:eastAsia="Arial" w:hAnsi="Arial"/>
          <w:sz w:val="22"/>
          <w:szCs w:val="22"/>
          <w:color w:val="auto"/>
        </w:rPr>
        <w:t>. The obligations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7</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apply to any information to the extent that the Recipient Party can</w:t>
      </w:r>
      <w:r>
        <w:rPr>
          <w:rFonts w:ascii="Arial" w:cs="Arial" w:eastAsia="Arial" w:hAnsi="Arial"/>
          <w:sz w:val="22"/>
          <w:szCs w:val="22"/>
          <w:b w:val="1"/>
          <w:bCs w:val="1"/>
          <w:color w:val="auto"/>
        </w:rPr>
        <w:t xml:space="preserve"> </w:t>
      </w:r>
      <w:r>
        <w:rPr>
          <w:rFonts w:ascii="Arial" w:cs="Arial" w:eastAsia="Arial" w:hAnsi="Arial"/>
          <w:sz w:val="22"/>
          <w:szCs w:val="22"/>
          <w:color w:val="auto"/>
        </w:rPr>
        <w:t>demonstrate by competent evidence that such information:</w:t>
      </w:r>
    </w:p>
    <w:p>
      <w:pPr>
        <w:spacing w:after="0" w:line="168" w:lineRule="exact"/>
        <w:rPr>
          <w:sz w:val="20"/>
          <w:szCs w:val="20"/>
          <w:color w:val="auto"/>
        </w:rPr>
      </w:pPr>
    </w:p>
    <w:p>
      <w:pPr>
        <w:ind w:left="1300" w:hanging="644"/>
        <w:spacing w:after="0" w:line="263" w:lineRule="auto"/>
        <w:tabs>
          <w:tab w:leader="none" w:pos="1205" w:val="left"/>
        </w:tabs>
        <w:numPr>
          <w:ilvl w:val="0"/>
          <w:numId w:val="651"/>
        </w:numPr>
        <w:rPr>
          <w:rFonts w:ascii="Arial" w:cs="Arial" w:eastAsia="Arial" w:hAnsi="Arial"/>
          <w:sz w:val="22"/>
          <w:szCs w:val="22"/>
          <w:color w:val="auto"/>
        </w:rPr>
      </w:pPr>
      <w:r>
        <w:rPr>
          <w:rFonts w:ascii="Arial" w:cs="Arial" w:eastAsia="Arial" w:hAnsi="Arial"/>
          <w:sz w:val="22"/>
          <w:szCs w:val="22"/>
          <w:color w:val="auto"/>
        </w:rPr>
        <w:t>is (at the time of disclosure) or becomes (after the time of disclosure) known to the public or part of the public domain through no breach of this Option Agreement by the Recipient Party;</w:t>
      </w:r>
    </w:p>
    <w:p>
      <w:pPr>
        <w:spacing w:after="0" w:line="174" w:lineRule="exact"/>
        <w:rPr>
          <w:rFonts w:ascii="Arial" w:cs="Arial" w:eastAsia="Arial" w:hAnsi="Arial"/>
          <w:sz w:val="22"/>
          <w:szCs w:val="22"/>
          <w:color w:val="auto"/>
        </w:rPr>
      </w:pPr>
    </w:p>
    <w:p>
      <w:pPr>
        <w:ind w:left="1300" w:hanging="644"/>
        <w:spacing w:after="0" w:line="263" w:lineRule="auto"/>
        <w:tabs>
          <w:tab w:leader="none" w:pos="1223" w:val="left"/>
        </w:tabs>
        <w:numPr>
          <w:ilvl w:val="0"/>
          <w:numId w:val="651"/>
        </w:numPr>
        <w:rPr>
          <w:rFonts w:ascii="Arial" w:cs="Arial" w:eastAsia="Arial" w:hAnsi="Arial"/>
          <w:sz w:val="22"/>
          <w:szCs w:val="22"/>
          <w:color w:val="auto"/>
        </w:rPr>
      </w:pPr>
      <w:r>
        <w:rPr>
          <w:rFonts w:ascii="Arial" w:cs="Arial" w:eastAsia="Arial" w:hAnsi="Arial"/>
          <w:sz w:val="22"/>
          <w:szCs w:val="22"/>
          <w:color w:val="auto"/>
        </w:rPr>
        <w:t>was known to, or was otherwise in the possession of, the Recipient Party prior to the time of disclosure by the Disclosing Party;</w:t>
      </w:r>
    </w:p>
    <w:p>
      <w:pPr>
        <w:spacing w:after="0" w:line="174" w:lineRule="exact"/>
        <w:rPr>
          <w:rFonts w:ascii="Arial" w:cs="Arial" w:eastAsia="Arial" w:hAnsi="Arial"/>
          <w:sz w:val="22"/>
          <w:szCs w:val="22"/>
          <w:color w:val="auto"/>
        </w:rPr>
      </w:pPr>
    </w:p>
    <w:p>
      <w:pPr>
        <w:ind w:left="1300" w:hanging="644"/>
        <w:spacing w:after="0" w:line="263" w:lineRule="auto"/>
        <w:tabs>
          <w:tab w:leader="none" w:pos="1132" w:val="left"/>
        </w:tabs>
        <w:numPr>
          <w:ilvl w:val="0"/>
          <w:numId w:val="651"/>
        </w:numPr>
        <w:rPr>
          <w:rFonts w:ascii="Arial" w:cs="Arial" w:eastAsia="Arial" w:hAnsi="Arial"/>
          <w:sz w:val="22"/>
          <w:szCs w:val="22"/>
          <w:color w:val="auto"/>
        </w:rPr>
      </w:pPr>
      <w:r>
        <w:rPr>
          <w:rFonts w:ascii="Arial" w:cs="Arial" w:eastAsia="Arial" w:hAnsi="Arial"/>
          <w:sz w:val="22"/>
          <w:szCs w:val="22"/>
          <w:color w:val="auto"/>
        </w:rPr>
        <w:t>is disclosed to the Recipient Party on a non-confidential basis by a Third Party who is entitled to disclose it without breaching any confidentiality obligation to the Disclosing Party; or</w:t>
      </w:r>
    </w:p>
    <w:p>
      <w:pPr>
        <w:spacing w:after="0" w:line="174" w:lineRule="exact"/>
        <w:rPr>
          <w:rFonts w:ascii="Arial" w:cs="Arial" w:eastAsia="Arial" w:hAnsi="Arial"/>
          <w:sz w:val="22"/>
          <w:szCs w:val="22"/>
          <w:color w:val="auto"/>
        </w:rPr>
      </w:pPr>
    </w:p>
    <w:p>
      <w:pPr>
        <w:ind w:left="1300" w:hanging="644"/>
        <w:spacing w:after="0" w:line="343" w:lineRule="auto"/>
        <w:tabs>
          <w:tab w:leader="none" w:pos="1230" w:val="left"/>
        </w:tabs>
        <w:numPr>
          <w:ilvl w:val="0"/>
          <w:numId w:val="651"/>
        </w:numPr>
        <w:rPr>
          <w:rFonts w:ascii="Arial" w:cs="Arial" w:eastAsia="Arial" w:hAnsi="Arial"/>
          <w:sz w:val="19"/>
          <w:szCs w:val="19"/>
          <w:color w:val="auto"/>
        </w:rPr>
      </w:pPr>
      <w:r>
        <w:rPr>
          <w:rFonts w:ascii="Arial" w:cs="Arial" w:eastAsia="Arial" w:hAnsi="Arial"/>
          <w:sz w:val="19"/>
          <w:szCs w:val="19"/>
          <w:color w:val="auto"/>
        </w:rPr>
        <w:t>is independently developed by or on behalf of the Recipient Party, as evidenced by its written records, without reference to the Confidential Information disclosed by the Disclosing Party under this Option Agreement.</w:t>
      </w:r>
    </w:p>
    <w:p>
      <w:pPr>
        <w:spacing w:after="0" w:line="104"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Specific aspects or details of Confidential Information shall not be deemed to be within the public domain or in the possession of the Recipient Party merely because the Confidential Information is embraced by more general information in the public domain or in the possession of the Recipient Party. Further, any combination of Confidential Information shall not be considered in the public domain or in the possession of the Recipient Party merely because individual elements of such Confidential Information are in the public domain or in the possession of the Recipient Party unless the combination and its principles are in the public domain or in the possession of the Recipient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2" w:right="339" w:bottom="1440" w:gutter="0" w:footer="0" w:header="0"/>
        </w:sectPr>
      </w:pPr>
    </w:p>
    <w:bookmarkStart w:id="696" w:name="page697"/>
    <w:bookmarkEnd w:id="696"/>
    <w:p>
      <w:pPr>
        <w:jc w:val="center"/>
        <w:spacing w:after="0" w:line="349"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b w:val="1"/>
          <w:bCs w:val="1"/>
          <w:color w:val="auto"/>
        </w:rPr>
        <w:t>Authorized Disclosures</w:t>
      </w:r>
      <w:r>
        <w:rPr>
          <w:rFonts w:ascii="Arial" w:cs="Arial" w:eastAsia="Arial" w:hAnsi="Arial"/>
          <w:sz w:val="19"/>
          <w:szCs w:val="19"/>
          <w:color w:val="auto"/>
        </w:rPr>
        <w:t>. Each Recipient Party may disclose Confidential Information of the Disclosing Party as expressly permitted by this Option Agreement, or if and to the extent such disclosure is necessary in the following instances:</w:t>
      </w:r>
    </w:p>
    <w:p>
      <w:pPr>
        <w:spacing w:after="0" w:line="100" w:lineRule="exact"/>
        <w:rPr>
          <w:sz w:val="20"/>
          <w:szCs w:val="20"/>
          <w:color w:val="auto"/>
        </w:rPr>
      </w:pPr>
    </w:p>
    <w:p>
      <w:pPr>
        <w:ind w:left="1120" w:hanging="464"/>
        <w:spacing w:after="0"/>
        <w:tabs>
          <w:tab w:leader="none" w:pos="1120" w:val="left"/>
        </w:tabs>
        <w:numPr>
          <w:ilvl w:val="0"/>
          <w:numId w:val="652"/>
        </w:numPr>
        <w:rPr>
          <w:rFonts w:ascii="Arial" w:cs="Arial" w:eastAsia="Arial" w:hAnsi="Arial"/>
          <w:sz w:val="22"/>
          <w:szCs w:val="22"/>
          <w:color w:val="auto"/>
        </w:rPr>
      </w:pPr>
      <w:r>
        <w:rPr>
          <w:rFonts w:ascii="Arial" w:cs="Arial" w:eastAsia="Arial" w:hAnsi="Arial"/>
          <w:sz w:val="22"/>
          <w:szCs w:val="22"/>
          <w:color w:val="auto"/>
        </w:rPr>
        <w:t>filing or prosecuting Patent Rights as permitted by this Option Agreement;</w:t>
      </w:r>
    </w:p>
    <w:p>
      <w:pPr>
        <w:spacing w:after="0" w:line="219" w:lineRule="exact"/>
        <w:rPr>
          <w:rFonts w:ascii="Arial" w:cs="Arial" w:eastAsia="Arial" w:hAnsi="Arial"/>
          <w:sz w:val="22"/>
          <w:szCs w:val="22"/>
          <w:color w:val="auto"/>
        </w:rPr>
      </w:pPr>
    </w:p>
    <w:p>
      <w:pPr>
        <w:ind w:left="1300" w:hanging="644"/>
        <w:spacing w:after="0" w:line="263" w:lineRule="auto"/>
        <w:tabs>
          <w:tab w:leader="none" w:pos="1249" w:val="left"/>
        </w:tabs>
        <w:numPr>
          <w:ilvl w:val="0"/>
          <w:numId w:val="652"/>
        </w:numPr>
        <w:rPr>
          <w:rFonts w:ascii="Arial" w:cs="Arial" w:eastAsia="Arial" w:hAnsi="Arial"/>
          <w:sz w:val="22"/>
          <w:szCs w:val="22"/>
          <w:color w:val="auto"/>
        </w:rPr>
      </w:pPr>
      <w:r>
        <w:rPr>
          <w:rFonts w:ascii="Arial" w:cs="Arial" w:eastAsia="Arial" w:hAnsi="Arial"/>
          <w:sz w:val="22"/>
          <w:szCs w:val="22"/>
          <w:color w:val="auto"/>
        </w:rPr>
        <w:t xml:space="preserve">complying with applicable court orders or Applicable Laws,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legal process, the listing rules of any exchange on which such Party’s securities are traded;</w:t>
      </w:r>
    </w:p>
    <w:p>
      <w:pPr>
        <w:spacing w:after="0" w:line="174" w:lineRule="exact"/>
        <w:rPr>
          <w:rFonts w:ascii="Arial" w:cs="Arial" w:eastAsia="Arial" w:hAnsi="Arial"/>
          <w:sz w:val="22"/>
          <w:szCs w:val="22"/>
          <w:color w:val="auto"/>
        </w:rPr>
      </w:pPr>
    </w:p>
    <w:p>
      <w:pPr>
        <w:ind w:left="1300" w:hanging="644"/>
        <w:spacing w:after="0" w:line="263" w:lineRule="auto"/>
        <w:tabs>
          <w:tab w:leader="none" w:pos="1198" w:val="left"/>
        </w:tabs>
        <w:numPr>
          <w:ilvl w:val="0"/>
          <w:numId w:val="652"/>
        </w:numPr>
        <w:rPr>
          <w:rFonts w:ascii="Arial" w:cs="Arial" w:eastAsia="Arial" w:hAnsi="Arial"/>
          <w:sz w:val="22"/>
          <w:szCs w:val="22"/>
          <w:color w:val="auto"/>
        </w:rPr>
      </w:pPr>
      <w:r>
        <w:rPr>
          <w:rFonts w:ascii="Arial" w:cs="Arial" w:eastAsia="Arial" w:hAnsi="Arial"/>
          <w:sz w:val="22"/>
          <w:szCs w:val="22"/>
          <w:color w:val="auto"/>
        </w:rPr>
        <w:t>in Regulatory Filings that the Recipient Party has the right to file, or holds, as expressly set forth in this Option Agreement;</w:t>
      </w:r>
    </w:p>
    <w:p>
      <w:pPr>
        <w:spacing w:after="0" w:line="174" w:lineRule="exact"/>
        <w:rPr>
          <w:rFonts w:ascii="Arial" w:cs="Arial" w:eastAsia="Arial" w:hAnsi="Arial"/>
          <w:sz w:val="22"/>
          <w:szCs w:val="22"/>
          <w:color w:val="auto"/>
        </w:rPr>
      </w:pPr>
    </w:p>
    <w:p>
      <w:pPr>
        <w:ind w:left="1300" w:hanging="644"/>
        <w:spacing w:after="0" w:line="248" w:lineRule="auto"/>
        <w:tabs>
          <w:tab w:leader="none" w:pos="1161" w:val="left"/>
        </w:tabs>
        <w:numPr>
          <w:ilvl w:val="0"/>
          <w:numId w:val="652"/>
        </w:numPr>
        <w:rPr>
          <w:rFonts w:ascii="Arial" w:cs="Arial" w:eastAsia="Arial" w:hAnsi="Arial"/>
          <w:sz w:val="22"/>
          <w:szCs w:val="22"/>
          <w:color w:val="auto"/>
        </w:rPr>
      </w:pPr>
      <w:r>
        <w:rPr>
          <w:rFonts w:ascii="Arial" w:cs="Arial" w:eastAsia="Arial" w:hAnsi="Arial"/>
          <w:sz w:val="22"/>
          <w:szCs w:val="22"/>
          <w:color w:val="auto"/>
        </w:rPr>
        <w:t xml:space="preserve">disclosure to the Recipient Party’s Affiliates, licensees and sublicensees, potential licensees and sublicensees, who, in each case, need to know such information in order for the Recipient Party to exercise its rights or fulfill its obligations under this Option Agreement, </w:t>
      </w:r>
      <w:r>
        <w:rPr>
          <w:rFonts w:ascii="Arial" w:cs="Arial" w:eastAsia="Arial" w:hAnsi="Arial"/>
          <w:sz w:val="22"/>
          <w:szCs w:val="22"/>
          <w:u w:val="single" w:color="auto"/>
          <w:color w:val="auto"/>
        </w:rPr>
        <w:t>provided</w:t>
      </w:r>
      <w:r>
        <w:rPr>
          <w:rFonts w:ascii="Arial" w:cs="Arial" w:eastAsia="Arial" w:hAnsi="Arial"/>
          <w:sz w:val="22"/>
          <w:szCs w:val="22"/>
          <w:color w:val="auto"/>
        </w:rPr>
        <w:t>, that such persons are bound to maintain the confidentiality of the Confidential Information in a manner consistent with the confidentiality provisions of this Option Agreement; and</w:t>
      </w:r>
    </w:p>
    <w:p>
      <w:pPr>
        <w:spacing w:after="0" w:line="191" w:lineRule="exact"/>
        <w:rPr>
          <w:rFonts w:ascii="Arial" w:cs="Arial" w:eastAsia="Arial" w:hAnsi="Arial"/>
          <w:sz w:val="22"/>
          <w:szCs w:val="22"/>
          <w:color w:val="auto"/>
        </w:rPr>
      </w:pPr>
    </w:p>
    <w:p>
      <w:pPr>
        <w:ind w:left="1300" w:hanging="644"/>
        <w:spacing w:after="0" w:line="312" w:lineRule="auto"/>
        <w:tabs>
          <w:tab w:leader="none" w:pos="1210" w:val="left"/>
        </w:tabs>
        <w:numPr>
          <w:ilvl w:val="0"/>
          <w:numId w:val="652"/>
        </w:numPr>
        <w:rPr>
          <w:rFonts w:ascii="Arial" w:cs="Arial" w:eastAsia="Arial" w:hAnsi="Arial"/>
          <w:sz w:val="19"/>
          <w:szCs w:val="19"/>
          <w:color w:val="auto"/>
        </w:rPr>
      </w:pPr>
      <w:r>
        <w:rPr>
          <w:rFonts w:ascii="Arial" w:cs="Arial" w:eastAsia="Arial" w:hAnsi="Arial"/>
          <w:sz w:val="19"/>
          <w:szCs w:val="19"/>
          <w:color w:val="auto"/>
        </w:rPr>
        <w:t>disclosure to Third Parties in connection with due diligence or similar investigations by such Third Parties, and disclosure to potential Third-Party investors in confidential financing documents, provided, in each case, that any such Third Party agrees to be bound by reasonable obligations of confidentiality and non-use.</w:t>
      </w:r>
    </w:p>
    <w:p>
      <w:pPr>
        <w:spacing w:after="0" w:line="133"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Notwithstanding the foregoing, in the event the Recipient Party is required to disclose Confidential Information of the Disclosing Party in connection with Section 8.3(b), the Recipient Party shall (a) inform the Disclosing Party as soon as reasonably practicable of the required disclosure; (b) limit the disclosure to the required purpose; and (c) at the Disclosing Party’s request and expense, assist in an attempt to object to or limit the required disclosure.</w:t>
      </w:r>
    </w:p>
    <w:p>
      <w:pPr>
        <w:spacing w:after="0" w:line="169" w:lineRule="exact"/>
        <w:rPr>
          <w:sz w:val="20"/>
          <w:szCs w:val="20"/>
          <w:color w:val="auto"/>
        </w:rPr>
      </w:pPr>
    </w:p>
    <w:p>
      <w:pPr>
        <w:jc w:val="both"/>
        <w:ind w:left="540" w:hanging="647"/>
        <w:spacing w:after="0" w:line="252" w:lineRule="auto"/>
        <w:tabs>
          <w:tab w:leader="none" w:pos="52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b w:val="1"/>
          <w:bCs w:val="1"/>
          <w:color w:val="auto"/>
        </w:rPr>
        <w:t>Return or Destruction of Confidential Information</w:t>
      </w:r>
      <w:r>
        <w:rPr>
          <w:rFonts w:ascii="Arial" w:cs="Arial" w:eastAsia="Arial" w:hAnsi="Arial"/>
          <w:sz w:val="22"/>
          <w:szCs w:val="22"/>
          <w:color w:val="auto"/>
        </w:rPr>
        <w:t>. In the event that Novartis does not exercise the Option before the</w:t>
      </w:r>
      <w:r>
        <w:rPr>
          <w:rFonts w:ascii="Arial" w:cs="Arial" w:eastAsia="Arial" w:hAnsi="Arial"/>
          <w:sz w:val="22"/>
          <w:szCs w:val="22"/>
          <w:b w:val="1"/>
          <w:bCs w:val="1"/>
          <w:color w:val="auto"/>
        </w:rPr>
        <w:t xml:space="preserve"> </w:t>
      </w:r>
      <w:r>
        <w:rPr>
          <w:rFonts w:ascii="Arial" w:cs="Arial" w:eastAsia="Arial" w:hAnsi="Arial"/>
          <w:sz w:val="22"/>
          <w:szCs w:val="22"/>
          <w:color w:val="auto"/>
        </w:rPr>
        <w:t>end of the Option Period, each Party and its Affiliates shall immediately return to the other Party or destroy any Confidential Information disclosed by the other Party or any of its Affiliates, except for [***] copy which may be retained in its confidential files for archive purposes.</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tab/>
        <w:t>TERM AND TERMINATION</w:t>
      </w:r>
    </w:p>
    <w:p>
      <w:pPr>
        <w:spacing w:after="0" w:line="220" w:lineRule="exact"/>
        <w:rPr>
          <w:sz w:val="20"/>
          <w:szCs w:val="20"/>
          <w:color w:val="auto"/>
        </w:rPr>
      </w:pPr>
    </w:p>
    <w:p>
      <w:pPr>
        <w:jc w:val="both"/>
        <w:ind w:left="580" w:hanging="647"/>
        <w:spacing w:after="0" w:line="252" w:lineRule="auto"/>
        <w:tabs>
          <w:tab w:leader="none" w:pos="56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b w:val="1"/>
          <w:bCs w:val="1"/>
          <w:color w:val="auto"/>
        </w:rPr>
        <w:t>Term</w:t>
      </w:r>
      <w:r>
        <w:rPr>
          <w:rFonts w:ascii="Arial" w:cs="Arial" w:eastAsia="Arial" w:hAnsi="Arial"/>
          <w:sz w:val="22"/>
          <w:szCs w:val="22"/>
          <w:color w:val="auto"/>
        </w:rPr>
        <w:t>. The term of this Option Agreement will commence upon the Execution Date and: (a) in the event that Novartis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delivers an Exercise Notice to MPAG before the end of the Option Period, will continue in effect until execution of the Definitive Agreements in accordance with the timeframes and requirements of </w:t>
      </w:r>
      <w:r>
        <w:rPr>
          <w:rFonts w:ascii="Arial" w:cs="Arial" w:eastAsia="Arial" w:hAnsi="Arial"/>
          <w:sz w:val="22"/>
          <w:szCs w:val="22"/>
          <w:u w:val="single" w:color="auto"/>
          <w:color w:val="auto"/>
        </w:rPr>
        <w:t>Section 2.5</w:t>
      </w:r>
      <w:r>
        <w:rPr>
          <w:rFonts w:ascii="Arial" w:cs="Arial" w:eastAsia="Arial" w:hAnsi="Arial"/>
          <w:sz w:val="22"/>
          <w:szCs w:val="22"/>
          <w:color w:val="auto"/>
        </w:rPr>
        <w:t>; and (b) in the event that Novartis does not deliver an Exercise Notice to MPAG before the end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2" w:right="339" w:bottom="1440" w:gutter="0" w:footer="0" w:header="0"/>
        </w:sectPr>
      </w:pPr>
    </w:p>
    <w:bookmarkStart w:id="697" w:name="page698"/>
    <w:bookmarkEnd w:id="697"/>
    <w:p>
      <w:pPr>
        <w:jc w:val="both"/>
        <w:ind w:left="660"/>
        <w:spacing w:after="0" w:line="261" w:lineRule="auto"/>
        <w:rPr>
          <w:sz w:val="20"/>
          <w:szCs w:val="20"/>
          <w:color w:val="auto"/>
        </w:rPr>
      </w:pPr>
      <w:r>
        <w:rPr>
          <w:rFonts w:ascii="Arial" w:cs="Arial" w:eastAsia="Arial" w:hAnsi="Arial"/>
          <w:sz w:val="21"/>
          <w:szCs w:val="21"/>
          <w:color w:val="auto"/>
        </w:rPr>
        <w:t>Period, will expire [***] of the Option Period (the “</w:t>
      </w:r>
      <w:r>
        <w:rPr>
          <w:rFonts w:ascii="Arial" w:cs="Arial" w:eastAsia="Arial" w:hAnsi="Arial"/>
          <w:sz w:val="21"/>
          <w:szCs w:val="21"/>
          <w:b w:val="1"/>
          <w:bCs w:val="1"/>
          <w:color w:val="auto"/>
        </w:rPr>
        <w:t>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notwithstanding the foregoing, the Term shall in any event expire and terminate on the date that is nine (9) months after the Execution Date (the “</w:t>
      </w:r>
      <w:r>
        <w:rPr>
          <w:rFonts w:ascii="Arial" w:cs="Arial" w:eastAsia="Arial" w:hAnsi="Arial"/>
          <w:sz w:val="21"/>
          <w:szCs w:val="21"/>
          <w:b w:val="1"/>
          <w:bCs w:val="1"/>
          <w:color w:val="auto"/>
        </w:rPr>
        <w:t>Initial Stop 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(i) Novartis, in its sole discretion, shall have the right to elect to extend the Term for one additional six (6) month period (the “</w:t>
      </w:r>
      <w:r>
        <w:rPr>
          <w:rFonts w:ascii="Arial" w:cs="Arial" w:eastAsia="Arial" w:hAnsi="Arial"/>
          <w:sz w:val="21"/>
          <w:szCs w:val="21"/>
          <w:b w:val="1"/>
          <w:bCs w:val="1"/>
          <w:color w:val="auto"/>
        </w:rPr>
        <w:t>Extended Stop Date</w:t>
      </w:r>
      <w:r>
        <w:rPr>
          <w:rFonts w:ascii="Arial" w:cs="Arial" w:eastAsia="Arial" w:hAnsi="Arial"/>
          <w:sz w:val="21"/>
          <w:szCs w:val="21"/>
          <w:color w:val="auto"/>
        </w:rPr>
        <w:t xml:space="preserve">”), upon at least [***] prior written notice to MPAG before the end of the Initial Stop Date and (ii) the Parties may mutually agree in writing to extend the Term for [***] beyond the Extended Stop Date. In the event of expiration of this Option Agreement, subject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9.6, all rights and licenses granted by a Party to the other Party hereunder shall immediately terminate.</w:t>
      </w:r>
    </w:p>
    <w:p>
      <w:pPr>
        <w:spacing w:after="0" w:line="173" w:lineRule="exact"/>
        <w:rPr>
          <w:sz w:val="20"/>
          <w:szCs w:val="20"/>
          <w:color w:val="auto"/>
        </w:rPr>
      </w:pPr>
    </w:p>
    <w:p>
      <w:pPr>
        <w:jc w:val="both"/>
        <w:ind w:left="580" w:hanging="647"/>
        <w:spacing w:after="0" w:line="298" w:lineRule="auto"/>
        <w:tabs>
          <w:tab w:leader="none" w:pos="56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Termination by Novartis on or after the Agreement Deadline</w:t>
      </w:r>
      <w:r>
        <w:rPr>
          <w:rFonts w:ascii="Arial" w:cs="Arial" w:eastAsia="Arial" w:hAnsi="Arial"/>
          <w:sz w:val="19"/>
          <w:szCs w:val="19"/>
          <w:color w:val="auto"/>
        </w:rPr>
        <w:t>. Novartis may terminate this Option Agreement on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within [***] after the Agreement Deadline immediately upon written notice to MPAG in the event the form of the Definitive Agreements have not been agreed by the Parties on or before the date of such notice where the reason for such failure to agree the Definitive Agreements is a breach by MPAG of its obligations to negotiate in good faith pursuant to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or as a result of MPAG seeking to materially amend any of the terms provided in the License Term Sheet.</w:t>
      </w:r>
    </w:p>
    <w:p>
      <w:pPr>
        <w:spacing w:after="0" w:line="142" w:lineRule="exact"/>
        <w:rPr>
          <w:sz w:val="20"/>
          <w:szCs w:val="20"/>
          <w:color w:val="auto"/>
        </w:rPr>
      </w:pPr>
    </w:p>
    <w:p>
      <w:pPr>
        <w:jc w:val="both"/>
        <w:ind w:left="580" w:hanging="647"/>
        <w:spacing w:after="0" w:line="256" w:lineRule="auto"/>
        <w:tabs>
          <w:tab w:leader="none" w:pos="56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b w:val="1"/>
          <w:bCs w:val="1"/>
          <w:color w:val="auto"/>
        </w:rPr>
        <w:t>Termination by Novartis upon a MPAG Change of Control</w:t>
      </w:r>
      <w:r>
        <w:rPr>
          <w:rFonts w:ascii="Arial" w:cs="Arial" w:eastAsia="Arial" w:hAnsi="Arial"/>
          <w:sz w:val="22"/>
          <w:szCs w:val="22"/>
          <w:color w:val="auto"/>
        </w:rPr>
        <w:t>. Novartis may terminate this Option Agreement upon a</w:t>
      </w:r>
      <w:r>
        <w:rPr>
          <w:rFonts w:ascii="Arial" w:cs="Arial" w:eastAsia="Arial" w:hAnsi="Arial"/>
          <w:sz w:val="22"/>
          <w:szCs w:val="22"/>
          <w:b w:val="1"/>
          <w:bCs w:val="1"/>
          <w:color w:val="auto"/>
        </w:rPr>
        <w:t xml:space="preserve"> </w:t>
      </w:r>
      <w:r>
        <w:rPr>
          <w:rFonts w:ascii="Arial" w:cs="Arial" w:eastAsia="Arial" w:hAnsi="Arial"/>
          <w:sz w:val="22"/>
          <w:szCs w:val="22"/>
          <w:color w:val="auto"/>
        </w:rPr>
        <w:t>Change of Control of MPAG by written notice delivered to MPAG within [***] following the consummation of such Change of Control.</w:t>
      </w:r>
    </w:p>
    <w:p>
      <w:pPr>
        <w:spacing w:after="0" w:line="176" w:lineRule="exact"/>
        <w:rPr>
          <w:sz w:val="20"/>
          <w:szCs w:val="20"/>
          <w:color w:val="auto"/>
        </w:rPr>
      </w:pPr>
    </w:p>
    <w:p>
      <w:pPr>
        <w:jc w:val="both"/>
        <w:ind w:left="500" w:hanging="647"/>
        <w:spacing w:after="0" w:line="256" w:lineRule="auto"/>
        <w:tabs>
          <w:tab w:leader="none" w:pos="4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2"/>
          <w:szCs w:val="22"/>
          <w:b w:val="1"/>
          <w:bCs w:val="1"/>
          <w:color w:val="auto"/>
        </w:rPr>
        <w:t>Termination by Novartis for a Clinical Trial Failure</w:t>
      </w:r>
      <w:r>
        <w:rPr>
          <w:rFonts w:ascii="Arial" w:cs="Arial" w:eastAsia="Arial" w:hAnsi="Arial"/>
          <w:sz w:val="22"/>
          <w:szCs w:val="22"/>
          <w:color w:val="auto"/>
        </w:rPr>
        <w:t>. Novartis may terminate this Option Agreement [***] upon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MPAG in the event any Clinical Trial is terminated or otherwise stopped prior to, or without achievement of, Successful Completion of such Clinical Trial.</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b w:val="1"/>
          <w:bCs w:val="1"/>
          <w:color w:val="auto"/>
        </w:rPr>
        <w:t>Effects of Termination</w:t>
      </w:r>
      <w:r>
        <w:rPr>
          <w:rFonts w:ascii="Arial" w:cs="Arial" w:eastAsia="Arial" w:hAnsi="Arial"/>
          <w:sz w:val="19"/>
          <w:szCs w:val="19"/>
          <w:color w:val="auto"/>
        </w:rPr>
        <w:t>. In the event of termination of this Option Agreement,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9.6</w:t>
      </w:r>
      <w:r>
        <w:rPr>
          <w:rFonts w:ascii="Arial" w:cs="Arial" w:eastAsia="Arial" w:hAnsi="Arial"/>
          <w:sz w:val="19"/>
          <w:szCs w:val="19"/>
          <w:color w:val="auto"/>
        </w:rPr>
        <w:t>:</w:t>
      </w:r>
    </w:p>
    <w:p>
      <w:pPr>
        <w:spacing w:after="0" w:line="226" w:lineRule="exact"/>
        <w:rPr>
          <w:sz w:val="20"/>
          <w:szCs w:val="20"/>
          <w:color w:val="auto"/>
        </w:rPr>
      </w:pPr>
    </w:p>
    <w:p>
      <w:pPr>
        <w:ind w:left="1300" w:right="20" w:hanging="644"/>
        <w:spacing w:after="0" w:line="343" w:lineRule="auto"/>
        <w:tabs>
          <w:tab w:leader="none" w:pos="1145" w:val="left"/>
        </w:tabs>
        <w:numPr>
          <w:ilvl w:val="0"/>
          <w:numId w:val="653"/>
        </w:numPr>
        <w:rPr>
          <w:rFonts w:ascii="Arial" w:cs="Arial" w:eastAsia="Arial" w:hAnsi="Arial"/>
          <w:sz w:val="19"/>
          <w:szCs w:val="19"/>
          <w:color w:val="auto"/>
        </w:rPr>
      </w:pPr>
      <w:r>
        <w:rPr>
          <w:rFonts w:ascii="Arial" w:cs="Arial" w:eastAsia="Arial" w:hAnsi="Arial"/>
          <w:sz w:val="19"/>
          <w:szCs w:val="19"/>
          <w:color w:val="auto"/>
        </w:rPr>
        <w:t>all rights and licenses granted by a Party to the other Party hereunder shall immediately terminate and MPAG shall be free to develop, manufacture, and commercialize the Products and grant Third Parties rights to the same;</w:t>
      </w:r>
    </w:p>
    <w:p>
      <w:pPr>
        <w:spacing w:after="0" w:line="104" w:lineRule="exact"/>
        <w:rPr>
          <w:rFonts w:ascii="Arial" w:cs="Arial" w:eastAsia="Arial" w:hAnsi="Arial"/>
          <w:sz w:val="19"/>
          <w:szCs w:val="19"/>
          <w:color w:val="auto"/>
        </w:rPr>
      </w:pPr>
    </w:p>
    <w:p>
      <w:pPr>
        <w:ind w:left="1300" w:hanging="644"/>
        <w:spacing w:after="0" w:line="302" w:lineRule="auto"/>
        <w:tabs>
          <w:tab w:leader="none" w:pos="1156" w:val="left"/>
        </w:tabs>
        <w:numPr>
          <w:ilvl w:val="0"/>
          <w:numId w:val="653"/>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9.5(d)</w:t>
      </w:r>
      <w:r>
        <w:rPr>
          <w:rFonts w:ascii="Arial" w:cs="Arial" w:eastAsia="Arial" w:hAnsi="Arial"/>
          <w:sz w:val="19"/>
          <w:szCs w:val="19"/>
          <w:color w:val="auto"/>
        </w:rPr>
        <w:t>, Novartis shall, at MPAG’s request, either promptly wind-down any ongoing development activities (including Clinical Trials) with respect to the Products in an orderly fashion or promptly transition such activities to MPAG or its designee, in each case, at Novartis’s sole cost and expense and with due regard for patient safety and in compliance with all Applicable Laws and international guidelines;</w:t>
      </w:r>
    </w:p>
    <w:p>
      <w:pPr>
        <w:spacing w:after="0" w:line="142" w:lineRule="exact"/>
        <w:rPr>
          <w:rFonts w:ascii="Arial" w:cs="Arial" w:eastAsia="Arial" w:hAnsi="Arial"/>
          <w:sz w:val="19"/>
          <w:szCs w:val="19"/>
          <w:color w:val="auto"/>
        </w:rPr>
      </w:pPr>
    </w:p>
    <w:p>
      <w:pPr>
        <w:ind w:left="1300" w:hanging="644"/>
        <w:spacing w:after="0" w:line="253" w:lineRule="auto"/>
        <w:tabs>
          <w:tab w:leader="none" w:pos="1154" w:val="left"/>
        </w:tabs>
        <w:numPr>
          <w:ilvl w:val="0"/>
          <w:numId w:val="653"/>
        </w:numPr>
        <w:rPr>
          <w:rFonts w:ascii="Arial" w:cs="Arial" w:eastAsia="Arial" w:hAnsi="Arial"/>
          <w:sz w:val="22"/>
          <w:szCs w:val="22"/>
          <w:color w:val="auto"/>
        </w:rPr>
      </w:pPr>
      <w:r>
        <w:rPr>
          <w:rFonts w:ascii="Arial" w:cs="Arial" w:eastAsia="Arial" w:hAnsi="Arial"/>
          <w:sz w:val="22"/>
          <w:szCs w:val="22"/>
          <w:color w:val="auto"/>
        </w:rPr>
        <w:t>Novartis shall, at MPAG’s request, assign to Novartis or its designee those clinical trial agreements with respect to the Products identified by MPAG in its request (or to the extent not so assignable, take all reasonable actions to make available to MPAG or its designee the benefits of such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2" w:right="339" w:bottom="1440" w:gutter="0" w:footer="0" w:header="0"/>
        </w:sectPr>
      </w:pPr>
    </w:p>
    <w:bookmarkStart w:id="698" w:name="page699"/>
    <w:bookmarkEnd w:id="698"/>
    <w:p>
      <w:pPr>
        <w:ind w:left="1300" w:hanging="644"/>
        <w:spacing w:after="0" w:line="248" w:lineRule="auto"/>
        <w:tabs>
          <w:tab w:leader="none" w:pos="1146" w:val="left"/>
        </w:tabs>
        <w:numPr>
          <w:ilvl w:val="0"/>
          <w:numId w:val="654"/>
        </w:numPr>
        <w:rPr>
          <w:rFonts w:ascii="Arial" w:cs="Arial" w:eastAsia="Arial" w:hAnsi="Arial"/>
          <w:sz w:val="22"/>
          <w:szCs w:val="22"/>
          <w:color w:val="auto"/>
        </w:rPr>
      </w:pPr>
      <w:r>
        <w:rPr>
          <w:rFonts w:ascii="Arial" w:cs="Arial" w:eastAsia="Arial" w:hAnsi="Arial"/>
          <w:sz w:val="22"/>
          <w:szCs w:val="22"/>
          <w:color w:val="auto"/>
        </w:rPr>
        <w:t xml:space="preserve">if the Phase 2 (I.V.) Trial is ongoing at the time of such termination, then, unless terminated pursuant to </w:t>
      </w:r>
      <w:r>
        <w:rPr>
          <w:rFonts w:ascii="Arial" w:cs="Arial" w:eastAsia="Arial" w:hAnsi="Arial"/>
          <w:sz w:val="22"/>
          <w:szCs w:val="22"/>
          <w:u w:val="single" w:color="auto"/>
          <w:color w:val="auto"/>
        </w:rPr>
        <w:t>Section 9.4</w:t>
      </w:r>
      <w:r>
        <w:rPr>
          <w:rFonts w:ascii="Arial" w:cs="Arial" w:eastAsia="Arial" w:hAnsi="Arial"/>
          <w:sz w:val="22"/>
          <w:szCs w:val="22"/>
          <w:color w:val="auto"/>
        </w:rPr>
        <w:t xml:space="preserve"> following instruction from a Regulatory Authority or applicable IRB, Novartis shall, at MPAG’s request, either complete such Phase 2 (I.V.) Trial or promptly transition such Phase 2 (I.V.) Trial to MPAG or its designee, in each case at Novartis’s sole cost and expense and with due regard for patient safety and in compliance with all Applicable Laws and international guidelines; and</w:t>
      </w:r>
    </w:p>
    <w:p>
      <w:pPr>
        <w:spacing w:after="0" w:line="191" w:lineRule="exact"/>
        <w:rPr>
          <w:rFonts w:ascii="Arial" w:cs="Arial" w:eastAsia="Arial" w:hAnsi="Arial"/>
          <w:sz w:val="22"/>
          <w:szCs w:val="22"/>
          <w:color w:val="auto"/>
        </w:rPr>
      </w:pPr>
    </w:p>
    <w:p>
      <w:pPr>
        <w:ind w:left="1300" w:hanging="644"/>
        <w:spacing w:after="0" w:line="248" w:lineRule="auto"/>
        <w:tabs>
          <w:tab w:leader="none" w:pos="1198" w:val="left"/>
        </w:tabs>
        <w:numPr>
          <w:ilvl w:val="0"/>
          <w:numId w:val="654"/>
        </w:numPr>
        <w:rPr>
          <w:rFonts w:ascii="Arial" w:cs="Arial" w:eastAsia="Arial" w:hAnsi="Arial"/>
          <w:sz w:val="22"/>
          <w:szCs w:val="22"/>
          <w:color w:val="auto"/>
        </w:rPr>
      </w:pPr>
      <w:r>
        <w:rPr>
          <w:rFonts w:ascii="Arial" w:cs="Arial" w:eastAsia="Arial" w:hAnsi="Arial"/>
          <w:sz w:val="22"/>
          <w:szCs w:val="22"/>
          <w:color w:val="auto"/>
        </w:rPr>
        <w:t>as requested by MPAG and unless otherwise provided by the Contract Manufacturing Agreement, Novartis shall reasonably cooperate with MPAG to transition and transfer to MPAG all materials, data, information, Third Party agreements, inventory and other items (including with respect to formulation development and manufacturing) that are necessary or reasonably useful for MPAG to continue the development, manufacture, and commercialization of Products.</w:t>
      </w:r>
    </w:p>
    <w:p>
      <w:pPr>
        <w:spacing w:after="0" w:line="186" w:lineRule="exact"/>
        <w:rPr>
          <w:sz w:val="20"/>
          <w:szCs w:val="20"/>
          <w:color w:val="auto"/>
        </w:rPr>
      </w:pPr>
    </w:p>
    <w:p>
      <w:pPr>
        <w:jc w:val="both"/>
        <w:ind w:left="520" w:hanging="647"/>
        <w:spacing w:after="0" w:line="248" w:lineRule="auto"/>
        <w:tabs>
          <w:tab w:leader="none" w:pos="50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2"/>
          <w:szCs w:val="22"/>
          <w:b w:val="1"/>
          <w:bCs w:val="1"/>
          <w:color w:val="auto"/>
        </w:rPr>
        <w:t>Survival</w:t>
      </w:r>
      <w:r>
        <w:rPr>
          <w:rFonts w:ascii="Arial" w:cs="Arial" w:eastAsia="Arial" w:hAnsi="Arial"/>
          <w:sz w:val="22"/>
          <w:szCs w:val="22"/>
          <w:color w:val="auto"/>
        </w:rPr>
        <w:t>. Expiration or termination of this Option Agreement shall not relieve the Parties of any obligation accruing prior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such expiration or termination. The provisions of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(Confidentiality) shall survive the expiration or termination of this Option Agreement for a period of [***]. </w:t>
      </w:r>
      <w:r>
        <w:rPr>
          <w:rFonts w:ascii="Arial" w:cs="Arial" w:eastAsia="Arial" w:hAnsi="Arial"/>
          <w:sz w:val="22"/>
          <w:szCs w:val="22"/>
          <w:u w:val="single" w:color="auto"/>
          <w:color w:val="auto"/>
        </w:rPr>
        <w:t>Article 1</w:t>
      </w:r>
      <w:r>
        <w:rPr>
          <w:rFonts w:ascii="Arial" w:cs="Arial" w:eastAsia="Arial" w:hAnsi="Arial"/>
          <w:sz w:val="22"/>
          <w:szCs w:val="22"/>
          <w:color w:val="auto"/>
        </w:rPr>
        <w:t xml:space="preserve"> (to the extent the definitions are used in other surviving provisions),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9.5</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13</w:t>
      </w:r>
      <w:r>
        <w:rPr>
          <w:rFonts w:ascii="Arial" w:cs="Arial" w:eastAsia="Arial" w:hAnsi="Arial"/>
          <w:sz w:val="22"/>
          <w:szCs w:val="22"/>
          <w:color w:val="auto"/>
        </w:rPr>
        <w:t xml:space="preserve"> of this Option Agreement shall survive the termination or expiration of this Option Agreement for any reason.</w:t>
      </w:r>
    </w:p>
    <w:p>
      <w:pPr>
        <w:spacing w:after="0" w:line="187" w:lineRule="exact"/>
        <w:rPr>
          <w:sz w:val="20"/>
          <w:szCs w:val="20"/>
          <w:color w:val="auto"/>
        </w:rPr>
      </w:pPr>
    </w:p>
    <w:p>
      <w:pPr>
        <w:ind w:left="500" w:hanging="492"/>
        <w:spacing w:after="0"/>
        <w:tabs>
          <w:tab w:leader="none" w:pos="500" w:val="left"/>
        </w:tabs>
        <w:numPr>
          <w:ilvl w:val="0"/>
          <w:numId w:val="655"/>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 COVENANTS</w:t>
      </w:r>
    </w:p>
    <w:p>
      <w:pPr>
        <w:spacing w:after="0" w:line="220"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1"/>
          <w:szCs w:val="21"/>
          <w:b w:val="1"/>
          <w:bCs w:val="1"/>
          <w:color w:val="auto"/>
        </w:rPr>
        <w:t>Representations and Warranties by Each Party</w:t>
      </w:r>
      <w:r>
        <w:rPr>
          <w:rFonts w:ascii="Arial" w:cs="Arial" w:eastAsia="Arial" w:hAnsi="Arial"/>
          <w:sz w:val="21"/>
          <w:szCs w:val="21"/>
          <w:color w:val="auto"/>
        </w:rPr>
        <w:t>. Each Party represents and warrants to the other Party,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Execution Date, and, in addition, MPAG represents and warrants to Novartis, as of the date of the exercise notice in accordance of </w:t>
      </w:r>
      <w:r>
        <w:rPr>
          <w:rFonts w:ascii="Arial" w:cs="Arial" w:eastAsia="Arial" w:hAnsi="Arial"/>
          <w:sz w:val="21"/>
          <w:szCs w:val="21"/>
          <w:u w:val="single" w:color="auto"/>
          <w:color w:val="auto"/>
        </w:rPr>
        <w:t>Exhibit 3.2(a)</w:t>
      </w:r>
      <w:r>
        <w:rPr>
          <w:rFonts w:ascii="Arial" w:cs="Arial" w:eastAsia="Arial" w:hAnsi="Arial"/>
          <w:sz w:val="21"/>
          <w:szCs w:val="21"/>
          <w:color w:val="auto"/>
        </w:rPr>
        <w:t xml:space="preserve"> and the date of the transfer of the Equity Investment Shares, that:</w:t>
      </w:r>
    </w:p>
    <w:p>
      <w:pPr>
        <w:spacing w:after="0" w:line="164" w:lineRule="exact"/>
        <w:rPr>
          <w:sz w:val="20"/>
          <w:szCs w:val="20"/>
          <w:color w:val="auto"/>
        </w:rPr>
      </w:pPr>
    </w:p>
    <w:p>
      <w:pPr>
        <w:ind w:left="1300" w:right="20" w:hanging="644"/>
        <w:spacing w:after="0" w:line="263" w:lineRule="auto"/>
        <w:tabs>
          <w:tab w:leader="none" w:pos="1257" w:val="left"/>
        </w:tabs>
        <w:numPr>
          <w:ilvl w:val="0"/>
          <w:numId w:val="656"/>
        </w:numPr>
        <w:rPr>
          <w:rFonts w:ascii="Arial" w:cs="Arial" w:eastAsia="Arial" w:hAnsi="Arial"/>
          <w:sz w:val="22"/>
          <w:szCs w:val="22"/>
          <w:color w:val="auto"/>
        </w:rPr>
      </w:pPr>
      <w:r>
        <w:rPr>
          <w:rFonts w:ascii="Arial" w:cs="Arial" w:eastAsia="Arial" w:hAnsi="Arial"/>
          <w:sz w:val="22"/>
          <w:szCs w:val="22"/>
          <w:color w:val="auto"/>
        </w:rPr>
        <w:t>it is a corporation duly organized, validly existing, and in good standing under the laws of its jurisdiction of formation;</w:t>
      </w:r>
    </w:p>
    <w:p>
      <w:pPr>
        <w:spacing w:after="0" w:line="174" w:lineRule="exact"/>
        <w:rPr>
          <w:rFonts w:ascii="Arial" w:cs="Arial" w:eastAsia="Arial" w:hAnsi="Arial"/>
          <w:sz w:val="22"/>
          <w:szCs w:val="22"/>
          <w:color w:val="auto"/>
        </w:rPr>
      </w:pPr>
    </w:p>
    <w:p>
      <w:pPr>
        <w:ind w:left="1300" w:hanging="644"/>
        <w:spacing w:after="0" w:line="312" w:lineRule="auto"/>
        <w:tabs>
          <w:tab w:leader="none" w:pos="1164" w:val="left"/>
        </w:tabs>
        <w:numPr>
          <w:ilvl w:val="0"/>
          <w:numId w:val="656"/>
        </w:numPr>
        <w:rPr>
          <w:rFonts w:ascii="Arial" w:cs="Arial" w:eastAsia="Arial" w:hAnsi="Arial"/>
          <w:sz w:val="19"/>
          <w:szCs w:val="19"/>
          <w:color w:val="auto"/>
        </w:rPr>
      </w:pPr>
      <w:r>
        <w:rPr>
          <w:rFonts w:ascii="Arial" w:cs="Arial" w:eastAsia="Arial" w:hAnsi="Arial"/>
          <w:sz w:val="19"/>
          <w:szCs w:val="19"/>
          <w:color w:val="auto"/>
        </w:rPr>
        <w:t>it has full corporate power and authority to execute, deliver, and perform this Option Agreement, and has taken all corporate action required by law and its organizational documents to authorize the execution and delivery of this Option Agreement and the consummation of the transactions contemplated by this Option Agreement;</w:t>
      </w:r>
    </w:p>
    <w:p>
      <w:pPr>
        <w:spacing w:after="0" w:line="133" w:lineRule="exact"/>
        <w:rPr>
          <w:rFonts w:ascii="Arial" w:cs="Arial" w:eastAsia="Arial" w:hAnsi="Arial"/>
          <w:sz w:val="19"/>
          <w:szCs w:val="19"/>
          <w:color w:val="auto"/>
        </w:rPr>
      </w:pPr>
    </w:p>
    <w:p>
      <w:pPr>
        <w:ind w:left="1120" w:hanging="464"/>
        <w:spacing w:after="0"/>
        <w:tabs>
          <w:tab w:leader="none" w:pos="1120" w:val="left"/>
        </w:tabs>
        <w:numPr>
          <w:ilvl w:val="0"/>
          <w:numId w:val="656"/>
        </w:numPr>
        <w:rPr>
          <w:rFonts w:ascii="Arial" w:cs="Arial" w:eastAsia="Arial" w:hAnsi="Arial"/>
          <w:sz w:val="19"/>
          <w:szCs w:val="19"/>
          <w:color w:val="auto"/>
        </w:rPr>
      </w:pPr>
      <w:r>
        <w:rPr>
          <w:rFonts w:ascii="Arial" w:cs="Arial" w:eastAsia="Arial" w:hAnsi="Arial"/>
          <w:sz w:val="19"/>
          <w:szCs w:val="19"/>
          <w:color w:val="auto"/>
        </w:rPr>
        <w:t>this Option Agreement constitutes a valid and binding agreement enforceable against it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699" w:name="page700"/>
    <w:bookmarkEnd w:id="699"/>
    <w:p>
      <w:pPr>
        <w:ind w:left="1300" w:hanging="644"/>
        <w:spacing w:after="0" w:line="287" w:lineRule="auto"/>
        <w:tabs>
          <w:tab w:leader="none" w:pos="1202" w:val="left"/>
        </w:tabs>
        <w:numPr>
          <w:ilvl w:val="0"/>
          <w:numId w:val="657"/>
        </w:numPr>
        <w:rPr>
          <w:rFonts w:ascii="Arial" w:cs="Arial" w:eastAsia="Arial" w:hAnsi="Arial"/>
          <w:sz w:val="21"/>
          <w:szCs w:val="21"/>
          <w:color w:val="auto"/>
        </w:rPr>
      </w:pPr>
      <w:r>
        <w:rPr>
          <w:rFonts w:ascii="Arial" w:cs="Arial" w:eastAsia="Arial" w:hAnsi="Arial"/>
          <w:sz w:val="21"/>
          <w:szCs w:val="21"/>
          <w:color w:val="auto"/>
        </w:rPr>
        <w:t>all consents, approvals and authorizations from all governmental authorities or other Third Parties required to be obtained by such Party in connection with this Option Agreement have been obtained; and</w:t>
      </w:r>
    </w:p>
    <w:p>
      <w:pPr>
        <w:spacing w:after="0" w:line="151" w:lineRule="exact"/>
        <w:rPr>
          <w:rFonts w:ascii="Arial" w:cs="Arial" w:eastAsia="Arial" w:hAnsi="Arial"/>
          <w:sz w:val="21"/>
          <w:szCs w:val="21"/>
          <w:color w:val="auto"/>
        </w:rPr>
      </w:pPr>
    </w:p>
    <w:p>
      <w:pPr>
        <w:jc w:val="both"/>
        <w:ind w:left="1300" w:hanging="644"/>
        <w:spacing w:after="0" w:line="265" w:lineRule="auto"/>
        <w:tabs>
          <w:tab w:leader="none" w:pos="1262" w:val="left"/>
        </w:tabs>
        <w:numPr>
          <w:ilvl w:val="0"/>
          <w:numId w:val="657"/>
        </w:numPr>
        <w:rPr>
          <w:rFonts w:ascii="Arial" w:cs="Arial" w:eastAsia="Arial" w:hAnsi="Arial"/>
          <w:sz w:val="21"/>
          <w:szCs w:val="21"/>
          <w:color w:val="auto"/>
        </w:rPr>
      </w:pPr>
      <w:r>
        <w:rPr>
          <w:rFonts w:ascii="Arial" w:cs="Arial" w:eastAsia="Arial" w:hAnsi="Arial"/>
          <w:sz w:val="21"/>
          <w:szCs w:val="21"/>
          <w:color w:val="auto"/>
        </w:rPr>
        <w:t>the execution and delivery of this Option Agreement and all other instruments and documents required to be executed pursuant to this Option Agreement, and the consummation of the transactions contemplated hereby, do not and shall not: (i) conflict with or result in a breach of any provision of its organizational documents; (ii) result in a breach of any other agreement to which it is a party; or (iii) violate any law.</w:t>
      </w:r>
    </w:p>
    <w:p>
      <w:pPr>
        <w:spacing w:after="0" w:line="169" w:lineRule="exact"/>
        <w:rPr>
          <w:sz w:val="20"/>
          <w:szCs w:val="20"/>
          <w:color w:val="auto"/>
        </w:rPr>
      </w:pPr>
    </w:p>
    <w:p>
      <w:pPr>
        <w:jc w:val="both"/>
        <w:ind w:left="620" w:hanging="647"/>
        <w:spacing w:after="0" w:line="315" w:lineRule="auto"/>
        <w:tabs>
          <w:tab w:leader="none" w:pos="6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color w:val="auto"/>
        </w:rPr>
        <w:t>Representations and Warranties by MPAG</w:t>
      </w:r>
      <w:r>
        <w:rPr>
          <w:rFonts w:ascii="Arial" w:cs="Arial" w:eastAsia="Arial" w:hAnsi="Arial"/>
          <w:sz w:val="19"/>
          <w:szCs w:val="19"/>
          <w:color w:val="auto"/>
        </w:rPr>
        <w:t>. Except as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10.2</w:t>
      </w:r>
      <w:r>
        <w:rPr>
          <w:rFonts w:ascii="Arial" w:cs="Arial" w:eastAsia="Arial" w:hAnsi="Arial"/>
          <w:sz w:val="19"/>
          <w:szCs w:val="19"/>
          <w:b w:val="1"/>
          <w:bCs w:val="1"/>
          <w:color w:val="auto"/>
        </w:rPr>
        <w:t xml:space="preserve"> </w:t>
      </w:r>
      <w:r>
        <w:rPr>
          <w:rFonts w:ascii="Arial" w:cs="Arial" w:eastAsia="Arial" w:hAnsi="Arial"/>
          <w:sz w:val="19"/>
          <w:szCs w:val="19"/>
          <w:color w:val="auto"/>
        </w:rPr>
        <w:t>hereto, MPAG represents and warrants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Novartis, as of the Execution Date, and in case of </w:t>
      </w:r>
      <w:r>
        <w:rPr>
          <w:rFonts w:ascii="Arial" w:cs="Arial" w:eastAsia="Arial" w:hAnsi="Arial"/>
          <w:sz w:val="19"/>
          <w:szCs w:val="19"/>
          <w:u w:val="single" w:color="auto"/>
          <w:color w:val="auto"/>
        </w:rPr>
        <w:t>Sections 10.2(h(</w:t>
      </w:r>
      <w:r>
        <w:rPr>
          <w:rFonts w:ascii="Arial" w:cs="Arial" w:eastAsia="Arial" w:hAnsi="Arial"/>
          <w:sz w:val="19"/>
          <w:szCs w:val="19"/>
          <w:color w:val="auto"/>
        </w:rPr>
        <w:t xml:space="preserve"> — </w:t>
      </w:r>
      <w:r>
        <w:rPr>
          <w:rFonts w:ascii="Arial" w:cs="Arial" w:eastAsia="Arial" w:hAnsi="Arial"/>
          <w:sz w:val="19"/>
          <w:szCs w:val="19"/>
          <w:u w:val="single" w:color="auto"/>
          <w:color w:val="auto"/>
        </w:rPr>
        <w:t>10.2(o(</w:t>
      </w:r>
      <w:r>
        <w:rPr>
          <w:rFonts w:ascii="Arial" w:cs="Arial" w:eastAsia="Arial" w:hAnsi="Arial"/>
          <w:sz w:val="19"/>
          <w:szCs w:val="19"/>
          <w:color w:val="auto"/>
        </w:rPr>
        <w:t>, as of the date of the exercise notice in accordance of Exhibit 3.2(a) and the date of the transfer of the Equity Investment Shares, to Novartis, that:</w:t>
      </w:r>
    </w:p>
    <w:p>
      <w:pPr>
        <w:spacing w:after="0" w:line="131" w:lineRule="exact"/>
        <w:rPr>
          <w:sz w:val="20"/>
          <w:szCs w:val="20"/>
          <w:color w:val="auto"/>
        </w:rPr>
      </w:pPr>
    </w:p>
    <w:p>
      <w:pPr>
        <w:ind w:left="1300" w:hanging="644"/>
        <w:spacing w:after="0" w:line="250" w:lineRule="auto"/>
        <w:tabs>
          <w:tab w:leader="none" w:pos="1164" w:val="left"/>
        </w:tabs>
        <w:numPr>
          <w:ilvl w:val="0"/>
          <w:numId w:val="658"/>
        </w:numPr>
        <w:rPr>
          <w:rFonts w:ascii="Arial" w:cs="Arial" w:eastAsia="Arial" w:hAnsi="Arial"/>
          <w:sz w:val="22"/>
          <w:szCs w:val="22"/>
          <w:color w:val="auto"/>
        </w:rPr>
      </w:pPr>
      <w:r>
        <w:rPr>
          <w:rFonts w:ascii="Arial" w:cs="Arial" w:eastAsia="Arial" w:hAnsi="Arial"/>
          <w:sz w:val="22"/>
          <w:szCs w:val="22"/>
          <w:color w:val="auto"/>
        </w:rPr>
        <w:t>MPAG has the right to grant to Novartis the rights that MPAG purports to grant Novartis hereunder, including the right to grant (i) exclusive licenses to the Products under the MPAG Products Patents and MPAG Products Know-How and (ii) non-exclusive licenses to the Products under the MPAG Platform Patents and MPAG Platform Know-How;</w:t>
      </w:r>
    </w:p>
    <w:p>
      <w:pPr>
        <w:spacing w:after="0" w:line="187" w:lineRule="exact"/>
        <w:rPr>
          <w:rFonts w:ascii="Arial" w:cs="Arial" w:eastAsia="Arial" w:hAnsi="Arial"/>
          <w:sz w:val="22"/>
          <w:szCs w:val="22"/>
          <w:color w:val="auto"/>
        </w:rPr>
      </w:pPr>
    </w:p>
    <w:p>
      <w:pPr>
        <w:ind w:left="1120" w:hanging="464"/>
        <w:spacing w:after="0"/>
        <w:tabs>
          <w:tab w:leader="none" w:pos="1120" w:val="left"/>
        </w:tabs>
        <w:numPr>
          <w:ilvl w:val="0"/>
          <w:numId w:val="658"/>
        </w:numPr>
        <w:rPr>
          <w:rFonts w:ascii="Arial" w:cs="Arial" w:eastAsia="Arial" w:hAnsi="Arial"/>
          <w:sz w:val="22"/>
          <w:szCs w:val="22"/>
          <w:color w:val="auto"/>
        </w:rPr>
      </w:pPr>
      <w:r>
        <w:rPr>
          <w:rFonts w:ascii="Arial" w:cs="Arial" w:eastAsia="Arial" w:hAnsi="Arial"/>
          <w:sz w:val="22"/>
          <w:szCs w:val="22"/>
          <w:color w:val="auto"/>
        </w:rPr>
        <w:t>MPAG has not granted to any Third Party any rights to the Products;</w:t>
      </w:r>
    </w:p>
    <w:p>
      <w:pPr>
        <w:spacing w:after="0" w:line="219" w:lineRule="exact"/>
        <w:rPr>
          <w:rFonts w:ascii="Arial" w:cs="Arial" w:eastAsia="Arial" w:hAnsi="Arial"/>
          <w:sz w:val="22"/>
          <w:szCs w:val="22"/>
          <w:color w:val="auto"/>
        </w:rPr>
      </w:pPr>
    </w:p>
    <w:p>
      <w:pPr>
        <w:ind w:left="1300" w:hanging="644"/>
        <w:spacing w:after="0" w:line="297" w:lineRule="auto"/>
        <w:tabs>
          <w:tab w:leader="none" w:pos="1121" w:val="left"/>
        </w:tabs>
        <w:numPr>
          <w:ilvl w:val="0"/>
          <w:numId w:val="658"/>
        </w:numPr>
        <w:rPr>
          <w:rFonts w:ascii="Arial" w:cs="Arial" w:eastAsia="Arial" w:hAnsi="Arial"/>
          <w:sz w:val="19"/>
          <w:szCs w:val="19"/>
          <w:color w:val="auto"/>
        </w:rPr>
      </w:pPr>
      <w:r>
        <w:rPr>
          <w:rFonts w:ascii="Arial" w:cs="Arial" w:eastAsia="Arial" w:hAnsi="Arial"/>
          <w:sz w:val="19"/>
          <w:szCs w:val="19"/>
          <w:color w:val="auto"/>
        </w:rPr>
        <w:t>MPAG has not granted any Third Party rights that would interfere or be materially inconsistent with Novartis’ rights hereunder, and there are no agreements or other arrangements to which MPAG or any of its Affiliates is a party relating to the Product, MPAG Patents, or MPAG Know-How that would limit the rights granted to Novartis under this Option Agreement or that materially restrict or will result in a restriction on Novartis’ ability to research, develop, make, have made, use, import, offer for sale, sell, have sold and otherwise commercialize the Products;</w:t>
      </w:r>
    </w:p>
    <w:p>
      <w:pPr>
        <w:spacing w:after="0" w:line="146" w:lineRule="exact"/>
        <w:rPr>
          <w:rFonts w:ascii="Arial" w:cs="Arial" w:eastAsia="Arial" w:hAnsi="Arial"/>
          <w:sz w:val="19"/>
          <w:szCs w:val="19"/>
          <w:color w:val="auto"/>
        </w:rPr>
      </w:pPr>
    </w:p>
    <w:p>
      <w:pPr>
        <w:ind w:left="1300" w:hanging="644"/>
        <w:spacing w:after="0" w:line="250" w:lineRule="auto"/>
        <w:tabs>
          <w:tab w:leader="none" w:pos="1197" w:val="left"/>
        </w:tabs>
        <w:numPr>
          <w:ilvl w:val="0"/>
          <w:numId w:val="658"/>
        </w:numPr>
        <w:rPr>
          <w:rFonts w:ascii="Arial" w:cs="Arial" w:eastAsia="Arial" w:hAnsi="Arial"/>
          <w:sz w:val="22"/>
          <w:szCs w:val="22"/>
          <w:color w:val="auto"/>
        </w:rPr>
      </w:pPr>
      <w:r>
        <w:rPr>
          <w:rFonts w:ascii="Arial" w:cs="Arial" w:eastAsia="Arial" w:hAnsi="Arial"/>
          <w:sz w:val="22"/>
          <w:szCs w:val="22"/>
          <w:color w:val="auto"/>
        </w:rPr>
        <w:t>no claims, challenges, oppositions, nullity actions, interferences, inter-partes reexaminations, inter-partes reviews, post-grant reviews, derivation proceedings or other proceedings are pending or, to MPAG’s knowledge, have been threatened as to the issued patents in the MPAG Patents, and, to MPAG’s knowledge, the issued patents in the MPAG Patents are valid and enforceable;</w:t>
      </w:r>
    </w:p>
    <w:p>
      <w:pPr>
        <w:spacing w:after="0" w:line="187" w:lineRule="exact"/>
        <w:rPr>
          <w:rFonts w:ascii="Arial" w:cs="Arial" w:eastAsia="Arial" w:hAnsi="Arial"/>
          <w:sz w:val="22"/>
          <w:szCs w:val="22"/>
          <w:color w:val="auto"/>
        </w:rPr>
      </w:pPr>
    </w:p>
    <w:p>
      <w:pPr>
        <w:ind w:left="1300" w:right="20" w:hanging="644"/>
        <w:spacing w:after="0" w:line="263" w:lineRule="auto"/>
        <w:tabs>
          <w:tab w:leader="none" w:pos="1232" w:val="left"/>
        </w:tabs>
        <w:numPr>
          <w:ilvl w:val="0"/>
          <w:numId w:val="658"/>
        </w:numPr>
        <w:rPr>
          <w:rFonts w:ascii="Arial" w:cs="Arial" w:eastAsia="Arial" w:hAnsi="Arial"/>
          <w:sz w:val="22"/>
          <w:szCs w:val="22"/>
          <w:color w:val="auto"/>
        </w:rPr>
      </w:pPr>
      <w:r>
        <w:rPr>
          <w:rFonts w:ascii="Arial" w:cs="Arial" w:eastAsia="Arial" w:hAnsi="Arial"/>
          <w:sz w:val="22"/>
          <w:szCs w:val="22"/>
          <w:color w:val="auto"/>
        </w:rPr>
        <w:t>neither MPAG nor any of its Affiliates has received any written Claim alleging that any of the Products IP or Platform IP is invalid or unenforceable;</w:t>
      </w:r>
    </w:p>
    <w:p>
      <w:pPr>
        <w:spacing w:after="0" w:line="174" w:lineRule="exact"/>
        <w:rPr>
          <w:rFonts w:ascii="Arial" w:cs="Arial" w:eastAsia="Arial" w:hAnsi="Arial"/>
          <w:sz w:val="22"/>
          <w:szCs w:val="22"/>
          <w:color w:val="auto"/>
        </w:rPr>
      </w:pPr>
    </w:p>
    <w:p>
      <w:pPr>
        <w:ind w:left="1300" w:hanging="644"/>
        <w:spacing w:after="0" w:line="271" w:lineRule="auto"/>
        <w:tabs>
          <w:tab w:leader="none" w:pos="1098" w:val="left"/>
        </w:tabs>
        <w:numPr>
          <w:ilvl w:val="0"/>
          <w:numId w:val="658"/>
        </w:numPr>
        <w:rPr>
          <w:rFonts w:ascii="Arial" w:cs="Arial" w:eastAsia="Arial" w:hAnsi="Arial"/>
          <w:sz w:val="21"/>
          <w:szCs w:val="21"/>
          <w:color w:val="auto"/>
        </w:rPr>
      </w:pPr>
      <w:r>
        <w:rPr>
          <w:rFonts w:ascii="Arial" w:cs="Arial" w:eastAsia="Arial" w:hAnsi="Arial"/>
          <w:sz w:val="21"/>
          <w:szCs w:val="21"/>
          <w:color w:val="auto"/>
        </w:rPr>
        <w:t>(i) neither MPAG nor any employee, to the knowledge of MPAG, agent or subcontractor of MPAG involved or to be involved in the development of the Product has been debarred under Section 306(a) or 306(b) of the FDCA; (ii) no person who is known by MPAG to have been debarred under Section 306(a)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700" w:name="page701"/>
    <w:bookmarkEnd w:id="700"/>
    <w:p>
      <w:pPr>
        <w:jc w:val="both"/>
        <w:ind w:left="644"/>
        <w:spacing w:after="0" w:line="250" w:lineRule="auto"/>
        <w:rPr>
          <w:sz w:val="20"/>
          <w:szCs w:val="20"/>
          <w:color w:val="auto"/>
        </w:rPr>
      </w:pPr>
      <w:r>
        <w:rPr>
          <w:rFonts w:ascii="Arial" w:cs="Arial" w:eastAsia="Arial" w:hAnsi="Arial"/>
          <w:sz w:val="22"/>
          <w:szCs w:val="22"/>
          <w:color w:val="auto"/>
        </w:rPr>
        <w:t>306(b) of the FDCA will be employed by MPAG in the performance of any activities hereunder; and (iii) to the knowledge of MPAG, no person on any of the FDA clinical investigator enforcement lists (including the (1) Disqualified/Totally Restricted List, (2) Restricted List and (3) Adequate Assurances List) will participate in the performance of any activities hereunder;</w:t>
      </w:r>
    </w:p>
    <w:p>
      <w:pPr>
        <w:spacing w:after="0" w:line="188" w:lineRule="exact"/>
        <w:rPr>
          <w:sz w:val="20"/>
          <w:szCs w:val="20"/>
          <w:color w:val="auto"/>
        </w:rPr>
      </w:pPr>
    </w:p>
    <w:p>
      <w:pPr>
        <w:ind w:left="484" w:hanging="484"/>
        <w:spacing w:after="0"/>
        <w:tabs>
          <w:tab w:leader="none" w:pos="484" w:val="left"/>
        </w:tabs>
        <w:numPr>
          <w:ilvl w:val="0"/>
          <w:numId w:val="659"/>
        </w:numPr>
        <w:rPr>
          <w:rFonts w:ascii="Arial" w:cs="Arial" w:eastAsia="Arial" w:hAnsi="Arial"/>
          <w:sz w:val="19"/>
          <w:szCs w:val="19"/>
          <w:color w:val="auto"/>
        </w:rPr>
      </w:pPr>
      <w:r>
        <w:rPr>
          <w:rFonts w:ascii="Arial" w:cs="Arial" w:eastAsia="Arial" w:hAnsi="Arial"/>
          <w:sz w:val="19"/>
          <w:szCs w:val="19"/>
          <w:color w:val="auto"/>
        </w:rPr>
        <w:t>MPAG has disclosed to Novartis all facts known to MPAG or any of its Affiliates that (i) relate to the Products; and</w:t>
      </w:r>
    </w:p>
    <w:p>
      <w:pPr>
        <w:spacing w:after="0" w:line="55" w:lineRule="exact"/>
        <w:rPr>
          <w:rFonts w:ascii="Arial" w:cs="Arial" w:eastAsia="Arial" w:hAnsi="Arial"/>
          <w:sz w:val="19"/>
          <w:szCs w:val="19"/>
          <w:color w:val="auto"/>
        </w:rPr>
      </w:pPr>
    </w:p>
    <w:p>
      <w:pPr>
        <w:ind w:left="644" w:firstLine="4"/>
        <w:spacing w:after="0" w:line="246" w:lineRule="auto"/>
        <w:tabs>
          <w:tab w:leader="none" w:pos="1019" w:val="left"/>
        </w:tabs>
        <w:numPr>
          <w:ilvl w:val="1"/>
          <w:numId w:val="659"/>
        </w:numPr>
        <w:rPr>
          <w:rFonts w:ascii="Arial" w:cs="Arial" w:eastAsia="Arial" w:hAnsi="Arial"/>
          <w:sz w:val="22"/>
          <w:szCs w:val="22"/>
          <w:color w:val="auto"/>
        </w:rPr>
      </w:pPr>
      <w:r>
        <w:rPr>
          <w:rFonts w:ascii="Arial" w:cs="Arial" w:eastAsia="Arial" w:hAnsi="Arial"/>
          <w:sz w:val="22"/>
          <w:szCs w:val="22"/>
          <w:color w:val="auto"/>
        </w:rPr>
        <w:t>would be reasonably likely to materially and adversely affect Novartis in connection with this Option Agreement, the Definitive Agreements, or the transactions contemplated hereby and thereby;</w:t>
      </w:r>
    </w:p>
    <w:p>
      <w:pPr>
        <w:spacing w:after="0" w:line="192" w:lineRule="exact"/>
        <w:rPr>
          <w:rFonts w:ascii="Arial" w:cs="Arial" w:eastAsia="Arial" w:hAnsi="Arial"/>
          <w:sz w:val="22"/>
          <w:szCs w:val="22"/>
          <w:color w:val="auto"/>
        </w:rPr>
      </w:pPr>
    </w:p>
    <w:p>
      <w:pPr>
        <w:ind w:left="644" w:hanging="644"/>
        <w:spacing w:after="0" w:line="287" w:lineRule="auto"/>
        <w:tabs>
          <w:tab w:leader="none" w:pos="490" w:val="left"/>
        </w:tabs>
        <w:numPr>
          <w:ilvl w:val="0"/>
          <w:numId w:val="659"/>
        </w:numPr>
        <w:rPr>
          <w:rFonts w:ascii="Arial" w:cs="Arial" w:eastAsia="Arial" w:hAnsi="Arial"/>
          <w:sz w:val="21"/>
          <w:szCs w:val="21"/>
          <w:color w:val="auto"/>
        </w:rPr>
      </w:pPr>
      <w:r>
        <w:rPr>
          <w:rFonts w:ascii="Arial" w:cs="Arial" w:eastAsia="Arial" w:hAnsi="Arial"/>
          <w:sz w:val="21"/>
          <w:szCs w:val="21"/>
          <w:color w:val="auto"/>
        </w:rPr>
        <w:t>The board of directors of MPAG reserved a number of shares under the conditional share capital pursuant to art. 3c of the articles of incorporation of MPAG sufficient to deliver the Equity Investment Shares;</w:t>
      </w:r>
    </w:p>
    <w:p>
      <w:pPr>
        <w:spacing w:after="0" w:line="151" w:lineRule="exact"/>
        <w:rPr>
          <w:rFonts w:ascii="Arial" w:cs="Arial" w:eastAsia="Arial" w:hAnsi="Arial"/>
          <w:sz w:val="21"/>
          <w:szCs w:val="21"/>
          <w:color w:val="auto"/>
        </w:rPr>
      </w:pPr>
    </w:p>
    <w:p>
      <w:pPr>
        <w:ind w:left="644" w:hanging="644"/>
        <w:spacing w:after="0" w:line="292" w:lineRule="auto"/>
        <w:tabs>
          <w:tab w:leader="none" w:pos="414" w:val="left"/>
        </w:tabs>
        <w:numPr>
          <w:ilvl w:val="0"/>
          <w:numId w:val="659"/>
        </w:numPr>
        <w:rPr>
          <w:rFonts w:ascii="Arial" w:cs="Arial" w:eastAsia="Arial" w:hAnsi="Arial"/>
          <w:sz w:val="19"/>
          <w:szCs w:val="19"/>
          <w:color w:val="auto"/>
        </w:rPr>
      </w:pPr>
      <w:r>
        <w:rPr>
          <w:rFonts w:ascii="Arial" w:cs="Arial" w:eastAsia="Arial" w:hAnsi="Arial"/>
          <w:sz w:val="19"/>
          <w:szCs w:val="19"/>
          <w:color w:val="auto"/>
        </w:rPr>
        <w:t>The issuance and sale of the Equity Investment Shares have been duly authorized and, when delivered and paid for in the manner contemplated by this Option Agreement, the Equity Investment Shares will have been duly and validly issued and fully paid and will be listed on SIX Swiss Exchange Ltd. The Equity Investment Shares will be free and clear of all liens, pledges, security interests, charges or other encumbrances, and no person has any pre-emptive right, right of first refusal or other third party right of any nature (whether in rem or in personam), or security interest of any kind or any agreement to create any of the foregoing, and the Equity Investment Shares rank pari passu in all respects with all other outstanding shares of MPAG;</w:t>
      </w:r>
    </w:p>
    <w:p>
      <w:pPr>
        <w:spacing w:after="0" w:line="150" w:lineRule="exact"/>
        <w:rPr>
          <w:rFonts w:ascii="Arial" w:cs="Arial" w:eastAsia="Arial" w:hAnsi="Arial"/>
          <w:sz w:val="19"/>
          <w:szCs w:val="19"/>
          <w:color w:val="auto"/>
        </w:rPr>
      </w:pPr>
    </w:p>
    <w:p>
      <w:pPr>
        <w:ind w:left="644" w:hanging="644"/>
        <w:spacing w:after="0" w:line="253" w:lineRule="auto"/>
        <w:tabs>
          <w:tab w:leader="none" w:pos="454" w:val="left"/>
        </w:tabs>
        <w:numPr>
          <w:ilvl w:val="0"/>
          <w:numId w:val="659"/>
        </w:numPr>
        <w:rPr>
          <w:rFonts w:ascii="Arial" w:cs="Arial" w:eastAsia="Arial" w:hAnsi="Arial"/>
          <w:sz w:val="22"/>
          <w:szCs w:val="22"/>
          <w:color w:val="auto"/>
        </w:rPr>
      </w:pPr>
      <w:r>
        <w:rPr>
          <w:rFonts w:ascii="Arial" w:cs="Arial" w:eastAsia="Arial" w:hAnsi="Arial"/>
          <w:sz w:val="22"/>
          <w:szCs w:val="22"/>
          <w:color w:val="auto"/>
        </w:rPr>
        <w:t xml:space="preserve">The auditors of MPAG reviewed the form of the exercise notice set forth on </w:t>
      </w:r>
      <w:r>
        <w:rPr>
          <w:rFonts w:ascii="Arial" w:cs="Arial" w:eastAsia="Arial" w:hAnsi="Arial"/>
          <w:sz w:val="22"/>
          <w:szCs w:val="22"/>
          <w:u w:val="single" w:color="auto"/>
          <w:color w:val="auto"/>
        </w:rPr>
        <w:t>Exhibit 3.2(a)</w:t>
      </w:r>
      <w:r>
        <w:rPr>
          <w:rFonts w:ascii="Arial" w:cs="Arial" w:eastAsia="Arial" w:hAnsi="Arial"/>
          <w:sz w:val="22"/>
          <w:szCs w:val="22"/>
          <w:color w:val="auto"/>
        </w:rPr>
        <w:t xml:space="preserve"> and confirmed that they will issue a report of the auditors (Prüfungsbestätigung) in connection with the registration of the Equity Investment Shares with the commercial register of the Canton of Zurich;</w:t>
      </w:r>
    </w:p>
    <w:p>
      <w:pPr>
        <w:spacing w:after="0" w:line="185" w:lineRule="exact"/>
        <w:rPr>
          <w:rFonts w:ascii="Arial" w:cs="Arial" w:eastAsia="Arial" w:hAnsi="Arial"/>
          <w:sz w:val="22"/>
          <w:szCs w:val="22"/>
          <w:color w:val="auto"/>
        </w:rPr>
      </w:pPr>
    </w:p>
    <w:p>
      <w:pPr>
        <w:ind w:left="644" w:hanging="644"/>
        <w:spacing w:after="0" w:line="263" w:lineRule="auto"/>
        <w:tabs>
          <w:tab w:leader="none" w:pos="464" w:val="left"/>
        </w:tabs>
        <w:numPr>
          <w:ilvl w:val="0"/>
          <w:numId w:val="659"/>
        </w:numPr>
        <w:rPr>
          <w:rFonts w:ascii="Arial" w:cs="Arial" w:eastAsia="Arial" w:hAnsi="Arial"/>
          <w:sz w:val="22"/>
          <w:szCs w:val="22"/>
          <w:color w:val="auto"/>
        </w:rPr>
      </w:pPr>
      <w:r>
        <w:rPr>
          <w:rFonts w:ascii="Arial" w:cs="Arial" w:eastAsia="Arial" w:hAnsi="Arial"/>
          <w:sz w:val="22"/>
          <w:szCs w:val="22"/>
          <w:color w:val="auto"/>
        </w:rPr>
        <w:t>It has duly obtained all approvals by the relevant stock exchange authorities or bodies, including the formal listing of conditional capital, and such approvals are in full force and effect;</w:t>
      </w:r>
    </w:p>
    <w:p>
      <w:pPr>
        <w:spacing w:after="0" w:line="174" w:lineRule="exact"/>
        <w:rPr>
          <w:rFonts w:ascii="Arial" w:cs="Arial" w:eastAsia="Arial" w:hAnsi="Arial"/>
          <w:sz w:val="22"/>
          <w:szCs w:val="22"/>
          <w:color w:val="auto"/>
        </w:rPr>
      </w:pPr>
    </w:p>
    <w:p>
      <w:pPr>
        <w:ind w:left="644" w:hanging="644"/>
        <w:spacing w:after="0" w:line="290" w:lineRule="auto"/>
        <w:tabs>
          <w:tab w:leader="none" w:pos="444" w:val="left"/>
        </w:tabs>
        <w:numPr>
          <w:ilvl w:val="0"/>
          <w:numId w:val="659"/>
        </w:numPr>
        <w:rPr>
          <w:rFonts w:ascii="Arial" w:cs="Arial" w:eastAsia="Arial" w:hAnsi="Arial"/>
          <w:sz w:val="19"/>
          <w:szCs w:val="19"/>
          <w:color w:val="auto"/>
        </w:rPr>
      </w:pPr>
      <w:r>
        <w:rPr>
          <w:rFonts w:ascii="Arial" w:cs="Arial" w:eastAsia="Arial" w:hAnsi="Arial"/>
          <w:sz w:val="19"/>
          <w:szCs w:val="19"/>
          <w:color w:val="auto"/>
        </w:rPr>
        <w:t>Neither MPAG nor any of its subsidiaries is the subject of any insolvency or bankruptcy proceedings or is unable to pay its debts when due within the meaning of Art. 725 para. 2 CO or an equivalent provision under applicable foreign law or is otherwise insolvent; no order has been made, petition presented or resolution passed for the winding-up of MPAG or any of its subsidiaries and no meeting has been convened for the purpose of winding up MPAG or any of its subsidiaries; neither MPAG nor any of its subsidiaries has been a party to any transaction which could be voided in a winding-up; no steps have been taken for the appointment of an administrator or receiver (including an administrative receiver) of all or any part of the assets of MPAG or any of its subsidiaries; neither MPAG nor any of its subsidiaries has commenced negotiations with its creditors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584"/>
          </w:cols>
          <w:pgMar w:left="976" w:top="1428" w:right="339" w:bottom="1440" w:gutter="0" w:footer="0" w:header="0"/>
        </w:sectPr>
      </w:pPr>
    </w:p>
    <w:bookmarkStart w:id="701" w:name="page702"/>
    <w:bookmarkEnd w:id="701"/>
    <w:p>
      <w:pPr>
        <w:jc w:val="both"/>
        <w:ind w:left="644"/>
        <w:spacing w:after="0" w:line="253" w:lineRule="auto"/>
        <w:rPr>
          <w:sz w:val="20"/>
          <w:szCs w:val="20"/>
          <w:color w:val="auto"/>
        </w:rPr>
      </w:pPr>
      <w:r>
        <w:rPr>
          <w:rFonts w:ascii="Arial" w:cs="Arial" w:eastAsia="Arial" w:hAnsi="Arial"/>
          <w:sz w:val="22"/>
          <w:szCs w:val="22"/>
          <w:color w:val="auto"/>
        </w:rPr>
        <w:t>class of its creditors with a view to rescheduling any of its indebtedness or has made or proposed any arrangement or composition with its creditors or any class of its creditors by reason of actual or anticipated financial difficulties;</w:t>
      </w:r>
    </w:p>
    <w:p>
      <w:pPr>
        <w:spacing w:after="0" w:line="185" w:lineRule="exact"/>
        <w:rPr>
          <w:sz w:val="20"/>
          <w:szCs w:val="20"/>
          <w:color w:val="auto"/>
        </w:rPr>
      </w:pPr>
    </w:p>
    <w:p>
      <w:pPr>
        <w:ind w:left="644" w:hanging="644"/>
        <w:spacing w:after="0" w:line="286" w:lineRule="auto"/>
        <w:tabs>
          <w:tab w:leader="none" w:pos="544" w:val="left"/>
        </w:tabs>
        <w:numPr>
          <w:ilvl w:val="0"/>
          <w:numId w:val="660"/>
        </w:numPr>
        <w:rPr>
          <w:rFonts w:ascii="Arial" w:cs="Arial" w:eastAsia="Arial" w:hAnsi="Arial"/>
          <w:sz w:val="19"/>
          <w:szCs w:val="19"/>
          <w:color w:val="auto"/>
        </w:rPr>
      </w:pPr>
      <w:r>
        <w:rPr>
          <w:rFonts w:ascii="Arial" w:cs="Arial" w:eastAsia="Arial" w:hAnsi="Arial"/>
          <w:sz w:val="19"/>
          <w:szCs w:val="19"/>
          <w:color w:val="auto"/>
        </w:rPr>
        <w:t>MPAG has made public all information required to be made public by applicable law and regulation and other than this transaction MPAG does not suspend the publication (kein Bekanntgabeaufschub) of ad hoc relevant information; the information released publicly in Switzerland by MPAG (together, the “</w:t>
      </w:r>
      <w:r>
        <w:rPr>
          <w:rFonts w:ascii="Arial" w:cs="Arial" w:eastAsia="Arial" w:hAnsi="Arial"/>
          <w:sz w:val="19"/>
          <w:szCs w:val="19"/>
          <w:b w:val="1"/>
          <w:bCs w:val="1"/>
          <w:color w:val="auto"/>
        </w:rPr>
        <w:t>MPAG Information</w:t>
      </w:r>
      <w:r>
        <w:rPr>
          <w:rFonts w:ascii="Arial" w:cs="Arial" w:eastAsia="Arial" w:hAnsi="Arial"/>
          <w:sz w:val="19"/>
          <w:szCs w:val="19"/>
          <w:color w:val="auto"/>
        </w:rPr>
        <w:t>”), does not contain any untrue statement of a material fact or omit to state a material fact required to be stated therein or necessary to make the statements therein, in the light of the circumstances under which they were made, not misleading; MPAG is not aware of any material information that has not been disclosed in the MPAG Information which would be necessary to enable Novartis to make an informed assessment of the assets and liabilities, financial position, profits and losses and prospects of MPAG and its subsidiaries; and the financial statements included in MPAG Information present fairly, as such term is qualified by the applicable accounting standards, the financial position of MPAG and its consolidated subsidiaries as of the dates shown and the results of operations for the periods shown, and such financial statements have been prepared in conformity with International Financial Reporting Standards (IFRS) applied on a consistent basis. Notwithstanding anything to the contrary set out herein, Novartis is aware that MPAG is constantly evaluating financing options, which could, if implemented, lead to a dilution in relative size and value of Novartis' shareholdings in MPAG;</w:t>
      </w:r>
    </w:p>
    <w:p>
      <w:pPr>
        <w:spacing w:after="0" w:line="161" w:lineRule="exact"/>
        <w:rPr>
          <w:rFonts w:ascii="Arial" w:cs="Arial" w:eastAsia="Arial" w:hAnsi="Arial"/>
          <w:sz w:val="19"/>
          <w:szCs w:val="19"/>
          <w:color w:val="auto"/>
        </w:rPr>
      </w:pPr>
    </w:p>
    <w:p>
      <w:pPr>
        <w:ind w:left="644" w:hanging="644"/>
        <w:spacing w:after="0" w:line="286" w:lineRule="auto"/>
        <w:tabs>
          <w:tab w:leader="none" w:pos="485" w:val="left"/>
        </w:tabs>
        <w:numPr>
          <w:ilvl w:val="0"/>
          <w:numId w:val="660"/>
        </w:numPr>
        <w:rPr>
          <w:rFonts w:ascii="Arial" w:cs="Arial" w:eastAsia="Arial" w:hAnsi="Arial"/>
          <w:sz w:val="19"/>
          <w:szCs w:val="19"/>
          <w:color w:val="auto"/>
        </w:rPr>
      </w:pPr>
      <w:r>
        <w:rPr>
          <w:rFonts w:ascii="Arial" w:cs="Arial" w:eastAsia="Arial" w:hAnsi="Arial"/>
          <w:sz w:val="19"/>
          <w:szCs w:val="19"/>
          <w:color w:val="auto"/>
        </w:rPr>
        <w:t>Neither MPAG nor its Affiliates nor any of its subsidiaries, directors or officers or, to the knowledge of MPAG, any employees, or other persons associated with, or acting on behalf of MPAG or any of its subsidiaries has (together for the purpose of this subsection the “</w:t>
      </w:r>
      <w:r>
        <w:rPr>
          <w:rFonts w:ascii="Arial" w:cs="Arial" w:eastAsia="Arial" w:hAnsi="Arial"/>
          <w:sz w:val="19"/>
          <w:szCs w:val="19"/>
          <w:b w:val="1"/>
          <w:bCs w:val="1"/>
          <w:color w:val="auto"/>
        </w:rPr>
        <w:t>Company</w:t>
      </w:r>
      <w:r>
        <w:rPr>
          <w:rFonts w:ascii="Arial" w:cs="Arial" w:eastAsia="Arial" w:hAnsi="Arial"/>
          <w:sz w:val="19"/>
          <w:szCs w:val="19"/>
          <w:color w:val="auto"/>
        </w:rPr>
        <w:t>”) (i) has used any corporate funds for any unlawful contribution, gift, entertainment of unlawful expense relating to political activity, (ii) has made any direct or indirect unlawful payment to any foreign or domestic government official or employee from corporate funds, (iii) has violated any provision of any law or regulation of any jurisdiction in which it conducts business relating to corruption or bribery of officials or other persons, (iv) has violated or breached (x) the OECD Convention on Combating Bribery of Foreign Public Officials in International Business Transactions, (y) the U.S. Foreign Corrupt Practices Act of 1977, as amended, and the rules and regulations thereunder, or (z) any applicable European Union, national or local law regulating payments to government officials or employees, such as UK Bribery Act 2010, the rules and regulations thereunder or enforced by any governmental agency or any such jurisdiction, in each case above to the extent applicable to such person, (v) has paid any bribe, rebate, pay-off, influence payment or kick-back that, in each case, would be unlawful under any laws that are applicable to the Company and/or its subsidiaries, as the case may be, (vi) has undertaken any business with the government of, or any person, entity or other party located, domiciled,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584"/>
          </w:cols>
          <w:pgMar w:left="976" w:top="1428" w:right="339" w:bottom="1440" w:gutter="0" w:footer="0" w:header="0"/>
        </w:sectPr>
      </w:pPr>
    </w:p>
    <w:bookmarkStart w:id="702" w:name="page703"/>
    <w:bookmarkEnd w:id="702"/>
    <w:p>
      <w:pPr>
        <w:jc w:val="both"/>
        <w:ind w:left="644"/>
        <w:spacing w:after="0" w:line="285" w:lineRule="auto"/>
        <w:rPr>
          <w:sz w:val="20"/>
          <w:szCs w:val="20"/>
          <w:color w:val="auto"/>
        </w:rPr>
      </w:pPr>
      <w:r>
        <w:rPr>
          <w:rFonts w:ascii="Arial" w:cs="Arial" w:eastAsia="Arial" w:hAnsi="Arial"/>
          <w:sz w:val="19"/>
          <w:szCs w:val="19"/>
          <w:color w:val="auto"/>
        </w:rPr>
        <w:t>resident or incorporated in Cuba, Iran, North Korea, Sudan, Syria and the region of Crimea and/or any other country or region that is subject to economic and/or trade sanctions (“</w:t>
      </w:r>
      <w:r>
        <w:rPr>
          <w:rFonts w:ascii="Arial" w:cs="Arial" w:eastAsia="Arial" w:hAnsi="Arial"/>
          <w:sz w:val="19"/>
          <w:szCs w:val="19"/>
          <w:b w:val="1"/>
          <w:bCs w:val="1"/>
          <w:color w:val="auto"/>
        </w:rPr>
        <w:t>Restricted Countries</w:t>
      </w:r>
      <w:r>
        <w:rPr>
          <w:rFonts w:ascii="Arial" w:cs="Arial" w:eastAsia="Arial" w:hAnsi="Arial"/>
          <w:sz w:val="19"/>
          <w:szCs w:val="19"/>
          <w:color w:val="auto"/>
        </w:rPr>
        <w:t>”) or with anyone owned or controlled by such parties; or who (vii) is (a) the government of a Restricted Country, (b) located, domiciled, resident or incorporated in a Restricted Country, (c) is the target of any sanctions or is named on any sanctions list administered by the Swiss State Secretariat for Economic Affairs (“</w:t>
      </w:r>
      <w:r>
        <w:rPr>
          <w:rFonts w:ascii="Arial" w:cs="Arial" w:eastAsia="Arial" w:hAnsi="Arial"/>
          <w:sz w:val="19"/>
          <w:szCs w:val="19"/>
          <w:b w:val="1"/>
          <w:bCs w:val="1"/>
          <w:color w:val="auto"/>
        </w:rPr>
        <w:t>SECO</w:t>
      </w:r>
      <w:r>
        <w:rPr>
          <w:rFonts w:ascii="Arial" w:cs="Arial" w:eastAsia="Arial" w:hAnsi="Arial"/>
          <w:sz w:val="19"/>
          <w:szCs w:val="19"/>
          <w:color w:val="auto"/>
        </w:rPr>
        <w:t>”) or the Swiss Directorate of International Law (“</w:t>
      </w:r>
      <w:r>
        <w:rPr>
          <w:rFonts w:ascii="Arial" w:cs="Arial" w:eastAsia="Arial" w:hAnsi="Arial"/>
          <w:sz w:val="19"/>
          <w:szCs w:val="19"/>
          <w:b w:val="1"/>
          <w:bCs w:val="1"/>
          <w:color w:val="auto"/>
        </w:rPr>
        <w:t>DIL</w:t>
      </w:r>
      <w:r>
        <w:rPr>
          <w:rFonts w:ascii="Arial" w:cs="Arial" w:eastAsia="Arial" w:hAnsi="Arial"/>
          <w:sz w:val="19"/>
          <w:szCs w:val="19"/>
          <w:color w:val="auto"/>
        </w:rPr>
        <w:t>”), the United States Department of Treasury’s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the United Nations (“</w:t>
      </w:r>
      <w:r>
        <w:rPr>
          <w:rFonts w:ascii="Arial" w:cs="Arial" w:eastAsia="Arial" w:hAnsi="Arial"/>
          <w:sz w:val="19"/>
          <w:szCs w:val="19"/>
          <w:b w:val="1"/>
          <w:bCs w:val="1"/>
          <w:color w:val="auto"/>
        </w:rPr>
        <w:t>UN</w:t>
      </w:r>
      <w:r>
        <w:rPr>
          <w:rFonts w:ascii="Arial" w:cs="Arial" w:eastAsia="Arial" w:hAnsi="Arial"/>
          <w:sz w:val="19"/>
          <w:szCs w:val="19"/>
          <w:color w:val="auto"/>
        </w:rPr>
        <w:t>”), the European Union, Her Majesty’s Treasury of the United Kingdom (“</w:t>
      </w:r>
      <w:r>
        <w:rPr>
          <w:rFonts w:ascii="Arial" w:cs="Arial" w:eastAsia="Arial" w:hAnsi="Arial"/>
          <w:sz w:val="19"/>
          <w:szCs w:val="19"/>
          <w:b w:val="1"/>
          <w:bCs w:val="1"/>
          <w:color w:val="auto"/>
        </w:rPr>
        <w:t>HMT</w:t>
      </w:r>
      <w:r>
        <w:rPr>
          <w:rFonts w:ascii="Arial" w:cs="Arial" w:eastAsia="Arial" w:hAnsi="Arial"/>
          <w:sz w:val="19"/>
          <w:szCs w:val="19"/>
          <w:color w:val="auto"/>
        </w:rPr>
        <w:t>”), the Monetary Authority of Singapore (“</w:t>
      </w:r>
      <w:r>
        <w:rPr>
          <w:rFonts w:ascii="Arial" w:cs="Arial" w:eastAsia="Arial" w:hAnsi="Arial"/>
          <w:sz w:val="19"/>
          <w:szCs w:val="19"/>
          <w:b w:val="1"/>
          <w:bCs w:val="1"/>
          <w:color w:val="auto"/>
        </w:rPr>
        <w:t>MAS</w:t>
      </w:r>
      <w:r>
        <w:rPr>
          <w:rFonts w:ascii="Arial" w:cs="Arial" w:eastAsia="Arial" w:hAnsi="Arial"/>
          <w:sz w:val="19"/>
          <w:szCs w:val="19"/>
          <w:color w:val="auto"/>
        </w:rPr>
        <w:t>”), the Hong Kong Monetary Authority (“HKMA”) and/or any other relevant sanctions authority (“</w:t>
      </w:r>
      <w:r>
        <w:rPr>
          <w:rFonts w:ascii="Arial" w:cs="Arial" w:eastAsia="Arial" w:hAnsi="Arial"/>
          <w:sz w:val="19"/>
          <w:szCs w:val="19"/>
          <w:b w:val="1"/>
          <w:bCs w:val="1"/>
          <w:color w:val="auto"/>
        </w:rPr>
        <w:t>Sanctions”</w:t>
      </w:r>
      <w:r>
        <w:rPr>
          <w:rFonts w:ascii="Arial" w:cs="Arial" w:eastAsia="Arial" w:hAnsi="Arial"/>
          <w:sz w:val="19"/>
          <w:szCs w:val="19"/>
          <w:color w:val="auto"/>
        </w:rPr>
        <w:t>), or (d) owned or controlled by persons, entities or other parties referred to in (a) to (c) (collectively “</w:t>
      </w:r>
      <w:r>
        <w:rPr>
          <w:rFonts w:ascii="Arial" w:cs="Arial" w:eastAsia="Arial" w:hAnsi="Arial"/>
          <w:sz w:val="19"/>
          <w:szCs w:val="19"/>
          <w:b w:val="1"/>
          <w:bCs w:val="1"/>
          <w:color w:val="auto"/>
        </w:rPr>
        <w:t>Restricted Parties</w:t>
      </w:r>
      <w:r>
        <w:rPr>
          <w:rFonts w:ascii="Arial" w:cs="Arial" w:eastAsia="Arial" w:hAnsi="Arial"/>
          <w:sz w:val="19"/>
          <w:szCs w:val="19"/>
          <w:color w:val="auto"/>
        </w:rPr>
        <w:t>”). The Company and its subsidiaries maintain, and will continue to maintain and enforce, policies and procedures to ensure compliance with Sanctions to the extent that they are applicable to the Company and its subsidiaries. To the best of the Company’s knowledge and belief, no actions or investigations by any governmental or regulatory agency are threatened against the Company or any of its subsidiaries, or any of their directors, officers, employees or anyone acting on their behalf in relation to a breach of the Sanctions. The Company will not use any proceeds it receives under this or in connection with this Option Agreement (i) to fund business activities that relate to Restricted Countries or that are subject to sanctions, restrictions, or embargos administered by any of the aforementioned sanctions bodies, including business activities involving or providing benefits to Restricted Parties or (ii) for any purpose that would breach any Sanctions; and</w:t>
      </w:r>
    </w:p>
    <w:p>
      <w:pPr>
        <w:spacing w:after="0" w:line="163" w:lineRule="exact"/>
        <w:rPr>
          <w:sz w:val="20"/>
          <w:szCs w:val="20"/>
          <w:color w:val="auto"/>
        </w:rPr>
      </w:pPr>
    </w:p>
    <w:p>
      <w:pPr>
        <w:ind w:left="644" w:hanging="644"/>
        <w:spacing w:after="0" w:line="287" w:lineRule="auto"/>
        <w:tabs>
          <w:tab w:leader="none" w:pos="506" w:val="left"/>
        </w:tabs>
        <w:numPr>
          <w:ilvl w:val="0"/>
          <w:numId w:val="661"/>
        </w:numPr>
        <w:rPr>
          <w:rFonts w:ascii="Arial" w:cs="Arial" w:eastAsia="Arial" w:hAnsi="Arial"/>
          <w:sz w:val="19"/>
          <w:szCs w:val="19"/>
          <w:color w:val="auto"/>
        </w:rPr>
      </w:pPr>
      <w:r>
        <w:rPr>
          <w:rFonts w:ascii="Arial" w:cs="Arial" w:eastAsia="Arial" w:hAnsi="Arial"/>
          <w:sz w:val="19"/>
          <w:szCs w:val="19"/>
          <w:color w:val="auto"/>
        </w:rPr>
        <w:t>The operations of MPAG and its subsidiaries are and have been conducted in compliance with applicable financial recordkeeping and reporting requirements of the applicable money laundering statutes of all jurisdictions where MPAG, or any of its subsidiaries conduct business, the rules and regulations thereunder and any related or similar rules, regulations or guidelines issued, administered or enforced by any governmental or regulatory agency (collectively, the “</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and no action, suit or proceeding by or before any court or governmental or regulatory agency, authority or body or any arbitrator involving MPAG or any of its subsidiaries including with respect to any of their officers, directors or employees with respect to the Anti-Money Laundering Laws is pending or, to the best knowledge of MPAG, threatened. MPAG and its subsidiaries currently maintain and enforce policies and procedures designed to promote and achieve compliance with the Anti-Money Laundering Laws where required. MPAG and its subsidiaries shall not directly or indirectly use the Exercise Amount for any purpose that would breach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584"/>
          </w:cols>
          <w:pgMar w:left="976" w:top="1428" w:right="339" w:bottom="1440" w:gutter="0" w:footer="0" w:header="0"/>
        </w:sectPr>
      </w:pPr>
    </w:p>
    <w:bookmarkStart w:id="703" w:name="page704"/>
    <w:bookmarkEnd w:id="703"/>
    <w:p>
      <w:pPr>
        <w:spacing w:after="0"/>
        <w:tabs>
          <w:tab w:leader="none" w:pos="5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color w:val="auto"/>
        </w:rPr>
        <w:t>Covenants of MPAG</w:t>
      </w:r>
      <w:r>
        <w:rPr>
          <w:rFonts w:ascii="Arial" w:cs="Arial" w:eastAsia="Arial" w:hAnsi="Arial"/>
          <w:sz w:val="19"/>
          <w:szCs w:val="19"/>
          <w:color w:val="auto"/>
        </w:rPr>
        <w:t>. MPAG covenants and agrees that:</w:t>
      </w:r>
    </w:p>
    <w:p>
      <w:pPr>
        <w:spacing w:after="0" w:line="226" w:lineRule="exact"/>
        <w:rPr>
          <w:sz w:val="20"/>
          <w:szCs w:val="20"/>
          <w:color w:val="auto"/>
        </w:rPr>
      </w:pPr>
    </w:p>
    <w:p>
      <w:pPr>
        <w:jc w:val="both"/>
        <w:ind w:left="1300" w:hanging="644"/>
        <w:spacing w:after="0" w:line="260" w:lineRule="auto"/>
        <w:tabs>
          <w:tab w:leader="none" w:pos="1265" w:val="left"/>
        </w:tabs>
        <w:numPr>
          <w:ilvl w:val="0"/>
          <w:numId w:val="662"/>
        </w:numPr>
        <w:rPr>
          <w:rFonts w:ascii="Arial" w:cs="Arial" w:eastAsia="Arial" w:hAnsi="Arial"/>
          <w:sz w:val="21"/>
          <w:szCs w:val="21"/>
          <w:color w:val="auto"/>
        </w:rPr>
      </w:pPr>
      <w:r>
        <w:rPr>
          <w:rFonts w:ascii="Arial" w:cs="Arial" w:eastAsia="Arial" w:hAnsi="Arial"/>
          <w:sz w:val="21"/>
          <w:szCs w:val="21"/>
          <w:color w:val="auto"/>
        </w:rPr>
        <w:t>during the Term, MPAG will not (i) grant any interest in the MPAG Patents or MPAG Know-How which is inconsistent with the terms and conditions of this Option Agreement, (ii) other than in connection with a Change of Control, assign its right, title or interest in or to the MPAG Platform Patents or MPAG Platform Know-How to any Third Party in a manner which is inconsistent with the terms and conditions of this Option Agreement, or (iii) other than in connection with a Change of Control, assign its right, title or interest in or to the MPAG Products Patents or MPAG Products Know-How to any Third Party and will use all reasonable precautions to preserve the confidentiality of the MPAG Products Know-How;</w:t>
      </w:r>
    </w:p>
    <w:p>
      <w:pPr>
        <w:spacing w:after="0" w:line="180" w:lineRule="exact"/>
        <w:rPr>
          <w:rFonts w:ascii="Arial" w:cs="Arial" w:eastAsia="Arial" w:hAnsi="Arial"/>
          <w:sz w:val="21"/>
          <w:szCs w:val="21"/>
          <w:color w:val="auto"/>
        </w:rPr>
      </w:pPr>
    </w:p>
    <w:p>
      <w:pPr>
        <w:ind w:left="1300" w:hanging="644"/>
        <w:spacing w:after="0" w:line="263" w:lineRule="auto"/>
        <w:tabs>
          <w:tab w:leader="none" w:pos="1120" w:val="left"/>
        </w:tabs>
        <w:numPr>
          <w:ilvl w:val="0"/>
          <w:numId w:val="662"/>
        </w:numPr>
        <w:rPr>
          <w:rFonts w:ascii="Arial" w:cs="Arial" w:eastAsia="Arial" w:hAnsi="Arial"/>
          <w:sz w:val="21"/>
          <w:szCs w:val="21"/>
          <w:color w:val="auto"/>
        </w:rPr>
      </w:pPr>
      <w:r>
        <w:rPr>
          <w:rFonts w:ascii="Arial" w:cs="Arial" w:eastAsia="Arial" w:hAnsi="Arial"/>
          <w:sz w:val="21"/>
          <w:szCs w:val="21"/>
          <w:color w:val="auto"/>
        </w:rPr>
        <w:t xml:space="preserve">if, at any time during the Term it becomes aware that it, any of its Affiliates, or any employee, agent or subcontractor of MPAG who participated, or is participating, in the performance of any activities hereunder or who is otherwise engaged in any activities in connection with the Product is on, or is being added to the FDA Debarment List or any of the three (3) FDA Clinical Investigator Restriction Lists referenced in </w:t>
      </w:r>
      <w:r>
        <w:rPr>
          <w:rFonts w:ascii="Arial" w:cs="Arial" w:eastAsia="Arial" w:hAnsi="Arial"/>
          <w:sz w:val="21"/>
          <w:szCs w:val="21"/>
          <w:u w:val="single" w:color="auto"/>
          <w:color w:val="auto"/>
        </w:rPr>
        <w:t>Section 10.2(f)</w:t>
      </w:r>
      <w:r>
        <w:rPr>
          <w:rFonts w:ascii="Arial" w:cs="Arial" w:eastAsia="Arial" w:hAnsi="Arial"/>
          <w:sz w:val="21"/>
          <w:szCs w:val="21"/>
          <w:color w:val="auto"/>
        </w:rPr>
        <w:t>, it will provide written notice of this to Novartis within [***] of its becoming aware of this fact;</w:t>
      </w:r>
    </w:p>
    <w:p>
      <w:pPr>
        <w:spacing w:after="0" w:line="175" w:lineRule="exact"/>
        <w:rPr>
          <w:rFonts w:ascii="Arial" w:cs="Arial" w:eastAsia="Arial" w:hAnsi="Arial"/>
          <w:sz w:val="21"/>
          <w:szCs w:val="21"/>
          <w:color w:val="auto"/>
        </w:rPr>
      </w:pPr>
    </w:p>
    <w:p>
      <w:pPr>
        <w:jc w:val="both"/>
        <w:ind w:left="1300" w:hanging="644"/>
        <w:spacing w:after="0" w:line="312" w:lineRule="auto"/>
        <w:tabs>
          <w:tab w:leader="none" w:pos="1305" w:val="left"/>
        </w:tabs>
        <w:numPr>
          <w:ilvl w:val="0"/>
          <w:numId w:val="662"/>
        </w:numPr>
        <w:rPr>
          <w:rFonts w:ascii="Arial" w:cs="Arial" w:eastAsia="Arial" w:hAnsi="Arial"/>
          <w:sz w:val="19"/>
          <w:szCs w:val="19"/>
          <w:color w:val="auto"/>
        </w:rPr>
      </w:pPr>
      <w:r>
        <w:rPr>
          <w:rFonts w:ascii="Arial" w:cs="Arial" w:eastAsia="Arial" w:hAnsi="Arial"/>
          <w:sz w:val="19"/>
          <w:szCs w:val="19"/>
          <w:color w:val="auto"/>
        </w:rPr>
        <w:t>during the Term, it shall maintain insurance with respect to its activities and obligations under this Option Agreement in such amounts as are commercially reasonable in the industry for companies conducting similar business and shall require any of its Affiliates undertaking activities under this Option Agreement to do the same;</w:t>
      </w:r>
    </w:p>
    <w:p>
      <w:pPr>
        <w:spacing w:after="0" w:line="133" w:lineRule="exact"/>
        <w:rPr>
          <w:rFonts w:ascii="Arial" w:cs="Arial" w:eastAsia="Arial" w:hAnsi="Arial"/>
          <w:sz w:val="19"/>
          <w:szCs w:val="19"/>
          <w:color w:val="auto"/>
        </w:rPr>
      </w:pPr>
    </w:p>
    <w:p>
      <w:pPr>
        <w:ind w:left="1300" w:hanging="644"/>
        <w:spacing w:after="0" w:line="250" w:lineRule="auto"/>
        <w:tabs>
          <w:tab w:leader="none" w:pos="1161" w:val="left"/>
        </w:tabs>
        <w:numPr>
          <w:ilvl w:val="0"/>
          <w:numId w:val="662"/>
        </w:numPr>
        <w:rPr>
          <w:rFonts w:ascii="Arial" w:cs="Arial" w:eastAsia="Arial" w:hAnsi="Arial"/>
          <w:sz w:val="22"/>
          <w:szCs w:val="22"/>
          <w:color w:val="auto"/>
        </w:rPr>
      </w:pPr>
      <w:r>
        <w:rPr>
          <w:rFonts w:ascii="Arial" w:cs="Arial" w:eastAsia="Arial" w:hAnsi="Arial"/>
          <w:sz w:val="22"/>
          <w:szCs w:val="22"/>
          <w:color w:val="auto"/>
        </w:rPr>
        <w:t>during the Term, MPAG shall not, without the prior written consent of Novartis, enter into any funding agreement, reservation agreement with any entity (including any government, public health authority or other similar entity) in relation to the Products or any other contractual obligation that relates to the purchase or acquisition by any Third Party of the Products;</w:t>
      </w:r>
    </w:p>
    <w:p>
      <w:pPr>
        <w:spacing w:after="0" w:line="187" w:lineRule="exact"/>
        <w:rPr>
          <w:rFonts w:ascii="Arial" w:cs="Arial" w:eastAsia="Arial" w:hAnsi="Arial"/>
          <w:sz w:val="22"/>
          <w:szCs w:val="22"/>
          <w:color w:val="auto"/>
        </w:rPr>
      </w:pPr>
    </w:p>
    <w:p>
      <w:pPr>
        <w:ind w:left="1300" w:hanging="644"/>
        <w:spacing w:after="0" w:line="263" w:lineRule="auto"/>
        <w:tabs>
          <w:tab w:leader="none" w:pos="1123" w:val="left"/>
        </w:tabs>
        <w:numPr>
          <w:ilvl w:val="0"/>
          <w:numId w:val="662"/>
        </w:numPr>
        <w:rPr>
          <w:rFonts w:ascii="Arial" w:cs="Arial" w:eastAsia="Arial" w:hAnsi="Arial"/>
          <w:sz w:val="22"/>
          <w:szCs w:val="22"/>
          <w:color w:val="auto"/>
        </w:rPr>
      </w:pPr>
      <w:r>
        <w:rPr>
          <w:rFonts w:ascii="Arial" w:cs="Arial" w:eastAsia="Arial" w:hAnsi="Arial"/>
          <w:sz w:val="22"/>
          <w:szCs w:val="22"/>
          <w:color w:val="auto"/>
        </w:rPr>
        <w:t>upon delivery of the Equity Investment Shares to Novartis, it will register Novartis as shareholder with voting rights with respect of the Equity Investment Shares in its register of shareholders;</w:t>
      </w:r>
    </w:p>
    <w:p>
      <w:pPr>
        <w:spacing w:after="0" w:line="174" w:lineRule="exact"/>
        <w:rPr>
          <w:rFonts w:ascii="Arial" w:cs="Arial" w:eastAsia="Arial" w:hAnsi="Arial"/>
          <w:sz w:val="22"/>
          <w:szCs w:val="22"/>
          <w:color w:val="auto"/>
        </w:rPr>
      </w:pPr>
    </w:p>
    <w:p>
      <w:pPr>
        <w:ind w:left="1300" w:right="20" w:hanging="644"/>
        <w:spacing w:after="0" w:line="287" w:lineRule="auto"/>
        <w:tabs>
          <w:tab w:leader="none" w:pos="1099" w:val="left"/>
        </w:tabs>
        <w:numPr>
          <w:ilvl w:val="0"/>
          <w:numId w:val="662"/>
        </w:numPr>
        <w:rPr>
          <w:rFonts w:ascii="Arial" w:cs="Arial" w:eastAsia="Arial" w:hAnsi="Arial"/>
          <w:sz w:val="21"/>
          <w:szCs w:val="21"/>
          <w:color w:val="auto"/>
        </w:rPr>
      </w:pPr>
      <w:r>
        <w:rPr>
          <w:rFonts w:ascii="Arial" w:cs="Arial" w:eastAsia="Arial" w:hAnsi="Arial"/>
          <w:sz w:val="21"/>
          <w:szCs w:val="21"/>
          <w:color w:val="auto"/>
        </w:rPr>
        <w:t>it will notify Novartis of any material change affecting any of MPAG’s representations and warranties of this Option Agreement which occur at any time prior to the settlement of the Equity Investment Shares;</w:t>
      </w:r>
    </w:p>
    <w:p>
      <w:pPr>
        <w:spacing w:after="0" w:line="151" w:lineRule="exact"/>
        <w:rPr>
          <w:rFonts w:ascii="Arial" w:cs="Arial" w:eastAsia="Arial" w:hAnsi="Arial"/>
          <w:sz w:val="21"/>
          <w:szCs w:val="21"/>
          <w:color w:val="auto"/>
        </w:rPr>
      </w:pPr>
    </w:p>
    <w:p>
      <w:pPr>
        <w:ind w:left="1120" w:hanging="464"/>
        <w:spacing w:after="0"/>
        <w:tabs>
          <w:tab w:leader="none" w:pos="1120" w:val="left"/>
        </w:tabs>
        <w:numPr>
          <w:ilvl w:val="0"/>
          <w:numId w:val="662"/>
        </w:numPr>
        <w:rPr>
          <w:rFonts w:ascii="Arial" w:cs="Arial" w:eastAsia="Arial" w:hAnsi="Arial"/>
          <w:sz w:val="19"/>
          <w:szCs w:val="19"/>
          <w:color w:val="auto"/>
        </w:rPr>
      </w:pPr>
      <w:r>
        <w:rPr>
          <w:rFonts w:ascii="Arial" w:cs="Arial" w:eastAsia="Arial" w:hAnsi="Arial"/>
          <w:sz w:val="19"/>
          <w:szCs w:val="19"/>
          <w:color w:val="auto"/>
        </w:rPr>
        <w:t>it will register the Equity Investment Shares with the commercial register of the Canton of Zurich by the [***]; and</w:t>
      </w:r>
    </w:p>
    <w:p>
      <w:pPr>
        <w:spacing w:after="0" w:line="254" w:lineRule="exact"/>
        <w:rPr>
          <w:rFonts w:ascii="Arial" w:cs="Arial" w:eastAsia="Arial" w:hAnsi="Arial"/>
          <w:sz w:val="19"/>
          <w:szCs w:val="19"/>
          <w:color w:val="auto"/>
        </w:rPr>
      </w:pPr>
    </w:p>
    <w:p>
      <w:pPr>
        <w:ind w:left="1300" w:hanging="644"/>
        <w:spacing w:after="0" w:line="263" w:lineRule="auto"/>
        <w:tabs>
          <w:tab w:leader="none" w:pos="1261" w:val="left"/>
        </w:tabs>
        <w:numPr>
          <w:ilvl w:val="0"/>
          <w:numId w:val="662"/>
        </w:numPr>
        <w:rPr>
          <w:rFonts w:ascii="Arial" w:cs="Arial" w:eastAsia="Arial" w:hAnsi="Arial"/>
          <w:sz w:val="22"/>
          <w:szCs w:val="22"/>
          <w:color w:val="auto"/>
        </w:rPr>
      </w:pPr>
      <w:r>
        <w:rPr>
          <w:rFonts w:ascii="Arial" w:cs="Arial" w:eastAsia="Arial" w:hAnsi="Arial"/>
          <w:sz w:val="22"/>
          <w:szCs w:val="22"/>
          <w:color w:val="auto"/>
        </w:rPr>
        <w:t>it will notify Novartis in advance regarding the timing of the registration of the MPAG’s shares created from conditional share capital with the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2" w:right="339" w:bottom="1440" w:gutter="0" w:footer="0" w:header="0"/>
        </w:sectPr>
      </w:pPr>
    </w:p>
    <w:bookmarkStart w:id="704" w:name="page705"/>
    <w:bookmarkEnd w:id="704"/>
    <w:p>
      <w:pPr>
        <w:ind w:left="1300"/>
        <w:spacing w:after="0" w:line="263" w:lineRule="auto"/>
        <w:rPr>
          <w:sz w:val="20"/>
          <w:szCs w:val="20"/>
          <w:color w:val="auto"/>
        </w:rPr>
      </w:pPr>
      <w:r>
        <w:rPr>
          <w:rFonts w:ascii="Arial" w:cs="Arial" w:eastAsia="Arial" w:hAnsi="Arial"/>
          <w:sz w:val="22"/>
          <w:szCs w:val="22"/>
          <w:color w:val="auto"/>
        </w:rPr>
        <w:t>register of the Canton of Zurich in order to enable Novartis to comply with the disclosure obligations for major shareholdings according to art. 120 et seqq. of the FMIA.</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b w:val="1"/>
          <w:bCs w:val="1"/>
          <w:color w:val="auto"/>
        </w:rPr>
        <w:t>Covenants of Novartis</w:t>
      </w:r>
      <w:r>
        <w:rPr>
          <w:rFonts w:ascii="Arial" w:cs="Arial" w:eastAsia="Arial" w:hAnsi="Arial"/>
          <w:sz w:val="19"/>
          <w:szCs w:val="19"/>
          <w:color w:val="auto"/>
        </w:rPr>
        <w:t>. Novartis covenants and agrees that:</w:t>
      </w:r>
    </w:p>
    <w:p>
      <w:pPr>
        <w:spacing w:after="0" w:line="226" w:lineRule="exact"/>
        <w:rPr>
          <w:sz w:val="20"/>
          <w:szCs w:val="20"/>
          <w:color w:val="auto"/>
        </w:rPr>
      </w:pPr>
    </w:p>
    <w:p>
      <w:pPr>
        <w:ind w:left="1300" w:hanging="644"/>
        <w:spacing w:after="0" w:line="263" w:lineRule="auto"/>
        <w:tabs>
          <w:tab w:leader="none" w:pos="1171" w:val="left"/>
        </w:tabs>
        <w:numPr>
          <w:ilvl w:val="0"/>
          <w:numId w:val="663"/>
        </w:numPr>
        <w:rPr>
          <w:rFonts w:ascii="Arial" w:cs="Arial" w:eastAsia="Arial" w:hAnsi="Arial"/>
          <w:sz w:val="21"/>
          <w:szCs w:val="21"/>
          <w:color w:val="auto"/>
        </w:rPr>
      </w:pPr>
      <w:r>
        <w:rPr>
          <w:rFonts w:ascii="Arial" w:cs="Arial" w:eastAsia="Arial" w:hAnsi="Arial"/>
          <w:sz w:val="21"/>
          <w:szCs w:val="21"/>
          <w:color w:val="auto"/>
        </w:rPr>
        <w:t xml:space="preserve">if, at any time during the Term it becomes aware that it or any employee, agent or subcontractor of Novartis who participated, or is participating, in the performance of any activities hereunder or who is otherwise engaged in any activities in connection with the Product is on, or is being added to the FDA Debarment List or any of the three (3) FDA Clinical Investigator Restriction Lists referenced in </w:t>
      </w:r>
      <w:r>
        <w:rPr>
          <w:rFonts w:ascii="Arial" w:cs="Arial" w:eastAsia="Arial" w:hAnsi="Arial"/>
          <w:sz w:val="21"/>
          <w:szCs w:val="21"/>
          <w:u w:val="single" w:color="auto"/>
          <w:color w:val="auto"/>
        </w:rPr>
        <w:t>Section 10.2(f)</w:t>
      </w:r>
      <w:r>
        <w:rPr>
          <w:rFonts w:ascii="Arial" w:cs="Arial" w:eastAsia="Arial" w:hAnsi="Arial"/>
          <w:sz w:val="21"/>
          <w:szCs w:val="21"/>
          <w:color w:val="auto"/>
        </w:rPr>
        <w:t>, it will provide written notice of this to Novartis within [***] of its becoming aware of this fact; and</w:t>
      </w:r>
    </w:p>
    <w:p>
      <w:pPr>
        <w:spacing w:after="0" w:line="175" w:lineRule="exact"/>
        <w:rPr>
          <w:rFonts w:ascii="Arial" w:cs="Arial" w:eastAsia="Arial" w:hAnsi="Arial"/>
          <w:sz w:val="21"/>
          <w:szCs w:val="21"/>
          <w:color w:val="auto"/>
        </w:rPr>
      </w:pPr>
    </w:p>
    <w:p>
      <w:pPr>
        <w:jc w:val="both"/>
        <w:ind w:left="1300" w:hanging="644"/>
        <w:spacing w:after="0" w:line="312" w:lineRule="auto"/>
        <w:tabs>
          <w:tab w:leader="none" w:pos="1314" w:val="left"/>
        </w:tabs>
        <w:numPr>
          <w:ilvl w:val="0"/>
          <w:numId w:val="663"/>
        </w:numPr>
        <w:rPr>
          <w:rFonts w:ascii="Arial" w:cs="Arial" w:eastAsia="Arial" w:hAnsi="Arial"/>
          <w:sz w:val="19"/>
          <w:szCs w:val="19"/>
          <w:color w:val="auto"/>
        </w:rPr>
      </w:pPr>
      <w:r>
        <w:rPr>
          <w:rFonts w:ascii="Arial" w:cs="Arial" w:eastAsia="Arial" w:hAnsi="Arial"/>
          <w:sz w:val="19"/>
          <w:szCs w:val="19"/>
          <w:color w:val="auto"/>
        </w:rPr>
        <w:t>during the Term, it shall maintain insurance with respect to its activities and obligations under this Option Agreement in such amounts as are commercially reasonable in the industry for companies conducting similar business and shall require any of its Affiliates undertaking activities under this Option Agreement to do the same.</w:t>
      </w:r>
    </w:p>
    <w:p>
      <w:pPr>
        <w:spacing w:after="0" w:line="12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21"/>
          <w:szCs w:val="21"/>
          <w:b w:val="1"/>
          <w:bCs w:val="1"/>
          <w:color w:val="auto"/>
        </w:rPr>
        <w:t>No Other Warranties</w:t>
      </w:r>
      <w:r>
        <w:rPr>
          <w:rFonts w:ascii="Arial" w:cs="Arial" w:eastAsia="Arial" w:hAnsi="Arial"/>
          <w:sz w:val="21"/>
          <w:szCs w:val="21"/>
          <w:color w:val="auto"/>
        </w:rPr>
        <w:t>. EXCEPT AS EXPRESSLY STATED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10</w:t>
      </w:r>
      <w:r>
        <w:rPr>
          <w:rFonts w:ascii="Arial" w:cs="Arial" w:eastAsia="Arial" w:hAnsi="Arial"/>
          <w:sz w:val="21"/>
          <w:szCs w:val="21"/>
          <w:color w:val="auto"/>
        </w:rPr>
        <w:t>: (A) NO REPRESENTATION,</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OR WARRANTY WHATSOEVER IS MADE OR GIVEN BY OR ON BEHALF OF NOVARTIS OR MPAG; (B) ALL OTHER CONDITIONS AND WARRANTIES, WHETHER ARISING BY OPERATION OF LAW OR OTHERWISE, ARE HEREBY EXPRESSLY EXCLUDED, INCLUDING ANY CONDITIONS AND WARRANTIES OF MERCHANTABILITY, FITNESS FOR A PARTICULAR PURPOSE OR NON-INFRINGEMENT; (C) NOVARTIS EXPRESSLY DISCLAIMS ANY REPRESENATION AND MAKES NO WARRANTY THAT ANY OF THE NOVARTIS ACTIVITIES WILL RESULT IN, OR CONTRIBUTE TO, THE SUCCESSFUL COMPLETION OF A CLINICAL TRAL OR REGULATORY APPROVAL OF A PRODUCT; AND (D) MPAG EXPRESSLY DISCLAIMS ANY REPRESENATION AND MAKES NO WARRANTY THAT ANY OF THE MPAG ACTIVITIES WILL RESULT IN, OR CONTRIBUTE TO, THE SUCCESSFUL COMPLETION OF A CLINICAL TRAL OR REGULATORY APPROVAL OF A PRODUCT.</w:t>
      </w:r>
    </w:p>
    <w:p>
      <w:pPr>
        <w:spacing w:after="0" w:line="182"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22"/>
          <w:szCs w:val="22"/>
          <w:b w:val="1"/>
          <w:bCs w:val="1"/>
          <w:color w:val="auto"/>
        </w:rPr>
        <w:t>Special, Indirect and Other Losses</w:t>
      </w:r>
      <w:r>
        <w:rPr>
          <w:rFonts w:ascii="Arial" w:cs="Arial" w:eastAsia="Arial" w:hAnsi="Arial"/>
          <w:sz w:val="22"/>
          <w:szCs w:val="22"/>
          <w:color w:val="auto"/>
        </w:rPr>
        <w:t>. EXCEPT FOR AMOUNTS REQUIRED TO BE PAID AS PART OF A CLAIM</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MADE BY A THIRD PARTY FOR WHICH A PARTY PROVIDES INDEMNIFICATION UNDER </w:t>
      </w:r>
      <w:r>
        <w:rPr>
          <w:rFonts w:ascii="Arial" w:cs="Arial" w:eastAsia="Arial" w:hAnsi="Arial"/>
          <w:sz w:val="22"/>
          <w:szCs w:val="22"/>
          <w:u w:val="single" w:color="auto"/>
          <w:color w:val="auto"/>
        </w:rPr>
        <w:t>ARTICLE 11</w:t>
      </w:r>
      <w:r>
        <w:rPr>
          <w:rFonts w:ascii="Arial" w:cs="Arial" w:eastAsia="Arial" w:hAnsi="Arial"/>
          <w:sz w:val="22"/>
          <w:szCs w:val="22"/>
          <w:color w:val="auto"/>
        </w:rPr>
        <w:t>, NEITHER PARTY SHALL BE LIABLE TO THE OTHER PARTY FOR ANY INDIRECT, INCIDENTAL, SPECIAL, EXEMPLARY, PUNITIVE OR CONSEQUENTIAL DAMAGES, INCLUDING LOSS OF PROFITS OR BUSINESS INTERRUPTION THAT ARE SPECULATIVE OR NOT REASONABLY FORESEEABLE AS A PROXIMATE RESULT OF THE BREACH BY A PARTY OF ANY OF ITS REPRESENTATIONS, WARRANTIES, COVENANTS OR AGREEMENTS UNDER THIS OPTION AGREEMENT, HOWEVER CAUSED AND ON ANY THEORY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705" w:name="page706"/>
    <w:bookmarkEnd w:id="705"/>
    <w:p>
      <w:pPr>
        <w:jc w:val="both"/>
        <w:ind w:left="660"/>
        <w:spacing w:after="0" w:line="250" w:lineRule="auto"/>
        <w:rPr>
          <w:sz w:val="20"/>
          <w:szCs w:val="20"/>
          <w:color w:val="auto"/>
        </w:rPr>
      </w:pPr>
      <w:r>
        <w:rPr>
          <w:rFonts w:ascii="Arial" w:cs="Arial" w:eastAsia="Arial" w:hAnsi="Arial"/>
          <w:sz w:val="22"/>
          <w:szCs w:val="22"/>
          <w:color w:val="auto"/>
        </w:rPr>
        <w:t>WHETHER IN CONTRACT, TORT, NEGLIGENCE, BREACH OF STATUTORY DUTY OR OTHERWISE IN CONNECTION WITH OR ARISING IN ANY WAY OUT OF THE TERMS OF THIS OPTION AGREEMENT OR THE TRANSACTIONS CONTEMPLATED HEREBY, EVEN IF ADVISED OF THE POSSIBILITY OF SUCH DAMAGE.</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b w:val="1"/>
          <w:bCs w:val="1"/>
          <w:color w:val="auto"/>
        </w:rPr>
        <w:t>Limitation on Liability</w:t>
      </w:r>
      <w:r>
        <w:rPr>
          <w:rFonts w:ascii="Arial" w:cs="Arial" w:eastAsia="Arial" w:hAnsi="Arial"/>
          <w:sz w:val="19"/>
          <w:szCs w:val="19"/>
          <w:color w:val="auto"/>
        </w:rPr>
        <w:t>.</w:t>
      </w:r>
    </w:p>
    <w:p>
      <w:pPr>
        <w:spacing w:after="0" w:line="226" w:lineRule="exact"/>
        <w:rPr>
          <w:sz w:val="20"/>
          <w:szCs w:val="20"/>
          <w:color w:val="auto"/>
        </w:rPr>
      </w:pPr>
    </w:p>
    <w:p>
      <w:pPr>
        <w:jc w:val="both"/>
        <w:ind w:left="1300" w:hanging="644"/>
        <w:spacing w:after="0" w:line="245" w:lineRule="auto"/>
        <w:tabs>
          <w:tab w:leader="none" w:pos="1312" w:val="left"/>
        </w:tabs>
        <w:numPr>
          <w:ilvl w:val="1"/>
          <w:numId w:val="664"/>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OF THIS OPTION AGREEMENT, EXCEPT TO THE EXTENT CAUSED BY NOVARTIS’ GROSS NEGLIGENCE, FRAUD OR WILLFUL MISCONDUCT, AND TO THE MAXIMUM EXTENT PERMITTED BY APPLICABLE LAW, THE MAXIMUM LIABILITY OF NOVARTIS TO MPAG FOR LOSSES UNDER THIS OPTION AGREEMENT SHALL IN NO EVENT EXCEED AN AGGREGATE AMOUNT OF [***]; PROVIDED, HOWEVER, IN THE EVENT THAT NOVARTIS IS LIABLE TO MPAG FOR ANY LOSSES ASSOCIATED WITH CLAIMS UNDER NOVARTIS’ INDEMNIFICATION OBLIGATIONS UNDER </w:t>
      </w:r>
      <w:r>
        <w:rPr>
          <w:rFonts w:ascii="Arial" w:cs="Arial" w:eastAsia="Arial" w:hAnsi="Arial"/>
          <w:sz w:val="22"/>
          <w:szCs w:val="22"/>
          <w:u w:val="single" w:color="auto"/>
          <w:color w:val="auto"/>
        </w:rPr>
        <w:t>SECTIONS 11.111.2(b)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11.2(c)</w:t>
      </w:r>
      <w:r>
        <w:rPr>
          <w:rFonts w:ascii="Arial" w:cs="Arial" w:eastAsia="Arial" w:hAnsi="Arial"/>
          <w:sz w:val="22"/>
          <w:szCs w:val="22"/>
          <w:color w:val="auto"/>
        </w:rPr>
        <w:t>, NOVARTIS SHALL BE LIABLE TO MPAG FOR UP TO AN ADDITIONAL [***] FOR A MAXIMUM AGGREGATE AMOUNT OF AGGREGATE AMOUNT OF [***].</w:t>
      </w:r>
    </w:p>
    <w:p>
      <w:pPr>
        <w:spacing w:after="0" w:line="200" w:lineRule="exact"/>
        <w:rPr>
          <w:rFonts w:ascii="Arial" w:cs="Arial" w:eastAsia="Arial" w:hAnsi="Arial"/>
          <w:sz w:val="22"/>
          <w:szCs w:val="22"/>
          <w:color w:val="auto"/>
        </w:rPr>
      </w:pPr>
    </w:p>
    <w:p>
      <w:pPr>
        <w:jc w:val="both"/>
        <w:ind w:left="1300" w:hanging="644"/>
        <w:spacing w:after="0" w:line="248" w:lineRule="auto"/>
        <w:tabs>
          <w:tab w:leader="none" w:pos="1320" w:val="left"/>
        </w:tabs>
        <w:numPr>
          <w:ilvl w:val="1"/>
          <w:numId w:val="664"/>
        </w:numPr>
        <w:rPr>
          <w:rFonts w:ascii="Arial" w:cs="Arial" w:eastAsia="Arial" w:hAnsi="Arial"/>
          <w:sz w:val="22"/>
          <w:szCs w:val="22"/>
          <w:color w:val="auto"/>
        </w:rPr>
      </w:pPr>
      <w:r>
        <w:rPr>
          <w:rFonts w:ascii="Arial" w:cs="Arial" w:eastAsia="Arial" w:hAnsi="Arial"/>
          <w:sz w:val="22"/>
          <w:szCs w:val="22"/>
          <w:color w:val="auto"/>
        </w:rPr>
        <w:t>NOTWITHSTANDING ANY OTHER PROVISION OF THIS OPTION AGREEMENT, EXCEPT TO THE EXTENT CAUSED BY MPAG’s GROSS NEGLIGENCE, FRAUD OR WILLFUL MISCONDUCT, AND TO THE MAXIMUM EXTENT PERMITTED BY APPLICABLE LAW, THE MAXIMUM LIABILITY OF MPAG TO NOVARTIS FOR LOSSES UNDER THIS OPTION AGREEMENT SHALL IN NO EVENT EXCEED AN AGGREGATE AMOUNT OF [***].</w:t>
      </w:r>
    </w:p>
    <w:p>
      <w:pPr>
        <w:spacing w:after="0" w:line="191" w:lineRule="exact"/>
        <w:rPr>
          <w:rFonts w:ascii="Arial" w:cs="Arial" w:eastAsia="Arial" w:hAnsi="Arial"/>
          <w:sz w:val="22"/>
          <w:szCs w:val="22"/>
          <w:color w:val="auto"/>
        </w:rPr>
      </w:pPr>
    </w:p>
    <w:p>
      <w:pPr>
        <w:ind w:left="1300" w:hanging="644"/>
        <w:spacing w:after="0" w:line="253" w:lineRule="auto"/>
        <w:tabs>
          <w:tab w:leader="none" w:pos="1166" w:val="left"/>
        </w:tabs>
        <w:numPr>
          <w:ilvl w:val="1"/>
          <w:numId w:val="664"/>
        </w:numPr>
        <w:rPr>
          <w:rFonts w:ascii="Arial" w:cs="Arial" w:eastAsia="Arial" w:hAnsi="Arial"/>
          <w:sz w:val="22"/>
          <w:szCs w:val="22"/>
          <w:color w:val="auto"/>
        </w:rPr>
      </w:pPr>
      <w:r>
        <w:rPr>
          <w:rFonts w:ascii="Arial" w:cs="Arial" w:eastAsia="Arial" w:hAnsi="Arial"/>
          <w:sz w:val="22"/>
          <w:szCs w:val="22"/>
          <w:color w:val="auto"/>
        </w:rPr>
        <w:t xml:space="preserve">FOR CLARITY, THE LIMITATIONS OF LIABILITY SET FORTH IN THIS </w:t>
      </w:r>
      <w:r>
        <w:rPr>
          <w:rFonts w:ascii="Arial" w:cs="Arial" w:eastAsia="Arial" w:hAnsi="Arial"/>
          <w:sz w:val="22"/>
          <w:szCs w:val="22"/>
          <w:u w:val="single" w:color="auto"/>
          <w:color w:val="auto"/>
        </w:rPr>
        <w:t>SECTION 10.7</w:t>
      </w:r>
      <w:r>
        <w:rPr>
          <w:rFonts w:ascii="Arial" w:cs="Arial" w:eastAsia="Arial" w:hAnsi="Arial"/>
          <w:sz w:val="22"/>
          <w:szCs w:val="22"/>
          <w:color w:val="auto"/>
        </w:rPr>
        <w:t xml:space="preserve"> APPLY ONLY TO THIS OPTION AGREEMENT AND DO NOT APPLY TO ANY CONTRACT MANUFACTURING OR SUPPLY AGREEMENTS ENTERED INTO BETWEEN THE PARTIES OR THEIR AFFILIATES.</w:t>
      </w:r>
    </w:p>
    <w:p>
      <w:pPr>
        <w:spacing w:after="0" w:line="179" w:lineRule="exact"/>
        <w:rPr>
          <w:rFonts w:ascii="Arial" w:cs="Arial" w:eastAsia="Arial" w:hAnsi="Arial"/>
          <w:sz w:val="22"/>
          <w:szCs w:val="22"/>
          <w:color w:val="auto"/>
        </w:rPr>
      </w:pPr>
    </w:p>
    <w:p>
      <w:pPr>
        <w:ind w:left="480" w:hanging="472"/>
        <w:spacing w:after="0"/>
        <w:tabs>
          <w:tab w:leader="none" w:pos="480" w:val="left"/>
        </w:tabs>
        <w:numPr>
          <w:ilvl w:val="0"/>
          <w:numId w:val="665"/>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p>
    <w:p>
      <w:pPr>
        <w:spacing w:after="0" w:line="220"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Indemnification by MPAG</w:t>
      </w:r>
      <w:r>
        <w:rPr>
          <w:rFonts w:ascii="Arial" w:cs="Arial" w:eastAsia="Arial" w:hAnsi="Arial"/>
          <w:sz w:val="19"/>
          <w:szCs w:val="19"/>
          <w:color w:val="auto"/>
        </w:rPr>
        <w:t>. MPAG shall indemnify and hold Novartis, its Affiliates, and their respective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and employees (the “</w:t>
      </w:r>
      <w:r>
        <w:rPr>
          <w:rFonts w:ascii="Arial" w:cs="Arial" w:eastAsia="Arial" w:hAnsi="Arial"/>
          <w:sz w:val="19"/>
          <w:szCs w:val="19"/>
          <w:b w:val="1"/>
          <w:bCs w:val="1"/>
          <w:color w:val="auto"/>
        </w:rPr>
        <w:t>Novartis Indemnitees</w:t>
      </w:r>
      <w:r>
        <w:rPr>
          <w:rFonts w:ascii="Arial" w:cs="Arial" w:eastAsia="Arial" w:hAnsi="Arial"/>
          <w:sz w:val="19"/>
          <w:szCs w:val="19"/>
          <w:color w:val="auto"/>
        </w:rPr>
        <w:t>”) harmless from any and all liabilities, damages, losses, costs, or expenses of any nature (including reasonable attorneys’ fees and litigation expenses) (“</w:t>
      </w:r>
      <w:r>
        <w:rPr>
          <w:rFonts w:ascii="Arial" w:cs="Arial" w:eastAsia="Arial" w:hAnsi="Arial"/>
          <w:sz w:val="19"/>
          <w:szCs w:val="19"/>
          <w:b w:val="1"/>
          <w:bCs w:val="1"/>
          <w:color w:val="auto"/>
        </w:rPr>
        <w:t>Losses</w:t>
      </w:r>
      <w:r>
        <w:rPr>
          <w:rFonts w:ascii="Arial" w:cs="Arial" w:eastAsia="Arial" w:hAnsi="Arial"/>
          <w:sz w:val="19"/>
          <w:szCs w:val="19"/>
          <w:color w:val="auto"/>
        </w:rPr>
        <w:t>”) incurred by or imposed upon the Novartis Indemnitees or any of them in connection with any action, cause of action, claim, demand, proceeding, suit, or judgment brought by a Third Party (“</w:t>
      </w:r>
      <w:r>
        <w:rPr>
          <w:rFonts w:ascii="Arial" w:cs="Arial" w:eastAsia="Arial" w:hAnsi="Arial"/>
          <w:sz w:val="19"/>
          <w:szCs w:val="19"/>
          <w:b w:val="1"/>
          <w:bCs w:val="1"/>
          <w:color w:val="auto"/>
        </w:rPr>
        <w:t>Claim</w:t>
      </w:r>
      <w:r>
        <w:rPr>
          <w:rFonts w:ascii="Arial" w:cs="Arial" w:eastAsia="Arial" w:hAnsi="Arial"/>
          <w:sz w:val="19"/>
          <w:szCs w:val="19"/>
          <w:color w:val="auto"/>
        </w:rPr>
        <w:t>”), in each case, to the extent arising or resulting from: (a) the conduct of the MPAG Activities; (b) the gross negligence or willful misconduct of MPAG or any MPAG Indemnitee; or (c) the material breach of any provision of this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706" w:name="page707"/>
    <w:bookmarkEnd w:id="706"/>
    <w:p>
      <w:pPr>
        <w:jc w:val="both"/>
        <w:ind w:left="660"/>
        <w:spacing w:after="0" w:line="253" w:lineRule="auto"/>
        <w:rPr>
          <w:sz w:val="20"/>
          <w:szCs w:val="20"/>
          <w:color w:val="auto"/>
        </w:rPr>
      </w:pPr>
      <w:r>
        <w:rPr>
          <w:rFonts w:ascii="Arial" w:cs="Arial" w:eastAsia="Arial" w:hAnsi="Arial"/>
          <w:sz w:val="22"/>
          <w:szCs w:val="22"/>
          <w:color w:val="auto"/>
        </w:rPr>
        <w:t xml:space="preserve">by MPAG; </w:t>
      </w:r>
      <w:r>
        <w:rPr>
          <w:rFonts w:ascii="Arial" w:cs="Arial" w:eastAsia="Arial" w:hAnsi="Arial"/>
          <w:sz w:val="22"/>
          <w:szCs w:val="22"/>
          <w:u w:val="single" w:color="auto"/>
          <w:color w:val="auto"/>
        </w:rPr>
        <w:t>provided</w:t>
      </w:r>
      <w:r>
        <w:rPr>
          <w:rFonts w:ascii="Arial" w:cs="Arial" w:eastAsia="Arial" w:hAnsi="Arial"/>
          <w:sz w:val="22"/>
          <w:szCs w:val="22"/>
          <w:color w:val="auto"/>
        </w:rPr>
        <w:t>, that MPAG shall not be obliged to so indemnify and hold harmless the Novartis Indemnitees for any Claims to the extent that such Claims arise from the breach, negligence, or willful misconduct of Novartis or any Novartis Indemnitee.</w:t>
      </w:r>
    </w:p>
    <w:p>
      <w:pPr>
        <w:spacing w:after="0" w:line="179" w:lineRule="exact"/>
        <w:rPr>
          <w:sz w:val="20"/>
          <w:szCs w:val="20"/>
          <w:color w:val="auto"/>
        </w:rPr>
      </w:pPr>
    </w:p>
    <w:p>
      <w:pPr>
        <w:jc w:val="both"/>
        <w:ind w:left="600" w:hanging="647"/>
        <w:spacing w:after="0" w:line="293" w:lineRule="auto"/>
        <w:tabs>
          <w:tab w:leader="none" w:pos="5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Indemnification by Novartis</w:t>
      </w:r>
      <w:r>
        <w:rPr>
          <w:rFonts w:ascii="Arial" w:cs="Arial" w:eastAsia="Arial" w:hAnsi="Arial"/>
          <w:sz w:val="19"/>
          <w:szCs w:val="19"/>
          <w:color w:val="auto"/>
        </w:rPr>
        <w:t>. Novartis shall indemnify and hold MPAG, its Affiliates, their respective officers,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and employees (the “</w:t>
      </w:r>
      <w:r>
        <w:rPr>
          <w:rFonts w:ascii="Arial" w:cs="Arial" w:eastAsia="Arial" w:hAnsi="Arial"/>
          <w:sz w:val="19"/>
          <w:szCs w:val="19"/>
          <w:b w:val="1"/>
          <w:bCs w:val="1"/>
          <w:color w:val="auto"/>
        </w:rPr>
        <w:t>MPAG Indemnitees</w:t>
      </w:r>
      <w:r>
        <w:rPr>
          <w:rFonts w:ascii="Arial" w:cs="Arial" w:eastAsia="Arial" w:hAnsi="Arial"/>
          <w:sz w:val="19"/>
          <w:szCs w:val="19"/>
          <w:color w:val="auto"/>
        </w:rPr>
        <w:t xml:space="preserve">”) harmless from any and all Losses incurred by or imposed upon the MPAG Indemnitees or any of them in connection with any Claim, in each case, to the extent arising or resulting from: (a) the conduct of the Novartis Activities; (b) the gross negligence or willful misconduct of Novartis or any Novartis Indemnitee; or (c) the material breach of any provision of this Agreement by Novartis; </w:t>
      </w:r>
      <w:r>
        <w:rPr>
          <w:rFonts w:ascii="Arial" w:cs="Arial" w:eastAsia="Arial" w:hAnsi="Arial"/>
          <w:sz w:val="19"/>
          <w:szCs w:val="19"/>
          <w:u w:val="single" w:color="auto"/>
          <w:color w:val="auto"/>
        </w:rPr>
        <w:t>provided</w:t>
      </w:r>
      <w:r>
        <w:rPr>
          <w:rFonts w:ascii="Arial" w:cs="Arial" w:eastAsia="Arial" w:hAnsi="Arial"/>
          <w:sz w:val="19"/>
          <w:szCs w:val="19"/>
          <w:color w:val="auto"/>
        </w:rPr>
        <w:t>, that Novartis shall not be obliged to so indemnify and hold harmless the MPAG Indemnitees for any Claims to the extent that such Claims arise from the breach, negligence, or willful misconduct of MPAG or any MPAG Indemnitee.</w:t>
      </w:r>
    </w:p>
    <w:p>
      <w:pPr>
        <w:spacing w:after="0" w:line="14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color w:val="auto"/>
        </w:rPr>
        <w:t>Indemnification Procedure</w:t>
      </w:r>
      <w:r>
        <w:rPr>
          <w:rFonts w:ascii="Arial" w:cs="Arial" w:eastAsia="Arial" w:hAnsi="Arial"/>
          <w:sz w:val="19"/>
          <w:szCs w:val="19"/>
          <w:color w:val="auto"/>
        </w:rPr>
        <w:t>.</w:t>
      </w:r>
    </w:p>
    <w:p>
      <w:pPr>
        <w:spacing w:after="0" w:line="220" w:lineRule="exact"/>
        <w:rPr>
          <w:sz w:val="20"/>
          <w:szCs w:val="20"/>
          <w:color w:val="auto"/>
        </w:rPr>
      </w:pPr>
    </w:p>
    <w:p>
      <w:pPr>
        <w:ind w:left="1300" w:hanging="644"/>
        <w:spacing w:after="0" w:line="259" w:lineRule="auto"/>
        <w:tabs>
          <w:tab w:leader="none" w:pos="1119" w:val="left"/>
        </w:tabs>
        <w:numPr>
          <w:ilvl w:val="0"/>
          <w:numId w:val="666"/>
        </w:numPr>
        <w:rPr>
          <w:rFonts w:ascii="Arial" w:cs="Arial" w:eastAsia="Arial" w:hAnsi="Arial"/>
          <w:sz w:val="21"/>
          <w:szCs w:val="21"/>
          <w:color w:val="auto"/>
        </w:rPr>
      </w:pPr>
      <w:r>
        <w:rPr>
          <w:rFonts w:ascii="Arial" w:cs="Arial" w:eastAsia="Arial" w:hAnsi="Arial"/>
          <w:sz w:val="21"/>
          <w:szCs w:val="21"/>
          <w:color w:val="auto"/>
        </w:rPr>
        <w:t>If any of the Novartis Indemnitees or MPAG Indemnitees (the “</w:t>
      </w:r>
      <w:r>
        <w:rPr>
          <w:rFonts w:ascii="Arial" w:cs="Arial" w:eastAsia="Arial" w:hAnsi="Arial"/>
          <w:sz w:val="21"/>
          <w:szCs w:val="21"/>
          <w:b w:val="1"/>
          <w:bCs w:val="1"/>
          <w:color w:val="auto"/>
        </w:rPr>
        <w:t>Indemnified Parties</w:t>
      </w:r>
      <w:r>
        <w:rPr>
          <w:rFonts w:ascii="Arial" w:cs="Arial" w:eastAsia="Arial" w:hAnsi="Arial"/>
          <w:sz w:val="21"/>
          <w:szCs w:val="21"/>
          <w:color w:val="auto"/>
        </w:rPr>
        <w:t xml:space="preserve">”) receives written notice of the commencement of any Claim, and such Indemnified Party intends to seek indemnification pursuant to this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11</w:t>
      </w:r>
      <w:r>
        <w:rPr>
          <w:rFonts w:ascii="Arial" w:cs="Arial" w:eastAsia="Arial" w:hAnsi="Arial"/>
          <w:sz w:val="21"/>
          <w:szCs w:val="21"/>
          <w:color w:val="auto"/>
        </w:rPr>
        <w:t>, the Indemnified Party shall promptly provide Novartis (if such Indemnified Party is a Novartis Indemnitee) or MPAG (if such Indemnified Party is a MPAG Indemnitee) written notice of such Claim, and such Party shall provide the other Party (the “</w:t>
      </w:r>
      <w:r>
        <w:rPr>
          <w:rFonts w:ascii="Arial" w:cs="Arial" w:eastAsia="Arial" w:hAnsi="Arial"/>
          <w:sz w:val="21"/>
          <w:szCs w:val="21"/>
          <w:b w:val="1"/>
          <w:bCs w:val="1"/>
          <w:color w:val="auto"/>
        </w:rPr>
        <w:t>Indemnifying Party</w:t>
      </w:r>
      <w:r>
        <w:rPr>
          <w:rFonts w:ascii="Arial" w:cs="Arial" w:eastAsia="Arial" w:hAnsi="Arial"/>
          <w:sz w:val="21"/>
          <w:szCs w:val="21"/>
          <w:color w:val="auto"/>
        </w:rPr>
        <w:t>”) with written notice of such Claim within [***] of its receipt of notice from the Indemnified Party, stating the nature, basis and the amount thereof, to the extent known, along with copies of the relevant documents evidencing such Claim and the basis for indemnification sought. Failure of the Indemnified Party to give such notice within the time frame specified will not relieve the Indemnifying Party from its indemnification obligations hereunder, except to the extent that the Indemnifying Party is actually prejudiced thereby.</w:t>
      </w:r>
    </w:p>
    <w:p>
      <w:pPr>
        <w:spacing w:after="0" w:line="181" w:lineRule="exact"/>
        <w:rPr>
          <w:rFonts w:ascii="Arial" w:cs="Arial" w:eastAsia="Arial" w:hAnsi="Arial"/>
          <w:sz w:val="21"/>
          <w:szCs w:val="21"/>
          <w:color w:val="auto"/>
        </w:rPr>
      </w:pPr>
    </w:p>
    <w:p>
      <w:pPr>
        <w:ind w:left="1300" w:hanging="644"/>
        <w:spacing w:after="0" w:line="287" w:lineRule="auto"/>
        <w:tabs>
          <w:tab w:leader="none" w:pos="1197" w:val="left"/>
        </w:tabs>
        <w:numPr>
          <w:ilvl w:val="0"/>
          <w:numId w:val="666"/>
        </w:numPr>
        <w:rPr>
          <w:rFonts w:ascii="Arial" w:cs="Arial" w:eastAsia="Arial" w:hAnsi="Arial"/>
          <w:sz w:val="19"/>
          <w:szCs w:val="19"/>
          <w:color w:val="auto"/>
        </w:rPr>
      </w:pPr>
      <w:r>
        <w:rPr>
          <w:rFonts w:ascii="Arial" w:cs="Arial" w:eastAsia="Arial" w:hAnsi="Arial"/>
          <w:sz w:val="19"/>
          <w:szCs w:val="19"/>
          <w:color w:val="auto"/>
        </w:rPr>
        <w:t xml:space="preserve">The Indemnifying Party will have [***] from receipt of any such notice of a Claim to give notice to assume the defense, appeal or settlement proceedings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Indemnifying Party shall only be permitted to assume the defense of a Claim if it admits that it is liable to indemnify the Indemnified Party in respect of the Claim. If notice to the effect set forth in the immediately preceding sentence is given by the Indemnifying Party, the Indemnifying Party will have the right to assume the defense, appeal or settlement proceedings of the Indemnified Party against the Claim with counsel of its choice;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Indemnifying Party may not assume the defense, appeal or settlement of a Claim: (i) involving any criminal proceeding, action, indictment, allegation or investigation; (ii) in which relief other than monetary damages is sought; or (iii) if the Claim relates to taxes. In addition, the Indemnifying Party may not maintain the defense of a Claim if it has failed to defend such Claim in good faith. So long as the Indemnifying Party has assumed the defense, appeal or settlement proceedings of the Claim in accordance herewith, [(x) the Indemnified Party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707" w:name="page708"/>
    <w:bookmarkEnd w:id="707"/>
    <w:p>
      <w:pPr>
        <w:jc w:val="both"/>
        <w:ind w:left="1300"/>
        <w:spacing w:after="0" w:line="253" w:lineRule="auto"/>
        <w:rPr>
          <w:sz w:val="20"/>
          <w:szCs w:val="20"/>
          <w:color w:val="auto"/>
        </w:rPr>
      </w:pPr>
      <w:r>
        <w:rPr>
          <w:rFonts w:ascii="Arial" w:cs="Arial" w:eastAsia="Arial" w:hAnsi="Arial"/>
          <w:sz w:val="22"/>
          <w:szCs w:val="22"/>
          <w:color w:val="auto"/>
        </w:rPr>
        <w:t>retain separate co-counsel at its sole cost and expense and participate in the defense, appeal or settlement proceedings of the Claim, and (y) the Indemnifying Party shall not admit to any wrongdoing by the Indemnified Party].</w:t>
      </w:r>
    </w:p>
    <w:p>
      <w:pPr>
        <w:spacing w:after="0" w:line="185" w:lineRule="exact"/>
        <w:rPr>
          <w:sz w:val="20"/>
          <w:szCs w:val="20"/>
          <w:color w:val="auto"/>
        </w:rPr>
      </w:pPr>
    </w:p>
    <w:p>
      <w:pPr>
        <w:ind w:left="1300" w:hanging="644"/>
        <w:spacing w:after="0" w:line="286" w:lineRule="auto"/>
        <w:tabs>
          <w:tab w:leader="none" w:pos="1133" w:val="left"/>
        </w:tabs>
        <w:numPr>
          <w:ilvl w:val="1"/>
          <w:numId w:val="667"/>
        </w:numPr>
        <w:rPr>
          <w:rFonts w:ascii="Arial" w:cs="Arial" w:eastAsia="Arial" w:hAnsi="Arial"/>
          <w:sz w:val="19"/>
          <w:szCs w:val="19"/>
          <w:color w:val="auto"/>
        </w:rPr>
      </w:pPr>
      <w:r>
        <w:rPr>
          <w:rFonts w:ascii="Arial" w:cs="Arial" w:eastAsia="Arial" w:hAnsi="Arial"/>
          <w:sz w:val="19"/>
          <w:szCs w:val="19"/>
          <w:color w:val="auto"/>
        </w:rPr>
        <w:t xml:space="preserve">The Indemnifying Party shall have the right to settle any Claim for which: (i) the Indemnifying Party is responsible for [***] of the applicable Losses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(ii) the Indemnifying Party obtains a full release of the Indemnified Party with respect to such Claim or to which settlement the Indemnified Party consents in writing (such consent not to be unreasonably withheld, conditioned or delayed). As to any Claim with respect to which the Indemnifying Party does not assume control of the defense, the Indemnified Party will afford the Indemnifying Party an opportunity to participate in such defense, at its cost and expense, and will consult with the Indemnifying Party prior to settling or otherwise disposing of any of the same. The Indemnified Party and the Indemnifying Party will act in good faith in responding to, defending against, settling or otherwise dealing with Claims. The Indemnified Party and the Indemnifying Party will also cooperate in any such defense, appeal or settlement proceedings, and give each other reasonable access to all information relevant thereto. Whether or not the Indemnifying Party has assumed the defense, appeal or settlement proceedings with respect to a Claim, such Indemnifying Party will not be obligated to indemnify the Indemnified Party for (1) any settlement entered into or any judgment that was consented to without the Indemnifying Party’s prior written consent (such consent not to be unreasonably withheld, conditioned or delayed) or (2) any Losses not indemnifiable pursuant to this </w:t>
      </w:r>
      <w:r>
        <w:rPr>
          <w:rFonts w:ascii="Arial" w:cs="Arial" w:eastAsia="Arial" w:hAnsi="Arial"/>
          <w:sz w:val="19"/>
          <w:szCs w:val="19"/>
          <w:u w:val="single" w:color="auto"/>
          <w:color w:val="auto"/>
        </w:rPr>
        <w:t>Article 11</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500" w:hanging="492"/>
        <w:spacing w:after="0"/>
        <w:tabs>
          <w:tab w:leader="none" w:pos="500" w:val="left"/>
        </w:tabs>
        <w:numPr>
          <w:ilvl w:val="0"/>
          <w:numId w:val="668"/>
        </w:numPr>
        <w:rPr>
          <w:rFonts w:ascii="Arial" w:cs="Arial" w:eastAsia="Arial" w:hAnsi="Arial"/>
          <w:sz w:val="22"/>
          <w:szCs w:val="22"/>
          <w:b w:val="1"/>
          <w:bCs w:val="1"/>
          <w:color w:val="auto"/>
        </w:rPr>
      </w:pPr>
      <w:r>
        <w:rPr>
          <w:rFonts w:ascii="Arial" w:cs="Arial" w:eastAsia="Arial" w:hAnsi="Arial"/>
          <w:sz w:val="22"/>
          <w:szCs w:val="22"/>
          <w:b w:val="1"/>
          <w:bCs w:val="1"/>
          <w:color w:val="auto"/>
        </w:rPr>
        <w:t>PUBLICATIONS AND PUBLICITY</w:t>
      </w:r>
    </w:p>
    <w:p>
      <w:pPr>
        <w:spacing w:after="0" w:line="220"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b w:val="1"/>
          <w:bCs w:val="1"/>
          <w:color w:val="auto"/>
        </w:rPr>
        <w:t>Publications</w:t>
      </w:r>
      <w:r>
        <w:rPr>
          <w:rFonts w:ascii="Arial" w:cs="Arial" w:eastAsia="Arial" w:hAnsi="Arial"/>
          <w:sz w:val="22"/>
          <w:szCs w:val="22"/>
          <w:color w:val="auto"/>
        </w:rPr>
        <w:t>. Without limiting</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7</w:t>
      </w:r>
      <w:r>
        <w:rPr>
          <w:rFonts w:ascii="Arial" w:cs="Arial" w:eastAsia="Arial" w:hAnsi="Arial"/>
          <w:sz w:val="22"/>
          <w:szCs w:val="22"/>
          <w:color w:val="auto"/>
        </w:rPr>
        <w:t>, in the event that MPAG proposes to make any publication or presentation</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a Product or any Products IP, MPAG shall provide Novartis with an advance copy of each proposed publication or manuscript at least [***] prior to its proposed date of publication. Novartis shall have [***] for press releases and presentations to review and provide any comments on the proposed publication or presentation and MPAG shall consider such comments in good faith.</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b w:val="1"/>
          <w:bCs w:val="1"/>
          <w:color w:val="auto"/>
        </w:rPr>
        <w:t>Publicity</w:t>
      </w:r>
      <w:r>
        <w:rPr>
          <w:rFonts w:ascii="Arial" w:cs="Arial" w:eastAsia="Arial" w:hAnsi="Arial"/>
          <w:sz w:val="19"/>
          <w:szCs w:val="19"/>
          <w:color w:val="auto"/>
        </w:rPr>
        <w:t>.</w:t>
      </w:r>
    </w:p>
    <w:p>
      <w:pPr>
        <w:spacing w:after="0" w:line="226" w:lineRule="exact"/>
        <w:rPr>
          <w:sz w:val="20"/>
          <w:szCs w:val="20"/>
          <w:color w:val="auto"/>
        </w:rPr>
      </w:pPr>
    </w:p>
    <w:p>
      <w:pPr>
        <w:ind w:left="1300" w:hanging="644"/>
        <w:spacing w:after="0" w:line="250" w:lineRule="auto"/>
        <w:tabs>
          <w:tab w:leader="none" w:pos="1127" w:val="left"/>
        </w:tabs>
        <w:numPr>
          <w:ilvl w:val="0"/>
          <w:numId w:val="669"/>
        </w:numPr>
        <w:rPr>
          <w:rFonts w:ascii="Arial" w:cs="Arial" w:eastAsia="Arial" w:hAnsi="Arial"/>
          <w:sz w:val="22"/>
          <w:szCs w:val="22"/>
          <w:color w:val="auto"/>
        </w:rPr>
      </w:pPr>
      <w:r>
        <w:rPr>
          <w:rFonts w:ascii="Arial" w:cs="Arial" w:eastAsia="Arial" w:hAnsi="Arial"/>
          <w:sz w:val="22"/>
          <w:szCs w:val="22"/>
          <w:color w:val="auto"/>
        </w:rPr>
        <w:t>Neither Party shall use the name, symbol, trademark, trade name or logo of the other Party or any of its Affiliates in any press release, publication or other form of public disclosure without the prior written consent of the other Party (such consent not to be unreasonably withheld or delayed), except for those disclosures for which consent has already been obtained.</w:t>
      </w:r>
    </w:p>
    <w:p>
      <w:pPr>
        <w:spacing w:after="0" w:line="187" w:lineRule="exact"/>
        <w:rPr>
          <w:rFonts w:ascii="Arial" w:cs="Arial" w:eastAsia="Arial" w:hAnsi="Arial"/>
          <w:sz w:val="22"/>
          <w:szCs w:val="22"/>
          <w:color w:val="auto"/>
        </w:rPr>
      </w:pPr>
    </w:p>
    <w:p>
      <w:pPr>
        <w:ind w:left="1300" w:hanging="644"/>
        <w:spacing w:after="0" w:line="312" w:lineRule="auto"/>
        <w:tabs>
          <w:tab w:leader="none" w:pos="1193" w:val="left"/>
        </w:tabs>
        <w:numPr>
          <w:ilvl w:val="0"/>
          <w:numId w:val="669"/>
        </w:numPr>
        <w:rPr>
          <w:rFonts w:ascii="Arial" w:cs="Arial" w:eastAsia="Arial" w:hAnsi="Arial"/>
          <w:sz w:val="19"/>
          <w:szCs w:val="19"/>
          <w:color w:val="auto"/>
        </w:rPr>
      </w:pPr>
      <w:r>
        <w:rPr>
          <w:rFonts w:ascii="Arial" w:cs="Arial" w:eastAsia="Arial" w:hAnsi="Arial"/>
          <w:sz w:val="19"/>
          <w:szCs w:val="19"/>
          <w:color w:val="auto"/>
        </w:rPr>
        <w:t>Each Party agrees not to issue any press release or other public statement, whether oral or written, disclosing the existence of this Option Agreement, the terms hereof or any information relating to this Option Agreement without the prior written consent of the other Party; provided that each of MPAG and Novartis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708" w:name="page709"/>
    <w:bookmarkEnd w:id="708"/>
    <w:p>
      <w:pPr>
        <w:jc w:val="both"/>
        <w:ind w:left="1300"/>
        <w:spacing w:after="0" w:line="248" w:lineRule="auto"/>
        <w:rPr>
          <w:sz w:val="20"/>
          <w:szCs w:val="20"/>
          <w:color w:val="auto"/>
        </w:rPr>
      </w:pPr>
      <w:r>
        <w:rPr>
          <w:rFonts w:ascii="Arial" w:cs="Arial" w:eastAsia="Arial" w:hAnsi="Arial"/>
          <w:sz w:val="22"/>
          <w:szCs w:val="22"/>
          <w:color w:val="auto"/>
        </w:rPr>
        <w:t xml:space="preserve">be permitted to issue a press release in the form attached hereto as </w:t>
      </w:r>
      <w:r>
        <w:rPr>
          <w:rFonts w:ascii="Arial" w:cs="Arial" w:eastAsia="Arial" w:hAnsi="Arial"/>
          <w:sz w:val="22"/>
          <w:szCs w:val="22"/>
          <w:u w:val="single" w:color="auto"/>
          <w:color w:val="auto"/>
        </w:rPr>
        <w:t>Exhibit 12.2</w:t>
      </w:r>
      <w:r>
        <w:rPr>
          <w:rFonts w:ascii="Arial" w:cs="Arial" w:eastAsia="Arial" w:hAnsi="Arial"/>
          <w:sz w:val="22"/>
          <w:szCs w:val="22"/>
          <w:color w:val="auto"/>
        </w:rPr>
        <w:t xml:space="preserve">. Neither Party shall be required to seek the permission of the other Party to repeat any information regarding the terms of this Option Agreement that has already been publicly disclosed by such Party or by the other Party in accordance with this </w:t>
      </w:r>
      <w:r>
        <w:rPr>
          <w:rFonts w:ascii="Arial" w:cs="Arial" w:eastAsia="Arial" w:hAnsi="Arial"/>
          <w:sz w:val="22"/>
          <w:szCs w:val="22"/>
          <w:u w:val="single" w:color="auto"/>
          <w:color w:val="auto"/>
        </w:rPr>
        <w:t>Section 12.2</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such information remains accurate as of such time and provided the frequency and form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disclosure are reasonable and commercially justifiable.</w:t>
      </w:r>
    </w:p>
    <w:p>
      <w:pPr>
        <w:spacing w:after="0" w:line="192" w:lineRule="exact"/>
        <w:rPr>
          <w:sz w:val="20"/>
          <w:szCs w:val="20"/>
          <w:color w:val="auto"/>
        </w:rPr>
      </w:pPr>
    </w:p>
    <w:p>
      <w:pPr>
        <w:ind w:left="1300" w:hanging="644"/>
        <w:spacing w:after="0" w:line="286" w:lineRule="auto"/>
        <w:tabs>
          <w:tab w:leader="none" w:pos="1162" w:val="left"/>
        </w:tabs>
        <w:numPr>
          <w:ilvl w:val="1"/>
          <w:numId w:val="670"/>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this </w:t>
      </w:r>
      <w:r>
        <w:rPr>
          <w:rFonts w:ascii="Arial" w:cs="Arial" w:eastAsia="Arial" w:hAnsi="Arial"/>
          <w:sz w:val="19"/>
          <w:szCs w:val="19"/>
          <w:u w:val="single" w:color="auto"/>
          <w:color w:val="auto"/>
        </w:rPr>
        <w:t>Section 12.2</w:t>
      </w:r>
      <w:r>
        <w:rPr>
          <w:rFonts w:ascii="Arial" w:cs="Arial" w:eastAsia="Arial" w:hAnsi="Arial"/>
          <w:sz w:val="19"/>
          <w:szCs w:val="19"/>
          <w:color w:val="auto"/>
        </w:rPr>
        <w:t>, each Party may make any disclosures required of it to comply with any duty of disclosure it may have pursuant to Applicable Law or governmental regulation or pursuant to the rules of any recognized stock exchange. In the event of a disclosure required by Applicable Law, governmental regulation or the rules of any recognized stock exchange, the Parties shall coordinate with each other with respect to the timing, form, and content of such required disclosure. If so requested by the other Party, the Party subject to such obligation shall use commercially reasonable efforts to obtain an order protecting to the maximum extent possible the confidentiality of such provisions of this Option Agreement as reasonably requested by the other Party. If the Parties are unable to agree on the form or content of any required disclosure, such disclosure shall be limited to the minimum required as determined by the disclosing Party in consultation with its legal counsel. Without limiting the foregoing, each Party shall consult with the other Party and reasonably cooperate with the other Party on the provisions of this Option Agreement, together with Exhibits or other attachments attached hereto, to be redacted in any filings made by MPAG or Novartis with the Securities and Exchange Commission (or other regulatory body) or as otherwise required by law.</w:t>
      </w:r>
    </w:p>
    <w:p>
      <w:pPr>
        <w:spacing w:after="0" w:line="159" w:lineRule="exact"/>
        <w:rPr>
          <w:rFonts w:ascii="Arial" w:cs="Arial" w:eastAsia="Arial" w:hAnsi="Arial"/>
          <w:sz w:val="19"/>
          <w:szCs w:val="19"/>
          <w:color w:val="auto"/>
        </w:rPr>
      </w:pPr>
    </w:p>
    <w:p>
      <w:pPr>
        <w:ind w:left="500" w:hanging="492"/>
        <w:spacing w:after="0"/>
        <w:tabs>
          <w:tab w:leader="none" w:pos="500" w:val="left"/>
        </w:tabs>
        <w:numPr>
          <w:ilvl w:val="0"/>
          <w:numId w:val="671"/>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20"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b w:val="1"/>
          <w:bCs w:val="1"/>
          <w:color w:val="auto"/>
        </w:rPr>
        <w:t>Assignment</w:t>
      </w:r>
      <w:r>
        <w:rPr>
          <w:rFonts w:ascii="Arial" w:cs="Arial" w:eastAsia="Arial" w:hAnsi="Arial"/>
          <w:sz w:val="19"/>
          <w:szCs w:val="19"/>
          <w:color w:val="auto"/>
        </w:rPr>
        <w:t>. Neither Party may assign or transfer this Option Agreement or its rights and obligations under this Option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without the other Party’s prior written consent, except that: (a) either Party may assign or transfer this Option Agreement or its rights and obligations under this Option Agreement or any part hereof to [***] of its Affiliates without the consent of the other Party; and (b) either Party may assign or transfer this Option Agreement in its entirety to a successor to all or substantially all of its business or assets to which this Option Agreement relates, whether by merger, sale of stock, sale of assets, or otherwise without the consent of the other Party. The assigning Party shall provide the other Party with prompt written notice of any such assignment. Any permitted assignee shall assume all obligations of its assignor under this Option Agreement (or related to the assigned portion in case of a partial assignment to an Affiliate), and no permitted assignment shall relieve the assignor of liability hereunder. Any attempted assignment in contravention of the foregoing shall be void. Subject to the terms of this Option Agreement, this Option Agreement shall be binding upon and inure to the benefit of the Parties hereto and their respective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709" w:name="page710"/>
    <w:bookmarkEnd w:id="709"/>
    <w:p>
      <w:pPr>
        <w:jc w:val="both"/>
        <w:ind w:left="600" w:hanging="647"/>
        <w:spacing w:after="0" w:line="288" w:lineRule="auto"/>
        <w:tabs>
          <w:tab w:leader="none" w:pos="5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Change of Control Event Involving MPAG</w:t>
      </w:r>
      <w:r>
        <w:rPr>
          <w:rFonts w:ascii="Arial" w:cs="Arial" w:eastAsia="Arial" w:hAnsi="Arial"/>
          <w:sz w:val="19"/>
          <w:szCs w:val="19"/>
          <w:color w:val="auto"/>
        </w:rPr>
        <w:t>. In the event MPAG is subject to a Change of Control, it will provide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to Novartis within [***] following the closing of such Change of Control, and such notice will identify the Third Party acquiring company (the “</w:t>
      </w:r>
      <w:r>
        <w:rPr>
          <w:rFonts w:ascii="Arial" w:cs="Arial" w:eastAsia="Arial" w:hAnsi="Arial"/>
          <w:sz w:val="19"/>
          <w:szCs w:val="19"/>
          <w:b w:val="1"/>
          <w:bCs w:val="1"/>
          <w:color w:val="auto"/>
        </w:rPr>
        <w:t>Acquirer</w:t>
      </w:r>
      <w:r>
        <w:rPr>
          <w:rFonts w:ascii="Arial" w:cs="Arial" w:eastAsia="Arial" w:hAnsi="Arial"/>
          <w:sz w:val="19"/>
          <w:szCs w:val="19"/>
          <w:color w:val="auto"/>
        </w:rPr>
        <w:t xml:space="preserve">”) and the contact information of the person at the Acquirer with whom Novartis will work to schedule meetings between the Acquirer and Novartis. Promptly following the closing of such Change of Control, MPAG or the Acquirer will meet or hold a teleconference with Novartis at a mutually agreed date, time and place to discuss any possible impacts of the Change of Control for this Option Agreement, and, if Novartis has elected to terminate this Option Agreement pursuant to </w:t>
      </w:r>
      <w:r>
        <w:rPr>
          <w:rFonts w:ascii="Arial" w:cs="Arial" w:eastAsia="Arial" w:hAnsi="Arial"/>
          <w:sz w:val="19"/>
          <w:szCs w:val="19"/>
          <w:u w:val="single" w:color="auto"/>
          <w:color w:val="auto"/>
        </w:rPr>
        <w:t>Section 9.2</w:t>
      </w:r>
      <w:r>
        <w:rPr>
          <w:rFonts w:ascii="Arial" w:cs="Arial" w:eastAsia="Arial" w:hAnsi="Arial"/>
          <w:sz w:val="19"/>
          <w:szCs w:val="19"/>
          <w:color w:val="auto"/>
        </w:rPr>
        <w:t>, the orderly transition of such activities to MPAG, the Acquirer or an Affiliate or designee. Notwithstanding anything to the contrary herein, in the event of a Change of Control of MPAG, the intellectual property rights of the Acquirer (and its Affiliates existing prior to the Change of Control or thereafter other than MPAG), whether controlled prior to the Change of Control or developed independently of this Agreement, will not be included in the Products IP or the Platform IP licensed by MPAG to Novartis hereunder.</w:t>
      </w:r>
    </w:p>
    <w:p>
      <w:pPr>
        <w:spacing w:after="0" w:line="153" w:lineRule="exact"/>
        <w:rPr>
          <w:sz w:val="20"/>
          <w:szCs w:val="20"/>
          <w:color w:val="auto"/>
        </w:rPr>
      </w:pPr>
    </w:p>
    <w:p>
      <w:pPr>
        <w:jc w:val="both"/>
        <w:ind w:left="620" w:hanging="647"/>
        <w:spacing w:after="0" w:line="249" w:lineRule="auto"/>
        <w:tabs>
          <w:tab w:leader="none" w:pos="60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2"/>
          <w:szCs w:val="22"/>
          <w:b w:val="1"/>
          <w:bCs w:val="1"/>
          <w:color w:val="auto"/>
        </w:rPr>
        <w:t>Extension to Affiliates</w:t>
      </w:r>
      <w:r>
        <w:rPr>
          <w:rFonts w:ascii="Arial" w:cs="Arial" w:eastAsia="Arial" w:hAnsi="Arial"/>
          <w:sz w:val="22"/>
          <w:szCs w:val="22"/>
          <w:color w:val="auto"/>
        </w:rPr>
        <w:t>. Each Party shall have the right to extend the rights, licenses, immunities, and obligations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Option Agreement to one or more of its Affiliates. All applicable terms and provisions of this Option Agreement shall apply to any such Affiliate to which this Option Agreement has been extended to the same extent as such terms and provisions apply to such Party, and such Party shall remain fully liable for any acts or omissions of such Affiliates in breach thereof.</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b w:val="1"/>
          <w:bCs w:val="1"/>
          <w:color w:val="auto"/>
        </w:rPr>
        <w:t>Indirect Tax</w:t>
      </w:r>
      <w:r>
        <w:rPr>
          <w:rFonts w:ascii="Arial" w:cs="Arial" w:eastAsia="Arial" w:hAnsi="Arial"/>
          <w:sz w:val="19"/>
          <w:szCs w:val="19"/>
          <w:color w:val="auto"/>
        </w:rPr>
        <w:t>.</w:t>
      </w:r>
    </w:p>
    <w:p>
      <w:pPr>
        <w:spacing w:after="0" w:line="226" w:lineRule="exact"/>
        <w:rPr>
          <w:sz w:val="20"/>
          <w:szCs w:val="20"/>
          <w:color w:val="auto"/>
        </w:rPr>
      </w:pPr>
    </w:p>
    <w:p>
      <w:pPr>
        <w:jc w:val="right"/>
        <w:ind w:left="1300" w:hanging="644"/>
        <w:spacing w:after="0" w:line="297" w:lineRule="auto"/>
        <w:tabs>
          <w:tab w:leader="none" w:pos="1140" w:val="left"/>
        </w:tabs>
        <w:numPr>
          <w:ilvl w:val="0"/>
          <w:numId w:val="672"/>
        </w:numPr>
        <w:rPr>
          <w:rFonts w:ascii="Arial" w:cs="Arial" w:eastAsia="Arial" w:hAnsi="Arial"/>
          <w:sz w:val="19"/>
          <w:szCs w:val="19"/>
          <w:color w:val="auto"/>
        </w:rPr>
      </w:pPr>
      <w:r>
        <w:rPr>
          <w:rFonts w:ascii="Arial" w:cs="Arial" w:eastAsia="Arial" w:hAnsi="Arial"/>
          <w:sz w:val="19"/>
          <w:szCs w:val="19"/>
          <w:color w:val="auto"/>
        </w:rPr>
        <w:t>Each amount stated as payable by Novartis under or pursuant to this Option Agreement is exclusive of value added tax (“</w:t>
      </w:r>
      <w:r>
        <w:rPr>
          <w:rFonts w:ascii="Arial" w:cs="Arial" w:eastAsia="Arial" w:hAnsi="Arial"/>
          <w:sz w:val="19"/>
          <w:szCs w:val="19"/>
          <w:b w:val="1"/>
          <w:bCs w:val="1"/>
          <w:color w:val="auto"/>
        </w:rPr>
        <w:t>VAT</w:t>
      </w:r>
      <w:r>
        <w:rPr>
          <w:rFonts w:ascii="Arial" w:cs="Arial" w:eastAsia="Arial" w:hAnsi="Arial"/>
          <w:sz w:val="19"/>
          <w:szCs w:val="19"/>
          <w:color w:val="auto"/>
        </w:rPr>
        <w:t>”) (if any). If any VAT is payable or chargeable on or in respect of the sale of the grant of the Option or any supply by MPAG or its Affiliates under this Option Agreement, Novartis shall pay to MPAG the amount of that VAT in addition to the relevant consideration. Such payment will only be made by Novartis if MPAG provides Novartis prior to the payment with a valid VAT invoice in the appropriate form and based on local indirect tax law.</w:t>
      </w:r>
    </w:p>
    <w:p>
      <w:pPr>
        <w:spacing w:after="0" w:line="146" w:lineRule="exact"/>
        <w:rPr>
          <w:rFonts w:ascii="Arial" w:cs="Arial" w:eastAsia="Arial" w:hAnsi="Arial"/>
          <w:sz w:val="19"/>
          <w:szCs w:val="19"/>
          <w:color w:val="auto"/>
        </w:rPr>
      </w:pPr>
    </w:p>
    <w:p>
      <w:pPr>
        <w:ind w:left="1300" w:hanging="644"/>
        <w:spacing w:after="0" w:line="253" w:lineRule="auto"/>
        <w:tabs>
          <w:tab w:leader="none" w:pos="1129" w:val="left"/>
        </w:tabs>
        <w:numPr>
          <w:ilvl w:val="0"/>
          <w:numId w:val="672"/>
        </w:numPr>
        <w:rPr>
          <w:rFonts w:ascii="Arial" w:cs="Arial" w:eastAsia="Arial" w:hAnsi="Arial"/>
          <w:sz w:val="22"/>
          <w:szCs w:val="22"/>
          <w:color w:val="auto"/>
        </w:rPr>
      </w:pPr>
      <w:r>
        <w:rPr>
          <w:rFonts w:ascii="Arial" w:cs="Arial" w:eastAsia="Arial" w:hAnsi="Arial"/>
          <w:sz w:val="22"/>
          <w:szCs w:val="22"/>
          <w:color w:val="auto"/>
        </w:rPr>
        <w:t>Novartis and MPAG agree that, so far as possible, the grant of the option pursuant to this Option Agreement shall be treated with the notification procedure according to Art. 38 of the Swiss VAT law and the Parties shall take reasonable steps to achieve such VAT treatment.</w:t>
      </w:r>
    </w:p>
    <w:p>
      <w:pPr>
        <w:spacing w:after="0" w:line="185" w:lineRule="exact"/>
        <w:rPr>
          <w:rFonts w:ascii="Arial" w:cs="Arial" w:eastAsia="Arial" w:hAnsi="Arial"/>
          <w:sz w:val="22"/>
          <w:szCs w:val="22"/>
          <w:color w:val="auto"/>
        </w:rPr>
      </w:pPr>
    </w:p>
    <w:p>
      <w:pPr>
        <w:ind w:left="1300" w:hanging="644"/>
        <w:spacing w:after="0" w:line="297" w:lineRule="auto"/>
        <w:tabs>
          <w:tab w:leader="none" w:pos="1204" w:val="left"/>
        </w:tabs>
        <w:numPr>
          <w:ilvl w:val="0"/>
          <w:numId w:val="672"/>
        </w:numPr>
        <w:rPr>
          <w:rFonts w:ascii="Arial" w:cs="Arial" w:eastAsia="Arial" w:hAnsi="Arial"/>
          <w:sz w:val="19"/>
          <w:szCs w:val="19"/>
          <w:color w:val="auto"/>
        </w:rPr>
      </w:pPr>
      <w:r>
        <w:rPr>
          <w:rFonts w:ascii="Arial" w:cs="Arial" w:eastAsia="Arial" w:hAnsi="Arial"/>
          <w:sz w:val="19"/>
          <w:szCs w:val="19"/>
          <w:color w:val="auto"/>
        </w:rPr>
        <w:t>The Parties will initiate and pursue in respect of the grant of the option the mandatory or voluntary notification procedure (“Meldeverfahren”) as foreseen in article 38 Swiss VAT law. As of the Execution Date, MPAG is registered in the UID register under the number CHE-112.115.136 MWST and Novartis under the number CHE 116.268.023 MWST. The Parties shall cooperate with each other and, within the applicable legal deadlines, notify the Swiss Federal Tax Administration of the business transaction, and undertake in a timely manner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2" w:right="339" w:bottom="1440" w:gutter="0" w:footer="0" w:header="0"/>
        </w:sectPr>
      </w:pPr>
    </w:p>
    <w:bookmarkStart w:id="710" w:name="page711"/>
    <w:bookmarkEnd w:id="710"/>
    <w:p>
      <w:pPr>
        <w:jc w:val="both"/>
        <w:ind w:left="1280"/>
        <w:spacing w:after="0" w:line="263" w:lineRule="auto"/>
        <w:rPr>
          <w:sz w:val="20"/>
          <w:szCs w:val="20"/>
          <w:color w:val="auto"/>
        </w:rPr>
      </w:pPr>
      <w:r>
        <w:rPr>
          <w:rFonts w:ascii="Arial" w:cs="Arial" w:eastAsia="Arial" w:hAnsi="Arial"/>
          <w:sz w:val="21"/>
          <w:szCs w:val="21"/>
          <w:color w:val="auto"/>
        </w:rPr>
        <w:t>steps required by Swiss law in connection with such notification procedure (including the timely filing of the signed form 764). MPAG shall provide all information and documentation to Novartis which is necessary to evidence the previous input VAT deductions and use of goods or services received within [***] after the Execution Date. By application of the notification procedure, no specific indication of any VAT being due (e.g. “incl. VAT”, etc.) shall be made, except for the notion that the notification procedure applies.</w:t>
      </w:r>
    </w:p>
    <w:p>
      <w:pPr>
        <w:spacing w:after="0" w:line="175" w:lineRule="exact"/>
        <w:rPr>
          <w:sz w:val="20"/>
          <w:szCs w:val="20"/>
          <w:color w:val="auto"/>
        </w:rPr>
      </w:pPr>
    </w:p>
    <w:p>
      <w:pPr>
        <w:ind w:left="1280" w:hanging="644"/>
        <w:spacing w:after="0" w:line="343" w:lineRule="auto"/>
        <w:tabs>
          <w:tab w:leader="none" w:pos="1156" w:val="left"/>
        </w:tabs>
        <w:numPr>
          <w:ilvl w:val="0"/>
          <w:numId w:val="673"/>
        </w:numPr>
        <w:rPr>
          <w:rFonts w:ascii="Arial" w:cs="Arial" w:eastAsia="Arial" w:hAnsi="Arial"/>
          <w:sz w:val="19"/>
          <w:szCs w:val="19"/>
          <w:color w:val="auto"/>
        </w:rPr>
      </w:pPr>
      <w:r>
        <w:rPr>
          <w:rFonts w:ascii="Arial" w:cs="Arial" w:eastAsia="Arial" w:hAnsi="Arial"/>
          <w:sz w:val="19"/>
          <w:szCs w:val="19"/>
          <w:color w:val="auto"/>
        </w:rPr>
        <w:t>Should, however, VAT be chargeable on the granting of the option or any part thereof in Switzerland or abroad, it shall be fully payable by Novartis. Reference is made to the first paragraph of this indirect tax clause.</w:t>
      </w:r>
    </w:p>
    <w:p>
      <w:pPr>
        <w:spacing w:after="0" w:line="104" w:lineRule="exact"/>
        <w:rPr>
          <w:rFonts w:ascii="Arial" w:cs="Arial" w:eastAsia="Arial" w:hAnsi="Arial"/>
          <w:sz w:val="19"/>
          <w:szCs w:val="19"/>
          <w:color w:val="auto"/>
        </w:rPr>
      </w:pPr>
    </w:p>
    <w:p>
      <w:pPr>
        <w:ind w:left="1280" w:hanging="644"/>
        <w:spacing w:after="0" w:line="287" w:lineRule="auto"/>
        <w:tabs>
          <w:tab w:leader="none" w:pos="1153" w:val="left"/>
        </w:tabs>
        <w:numPr>
          <w:ilvl w:val="0"/>
          <w:numId w:val="673"/>
        </w:numPr>
        <w:rPr>
          <w:rFonts w:ascii="Arial" w:cs="Arial" w:eastAsia="Arial" w:hAnsi="Arial"/>
          <w:sz w:val="21"/>
          <w:szCs w:val="21"/>
          <w:color w:val="auto"/>
        </w:rPr>
      </w:pPr>
      <w:r>
        <w:rPr>
          <w:rFonts w:ascii="Arial" w:cs="Arial" w:eastAsia="Arial" w:hAnsi="Arial"/>
          <w:sz w:val="21"/>
          <w:szCs w:val="21"/>
          <w:color w:val="auto"/>
        </w:rPr>
        <w:t>Each Party shall bear all taxes for which it is liable under applicable law (other than VAT or equivalent tax as set forth in the preceding paragraph) incurred in connection with the Transfer or any part thereof.</w:t>
      </w:r>
    </w:p>
    <w:p>
      <w:pPr>
        <w:spacing w:after="0" w:line="145" w:lineRule="exact"/>
        <w:rPr>
          <w:sz w:val="20"/>
          <w:szCs w:val="20"/>
          <w:color w:val="auto"/>
        </w:rPr>
      </w:pPr>
    </w:p>
    <w:p>
      <w:pPr>
        <w:jc w:val="both"/>
        <w:ind w:left="640" w:hanging="647"/>
        <w:spacing w:after="0" w:line="249" w:lineRule="auto"/>
        <w:tabs>
          <w:tab w:leader="none" w:pos="62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2"/>
          <w:szCs w:val="22"/>
          <w:b w:val="1"/>
          <w:bCs w:val="1"/>
          <w:color w:val="auto"/>
        </w:rPr>
        <w:t>Severability</w:t>
      </w:r>
      <w:r>
        <w:rPr>
          <w:rFonts w:ascii="Arial" w:cs="Arial" w:eastAsia="Arial" w:hAnsi="Arial"/>
          <w:sz w:val="22"/>
          <w:szCs w:val="22"/>
          <w:color w:val="auto"/>
        </w:rPr>
        <w:t>. Should one (1) or more of the provisions of this Option Agreement become invalid or unenforceable as a</w:t>
      </w:r>
      <w:r>
        <w:rPr>
          <w:rFonts w:ascii="Arial" w:cs="Arial" w:eastAsia="Arial" w:hAnsi="Arial"/>
          <w:sz w:val="22"/>
          <w:szCs w:val="22"/>
          <w:b w:val="1"/>
          <w:bCs w:val="1"/>
          <w:color w:val="auto"/>
        </w:rPr>
        <w:t xml:space="preserve"> </w:t>
      </w:r>
      <w:r>
        <w:rPr>
          <w:rFonts w:ascii="Arial" w:cs="Arial" w:eastAsia="Arial" w:hAnsi="Arial"/>
          <w:sz w:val="22"/>
          <w:szCs w:val="22"/>
          <w:color w:val="auto"/>
        </w:rPr>
        <w:t>matter of law, then this Option Agreement shall be construed as if such provision were not contained herein and the remainder of this Option Agreement shall be in full force and effect, and the Parties will use their commercially reasonable efforts to substitute for the invalid or unenforceable provision a valid and enforceable provision which conforms as nearly as possible with the original intent of the Parties.</w:t>
      </w:r>
    </w:p>
    <w:p>
      <w:pPr>
        <w:spacing w:after="0" w:line="186"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1"/>
          <w:szCs w:val="21"/>
          <w:b w:val="1"/>
          <w:bCs w:val="1"/>
          <w:color w:val="auto"/>
        </w:rPr>
        <w:t>Dispute Resolution</w:t>
      </w:r>
      <w:r>
        <w:rPr>
          <w:rFonts w:ascii="Arial" w:cs="Arial" w:eastAsia="Arial" w:hAnsi="Arial"/>
          <w:sz w:val="21"/>
          <w:szCs w:val="21"/>
          <w:color w:val="auto"/>
        </w:rPr>
        <w:t>. In the event of any disputes, controversies or differences between the Parties (except for disputes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arising from the Governance Committee, which will be handled pursuant to </w:t>
      </w:r>
      <w:r>
        <w:rPr>
          <w:rFonts w:ascii="Arial" w:cs="Arial" w:eastAsia="Arial" w:hAnsi="Arial"/>
          <w:sz w:val="21"/>
          <w:szCs w:val="21"/>
          <w:u w:val="single" w:color="auto"/>
          <w:color w:val="auto"/>
        </w:rPr>
        <w:t>Section 5.4</w:t>
      </w:r>
      <w:r>
        <w:rPr>
          <w:rFonts w:ascii="Arial" w:cs="Arial" w:eastAsia="Arial" w:hAnsi="Arial"/>
          <w:sz w:val="21"/>
          <w:szCs w:val="21"/>
          <w:color w:val="auto"/>
        </w:rPr>
        <w:t>), arising out of, in relation to, or in connection with this Option Agreement, including any alleged failure to perform, or breach, of this Option Agreement, or any issue relating to the validity, construction, interpretation, enforceability, breach, performance, application, or termination of this Option Agreement a (“</w:t>
      </w:r>
      <w:r>
        <w:rPr>
          <w:rFonts w:ascii="Arial" w:cs="Arial" w:eastAsia="Arial" w:hAnsi="Arial"/>
          <w:sz w:val="21"/>
          <w:szCs w:val="21"/>
          <w:b w:val="1"/>
          <w:bCs w:val="1"/>
          <w:color w:val="auto"/>
        </w:rPr>
        <w:t>Dispute</w:t>
      </w:r>
      <w:r>
        <w:rPr>
          <w:rFonts w:ascii="Arial" w:cs="Arial" w:eastAsia="Arial" w:hAnsi="Arial"/>
          <w:sz w:val="21"/>
          <w:szCs w:val="21"/>
          <w:color w:val="auto"/>
        </w:rPr>
        <w:t xml:space="preserve">”), then upon the written request of either Party, the Parties agree to a meeting of the appropriate subject matter expert at each Party, as determined by each Party’s Alliance Director, and discuss in good faith an amicable resolution thereof. If the Dispute is not resolved within [***] following the written request for amicable resolution, then either Party may then escalate the matter to the [***] of each of Novartis and MPAG. If the [***] of the Parties cannot resolve the Dispute within [***] following escalation thereto for amicable resolution, then either Party may initiate arbitration under </w:t>
      </w:r>
      <w:r>
        <w:rPr>
          <w:rFonts w:ascii="Arial" w:cs="Arial" w:eastAsia="Arial" w:hAnsi="Arial"/>
          <w:sz w:val="21"/>
          <w:szCs w:val="21"/>
          <w:u w:val="single" w:color="auto"/>
          <w:color w:val="auto"/>
        </w:rPr>
        <w:t>Section 13.7</w:t>
      </w:r>
      <w:r>
        <w:rPr>
          <w:rFonts w:ascii="Arial" w:cs="Arial" w:eastAsia="Arial" w:hAnsi="Arial"/>
          <w:sz w:val="21"/>
          <w:szCs w:val="21"/>
          <w:color w:val="auto"/>
        </w:rPr>
        <w:t>.</w:t>
      </w:r>
    </w:p>
    <w:p>
      <w:pPr>
        <w:spacing w:after="0" w:line="175" w:lineRule="exact"/>
        <w:rPr>
          <w:sz w:val="20"/>
          <w:szCs w:val="20"/>
          <w:color w:val="auto"/>
        </w:rPr>
      </w:pPr>
    </w:p>
    <w:p>
      <w:pPr>
        <w:jc w:val="both"/>
        <w:ind w:left="600" w:hanging="647"/>
        <w:spacing w:after="0" w:line="248" w:lineRule="auto"/>
        <w:tabs>
          <w:tab w:leader="none" w:pos="58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22"/>
          <w:szCs w:val="22"/>
          <w:b w:val="1"/>
          <w:bCs w:val="1"/>
          <w:color w:val="auto"/>
        </w:rPr>
        <w:t>Governing Law and Jurisdiction</w:t>
      </w:r>
      <w:r>
        <w:rPr>
          <w:rFonts w:ascii="Arial" w:cs="Arial" w:eastAsia="Arial" w:hAnsi="Arial"/>
          <w:sz w:val="22"/>
          <w:szCs w:val="22"/>
          <w:color w:val="auto"/>
        </w:rPr>
        <w:t>. This Option Agreement shall be governed by, and interpreted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substantive laws of Switzerland (excluding its rules on conflict of laws and excluding the UN Convention on Contracts for the International Sale of Goods). Any dispute, controversy or claim arising out of, or in relation to, this Option Agreement, including the validity, invalidity, breach, or termination thereof, shall be resolved by arbitration in accordance with the Swiss Rules of International Arbitration of the Swiss Chambers’ Arbitration Institution in force on the date on which the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40" w:top="1428" w:right="339" w:bottom="1440" w:gutter="0" w:footer="0" w:header="0"/>
        </w:sectPr>
      </w:pPr>
    </w:p>
    <w:bookmarkStart w:id="711" w:name="page712"/>
    <w:bookmarkEnd w:id="711"/>
    <w:p>
      <w:pPr>
        <w:ind w:left="660"/>
        <w:spacing w:after="0" w:line="263" w:lineRule="auto"/>
        <w:rPr>
          <w:sz w:val="20"/>
          <w:szCs w:val="20"/>
          <w:color w:val="auto"/>
        </w:rPr>
      </w:pPr>
      <w:r>
        <w:rPr>
          <w:rFonts w:ascii="Arial" w:cs="Arial" w:eastAsia="Arial" w:hAnsi="Arial"/>
          <w:sz w:val="22"/>
          <w:szCs w:val="22"/>
          <w:color w:val="auto"/>
        </w:rPr>
        <w:t>Arbitration is submitted in accordance with these Rules. The number of arbitrators shall be [***]; the seat of the arbitration shall be Zurich, Switzerland; the arbitral proceedings shall be conducted in English.</w:t>
      </w:r>
    </w:p>
    <w:p>
      <w:pPr>
        <w:spacing w:after="0" w:line="169" w:lineRule="exact"/>
        <w:rPr>
          <w:sz w:val="20"/>
          <w:szCs w:val="20"/>
          <w:color w:val="auto"/>
        </w:rPr>
      </w:pPr>
    </w:p>
    <w:p>
      <w:pPr>
        <w:jc w:val="both"/>
        <w:ind w:left="620" w:hanging="647"/>
        <w:spacing w:after="0" w:line="291" w:lineRule="auto"/>
        <w:tabs>
          <w:tab w:leader="none" w:pos="60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b w:val="1"/>
          <w:bCs w:val="1"/>
          <w:color w:val="auto"/>
        </w:rPr>
        <w:t>Specific Performance</w:t>
      </w:r>
      <w:r>
        <w:rPr>
          <w:rFonts w:ascii="Arial" w:cs="Arial" w:eastAsia="Arial" w:hAnsi="Arial"/>
          <w:sz w:val="19"/>
          <w:szCs w:val="19"/>
          <w:color w:val="auto"/>
        </w:rPr>
        <w:t>. The Parties agree that irreparable damage would occur if any provision of this Option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were not performed in accordance with the terms hereof and that each Party shall be entitled to specific performance of the terms hereof, in addition to any other remedy to which it is entitled at law or in equity. It is therefore agreed that each Party shall be entitled to seek a temporary, preliminary and/or permanent injunction or injunctions to prevent breaches of this Option Agreement and to enforce specifically the performance of the terms of this Option Agreement, without posting any bond or other undertaking, in addition to any other remedy to which they are entitled at law or in equity, and if any action should be brought in equity to enforce any of the provisions of this Option Agreement, the other Party shall not raise the defense that there is an adequate remedy at law.</w:t>
      </w:r>
    </w:p>
    <w:p>
      <w:pPr>
        <w:spacing w:after="0" w:line="149"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22"/>
          <w:szCs w:val="22"/>
          <w:b w:val="1"/>
          <w:bCs w:val="1"/>
          <w:color w:val="auto"/>
        </w:rPr>
        <w:t>Force Majeure</w:t>
      </w:r>
      <w:r>
        <w:rPr>
          <w:rFonts w:ascii="Arial" w:cs="Arial" w:eastAsia="Arial" w:hAnsi="Arial"/>
          <w:sz w:val="22"/>
          <w:szCs w:val="22"/>
          <w:color w:val="auto"/>
        </w:rPr>
        <w:t>. Neither Party shall be responsible to the other Party for any failure or delay in performing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this Option Agreement or for other nonperformance hereunder if such delay or nonperformance is caused by strike, stoppage of labor, lockout or other labor trouble, fire, flood, epidemic, pandemic, accident, war, act of terrorism, act of God or of the government of any country or of any local government, or by any other cause unavoidable or beyond the control of any Party hereto. In such event, the Party affected will use commercially reasonable efforts to resume performance of its obligations.</w:t>
      </w:r>
    </w:p>
    <w:p>
      <w:pPr>
        <w:spacing w:after="0" w:line="187"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22"/>
          <w:szCs w:val="22"/>
          <w:color w:val="auto"/>
        </w:rPr>
        <w:t>13.10</w:t>
      </w:r>
      <w:r>
        <w:rPr>
          <w:sz w:val="20"/>
          <w:szCs w:val="20"/>
          <w:color w:val="auto"/>
        </w:rPr>
        <w:tab/>
      </w:r>
      <w:r>
        <w:rPr>
          <w:rFonts w:ascii="Arial" w:cs="Arial" w:eastAsia="Arial" w:hAnsi="Arial"/>
          <w:sz w:val="21"/>
          <w:szCs w:val="21"/>
          <w:b w:val="1"/>
          <w:bCs w:val="1"/>
          <w:color w:val="auto"/>
        </w:rPr>
        <w:t>Waivers and Amendments</w:t>
      </w:r>
      <w:r>
        <w:rPr>
          <w:rFonts w:ascii="Arial" w:cs="Arial" w:eastAsia="Arial" w:hAnsi="Arial"/>
          <w:sz w:val="21"/>
          <w:szCs w:val="21"/>
          <w:color w:val="auto"/>
        </w:rPr>
        <w:t>. The failure of any Party to assert a right hereunder or to insist upon compliance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term or condition of this Option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Option Agreement may be amended or modified other than by a written document signed by authorized representatives of each Party.</w:t>
      </w:r>
    </w:p>
    <w:p>
      <w:pPr>
        <w:spacing w:after="0" w:line="170"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Arial" w:cs="Arial" w:eastAsia="Arial" w:hAnsi="Arial"/>
          <w:sz w:val="22"/>
          <w:szCs w:val="22"/>
          <w:color w:val="auto"/>
        </w:rPr>
        <w:t>13.11</w:t>
      </w:r>
      <w:r>
        <w:rPr>
          <w:sz w:val="20"/>
          <w:szCs w:val="20"/>
          <w:color w:val="auto"/>
        </w:rPr>
        <w:tab/>
      </w:r>
      <w:r>
        <w:rPr>
          <w:rFonts w:ascii="Arial" w:cs="Arial" w:eastAsia="Arial" w:hAnsi="Arial"/>
          <w:sz w:val="21"/>
          <w:szCs w:val="21"/>
          <w:b w:val="1"/>
          <w:bCs w:val="1"/>
          <w:color w:val="auto"/>
        </w:rPr>
        <w:t>Relationship of the Parties</w:t>
      </w:r>
      <w:r>
        <w:rPr>
          <w:rFonts w:ascii="Arial" w:cs="Arial" w:eastAsia="Arial" w:hAnsi="Arial"/>
          <w:sz w:val="21"/>
          <w:szCs w:val="21"/>
          <w:color w:val="auto"/>
        </w:rPr>
        <w:t>. Nothing contained in this Option Agreement shall be deemed to constitute a partnership,</w:t>
      </w:r>
      <w:r>
        <w:rPr>
          <w:rFonts w:ascii="Arial" w:cs="Arial" w:eastAsia="Arial" w:hAnsi="Arial"/>
          <w:sz w:val="21"/>
          <w:szCs w:val="21"/>
          <w:b w:val="1"/>
          <w:bCs w:val="1"/>
          <w:color w:val="auto"/>
        </w:rPr>
        <w:t xml:space="preserve"> </w:t>
      </w:r>
      <w:r>
        <w:rPr>
          <w:rFonts w:ascii="Arial" w:cs="Arial" w:eastAsia="Arial" w:hAnsi="Arial"/>
          <w:sz w:val="21"/>
          <w:szCs w:val="21"/>
          <w:color w:val="auto"/>
        </w:rPr>
        <w:t>joint venture, or legal entity of any type between MPAG and Novartis, or to constitute one as the agent of the other. Each Party shall act solely as an independent contractor, and nothing in this Option Agreement shall be construed to give either Party the power or authority to act for, bind, or commit the other Party.</w:t>
      </w:r>
    </w:p>
    <w:p>
      <w:pPr>
        <w:spacing w:after="0" w:line="167"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13.12</w:t>
      </w:r>
      <w:r>
        <w:rPr>
          <w:sz w:val="20"/>
          <w:szCs w:val="20"/>
          <w:color w:val="auto"/>
        </w:rPr>
        <w:tab/>
      </w:r>
      <w:r>
        <w:rPr>
          <w:rFonts w:ascii="Arial" w:cs="Arial" w:eastAsia="Arial" w:hAnsi="Arial"/>
          <w:sz w:val="19"/>
          <w:szCs w:val="19"/>
          <w:b w:val="1"/>
          <w:bCs w:val="1"/>
          <w:color w:val="auto"/>
        </w:rPr>
        <w:t>Notices</w:t>
      </w:r>
      <w:r>
        <w:rPr>
          <w:rFonts w:ascii="Arial" w:cs="Arial" w:eastAsia="Arial" w:hAnsi="Arial"/>
          <w:sz w:val="19"/>
          <w:szCs w:val="19"/>
          <w:color w:val="auto"/>
        </w:rPr>
        <w:t>. All notices, consents, waivers, and other communications under this Option Agreement must be in writing and</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deemed to have been duly given when: (a) delivered by hand (with written confirmation of receipt); or (b) when received by the addressee, if sent by an internationally recognized overnight delivery service (receipt requested), in each case, to the appropriate addresses set forth below (or to such other addresses as a Party may designate by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712" w:name="page713"/>
    <w:bookmarkEnd w:id="712"/>
    <w:p>
      <w:pPr>
        <w:ind w:left="660"/>
        <w:spacing w:after="0"/>
        <w:rPr>
          <w:sz w:val="20"/>
          <w:szCs w:val="20"/>
          <w:color w:val="auto"/>
        </w:rPr>
      </w:pPr>
      <w:r>
        <w:rPr>
          <w:rFonts w:ascii="Arial" w:cs="Arial" w:eastAsia="Arial" w:hAnsi="Arial"/>
          <w:sz w:val="22"/>
          <w:szCs w:val="22"/>
          <w:color w:val="auto"/>
        </w:rPr>
        <w:t>If to MPAG:</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Novartis: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14"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color w:val="auto"/>
        </w:rPr>
        <w:t>13.13</w:t>
      </w:r>
      <w:r>
        <w:rPr>
          <w:sz w:val="20"/>
          <w:szCs w:val="20"/>
          <w:color w:val="auto"/>
        </w:rPr>
        <w:tab/>
      </w:r>
      <w:r>
        <w:rPr>
          <w:rFonts w:ascii="Arial" w:cs="Arial" w:eastAsia="Arial" w:hAnsi="Arial"/>
          <w:sz w:val="21"/>
          <w:szCs w:val="21"/>
          <w:b w:val="1"/>
          <w:bCs w:val="1"/>
          <w:color w:val="auto"/>
        </w:rPr>
        <w:t>Further Assurances</w:t>
      </w:r>
      <w:r>
        <w:rPr>
          <w:rFonts w:ascii="Arial" w:cs="Arial" w:eastAsia="Arial" w:hAnsi="Arial"/>
          <w:sz w:val="21"/>
          <w:szCs w:val="21"/>
          <w:color w:val="auto"/>
        </w:rPr>
        <w:t>. Novartis and MPAG each hereby covenant and agree, without the necessity of any further</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to execute, acknowledge and deliver any and all such other documents and take any such other action as may be reasonably necessary to carry out the intent and purposes of this Option Agreement.</w:t>
      </w:r>
    </w:p>
    <w:p>
      <w:pPr>
        <w:spacing w:after="0" w:line="15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13.14</w:t>
      </w:r>
      <w:r>
        <w:rPr>
          <w:sz w:val="20"/>
          <w:szCs w:val="20"/>
          <w:color w:val="auto"/>
        </w:rPr>
        <w:tab/>
      </w:r>
      <w:r>
        <w:rPr>
          <w:rFonts w:ascii="Arial" w:cs="Arial" w:eastAsia="Arial" w:hAnsi="Arial"/>
          <w:sz w:val="22"/>
          <w:szCs w:val="22"/>
          <w:b w:val="1"/>
          <w:bCs w:val="1"/>
          <w:color w:val="auto"/>
        </w:rPr>
        <w:t>No Third Party Beneficiary Rights</w:t>
      </w:r>
      <w:r>
        <w:rPr>
          <w:rFonts w:ascii="Arial" w:cs="Arial" w:eastAsia="Arial" w:hAnsi="Arial"/>
          <w:sz w:val="22"/>
          <w:szCs w:val="22"/>
          <w:color w:val="auto"/>
        </w:rPr>
        <w:t>. The provisions of this Option Agreement are for the sole benefit of the Parties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their successors and permitted assigns, and they shall not be construed as conferring any rights to any Third Party (including any Third Party beneficiary rights).</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13.15</w:t>
      </w:r>
      <w:r>
        <w:rPr>
          <w:sz w:val="20"/>
          <w:szCs w:val="20"/>
          <w:color w:val="auto"/>
        </w:rPr>
        <w:tab/>
      </w:r>
      <w:r>
        <w:rPr>
          <w:rFonts w:ascii="Arial" w:cs="Arial" w:eastAsia="Arial" w:hAnsi="Arial"/>
          <w:sz w:val="22"/>
          <w:szCs w:val="22"/>
          <w:b w:val="1"/>
          <w:bCs w:val="1"/>
          <w:color w:val="auto"/>
        </w:rPr>
        <w:t>English Language</w:t>
      </w:r>
      <w:r>
        <w:rPr>
          <w:rFonts w:ascii="Arial" w:cs="Arial" w:eastAsia="Arial" w:hAnsi="Arial"/>
          <w:sz w:val="22"/>
          <w:szCs w:val="22"/>
          <w:color w:val="auto"/>
        </w:rPr>
        <w:t>. This Option Agreement is written and executed in the English language. Any translation into any</w:t>
      </w:r>
      <w:r>
        <w:rPr>
          <w:rFonts w:ascii="Arial" w:cs="Arial" w:eastAsia="Arial" w:hAnsi="Arial"/>
          <w:sz w:val="22"/>
          <w:szCs w:val="22"/>
          <w:b w:val="1"/>
          <w:bCs w:val="1"/>
          <w:color w:val="auto"/>
        </w:rPr>
        <w:t xml:space="preserve"> </w:t>
      </w:r>
      <w:r>
        <w:rPr>
          <w:rFonts w:ascii="Arial" w:cs="Arial" w:eastAsia="Arial" w:hAnsi="Arial"/>
          <w:sz w:val="22"/>
          <w:szCs w:val="22"/>
          <w:color w:val="auto"/>
        </w:rPr>
        <w:t>other language shall not be an official version of this Option Agreement and, in the event of any conflict in interpretation between the English version and such translation, the English version shall prevail.</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13.16</w:t>
      </w:r>
      <w:r>
        <w:rPr>
          <w:sz w:val="20"/>
          <w:szCs w:val="20"/>
          <w:color w:val="auto"/>
        </w:rPr>
        <w:tab/>
      </w:r>
      <w:r>
        <w:rPr>
          <w:rFonts w:ascii="Arial" w:cs="Arial" w:eastAsia="Arial" w:hAnsi="Arial"/>
          <w:sz w:val="22"/>
          <w:szCs w:val="22"/>
          <w:b w:val="1"/>
          <w:bCs w:val="1"/>
          <w:color w:val="auto"/>
        </w:rPr>
        <w:t>Expenses</w:t>
      </w:r>
      <w:r>
        <w:rPr>
          <w:rFonts w:ascii="Arial" w:cs="Arial" w:eastAsia="Arial" w:hAnsi="Arial"/>
          <w:sz w:val="22"/>
          <w:szCs w:val="22"/>
          <w:color w:val="auto"/>
        </w:rPr>
        <w:t>. Except as otherwise expressly provided in this Option Agreement, each Party shall pay the fees and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of its respective lawyers and other experts and all other expenses and costs incurred by such Party incidental to the negotiation, preparation, execution and delivery of this Option Agreement.</w:t>
      </w:r>
    </w:p>
    <w:p>
      <w:pPr>
        <w:spacing w:after="0" w:line="176"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13.17</w:t>
      </w:r>
      <w:r>
        <w:rPr>
          <w:sz w:val="20"/>
          <w:szCs w:val="20"/>
          <w:color w:val="auto"/>
        </w:rPr>
        <w:tab/>
      </w:r>
      <w:r>
        <w:rPr>
          <w:rFonts w:ascii="Arial" w:cs="Arial" w:eastAsia="Arial" w:hAnsi="Arial"/>
          <w:sz w:val="22"/>
          <w:szCs w:val="22"/>
          <w:b w:val="1"/>
          <w:bCs w:val="1"/>
          <w:color w:val="auto"/>
        </w:rPr>
        <w:t>Entire Agreement</w:t>
      </w:r>
      <w:r>
        <w:rPr>
          <w:rFonts w:ascii="Arial" w:cs="Arial" w:eastAsia="Arial" w:hAnsi="Arial"/>
          <w:sz w:val="22"/>
          <w:szCs w:val="22"/>
          <w:color w:val="auto"/>
        </w:rPr>
        <w:t>. This Option Agreement, together with its Exhibits, sets forth the entire agreement and understanding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as to the subject matter hereof and supersedes all proposals, oral or written, and all other prior communications between the Parties with respect to such subject matter. The Parties agree that the Confidentiality Agreement is hereby terminated as of the Execution Date, but each Party’s information that was the subject of confidentiality obligations under the Confidentiality Agreement shall been deemed to be Confidential Information of such Party under this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713" w:name="page714"/>
    <w:bookmarkEnd w:id="713"/>
    <w:p>
      <w:pPr>
        <w:jc w:val="both"/>
        <w:ind w:left="640" w:hanging="647"/>
        <w:spacing w:after="0" w:line="252" w:lineRule="auto"/>
        <w:tabs>
          <w:tab w:leader="none" w:pos="620" w:val="left"/>
        </w:tabs>
        <w:rPr>
          <w:sz w:val="20"/>
          <w:szCs w:val="20"/>
          <w:color w:val="auto"/>
        </w:rPr>
      </w:pPr>
      <w:r>
        <w:rPr>
          <w:rFonts w:ascii="Arial" w:cs="Arial" w:eastAsia="Arial" w:hAnsi="Arial"/>
          <w:sz w:val="22"/>
          <w:szCs w:val="22"/>
          <w:color w:val="auto"/>
        </w:rPr>
        <w:t>13.18</w:t>
      </w:r>
      <w:r>
        <w:rPr>
          <w:sz w:val="20"/>
          <w:szCs w:val="20"/>
          <w:color w:val="auto"/>
        </w:rPr>
        <w:tab/>
      </w:r>
      <w:r>
        <w:rPr>
          <w:rFonts w:ascii="Arial" w:cs="Arial" w:eastAsia="Arial" w:hAnsi="Arial"/>
          <w:sz w:val="22"/>
          <w:szCs w:val="22"/>
          <w:b w:val="1"/>
          <w:bCs w:val="1"/>
          <w:color w:val="auto"/>
        </w:rPr>
        <w:t>Counterparts</w:t>
      </w:r>
      <w:r>
        <w:rPr>
          <w:rFonts w:ascii="Arial" w:cs="Arial" w:eastAsia="Arial" w:hAnsi="Arial"/>
          <w:sz w:val="22"/>
          <w:szCs w:val="22"/>
          <w:color w:val="auto"/>
        </w:rPr>
        <w:t>. This Option Agreement may be executed in one (1) or more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an original, but all of which together shall constitute one and the same instrument. This Option Agreement may be executed by facsimile or electronically transmitted signatures (including .pdf) and such signatures shall be deemed to bind each Party hereto as if they were original signatures.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20"/>
          </w:cols>
          <w:pgMar w:left="340" w:top="1422" w:right="339" w:bottom="1440" w:gutter="0" w:footer="0" w:header="0"/>
        </w:sectPr>
      </w:pPr>
    </w:p>
    <w:bookmarkStart w:id="714" w:name="page715"/>
    <w:bookmarkEnd w:id="714"/>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intending to be bound have caused this Option Agreement to be executed by their duly authorized representatives as of the Execution Date.</w:t>
      </w:r>
    </w:p>
    <w:p>
      <w:pPr>
        <w:spacing w:after="0" w:line="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MOLECULAR PARTNERS AG</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NOVARTIS PHARMA AG</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/s/Nigel Sheail</w:t>
            </w:r>
          </w:p>
        </w:tc>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/s/Patrick Amstutz</w:t>
            </w:r>
          </w:p>
        </w:tc>
      </w:tr>
      <w:tr>
        <w:trPr>
          <w:trHeight w:val="30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Nigel Sheail</w:t>
            </w:r>
          </w:p>
        </w:tc>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Patrick Amstutz</w:t>
            </w:r>
          </w:p>
        </w:tc>
      </w:tr>
      <w:tr>
        <w:trPr>
          <w:trHeight w:val="304"/>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Head M&amp;A &amp; BD&amp;L</w:t>
            </w:r>
          </w:p>
        </w:tc>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CEO</w:t>
            </w:r>
          </w:p>
        </w:tc>
      </w:tr>
      <w:tr>
        <w:trPr>
          <w:trHeight w:val="561"/>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/s/Alette Verbeek</w:t>
            </w:r>
          </w:p>
        </w:tc>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/s/Michael Stumpp</w:t>
            </w:r>
          </w:p>
        </w:tc>
      </w:tr>
      <w:tr>
        <w:trPr>
          <w:trHeight w:val="304"/>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Alette Verbeek</w:t>
            </w:r>
          </w:p>
        </w:tc>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Michael Stumpp</w:t>
            </w:r>
          </w:p>
        </w:tc>
      </w:tr>
      <w:tr>
        <w:trPr>
          <w:trHeight w:val="304"/>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WW BD&amp;L CRM</w:t>
            </w:r>
          </w:p>
        </w:tc>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COO</w:t>
            </w:r>
          </w:p>
        </w:tc>
      </w:tr>
      <w:tr>
        <w:trPr>
          <w:trHeight w:val="280"/>
        </w:trPr>
        <w:tc>
          <w:tcPr>
            <w:tcW w:w="980" w:type="dxa"/>
            <w:vAlign w:val="bottom"/>
          </w:tcPr>
          <w:p>
            <w:pPr>
              <w:spacing w:after="0"/>
              <w:rPr>
                <w:sz w:val="24"/>
                <w:szCs w:val="24"/>
                <w:color w:val="auto"/>
              </w:rPr>
            </w:pPr>
          </w:p>
        </w:tc>
        <w:tc>
          <w:tcPr>
            <w:tcW w:w="4620" w:type="dxa"/>
            <w:vAlign w:val="bottom"/>
          </w:tcPr>
          <w:p>
            <w:pPr>
              <w:ind w:left="1320"/>
              <w:spacing w:after="0"/>
              <w:rPr>
                <w:sz w:val="20"/>
                <w:szCs w:val="20"/>
                <w:color w:val="auto"/>
              </w:rPr>
            </w:pPr>
            <w:r>
              <w:rPr>
                <w:rFonts w:ascii="Arial" w:cs="Arial" w:eastAsia="Arial" w:hAnsi="Arial"/>
                <w:sz w:val="22"/>
                <w:szCs w:val="22"/>
                <w:color w:val="auto"/>
              </w:rPr>
              <w:t>27/10/2020</w:t>
            </w:r>
          </w:p>
        </w:tc>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15" w:name="page716"/>
    <w:bookmarkEnd w:id="715"/>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PLAN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bookmarkStart w:id="716" w:name="page717"/>
    <w:bookmarkEnd w:id="716"/>
    <w:p>
      <w:pPr>
        <w:jc w:val="center"/>
        <w:spacing w:after="0"/>
        <w:rPr>
          <w:sz w:val="20"/>
          <w:szCs w:val="20"/>
          <w:color w:val="auto"/>
        </w:rPr>
      </w:pPr>
      <w:r>
        <w:rPr>
          <w:rFonts w:ascii="Arial" w:cs="Arial" w:eastAsia="Arial" w:hAnsi="Arial"/>
          <w:sz w:val="22"/>
          <w:szCs w:val="22"/>
          <w:b w:val="1"/>
          <w:bCs w:val="1"/>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TERM SHEET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717" w:name="page718"/>
    <w:bookmarkEnd w:id="717"/>
    <w:p>
      <w:pPr>
        <w:jc w:val="center"/>
        <w:spacing w:after="0"/>
        <w:rPr>
          <w:sz w:val="20"/>
          <w:szCs w:val="20"/>
          <w:color w:val="auto"/>
        </w:rPr>
      </w:pPr>
      <w:r>
        <w:rPr>
          <w:rFonts w:ascii="Arial" w:cs="Arial" w:eastAsia="Arial" w:hAnsi="Arial"/>
          <w:sz w:val="22"/>
          <w:szCs w:val="22"/>
          <w:b w:val="1"/>
          <w:bCs w:val="1"/>
          <w:color w:val="auto"/>
        </w:rPr>
        <w:t>EXHIBIT 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PRODUCTS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718" w:name="page719"/>
    <w:bookmarkEnd w:id="718"/>
    <w:p>
      <w:pPr>
        <w:jc w:val="center"/>
        <w:ind w:right="19"/>
        <w:spacing w:after="0"/>
        <w:rPr>
          <w:sz w:val="20"/>
          <w:szCs w:val="20"/>
          <w:color w:val="auto"/>
        </w:rPr>
      </w:pPr>
      <w:r>
        <w:rPr>
          <w:rFonts w:ascii="Arial" w:cs="Arial" w:eastAsia="Arial" w:hAnsi="Arial"/>
          <w:sz w:val="22"/>
          <w:szCs w:val="22"/>
          <w:b w:val="1"/>
          <w:bCs w:val="1"/>
          <w:color w:val="auto"/>
        </w:rPr>
        <w:t>EXHIBIT 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TECHNICAL TRANSFER AND MANUFACTURING TERMS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719" w:name="page720"/>
    <w:bookmarkEnd w:id="7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sectPr>
      </w:pPr>
    </w:p>
    <w:bookmarkStart w:id="720" w:name="page721"/>
    <w:bookmarkEnd w:id="720"/>
    <w:p>
      <w:pPr>
        <w:jc w:val="center"/>
        <w:spacing w:after="0"/>
        <w:rPr>
          <w:sz w:val="20"/>
          <w:szCs w:val="20"/>
          <w:color w:val="auto"/>
        </w:rPr>
      </w:pPr>
      <w:r>
        <w:rPr>
          <w:rFonts w:ascii="Arial" w:cs="Arial" w:eastAsia="Arial" w:hAnsi="Arial"/>
          <w:sz w:val="22"/>
          <w:szCs w:val="22"/>
          <w:b w:val="1"/>
          <w:bCs w:val="1"/>
          <w:color w:val="auto"/>
        </w:rPr>
        <w:t>EXHIBIT 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MPAG PATENTS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22" w:right="1440" w:bottom="1440" w:gutter="0" w:footer="0" w:header="0"/>
        </w:sectPr>
      </w:pPr>
    </w:p>
    <w:bookmarkStart w:id="721" w:name="page722"/>
    <w:bookmarkEnd w:id="721"/>
    <w:p>
      <w:pPr>
        <w:jc w:val="center"/>
        <w:spacing w:after="0"/>
        <w:rPr>
          <w:sz w:val="20"/>
          <w:szCs w:val="20"/>
          <w:color w:val="auto"/>
        </w:rPr>
      </w:pPr>
      <w:r>
        <w:rPr>
          <w:rFonts w:ascii="Arial" w:cs="Arial" w:eastAsia="Arial" w:hAnsi="Arial"/>
          <w:sz w:val="22"/>
          <w:szCs w:val="22"/>
          <w:b w:val="1"/>
          <w:bCs w:val="1"/>
          <w:color w:val="auto"/>
        </w:rPr>
        <w:t>EXHIBIT 2.2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SAMPLE INVOICE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722" w:name="page723"/>
    <w:bookmarkEnd w:id="722"/>
    <w:p>
      <w:pPr>
        <w:ind w:left="4540"/>
        <w:spacing w:after="0"/>
        <w:rPr>
          <w:sz w:val="20"/>
          <w:szCs w:val="20"/>
          <w:color w:val="auto"/>
        </w:rPr>
      </w:pPr>
      <w:r>
        <w:rPr>
          <w:rFonts w:ascii="Arial" w:cs="Arial" w:eastAsia="Arial" w:hAnsi="Arial"/>
          <w:sz w:val="22"/>
          <w:szCs w:val="22"/>
          <w:b w:val="1"/>
          <w:bCs w:val="1"/>
          <w:color w:val="auto"/>
        </w:rPr>
        <w:t>EXHIBIT 2.5(c)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RESOLUTION OF ADDITIONAL DEFINITIVE AGREEMENT TERMS[***]</w:t>
      </w:r>
    </w:p>
    <w:p>
      <w:pPr>
        <w:sectPr>
          <w:pgSz w:w="11900" w:h="16838" w:orient="portrait"/>
          <w:cols w:equalWidth="0" w:num="1">
            <w:col w:w="9799"/>
          </w:cols>
          <w:pgMar w:left="660" w:top="1422" w:right="1440" w:bottom="1440" w:gutter="0" w:footer="0" w:header="0"/>
        </w:sectPr>
      </w:pPr>
    </w:p>
    <w:bookmarkStart w:id="723" w:name="page724"/>
    <w:bookmarkEnd w:id="723"/>
    <w:p>
      <w:pPr>
        <w:jc w:val="center"/>
        <w:ind w:right="19"/>
        <w:spacing w:after="0"/>
        <w:rPr>
          <w:sz w:val="20"/>
          <w:szCs w:val="20"/>
          <w:color w:val="auto"/>
        </w:rPr>
      </w:pPr>
      <w:r>
        <w:rPr>
          <w:rFonts w:ascii="Arial" w:cs="Arial" w:eastAsia="Arial" w:hAnsi="Arial"/>
          <w:sz w:val="22"/>
          <w:szCs w:val="22"/>
          <w:b w:val="1"/>
          <w:bCs w:val="1"/>
          <w:color w:val="auto"/>
        </w:rPr>
        <w:t>EXHIBIT 3.2(a)</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FORM OF EXERCISE NOTICE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9019"/>
          </w:cols>
          <w:pgMar w:left="1440" w:top="1422" w:right="1440" w:bottom="1440" w:gutter="0" w:footer="0" w:header="0"/>
        </w:sectPr>
      </w:pPr>
    </w:p>
    <w:bookmarkStart w:id="724" w:name="page725"/>
    <w:bookmarkEnd w:id="724"/>
    <w:p>
      <w:pPr>
        <w:jc w:val="center"/>
        <w:ind w:right="19"/>
        <w:spacing w:after="0"/>
        <w:rPr>
          <w:sz w:val="20"/>
          <w:szCs w:val="20"/>
          <w:color w:val="auto"/>
        </w:rPr>
      </w:pPr>
      <w:r>
        <w:rPr>
          <w:rFonts w:ascii="Arial" w:cs="Arial" w:eastAsia="Arial" w:hAnsi="Arial"/>
          <w:sz w:val="22"/>
          <w:szCs w:val="22"/>
          <w:b w:val="1"/>
          <w:bCs w:val="1"/>
          <w:color w:val="auto"/>
        </w:rPr>
        <w:t>EXHIBIT 3.2(c)</w:t>
      </w:r>
    </w:p>
    <w:p>
      <w:pPr>
        <w:spacing w:after="0" w:line="247" w:lineRule="exact"/>
        <w:rPr>
          <w:sz w:val="20"/>
          <w:szCs w:val="20"/>
          <w:color w:val="auto"/>
        </w:rPr>
      </w:pPr>
    </w:p>
    <w:p>
      <w:pPr>
        <w:jc w:val="center"/>
        <w:ind w:left="460" w:right="479"/>
        <w:spacing w:after="0" w:line="474" w:lineRule="auto"/>
        <w:rPr>
          <w:sz w:val="20"/>
          <w:szCs w:val="20"/>
          <w:color w:val="auto"/>
        </w:rPr>
      </w:pPr>
      <w:r>
        <w:rPr>
          <w:rFonts w:ascii="Arial" w:cs="Arial" w:eastAsia="Arial" w:hAnsi="Arial"/>
          <w:sz w:val="22"/>
          <w:szCs w:val="22"/>
          <w:b w:val="1"/>
          <w:bCs w:val="1"/>
          <w:color w:val="auto"/>
        </w:rPr>
        <w:t>INSTRUCTIONS FOR THE TRANSFER OF THE EQUITY INVESTMENT SHARES [***]</w:t>
      </w:r>
    </w:p>
    <w:p>
      <w:pPr>
        <w:sectPr>
          <w:pgSz w:w="11900" w:h="16838" w:orient="portrait"/>
          <w:cols w:equalWidth="0" w:num="1">
            <w:col w:w="9019"/>
          </w:cols>
          <w:pgMar w:left="1440" w:top="1422" w:right="1440" w:bottom="1440" w:gutter="0" w:footer="0" w:header="0"/>
        </w:sectPr>
      </w:pPr>
    </w:p>
    <w:bookmarkStart w:id="725" w:name="page726"/>
    <w:bookmarkEnd w:id="725"/>
    <w:p>
      <w:pPr>
        <w:jc w:val="center"/>
        <w:ind w:right="19"/>
        <w:spacing w:after="0"/>
        <w:rPr>
          <w:sz w:val="20"/>
          <w:szCs w:val="20"/>
          <w:color w:val="auto"/>
        </w:rPr>
      </w:pPr>
      <w:r>
        <w:rPr>
          <w:rFonts w:ascii="Arial" w:cs="Arial" w:eastAsia="Arial" w:hAnsi="Arial"/>
          <w:sz w:val="22"/>
          <w:szCs w:val="22"/>
          <w:b w:val="1"/>
          <w:bCs w:val="1"/>
          <w:color w:val="auto"/>
        </w:rPr>
        <w:t>EXHIBIT 4.34.3(a)(i)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PLANNED PHASE 1 TRIAL PROTOCOL</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726" w:name="page727"/>
    <w:bookmarkEnd w:id="726"/>
    <w:p>
      <w:pPr>
        <w:jc w:val="center"/>
        <w:ind w:right="19"/>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DISCLOSURES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22" w:right="1440" w:bottom="1440" w:gutter="0" w:footer="0" w:header="0"/>
        </w:sectPr>
      </w:pPr>
    </w:p>
    <w:bookmarkStart w:id="727" w:name="page728"/>
    <w:bookmarkEnd w:id="7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12.2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FORMS OF PRESS RELEASE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bookmarkStart w:id="728" w:name="page729"/>
    <w:bookmarkEnd w:id="728"/>
    <w:p>
      <w:pPr>
        <w:jc w:val="right"/>
        <w:spacing w:after="0"/>
        <w:rPr>
          <w:sz w:val="20"/>
          <w:szCs w:val="20"/>
          <w:color w:val="auto"/>
        </w:rPr>
      </w:pPr>
      <w:r>
        <w:rPr>
          <w:rFonts w:ascii="Arial" w:cs="Arial" w:eastAsia="Arial" w:hAnsi="Arial"/>
          <w:sz w:val="18"/>
          <w:szCs w:val="18"/>
          <w:b w:val="1"/>
          <w:bCs w:val="1"/>
          <w:color w:val="auto"/>
        </w:rPr>
        <w:t>Exhibit 10.7</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Molecular Partners AG: Performance Share Plan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Plan 2017</w:t>
      </w:r>
    </w:p>
    <w:p>
      <w:pPr>
        <w:sectPr>
          <w:pgSz w:w="11900" w:h="16838" w:orient="portrait"/>
          <w:cols w:equalWidth="0" w:num="1">
            <w:col w:w="11240"/>
          </w:cols>
          <w:pgMar w:left="320" w:top="135" w:right="339" w:bottom="1440" w:gutter="0" w:footer="0" w:header="0"/>
        </w:sectPr>
      </w:pPr>
    </w:p>
    <w:bookmarkStart w:id="729" w:name="page730"/>
    <w:bookmarkEnd w:id="729"/>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20" w:type="dxa"/>
            <w:vAlign w:val="bottom"/>
          </w:tcPr>
          <w:p>
            <w:pPr>
              <w:jc w:val="right"/>
              <w:spacing w:after="0"/>
              <w:rPr>
                <w:sz w:val="20"/>
                <w:szCs w:val="20"/>
                <w:color w:val="auto"/>
              </w:rPr>
            </w:pPr>
            <w:r>
              <w:rPr>
                <w:rFonts w:ascii="Arial" w:cs="Arial" w:eastAsia="Arial" w:hAnsi="Arial"/>
                <w:sz w:val="13"/>
                <w:szCs w:val="13"/>
                <w:color w:val="auto"/>
              </w:rPr>
              <w:t>2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7160" w:type="dxa"/>
            <w:vAlign w:val="bottom"/>
            <w:gridSpan w:val="2"/>
          </w:tcPr>
          <w:p>
            <w:pPr>
              <w:spacing w:after="0"/>
              <w:rPr>
                <w:sz w:val="20"/>
                <w:szCs w:val="20"/>
                <w:color w:val="auto"/>
              </w:rPr>
            </w:pPr>
            <w:r>
              <w:rPr>
                <w:rFonts w:ascii="Arial" w:cs="Arial" w:eastAsia="Arial" w:hAnsi="Arial"/>
                <w:sz w:val="18"/>
                <w:szCs w:val="18"/>
                <w:color w:val="auto"/>
              </w:rPr>
              <w:t>Performance Share Plan 2017</w:t>
            </w:r>
          </w:p>
        </w:tc>
        <w:tc>
          <w:tcPr>
            <w:tcW w:w="3380" w:type="dxa"/>
            <w:vAlign w:val="bottom"/>
          </w:tcPr>
          <w:p>
            <w:pPr>
              <w:ind w:left="3180"/>
              <w:spacing w:after="0"/>
              <w:rPr>
                <w:sz w:val="20"/>
                <w:szCs w:val="20"/>
                <w:color w:val="auto"/>
              </w:rPr>
            </w:pPr>
            <w:r>
              <w:rPr>
                <w:rFonts w:ascii="Arial" w:cs="Arial" w:eastAsia="Arial" w:hAnsi="Arial"/>
                <w:sz w:val="18"/>
                <w:szCs w:val="18"/>
                <w:color w:val="auto"/>
              </w:rPr>
              <w:t>3</w:t>
            </w:r>
          </w:p>
        </w:tc>
      </w:tr>
      <w:tr>
        <w:trPr>
          <w:trHeight w:val="526"/>
        </w:trPr>
        <w:tc>
          <w:tcPr>
            <w:tcW w:w="440" w:type="dxa"/>
            <w:vAlign w:val="bottom"/>
          </w:tcPr>
          <w:p>
            <w:pPr>
              <w:spacing w:after="0"/>
              <w:rPr>
                <w:sz w:val="24"/>
                <w:szCs w:val="24"/>
                <w:color w:val="auto"/>
              </w:rPr>
            </w:pPr>
          </w:p>
        </w:tc>
        <w:tc>
          <w:tcPr>
            <w:tcW w:w="6720" w:type="dxa"/>
            <w:vAlign w:val="bottom"/>
          </w:tcPr>
          <w:p>
            <w:pPr>
              <w:ind w:left="180"/>
              <w:spacing w:after="0"/>
              <w:rPr>
                <w:sz w:val="20"/>
                <w:szCs w:val="20"/>
                <w:color w:val="auto"/>
              </w:rPr>
            </w:pPr>
            <w:r>
              <w:rPr>
                <w:rFonts w:ascii="Arial" w:cs="Arial" w:eastAsia="Arial" w:hAnsi="Arial"/>
                <w:sz w:val="18"/>
                <w:szCs w:val="18"/>
                <w:color w:val="auto"/>
              </w:rPr>
              <w:t>Purpose</w:t>
            </w:r>
          </w:p>
        </w:tc>
        <w:tc>
          <w:tcPr>
            <w:tcW w:w="3380" w:type="dxa"/>
            <w:vAlign w:val="bottom"/>
          </w:tcPr>
          <w:p>
            <w:pPr>
              <w:ind w:left="3180"/>
              <w:spacing w:after="0"/>
              <w:rPr>
                <w:sz w:val="20"/>
                <w:szCs w:val="20"/>
                <w:color w:val="auto"/>
              </w:rPr>
            </w:pPr>
            <w:r>
              <w:rPr>
                <w:rFonts w:ascii="Arial" w:cs="Arial" w:eastAsia="Arial" w:hAnsi="Arial"/>
                <w:sz w:val="18"/>
                <w:szCs w:val="18"/>
                <w:color w:val="auto"/>
              </w:rPr>
              <w:t>3</w:t>
            </w:r>
          </w:p>
        </w:tc>
      </w:tr>
      <w:tr>
        <w:trPr>
          <w:trHeight w:val="257"/>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672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2.</w:t>
            </w:r>
          </w:p>
        </w:tc>
        <w:tc>
          <w:tcPr>
            <w:tcW w:w="6720" w:type="dxa"/>
            <w:vAlign w:val="bottom"/>
          </w:tcPr>
          <w:p>
            <w:pPr>
              <w:ind w:left="180"/>
              <w:spacing w:after="0"/>
              <w:rPr>
                <w:sz w:val="20"/>
                <w:szCs w:val="20"/>
                <w:color w:val="auto"/>
              </w:rPr>
            </w:pPr>
            <w:r>
              <w:rPr>
                <w:rFonts w:ascii="Arial" w:cs="Arial" w:eastAsia="Arial" w:hAnsi="Arial"/>
                <w:sz w:val="18"/>
                <w:szCs w:val="18"/>
                <w:color w:val="auto"/>
              </w:rPr>
              <w:t>Definitions and Interpretation</w:t>
            </w:r>
          </w:p>
        </w:tc>
        <w:tc>
          <w:tcPr>
            <w:tcW w:w="3380" w:type="dxa"/>
            <w:vAlign w:val="bottom"/>
          </w:tcPr>
          <w:p>
            <w:pPr>
              <w:ind w:left="3180"/>
              <w:spacing w:after="0"/>
              <w:rPr>
                <w:sz w:val="20"/>
                <w:szCs w:val="20"/>
                <w:color w:val="auto"/>
              </w:rPr>
            </w:pPr>
            <w:r>
              <w:rPr>
                <w:rFonts w:ascii="Arial" w:cs="Arial" w:eastAsia="Arial" w:hAnsi="Arial"/>
                <w:sz w:val="18"/>
                <w:szCs w:val="18"/>
                <w:color w:val="auto"/>
              </w:rPr>
              <w:t>3</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3.</w:t>
            </w:r>
          </w:p>
        </w:tc>
        <w:tc>
          <w:tcPr>
            <w:tcW w:w="6720" w:type="dxa"/>
            <w:vAlign w:val="bottom"/>
          </w:tcPr>
          <w:p>
            <w:pPr>
              <w:ind w:left="180"/>
              <w:spacing w:after="0"/>
              <w:rPr>
                <w:sz w:val="20"/>
                <w:szCs w:val="20"/>
                <w:color w:val="auto"/>
              </w:rPr>
            </w:pPr>
            <w:r>
              <w:rPr>
                <w:rFonts w:ascii="Arial" w:cs="Arial" w:eastAsia="Arial" w:hAnsi="Arial"/>
                <w:sz w:val="18"/>
                <w:szCs w:val="18"/>
                <w:color w:val="auto"/>
              </w:rPr>
              <w:t>Responsibilities and Administration</w:t>
            </w:r>
          </w:p>
        </w:tc>
        <w:tc>
          <w:tcPr>
            <w:tcW w:w="3380" w:type="dxa"/>
            <w:vAlign w:val="bottom"/>
          </w:tcPr>
          <w:p>
            <w:pPr>
              <w:ind w:left="3180"/>
              <w:spacing w:after="0"/>
              <w:rPr>
                <w:sz w:val="20"/>
                <w:szCs w:val="20"/>
                <w:color w:val="auto"/>
              </w:rPr>
            </w:pPr>
            <w:r>
              <w:rPr>
                <w:rFonts w:ascii="Arial" w:cs="Arial" w:eastAsia="Arial" w:hAnsi="Arial"/>
                <w:sz w:val="18"/>
                <w:szCs w:val="18"/>
                <w:color w:val="auto"/>
              </w:rPr>
              <w:t>3</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4.</w:t>
            </w:r>
          </w:p>
        </w:tc>
        <w:tc>
          <w:tcPr>
            <w:tcW w:w="6720" w:type="dxa"/>
            <w:vAlign w:val="bottom"/>
          </w:tcPr>
          <w:p>
            <w:pPr>
              <w:ind w:left="180"/>
              <w:spacing w:after="0"/>
              <w:rPr>
                <w:sz w:val="20"/>
                <w:szCs w:val="20"/>
                <w:color w:val="auto"/>
              </w:rPr>
            </w:pPr>
            <w:r>
              <w:rPr>
                <w:rFonts w:ascii="Arial" w:cs="Arial" w:eastAsia="Arial" w:hAnsi="Arial"/>
                <w:sz w:val="18"/>
                <w:szCs w:val="18"/>
                <w:color w:val="auto"/>
              </w:rPr>
              <w:t>Eligibility and Participation</w:t>
            </w:r>
          </w:p>
        </w:tc>
        <w:tc>
          <w:tcPr>
            <w:tcW w:w="3380" w:type="dxa"/>
            <w:vAlign w:val="bottom"/>
          </w:tcPr>
          <w:p>
            <w:pPr>
              <w:ind w:left="3180"/>
              <w:spacing w:after="0"/>
              <w:rPr>
                <w:sz w:val="20"/>
                <w:szCs w:val="20"/>
                <w:color w:val="auto"/>
              </w:rPr>
            </w:pPr>
            <w:r>
              <w:rPr>
                <w:rFonts w:ascii="Arial" w:cs="Arial" w:eastAsia="Arial" w:hAnsi="Arial"/>
                <w:sz w:val="18"/>
                <w:szCs w:val="18"/>
                <w:color w:val="auto"/>
              </w:rPr>
              <w:t>4</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6720" w:type="dxa"/>
            <w:vAlign w:val="bottom"/>
          </w:tcPr>
          <w:p>
            <w:pPr>
              <w:ind w:left="180"/>
              <w:spacing w:after="0"/>
              <w:rPr>
                <w:sz w:val="20"/>
                <w:szCs w:val="20"/>
                <w:color w:val="auto"/>
              </w:rPr>
            </w:pPr>
            <w:r>
              <w:rPr>
                <w:rFonts w:ascii="Arial" w:cs="Arial" w:eastAsia="Arial" w:hAnsi="Arial"/>
                <w:sz w:val="18"/>
                <w:szCs w:val="18"/>
                <w:color w:val="auto"/>
              </w:rPr>
              <w:t>Grant of PSUs</w:t>
            </w:r>
          </w:p>
        </w:tc>
        <w:tc>
          <w:tcPr>
            <w:tcW w:w="3380" w:type="dxa"/>
            <w:vAlign w:val="bottom"/>
          </w:tcPr>
          <w:p>
            <w:pPr>
              <w:ind w:left="3180"/>
              <w:spacing w:after="0"/>
              <w:rPr>
                <w:sz w:val="20"/>
                <w:szCs w:val="20"/>
                <w:color w:val="auto"/>
              </w:rPr>
            </w:pPr>
            <w:r>
              <w:rPr>
                <w:rFonts w:ascii="Arial" w:cs="Arial" w:eastAsia="Arial" w:hAnsi="Arial"/>
                <w:sz w:val="18"/>
                <w:szCs w:val="18"/>
                <w:color w:val="auto"/>
              </w:rPr>
              <w:t>4</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6720" w:type="dxa"/>
            <w:vAlign w:val="bottom"/>
          </w:tcPr>
          <w:p>
            <w:pPr>
              <w:ind w:left="180"/>
              <w:spacing w:after="0"/>
              <w:rPr>
                <w:sz w:val="20"/>
                <w:szCs w:val="20"/>
                <w:color w:val="auto"/>
              </w:rPr>
            </w:pPr>
            <w:r>
              <w:rPr>
                <w:rFonts w:ascii="Arial" w:cs="Arial" w:eastAsia="Arial" w:hAnsi="Arial"/>
                <w:sz w:val="18"/>
                <w:szCs w:val="18"/>
                <w:color w:val="auto"/>
              </w:rPr>
              <w:t>No Securities</w:t>
            </w:r>
          </w:p>
        </w:tc>
        <w:tc>
          <w:tcPr>
            <w:tcW w:w="3380" w:type="dxa"/>
            <w:vAlign w:val="bottom"/>
          </w:tcPr>
          <w:p>
            <w:pPr>
              <w:ind w:left="3180"/>
              <w:spacing w:after="0"/>
              <w:rPr>
                <w:sz w:val="20"/>
                <w:szCs w:val="20"/>
                <w:color w:val="auto"/>
              </w:rPr>
            </w:pPr>
            <w:r>
              <w:rPr>
                <w:rFonts w:ascii="Arial" w:cs="Arial" w:eastAsia="Arial" w:hAnsi="Arial"/>
                <w:sz w:val="18"/>
                <w:szCs w:val="18"/>
                <w:color w:val="auto"/>
              </w:rPr>
              <w:t>5</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6720" w:type="dxa"/>
            <w:vAlign w:val="bottom"/>
          </w:tcPr>
          <w:p>
            <w:pPr>
              <w:ind w:left="180"/>
              <w:spacing w:after="0"/>
              <w:rPr>
                <w:sz w:val="20"/>
                <w:szCs w:val="20"/>
                <w:color w:val="auto"/>
              </w:rPr>
            </w:pPr>
            <w:r>
              <w:rPr>
                <w:rFonts w:ascii="Arial" w:cs="Arial" w:eastAsia="Arial" w:hAnsi="Arial"/>
                <w:sz w:val="18"/>
                <w:szCs w:val="18"/>
                <w:color w:val="auto"/>
              </w:rPr>
              <w:t>No Transfer</w:t>
            </w:r>
          </w:p>
        </w:tc>
        <w:tc>
          <w:tcPr>
            <w:tcW w:w="3380" w:type="dxa"/>
            <w:vAlign w:val="bottom"/>
          </w:tcPr>
          <w:p>
            <w:pPr>
              <w:ind w:left="3180"/>
              <w:spacing w:after="0"/>
              <w:rPr>
                <w:sz w:val="20"/>
                <w:szCs w:val="20"/>
                <w:color w:val="auto"/>
              </w:rPr>
            </w:pPr>
            <w:r>
              <w:rPr>
                <w:rFonts w:ascii="Arial" w:cs="Arial" w:eastAsia="Arial" w:hAnsi="Arial"/>
                <w:sz w:val="18"/>
                <w:szCs w:val="18"/>
                <w:color w:val="auto"/>
              </w:rPr>
              <w:t>5</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6720" w:type="dxa"/>
            <w:vAlign w:val="bottom"/>
          </w:tcPr>
          <w:p>
            <w:pPr>
              <w:ind w:left="180"/>
              <w:spacing w:after="0"/>
              <w:rPr>
                <w:sz w:val="20"/>
                <w:szCs w:val="20"/>
                <w:color w:val="auto"/>
              </w:rPr>
            </w:pPr>
            <w:r>
              <w:rPr>
                <w:rFonts w:ascii="Arial" w:cs="Arial" w:eastAsia="Arial" w:hAnsi="Arial"/>
                <w:sz w:val="18"/>
                <w:szCs w:val="18"/>
                <w:color w:val="auto"/>
              </w:rPr>
              <w:t>Vesting and Delivery of Shares</w:t>
            </w:r>
          </w:p>
        </w:tc>
        <w:tc>
          <w:tcPr>
            <w:tcW w:w="3380" w:type="dxa"/>
            <w:vAlign w:val="bottom"/>
          </w:tcPr>
          <w:p>
            <w:pPr>
              <w:ind w:left="3180"/>
              <w:spacing w:after="0"/>
              <w:rPr>
                <w:sz w:val="20"/>
                <w:szCs w:val="20"/>
                <w:color w:val="auto"/>
              </w:rPr>
            </w:pPr>
            <w:r>
              <w:rPr>
                <w:rFonts w:ascii="Arial" w:cs="Arial" w:eastAsia="Arial" w:hAnsi="Arial"/>
                <w:sz w:val="18"/>
                <w:szCs w:val="18"/>
                <w:color w:val="auto"/>
              </w:rPr>
              <w:t>5</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6720" w:type="dxa"/>
            <w:vAlign w:val="bottom"/>
          </w:tcPr>
          <w:p>
            <w:pPr>
              <w:ind w:left="180"/>
              <w:spacing w:after="0"/>
              <w:rPr>
                <w:sz w:val="20"/>
                <w:szCs w:val="20"/>
                <w:color w:val="auto"/>
              </w:rPr>
            </w:pPr>
            <w:r>
              <w:rPr>
                <w:rFonts w:ascii="Arial" w:cs="Arial" w:eastAsia="Arial" w:hAnsi="Arial"/>
                <w:sz w:val="18"/>
                <w:szCs w:val="18"/>
                <w:color w:val="auto"/>
              </w:rPr>
              <w:t>Underlying Shares</w:t>
            </w:r>
          </w:p>
        </w:tc>
        <w:tc>
          <w:tcPr>
            <w:tcW w:w="3380" w:type="dxa"/>
            <w:vAlign w:val="bottom"/>
          </w:tcPr>
          <w:p>
            <w:pPr>
              <w:ind w:left="3180"/>
              <w:spacing w:after="0"/>
              <w:rPr>
                <w:sz w:val="20"/>
                <w:szCs w:val="20"/>
                <w:color w:val="auto"/>
              </w:rPr>
            </w:pPr>
            <w:r>
              <w:rPr>
                <w:rFonts w:ascii="Arial" w:cs="Arial" w:eastAsia="Arial" w:hAnsi="Arial"/>
                <w:sz w:val="18"/>
                <w:szCs w:val="18"/>
                <w:color w:val="auto"/>
              </w:rPr>
              <w:t>5</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6720" w:type="dxa"/>
            <w:vAlign w:val="bottom"/>
          </w:tcPr>
          <w:p>
            <w:pPr>
              <w:ind w:left="180"/>
              <w:spacing w:after="0"/>
              <w:rPr>
                <w:sz w:val="20"/>
                <w:szCs w:val="20"/>
                <w:color w:val="auto"/>
              </w:rPr>
            </w:pPr>
            <w:r>
              <w:rPr>
                <w:rFonts w:ascii="Arial" w:cs="Arial" w:eastAsia="Arial" w:hAnsi="Arial"/>
                <w:sz w:val="18"/>
                <w:szCs w:val="18"/>
                <w:color w:val="auto"/>
              </w:rPr>
              <w:t>Vesting Multiple</w:t>
            </w:r>
          </w:p>
        </w:tc>
        <w:tc>
          <w:tcPr>
            <w:tcW w:w="3380" w:type="dxa"/>
            <w:vAlign w:val="bottom"/>
          </w:tcPr>
          <w:p>
            <w:pPr>
              <w:ind w:left="3180"/>
              <w:spacing w:after="0"/>
              <w:rPr>
                <w:sz w:val="20"/>
                <w:szCs w:val="20"/>
                <w:color w:val="auto"/>
              </w:rPr>
            </w:pPr>
            <w:r>
              <w:rPr>
                <w:rFonts w:ascii="Arial" w:cs="Arial" w:eastAsia="Arial" w:hAnsi="Arial"/>
                <w:sz w:val="18"/>
                <w:szCs w:val="18"/>
                <w:color w:val="auto"/>
              </w:rPr>
              <w:t>6</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11.</w:t>
            </w:r>
          </w:p>
        </w:tc>
        <w:tc>
          <w:tcPr>
            <w:tcW w:w="6720" w:type="dxa"/>
            <w:vAlign w:val="bottom"/>
          </w:tcPr>
          <w:p>
            <w:pPr>
              <w:ind w:left="180"/>
              <w:spacing w:after="0"/>
              <w:rPr>
                <w:sz w:val="20"/>
                <w:szCs w:val="20"/>
                <w:color w:val="auto"/>
              </w:rPr>
            </w:pPr>
            <w:r>
              <w:rPr>
                <w:rFonts w:ascii="Arial" w:cs="Arial" w:eastAsia="Arial" w:hAnsi="Arial"/>
                <w:sz w:val="18"/>
                <w:szCs w:val="18"/>
                <w:color w:val="auto"/>
              </w:rPr>
              <w:t>Taxes and Social Security Contributions</w:t>
            </w:r>
          </w:p>
        </w:tc>
        <w:tc>
          <w:tcPr>
            <w:tcW w:w="3380" w:type="dxa"/>
            <w:vAlign w:val="bottom"/>
          </w:tcPr>
          <w:p>
            <w:pPr>
              <w:ind w:left="3180"/>
              <w:spacing w:after="0"/>
              <w:rPr>
                <w:sz w:val="20"/>
                <w:szCs w:val="20"/>
                <w:color w:val="auto"/>
              </w:rPr>
            </w:pPr>
            <w:r>
              <w:rPr>
                <w:rFonts w:ascii="Arial" w:cs="Arial" w:eastAsia="Arial" w:hAnsi="Arial"/>
                <w:sz w:val="18"/>
                <w:szCs w:val="18"/>
                <w:color w:val="auto"/>
              </w:rPr>
              <w:t>6</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12.</w:t>
            </w:r>
          </w:p>
        </w:tc>
        <w:tc>
          <w:tcPr>
            <w:tcW w:w="6720" w:type="dxa"/>
            <w:vAlign w:val="bottom"/>
          </w:tcPr>
          <w:p>
            <w:pPr>
              <w:ind w:left="180"/>
              <w:spacing w:after="0"/>
              <w:rPr>
                <w:sz w:val="20"/>
                <w:szCs w:val="20"/>
                <w:color w:val="auto"/>
              </w:rPr>
            </w:pPr>
            <w:r>
              <w:rPr>
                <w:rFonts w:ascii="Arial" w:cs="Arial" w:eastAsia="Arial" w:hAnsi="Arial"/>
                <w:sz w:val="18"/>
                <w:szCs w:val="18"/>
                <w:color w:val="auto"/>
              </w:rPr>
              <w:t>Disclosure Requirements</w:t>
            </w:r>
          </w:p>
        </w:tc>
        <w:tc>
          <w:tcPr>
            <w:tcW w:w="3380" w:type="dxa"/>
            <w:vAlign w:val="bottom"/>
          </w:tcPr>
          <w:p>
            <w:pPr>
              <w:ind w:left="3180"/>
              <w:spacing w:after="0"/>
              <w:rPr>
                <w:sz w:val="20"/>
                <w:szCs w:val="20"/>
                <w:color w:val="auto"/>
              </w:rPr>
            </w:pPr>
            <w:r>
              <w:rPr>
                <w:rFonts w:ascii="Arial" w:cs="Arial" w:eastAsia="Arial" w:hAnsi="Arial"/>
                <w:sz w:val="18"/>
                <w:szCs w:val="18"/>
                <w:color w:val="auto"/>
              </w:rPr>
              <w:t>7</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13.</w:t>
            </w:r>
          </w:p>
        </w:tc>
        <w:tc>
          <w:tcPr>
            <w:tcW w:w="6720" w:type="dxa"/>
            <w:vAlign w:val="bottom"/>
          </w:tcPr>
          <w:p>
            <w:pPr>
              <w:ind w:left="180"/>
              <w:spacing w:after="0"/>
              <w:rPr>
                <w:sz w:val="20"/>
                <w:szCs w:val="20"/>
                <w:color w:val="auto"/>
              </w:rPr>
            </w:pPr>
            <w:r>
              <w:rPr>
                <w:rFonts w:ascii="Arial" w:cs="Arial" w:eastAsia="Arial" w:hAnsi="Arial"/>
                <w:sz w:val="18"/>
                <w:szCs w:val="18"/>
                <w:color w:val="auto"/>
              </w:rPr>
              <w:t>Other Obligations of the Participant</w:t>
            </w:r>
          </w:p>
        </w:tc>
        <w:tc>
          <w:tcPr>
            <w:tcW w:w="3380" w:type="dxa"/>
            <w:vAlign w:val="bottom"/>
          </w:tcPr>
          <w:p>
            <w:pPr>
              <w:ind w:left="3180"/>
              <w:spacing w:after="0"/>
              <w:rPr>
                <w:sz w:val="20"/>
                <w:szCs w:val="20"/>
                <w:color w:val="auto"/>
              </w:rPr>
            </w:pPr>
            <w:r>
              <w:rPr>
                <w:rFonts w:ascii="Arial" w:cs="Arial" w:eastAsia="Arial" w:hAnsi="Arial"/>
                <w:sz w:val="18"/>
                <w:szCs w:val="18"/>
                <w:color w:val="auto"/>
              </w:rPr>
              <w:t>7</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14.</w:t>
            </w:r>
          </w:p>
        </w:tc>
        <w:tc>
          <w:tcPr>
            <w:tcW w:w="6720" w:type="dxa"/>
            <w:vAlign w:val="bottom"/>
          </w:tcPr>
          <w:p>
            <w:pPr>
              <w:ind w:left="180"/>
              <w:spacing w:after="0"/>
              <w:rPr>
                <w:sz w:val="20"/>
                <w:szCs w:val="20"/>
                <w:color w:val="auto"/>
              </w:rPr>
            </w:pPr>
            <w:r>
              <w:rPr>
                <w:rFonts w:ascii="Arial" w:cs="Arial" w:eastAsia="Arial" w:hAnsi="Arial"/>
                <w:sz w:val="18"/>
                <w:szCs w:val="18"/>
                <w:color w:val="auto"/>
              </w:rPr>
              <w:t>Termination of Employment and Forfeiture</w:t>
            </w:r>
          </w:p>
        </w:tc>
        <w:tc>
          <w:tcPr>
            <w:tcW w:w="3380" w:type="dxa"/>
            <w:vAlign w:val="bottom"/>
          </w:tcPr>
          <w:p>
            <w:pPr>
              <w:ind w:left="3180"/>
              <w:spacing w:after="0"/>
              <w:rPr>
                <w:sz w:val="20"/>
                <w:szCs w:val="20"/>
                <w:color w:val="auto"/>
              </w:rPr>
            </w:pPr>
            <w:r>
              <w:rPr>
                <w:rFonts w:ascii="Arial" w:cs="Arial" w:eastAsia="Arial" w:hAnsi="Arial"/>
                <w:sz w:val="18"/>
                <w:szCs w:val="18"/>
                <w:color w:val="auto"/>
              </w:rPr>
              <w:t>7</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15.</w:t>
            </w:r>
          </w:p>
        </w:tc>
        <w:tc>
          <w:tcPr>
            <w:tcW w:w="6720" w:type="dxa"/>
            <w:vAlign w:val="bottom"/>
          </w:tcPr>
          <w:p>
            <w:pPr>
              <w:ind w:left="180"/>
              <w:spacing w:after="0"/>
              <w:rPr>
                <w:sz w:val="20"/>
                <w:szCs w:val="20"/>
                <w:color w:val="auto"/>
              </w:rPr>
            </w:pPr>
            <w:r>
              <w:rPr>
                <w:rFonts w:ascii="Arial" w:cs="Arial" w:eastAsia="Arial" w:hAnsi="Arial"/>
                <w:sz w:val="18"/>
                <w:szCs w:val="18"/>
                <w:color w:val="auto"/>
              </w:rPr>
              <w:t>Change of Control</w:t>
            </w:r>
          </w:p>
        </w:tc>
        <w:tc>
          <w:tcPr>
            <w:tcW w:w="3380" w:type="dxa"/>
            <w:vAlign w:val="bottom"/>
          </w:tcPr>
          <w:p>
            <w:pPr>
              <w:ind w:left="3180"/>
              <w:spacing w:after="0"/>
              <w:rPr>
                <w:sz w:val="20"/>
                <w:szCs w:val="20"/>
                <w:color w:val="auto"/>
              </w:rPr>
            </w:pPr>
            <w:r>
              <w:rPr>
                <w:rFonts w:ascii="Arial" w:cs="Arial" w:eastAsia="Arial" w:hAnsi="Arial"/>
                <w:sz w:val="18"/>
                <w:szCs w:val="18"/>
                <w:color w:val="auto"/>
              </w:rPr>
              <w:t>7</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16.</w:t>
            </w:r>
          </w:p>
        </w:tc>
        <w:tc>
          <w:tcPr>
            <w:tcW w:w="6720" w:type="dxa"/>
            <w:vAlign w:val="bottom"/>
          </w:tcPr>
          <w:p>
            <w:pPr>
              <w:ind w:left="180"/>
              <w:spacing w:after="0"/>
              <w:rPr>
                <w:sz w:val="20"/>
                <w:szCs w:val="20"/>
                <w:color w:val="auto"/>
              </w:rPr>
            </w:pPr>
            <w:r>
              <w:rPr>
                <w:rFonts w:ascii="Arial" w:cs="Arial" w:eastAsia="Arial" w:hAnsi="Arial"/>
                <w:sz w:val="18"/>
                <w:szCs w:val="18"/>
                <w:color w:val="auto"/>
              </w:rPr>
              <w:t>Corporate Events</w:t>
            </w:r>
          </w:p>
        </w:tc>
        <w:tc>
          <w:tcPr>
            <w:tcW w:w="3380" w:type="dxa"/>
            <w:vAlign w:val="bottom"/>
          </w:tcPr>
          <w:p>
            <w:pPr>
              <w:ind w:left="3180"/>
              <w:spacing w:after="0"/>
              <w:rPr>
                <w:sz w:val="20"/>
                <w:szCs w:val="20"/>
                <w:color w:val="auto"/>
              </w:rPr>
            </w:pPr>
            <w:r>
              <w:rPr>
                <w:rFonts w:ascii="Arial" w:cs="Arial" w:eastAsia="Arial" w:hAnsi="Arial"/>
                <w:sz w:val="18"/>
                <w:szCs w:val="18"/>
                <w:color w:val="auto"/>
              </w:rPr>
              <w:t>8</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17.</w:t>
            </w:r>
          </w:p>
        </w:tc>
        <w:tc>
          <w:tcPr>
            <w:tcW w:w="6720" w:type="dxa"/>
            <w:vAlign w:val="bottom"/>
          </w:tcPr>
          <w:p>
            <w:pPr>
              <w:ind w:left="180"/>
              <w:spacing w:after="0"/>
              <w:rPr>
                <w:sz w:val="20"/>
                <w:szCs w:val="20"/>
                <w:color w:val="auto"/>
              </w:rPr>
            </w:pPr>
            <w:r>
              <w:rPr>
                <w:rFonts w:ascii="Arial" w:cs="Arial" w:eastAsia="Arial" w:hAnsi="Arial"/>
                <w:sz w:val="18"/>
                <w:szCs w:val="18"/>
                <w:color w:val="auto"/>
              </w:rPr>
              <w:t>Data Protection</w:t>
            </w:r>
          </w:p>
        </w:tc>
        <w:tc>
          <w:tcPr>
            <w:tcW w:w="3380" w:type="dxa"/>
            <w:vAlign w:val="bottom"/>
          </w:tcPr>
          <w:p>
            <w:pPr>
              <w:ind w:left="3180"/>
              <w:spacing w:after="0"/>
              <w:rPr>
                <w:sz w:val="20"/>
                <w:szCs w:val="20"/>
                <w:color w:val="auto"/>
              </w:rPr>
            </w:pPr>
            <w:r>
              <w:rPr>
                <w:rFonts w:ascii="Arial" w:cs="Arial" w:eastAsia="Arial" w:hAnsi="Arial"/>
                <w:sz w:val="18"/>
                <w:szCs w:val="18"/>
                <w:color w:val="auto"/>
              </w:rPr>
              <w:t>9</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18.</w:t>
            </w:r>
          </w:p>
        </w:tc>
        <w:tc>
          <w:tcPr>
            <w:tcW w:w="6720" w:type="dxa"/>
            <w:vAlign w:val="bottom"/>
          </w:tcPr>
          <w:p>
            <w:pPr>
              <w:ind w:left="180"/>
              <w:spacing w:after="0"/>
              <w:rPr>
                <w:sz w:val="20"/>
                <w:szCs w:val="20"/>
                <w:color w:val="auto"/>
              </w:rPr>
            </w:pPr>
            <w:r>
              <w:rPr>
                <w:rFonts w:ascii="Arial" w:cs="Arial" w:eastAsia="Arial" w:hAnsi="Arial"/>
                <w:sz w:val="18"/>
                <w:szCs w:val="18"/>
                <w:color w:val="auto"/>
              </w:rPr>
              <w:t>Legal and regulatory restrictions</w:t>
            </w:r>
          </w:p>
        </w:tc>
        <w:tc>
          <w:tcPr>
            <w:tcW w:w="3380" w:type="dxa"/>
            <w:vAlign w:val="bottom"/>
          </w:tcPr>
          <w:p>
            <w:pPr>
              <w:ind w:left="3180"/>
              <w:spacing w:after="0"/>
              <w:rPr>
                <w:sz w:val="20"/>
                <w:szCs w:val="20"/>
                <w:color w:val="auto"/>
              </w:rPr>
            </w:pPr>
            <w:r>
              <w:rPr>
                <w:rFonts w:ascii="Arial" w:cs="Arial" w:eastAsia="Arial" w:hAnsi="Arial"/>
                <w:sz w:val="18"/>
                <w:szCs w:val="18"/>
                <w:color w:val="auto"/>
              </w:rPr>
              <w:t>9</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19.</w:t>
            </w:r>
          </w:p>
        </w:tc>
        <w:tc>
          <w:tcPr>
            <w:tcW w:w="6720" w:type="dxa"/>
            <w:vAlign w:val="bottom"/>
          </w:tcPr>
          <w:p>
            <w:pPr>
              <w:ind w:left="180"/>
              <w:spacing w:after="0"/>
              <w:rPr>
                <w:sz w:val="20"/>
                <w:szCs w:val="20"/>
                <w:color w:val="auto"/>
              </w:rPr>
            </w:pPr>
            <w:r>
              <w:rPr>
                <w:rFonts w:ascii="Arial" w:cs="Arial" w:eastAsia="Arial" w:hAnsi="Arial"/>
                <w:sz w:val="18"/>
                <w:szCs w:val="18"/>
                <w:color w:val="auto"/>
              </w:rPr>
              <w:t>Amendment and Termination</w:t>
            </w:r>
          </w:p>
        </w:tc>
        <w:tc>
          <w:tcPr>
            <w:tcW w:w="3380" w:type="dxa"/>
            <w:vAlign w:val="bottom"/>
          </w:tcPr>
          <w:p>
            <w:pPr>
              <w:ind w:left="3180"/>
              <w:spacing w:after="0"/>
              <w:rPr>
                <w:sz w:val="20"/>
                <w:szCs w:val="20"/>
                <w:color w:val="auto"/>
              </w:rPr>
            </w:pPr>
            <w:r>
              <w:rPr>
                <w:rFonts w:ascii="Arial" w:cs="Arial" w:eastAsia="Arial" w:hAnsi="Arial"/>
                <w:sz w:val="18"/>
                <w:szCs w:val="18"/>
                <w:color w:val="auto"/>
                <w:w w:val="89"/>
              </w:rPr>
              <w:t>10</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20.</w:t>
            </w:r>
          </w:p>
        </w:tc>
        <w:tc>
          <w:tcPr>
            <w:tcW w:w="67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3380" w:type="dxa"/>
            <w:vAlign w:val="bottom"/>
          </w:tcPr>
          <w:p>
            <w:pPr>
              <w:ind w:left="3180"/>
              <w:spacing w:after="0"/>
              <w:rPr>
                <w:sz w:val="20"/>
                <w:szCs w:val="20"/>
                <w:color w:val="auto"/>
              </w:rPr>
            </w:pPr>
            <w:r>
              <w:rPr>
                <w:rFonts w:ascii="Arial" w:cs="Arial" w:eastAsia="Arial" w:hAnsi="Arial"/>
                <w:sz w:val="18"/>
                <w:szCs w:val="18"/>
                <w:color w:val="auto"/>
                <w:w w:val="89"/>
              </w:rPr>
              <w:t>10</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21.</w:t>
            </w:r>
          </w:p>
        </w:tc>
        <w:tc>
          <w:tcPr>
            <w:tcW w:w="6720" w:type="dxa"/>
            <w:vAlign w:val="bottom"/>
          </w:tcPr>
          <w:p>
            <w:pPr>
              <w:ind w:left="180"/>
              <w:spacing w:after="0"/>
              <w:rPr>
                <w:sz w:val="20"/>
                <w:szCs w:val="20"/>
                <w:color w:val="auto"/>
              </w:rPr>
            </w:pPr>
            <w:r>
              <w:rPr>
                <w:rFonts w:ascii="Arial" w:cs="Arial" w:eastAsia="Arial" w:hAnsi="Arial"/>
                <w:sz w:val="18"/>
                <w:szCs w:val="18"/>
                <w:color w:val="auto"/>
              </w:rPr>
              <w:t>Governing Law and Jurisdiction</w:t>
            </w:r>
          </w:p>
        </w:tc>
        <w:tc>
          <w:tcPr>
            <w:tcW w:w="3380" w:type="dxa"/>
            <w:vAlign w:val="bottom"/>
          </w:tcPr>
          <w:p>
            <w:pPr>
              <w:ind w:left="3180"/>
              <w:spacing w:after="0"/>
              <w:rPr>
                <w:sz w:val="20"/>
                <w:szCs w:val="20"/>
                <w:color w:val="auto"/>
              </w:rPr>
            </w:pPr>
            <w:r>
              <w:rPr>
                <w:rFonts w:ascii="Arial" w:cs="Arial" w:eastAsia="Arial" w:hAnsi="Arial"/>
                <w:sz w:val="18"/>
                <w:szCs w:val="18"/>
                <w:color w:val="auto"/>
                <w:w w:val="89"/>
              </w:rPr>
              <w:t>10</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22.</w:t>
            </w:r>
          </w:p>
        </w:tc>
        <w:tc>
          <w:tcPr>
            <w:tcW w:w="6720" w:type="dxa"/>
            <w:vAlign w:val="bottom"/>
          </w:tcPr>
          <w:p>
            <w:pPr>
              <w:ind w:left="180"/>
              <w:spacing w:after="0"/>
              <w:rPr>
                <w:sz w:val="20"/>
                <w:szCs w:val="20"/>
                <w:color w:val="auto"/>
              </w:rPr>
            </w:pPr>
            <w:r>
              <w:rPr>
                <w:rFonts w:ascii="Arial" w:cs="Arial" w:eastAsia="Arial" w:hAnsi="Arial"/>
                <w:sz w:val="18"/>
                <w:szCs w:val="18"/>
                <w:color w:val="auto"/>
              </w:rPr>
              <w:t>Entry into Force</w:t>
            </w:r>
          </w:p>
        </w:tc>
        <w:tc>
          <w:tcPr>
            <w:tcW w:w="3380" w:type="dxa"/>
            <w:vAlign w:val="bottom"/>
          </w:tcPr>
          <w:p>
            <w:pPr>
              <w:ind w:left="3180"/>
              <w:spacing w:after="0"/>
              <w:rPr>
                <w:sz w:val="20"/>
                <w:szCs w:val="20"/>
                <w:color w:val="auto"/>
              </w:rPr>
            </w:pPr>
            <w:r>
              <w:rPr>
                <w:rFonts w:ascii="Arial" w:cs="Arial" w:eastAsia="Arial" w:hAnsi="Arial"/>
                <w:sz w:val="18"/>
                <w:szCs w:val="18"/>
                <w:color w:val="auto"/>
                <w:w w:val="89"/>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Annex 1: Definitions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Annex 2: Form of PSU Award Agreement</w:t>
      </w:r>
    </w:p>
    <w:p>
      <w:pPr>
        <w:sectPr>
          <w:pgSz w:w="11900" w:h="16838" w:orient="portrait"/>
          <w:cols w:equalWidth="0" w:num="1">
            <w:col w:w="11220"/>
          </w:cols>
          <w:pgMar w:left="320" w:top="180" w:right="359" w:bottom="1440" w:gutter="0" w:footer="0" w:header="0"/>
        </w:sectPr>
      </w:pPr>
    </w:p>
    <w:bookmarkStart w:id="730" w:name="page731"/>
    <w:bookmarkEnd w:id="730"/>
    <w:tbl>
      <w:tblPr>
        <w:tblLayout w:type="fixed"/>
        <w:tblInd w:w="12"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20" w:type="dxa"/>
            <w:vAlign w:val="bottom"/>
          </w:tcPr>
          <w:p>
            <w:pPr>
              <w:jc w:val="right"/>
              <w:spacing w:after="0"/>
              <w:rPr>
                <w:sz w:val="20"/>
                <w:szCs w:val="20"/>
                <w:color w:val="auto"/>
              </w:rPr>
            </w:pPr>
            <w:r>
              <w:rPr>
                <w:rFonts w:ascii="Arial" w:cs="Arial" w:eastAsia="Arial" w:hAnsi="Arial"/>
                <w:sz w:val="13"/>
                <w:szCs w:val="13"/>
                <w:color w:val="auto"/>
              </w:rPr>
              <w:t>3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32"/>
        <w:spacing w:after="0"/>
        <w:rPr>
          <w:sz w:val="20"/>
          <w:szCs w:val="20"/>
          <w:color w:val="auto"/>
        </w:rPr>
      </w:pPr>
      <w:r>
        <w:rPr>
          <w:rFonts w:ascii="Arial" w:cs="Arial" w:eastAsia="Arial" w:hAnsi="Arial"/>
          <w:sz w:val="25"/>
          <w:szCs w:val="25"/>
          <w:b w:val="1"/>
          <w:bCs w:val="1"/>
          <w:color w:val="auto"/>
        </w:rPr>
        <w:t>Performance Share Plan 2017</w:t>
      </w:r>
    </w:p>
    <w:p>
      <w:pPr>
        <w:spacing w:after="0" w:line="264" w:lineRule="exact"/>
        <w:rPr>
          <w:sz w:val="20"/>
          <w:szCs w:val="20"/>
          <w:color w:val="auto"/>
        </w:rPr>
      </w:pPr>
    </w:p>
    <w:p>
      <w:pPr>
        <w:ind w:left="412" w:hanging="412"/>
        <w:spacing w:after="0"/>
        <w:tabs>
          <w:tab w:leader="none" w:pos="412" w:val="left"/>
        </w:tabs>
        <w:numPr>
          <w:ilvl w:val="0"/>
          <w:numId w:val="67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97" w:lineRule="exact"/>
        <w:rPr>
          <w:sz w:val="20"/>
          <w:szCs w:val="20"/>
          <w:color w:val="auto"/>
        </w:rPr>
      </w:pPr>
    </w:p>
    <w:p>
      <w:pPr>
        <w:jc w:val="both"/>
        <w:ind w:left="652"/>
        <w:spacing w:after="0" w:line="300" w:lineRule="auto"/>
        <w:rPr>
          <w:sz w:val="20"/>
          <w:szCs w:val="20"/>
          <w:color w:val="auto"/>
        </w:rPr>
      </w:pPr>
      <w:r>
        <w:rPr>
          <w:rFonts w:ascii="Arial" w:cs="Arial" w:eastAsia="Arial" w:hAnsi="Arial"/>
          <w:sz w:val="18"/>
          <w:szCs w:val="18"/>
          <w:color w:val="auto"/>
        </w:rPr>
        <w:t>The purpose of this performance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 w:cs="Arial" w:eastAsia="Arial" w:hAnsi="Arial"/>
          <w:sz w:val="18"/>
          <w:szCs w:val="18"/>
          <w:b w:val="1"/>
          <w:bCs w:val="1"/>
          <w:color w:val="auto"/>
        </w:rPr>
        <w:t>PSU</w:t>
      </w:r>
      <w:r>
        <w:rPr>
          <w:rFonts w:ascii="Arial" w:cs="Arial" w:eastAsia="Arial" w:hAnsi="Arial"/>
          <w:sz w:val="18"/>
          <w:szCs w:val="18"/>
          <w:color w:val="auto"/>
        </w:rPr>
        <w:t>) to them.</w:t>
      </w:r>
    </w:p>
    <w:p>
      <w:pPr>
        <w:spacing w:after="0" w:line="186" w:lineRule="exact"/>
        <w:rPr>
          <w:sz w:val="20"/>
          <w:szCs w:val="20"/>
          <w:color w:val="auto"/>
        </w:rPr>
      </w:pPr>
    </w:p>
    <w:p>
      <w:pPr>
        <w:ind w:left="352" w:hanging="352"/>
        <w:spacing w:after="0"/>
        <w:tabs>
          <w:tab w:leader="none" w:pos="352" w:val="left"/>
        </w:tabs>
        <w:numPr>
          <w:ilvl w:val="0"/>
          <w:numId w:val="67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359" w:lineRule="exact"/>
        <w:rPr>
          <w:sz w:val="20"/>
          <w:szCs w:val="20"/>
          <w:color w:val="auto"/>
        </w:rPr>
      </w:pPr>
    </w:p>
    <w:p>
      <w:pPr>
        <w:ind w:left="452" w:hanging="452"/>
        <w:spacing w:after="0"/>
        <w:tabs>
          <w:tab w:leader="none" w:pos="45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Capitalized terms used in this Plan shall have the meaning set forth in Annex 1.</w:t>
      </w:r>
    </w:p>
    <w:p>
      <w:pPr>
        <w:spacing w:after="0" w:line="346" w:lineRule="exact"/>
        <w:rPr>
          <w:rFonts w:ascii="Arial" w:cs="Arial" w:eastAsia="Arial" w:hAnsi="Arial"/>
          <w:sz w:val="18"/>
          <w:szCs w:val="18"/>
          <w:color w:val="auto"/>
        </w:rPr>
      </w:pPr>
    </w:p>
    <w:p>
      <w:pPr>
        <w:ind w:left="532" w:hanging="532"/>
        <w:spacing w:after="0"/>
        <w:tabs>
          <w:tab w:leader="none" w:pos="532" w:val="left"/>
        </w:tabs>
        <w:numPr>
          <w:ilvl w:val="0"/>
          <w:numId w:val="676"/>
        </w:numPr>
        <w:rPr>
          <w:rFonts w:ascii="Arial" w:cs="Arial" w:eastAsia="Arial" w:hAnsi="Arial"/>
          <w:sz w:val="18"/>
          <w:szCs w:val="18"/>
          <w:color w:val="auto"/>
        </w:rPr>
      </w:pPr>
      <w:r>
        <w:rPr>
          <w:rFonts w:ascii="Arial" w:cs="Arial" w:eastAsia="Arial" w:hAnsi="Arial"/>
          <w:sz w:val="18"/>
          <w:szCs w:val="18"/>
          <w:color w:val="auto"/>
        </w:rPr>
        <w:t>Where this Plan refers to employer, employee or employment, such terms shall apply by analogy if the relevant eligible person or</w:t>
      </w:r>
    </w:p>
    <w:p>
      <w:pPr>
        <w:spacing w:after="0" w:line="49" w:lineRule="exact"/>
        <w:rPr>
          <w:rFonts w:ascii="Arial" w:cs="Arial" w:eastAsia="Arial" w:hAnsi="Arial"/>
          <w:sz w:val="18"/>
          <w:szCs w:val="18"/>
          <w:color w:val="auto"/>
        </w:rPr>
      </w:pPr>
    </w:p>
    <w:p>
      <w:pPr>
        <w:ind w:left="652"/>
        <w:spacing w:after="0" w:line="293" w:lineRule="auto"/>
        <w:rPr>
          <w:rFonts w:ascii="Arial" w:cs="Arial" w:eastAsia="Arial" w:hAnsi="Arial"/>
          <w:sz w:val="18"/>
          <w:szCs w:val="18"/>
          <w:color w:val="auto"/>
        </w:rPr>
      </w:pPr>
      <w:r>
        <w:rPr>
          <w:rFonts w:ascii="Arial" w:cs="Arial" w:eastAsia="Arial" w:hAnsi="Arial"/>
          <w:sz w:val="18"/>
          <w:szCs w:val="18"/>
          <w:color w:val="auto"/>
        </w:rPr>
        <w:t>Participant is not engaged as an employee, but under a different type of contract or in a different capacity, e.g. as a consultant under a mandate agreement or as a member of a corporate body (e.g. member of a board of directors or advisory board).</w:t>
      </w:r>
    </w:p>
    <w:p>
      <w:pPr>
        <w:spacing w:after="0" w:line="205" w:lineRule="exact"/>
        <w:rPr>
          <w:sz w:val="20"/>
          <w:szCs w:val="20"/>
          <w:color w:val="auto"/>
        </w:rPr>
      </w:pPr>
    </w:p>
    <w:p>
      <w:pPr>
        <w:ind w:left="412" w:hanging="412"/>
        <w:spacing w:after="0"/>
        <w:tabs>
          <w:tab w:leader="none" w:pos="412" w:val="left"/>
        </w:tabs>
        <w:numPr>
          <w:ilvl w:val="0"/>
          <w:numId w:val="677"/>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359" w:lineRule="exact"/>
        <w:rPr>
          <w:sz w:val="20"/>
          <w:szCs w:val="20"/>
          <w:color w:val="auto"/>
        </w:rPr>
      </w:pPr>
    </w:p>
    <w:p>
      <w:pPr>
        <w:ind w:left="492" w:hanging="492"/>
        <w:spacing w:after="0"/>
        <w:tabs>
          <w:tab w:leader="none" w:pos="49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49" w:lineRule="exact"/>
        <w:rPr>
          <w:rFonts w:ascii="Arial" w:cs="Arial" w:eastAsia="Arial" w:hAnsi="Arial"/>
          <w:sz w:val="18"/>
          <w:szCs w:val="18"/>
          <w:color w:val="auto"/>
        </w:rPr>
      </w:pPr>
    </w:p>
    <w:p>
      <w:pPr>
        <w:jc w:val="both"/>
        <w:ind w:left="652"/>
        <w:spacing w:after="0" w:line="285"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compensation committee of the Board of Directors (</w:t>
      </w:r>
      <w:r>
        <w:rPr>
          <w:rFonts w:ascii="Arial" w:cs="Arial" w:eastAsia="Arial" w:hAnsi="Arial"/>
          <w:sz w:val="18"/>
          <w:szCs w:val="18"/>
          <w:b w:val="1"/>
          <w:bCs w:val="1"/>
          <w:color w:val="auto"/>
        </w:rPr>
        <w:t>Compensation Committee</w:t>
      </w:r>
      <w:r>
        <w:rPr>
          <w:rFonts w:ascii="Arial" w:cs="Arial" w:eastAsia="Arial" w:hAnsi="Arial"/>
          <w:sz w:val="18"/>
          <w:szCs w:val="18"/>
          <w:color w:val="auto"/>
        </w:rPr>
        <w:t>), the maximum number of PSUs that may be granted under this Plan and of shares to be allocated from the Company's conditional capital or otherwise in connection with such PSUs.</w:t>
      </w:r>
    </w:p>
    <w:p>
      <w:pPr>
        <w:spacing w:after="0" w:line="231" w:lineRule="exact"/>
        <w:rPr>
          <w:rFonts w:ascii="Arial" w:cs="Arial" w:eastAsia="Arial" w:hAnsi="Arial"/>
          <w:sz w:val="18"/>
          <w:szCs w:val="18"/>
          <w:color w:val="auto"/>
        </w:rPr>
      </w:pPr>
    </w:p>
    <w:p>
      <w:pPr>
        <w:jc w:val="both"/>
        <w:ind w:left="652" w:hanging="652"/>
        <w:spacing w:after="0" w:line="298" w:lineRule="auto"/>
        <w:tabs>
          <w:tab w:leader="none" w:pos="661" w:val="left"/>
        </w:tabs>
        <w:numPr>
          <w:ilvl w:val="0"/>
          <w:numId w:val="678"/>
        </w:numPr>
        <w:rPr>
          <w:rFonts w:ascii="Arial" w:cs="Arial" w:eastAsia="Arial" w:hAnsi="Arial"/>
          <w:sz w:val="17"/>
          <w:szCs w:val="17"/>
          <w:color w:val="auto"/>
        </w:rPr>
      </w:pPr>
      <w:r>
        <w:rPr>
          <w:rFonts w:ascii="Arial" w:cs="Arial" w:eastAsia="Arial" w:hAnsi="Arial"/>
          <w:sz w:val="17"/>
          <w:szCs w:val="17"/>
          <w:color w:val="auto"/>
        </w:rPr>
        <w:t>The Compensation Committee shall be responsible for the implementation and administration of the Plan and shall make recommendations to amend or renew or terminate the Plan or to replace it with new editions or other plans. It may delegate, under its</w:t>
      </w:r>
    </w:p>
    <w:p>
      <w:pPr>
        <w:ind w:left="652"/>
        <w:spacing w:after="0" w:line="293" w:lineRule="auto"/>
        <w:rPr>
          <w:rFonts w:ascii="Arial" w:cs="Arial" w:eastAsia="Arial" w:hAnsi="Arial"/>
          <w:sz w:val="17"/>
          <w:szCs w:val="17"/>
          <w:color w:val="auto"/>
        </w:rPr>
      </w:pPr>
      <w:r>
        <w:rPr>
          <w:rFonts w:ascii="Arial" w:cs="Arial" w:eastAsia="Arial" w:hAnsi="Arial"/>
          <w:sz w:val="18"/>
          <w:szCs w:val="18"/>
          <w:color w:val="auto"/>
        </w:rPr>
        <w:t>supervision, the implementation and administration, as well as grants of PSUs other than to members of the Management Team,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37" w:lineRule="exact"/>
        <w:rPr>
          <w:rFonts w:ascii="Arial" w:cs="Arial" w:eastAsia="Arial" w:hAnsi="Arial"/>
          <w:sz w:val="17"/>
          <w:szCs w:val="17"/>
          <w:color w:val="auto"/>
        </w:rPr>
      </w:pPr>
    </w:p>
    <w:p>
      <w:pPr>
        <w:ind w:left="652" w:hanging="652"/>
        <w:spacing w:after="0" w:line="284" w:lineRule="auto"/>
        <w:tabs>
          <w:tab w:leader="none" w:pos="582" w:val="left"/>
        </w:tabs>
        <w:numPr>
          <w:ilvl w:val="0"/>
          <w:numId w:val="678"/>
        </w:numPr>
        <w:rPr>
          <w:rFonts w:ascii="Arial" w:cs="Arial" w:eastAsia="Arial" w:hAnsi="Arial"/>
          <w:sz w:val="18"/>
          <w:szCs w:val="18"/>
          <w:color w:val="auto"/>
        </w:rPr>
      </w:pPr>
      <w:r>
        <w:rPr>
          <w:rFonts w:ascii="Arial" w:cs="Arial" w:eastAsia="Arial" w:hAnsi="Arial"/>
          <w:sz w:val="18"/>
          <w:szCs w:val="18"/>
          <w:color w:val="auto"/>
        </w:rPr>
        <w:t>Any grants of PSUs to members of the Management Team shall be approved by the Board of Directors based on individual recommendations of the Compensation Committee and will, as long as shareholder approval of variable compensation is outstanding, be conditional upon such shareholder approval. In case that the amount approved by the shareholders does not cover the full amount of contemplated aggregate variable compensation for the year of grant, the entitlements to short term and long-term variable compensation may be reduced by the Compensation Committee in its sole discretion.</w:t>
      </w:r>
    </w:p>
    <w:p>
      <w:pPr>
        <w:spacing w:after="0" w:line="246" w:lineRule="exact"/>
        <w:rPr>
          <w:rFonts w:ascii="Arial" w:cs="Arial" w:eastAsia="Arial" w:hAnsi="Arial"/>
          <w:sz w:val="18"/>
          <w:szCs w:val="18"/>
          <w:color w:val="auto"/>
        </w:rPr>
      </w:pPr>
    </w:p>
    <w:p>
      <w:pPr>
        <w:ind w:left="652" w:hanging="652"/>
        <w:spacing w:after="0" w:line="287" w:lineRule="auto"/>
        <w:tabs>
          <w:tab w:leader="none" w:pos="567" w:val="left"/>
        </w:tabs>
        <w:numPr>
          <w:ilvl w:val="0"/>
          <w:numId w:val="678"/>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Compensation Committee or, upon delegation by the Compensation Committee, an Administrator pursuant to this Plan, including any amendments or withdrawals of grants, are final and binding, unless approval by the Board of Directors or the shareholders' meeting is required.</w:t>
      </w:r>
    </w:p>
    <w:p>
      <w:pPr>
        <w:sectPr>
          <w:pgSz w:w="11900" w:h="16838" w:orient="portrait"/>
          <w:cols w:equalWidth="0" w:num="1">
            <w:col w:w="11232"/>
          </w:cols>
          <w:pgMar w:left="328" w:top="180" w:right="339" w:bottom="1440" w:gutter="0" w:footer="0" w:header="0"/>
        </w:sectPr>
      </w:pPr>
    </w:p>
    <w:bookmarkStart w:id="731" w:name="page732"/>
    <w:bookmarkEnd w:id="731"/>
    <w:tbl>
      <w:tblPr>
        <w:tblLayout w:type="fixed"/>
        <w:tblInd w:w="12"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20" w:type="dxa"/>
            <w:vAlign w:val="bottom"/>
          </w:tcPr>
          <w:p>
            <w:pPr>
              <w:jc w:val="right"/>
              <w:spacing w:after="0"/>
              <w:rPr>
                <w:sz w:val="20"/>
                <w:szCs w:val="20"/>
                <w:color w:val="auto"/>
              </w:rPr>
            </w:pPr>
            <w:r>
              <w:rPr>
                <w:rFonts w:ascii="Arial" w:cs="Arial" w:eastAsia="Arial" w:hAnsi="Arial"/>
                <w:sz w:val="13"/>
                <w:szCs w:val="13"/>
                <w:color w:val="auto"/>
              </w:rPr>
              <w:t>4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52" w:hanging="652"/>
        <w:spacing w:after="0" w:line="295" w:lineRule="auto"/>
        <w:tabs>
          <w:tab w:leader="none" w:pos="518" w:val="left"/>
        </w:tabs>
        <w:numPr>
          <w:ilvl w:val="0"/>
          <w:numId w:val="679"/>
        </w:numPr>
        <w:rPr>
          <w:rFonts w:ascii="Arial" w:cs="Arial" w:eastAsia="Arial" w:hAnsi="Arial"/>
          <w:sz w:val="18"/>
          <w:szCs w:val="18"/>
          <w:color w:val="auto"/>
        </w:rPr>
      </w:pPr>
      <w:r>
        <w:rPr>
          <w:rFonts w:ascii="Arial" w:cs="Arial" w:eastAsia="Arial" w:hAnsi="Arial"/>
          <w:sz w:val="18"/>
          <w:szCs w:val="18"/>
          <w:color w:val="auto"/>
        </w:rPr>
        <w:t xml:space="preserve">Any technical or administrative task in connection with the Plan may be outsourced by the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 Service</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w:t>
      </w:r>
    </w:p>
    <w:p>
      <w:pPr>
        <w:spacing w:after="0" w:line="191" w:lineRule="exact"/>
        <w:rPr>
          <w:sz w:val="20"/>
          <w:szCs w:val="20"/>
          <w:color w:val="auto"/>
        </w:rPr>
      </w:pPr>
    </w:p>
    <w:p>
      <w:pPr>
        <w:ind w:left="412" w:hanging="412"/>
        <w:spacing w:after="0"/>
        <w:tabs>
          <w:tab w:leader="none" w:pos="412" w:val="left"/>
        </w:tabs>
        <w:numPr>
          <w:ilvl w:val="0"/>
          <w:numId w:val="680"/>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319" w:lineRule="exact"/>
        <w:rPr>
          <w:sz w:val="20"/>
          <w:szCs w:val="20"/>
          <w:color w:val="auto"/>
        </w:rPr>
      </w:pPr>
    </w:p>
    <w:p>
      <w:pPr>
        <w:ind w:left="652" w:hanging="652"/>
        <w:spacing w:after="0" w:line="287" w:lineRule="auto"/>
        <w:tabs>
          <w:tab w:leader="none" w:pos="435" w:val="left"/>
        </w:tabs>
        <w:numPr>
          <w:ilvl w:val="0"/>
          <w:numId w:val="681"/>
        </w:numPr>
        <w:rPr>
          <w:rFonts w:ascii="Arial" w:cs="Arial" w:eastAsia="Arial" w:hAnsi="Arial"/>
          <w:sz w:val="18"/>
          <w:szCs w:val="18"/>
          <w:color w:val="auto"/>
        </w:rPr>
      </w:pPr>
      <w:r>
        <w:rPr>
          <w:rFonts w:ascii="Arial" w:cs="Arial" w:eastAsia="Arial" w:hAnsi="Arial"/>
          <w:sz w:val="18"/>
          <w:szCs w:val="18"/>
          <w:color w:val="auto"/>
        </w:rPr>
        <w:t>As a rule, members of the executive management, other employees as well as selected consultants may become eligible to participate in this Plan. The decision on eligibility is reserved to the Compensation Committee or, other than with respect to members of the Management Team, the relevant Administrator.</w:t>
      </w:r>
    </w:p>
    <w:p>
      <w:pPr>
        <w:spacing w:after="0" w:line="242" w:lineRule="exact"/>
        <w:rPr>
          <w:rFonts w:ascii="Arial" w:cs="Arial" w:eastAsia="Arial" w:hAnsi="Arial"/>
          <w:sz w:val="18"/>
          <w:szCs w:val="18"/>
          <w:color w:val="auto"/>
        </w:rPr>
      </w:pPr>
    </w:p>
    <w:p>
      <w:pPr>
        <w:jc w:val="right"/>
        <w:ind w:left="652" w:hanging="652"/>
        <w:spacing w:after="0" w:line="281" w:lineRule="auto"/>
        <w:tabs>
          <w:tab w:leader="none" w:pos="462" w:val="left"/>
        </w:tabs>
        <w:numPr>
          <w:ilvl w:val="0"/>
          <w:numId w:val="681"/>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 w:cs="Arial" w:eastAsia="Arial" w:hAnsi="Arial"/>
          <w:sz w:val="18"/>
          <w:szCs w:val="18"/>
          <w:b w:val="1"/>
          <w:bCs w:val="1"/>
          <w:color w:val="auto"/>
        </w:rPr>
        <w:t>PSU</w:t>
      </w:r>
      <w:r>
        <w:rPr>
          <w:rFonts w:ascii="Arial" w:cs="Arial" w:eastAsia="Arial" w:hAnsi="Arial"/>
          <w:sz w:val="18"/>
          <w:szCs w:val="18"/>
          <w:color w:val="auto"/>
        </w:rPr>
        <w:t xml:space="preserve"> </w:t>
      </w:r>
      <w:r>
        <w:rPr>
          <w:rFonts w:ascii="Arial" w:cs="Arial" w:eastAsia="Arial" w:hAnsi="Arial"/>
          <w:sz w:val="18"/>
          <w:szCs w:val="18"/>
          <w:b w:val="1"/>
          <w:bCs w:val="1"/>
          <w:color w:val="auto"/>
        </w:rPr>
        <w:t>Award Agreement</w:t>
      </w:r>
      <w:r>
        <w:rPr>
          <w:rFonts w:ascii="Arial" w:cs="Arial" w:eastAsia="Arial" w:hAnsi="Arial"/>
          <w:sz w:val="18"/>
          <w:szCs w:val="18"/>
          <w:color w:val="auto"/>
        </w:rPr>
        <w:t>) among the Company (or the employer Group Company) and the eligible person, substantially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2. The right to receive PSUs shall accrue exclusively to those eligible persons who have, in accordance</w:t>
      </w:r>
    </w:p>
    <w:p>
      <w:pPr>
        <w:spacing w:after="0" w:line="2" w:lineRule="exact"/>
        <w:rPr>
          <w:rFonts w:ascii="Arial" w:cs="Arial" w:eastAsia="Arial" w:hAnsi="Arial"/>
          <w:sz w:val="18"/>
          <w:szCs w:val="18"/>
          <w:color w:val="auto"/>
        </w:rPr>
      </w:pPr>
    </w:p>
    <w:p>
      <w:pPr>
        <w:ind w:left="652"/>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with this Plan, been duly and validly offered, and have signed and returned, their individual PSU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ind w:left="652" w:hanging="652"/>
        <w:spacing w:after="0" w:line="287" w:lineRule="auto"/>
        <w:tabs>
          <w:tab w:leader="none" w:pos="495" w:val="left"/>
        </w:tabs>
        <w:numPr>
          <w:ilvl w:val="0"/>
          <w:numId w:val="681"/>
        </w:numPr>
        <w:rPr>
          <w:rFonts w:ascii="Arial" w:cs="Arial" w:eastAsia="Arial" w:hAnsi="Arial"/>
          <w:sz w:val="18"/>
          <w:szCs w:val="18"/>
          <w:color w:val="auto"/>
        </w:rPr>
      </w:pPr>
      <w:r>
        <w:rPr>
          <w:rFonts w:ascii="Arial" w:cs="Arial" w:eastAsia="Arial" w:hAnsi="Arial"/>
          <w:sz w:val="18"/>
          <w:szCs w:val="18"/>
          <w:color w:val="auto"/>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spacing w:after="0" w:line="229" w:lineRule="exact"/>
        <w:rPr>
          <w:rFonts w:ascii="Arial" w:cs="Arial" w:eastAsia="Arial" w:hAnsi="Arial"/>
          <w:sz w:val="18"/>
          <w:szCs w:val="18"/>
          <w:color w:val="auto"/>
        </w:rPr>
      </w:pPr>
    </w:p>
    <w:p>
      <w:pPr>
        <w:ind w:left="652" w:hanging="652"/>
        <w:spacing w:after="0" w:line="293" w:lineRule="auto"/>
        <w:tabs>
          <w:tab w:leader="none" w:pos="434" w:val="left"/>
        </w:tabs>
        <w:numPr>
          <w:ilvl w:val="0"/>
          <w:numId w:val="681"/>
        </w:numPr>
        <w:rPr>
          <w:rFonts w:ascii="Arial" w:cs="Arial" w:eastAsia="Arial" w:hAnsi="Arial"/>
          <w:sz w:val="18"/>
          <w:szCs w:val="18"/>
          <w:color w:val="auto"/>
        </w:rPr>
      </w:pPr>
      <w:r>
        <w:rPr>
          <w:rFonts w:ascii="Arial" w:cs="Arial" w:eastAsia="Arial" w:hAnsi="Arial"/>
          <w:sz w:val="18"/>
          <w:szCs w:val="18"/>
          <w:color w:val="auto"/>
        </w:rPr>
        <w:t>Neither the grant of PSUs, nor the transfer of Shares in connection with this Plan shall confer upon any Participant any right to continue to be employed by any Group Company.</w:t>
      </w:r>
    </w:p>
    <w:p>
      <w:pPr>
        <w:spacing w:after="0" w:line="205" w:lineRule="exact"/>
        <w:rPr>
          <w:sz w:val="20"/>
          <w:szCs w:val="20"/>
          <w:color w:val="auto"/>
        </w:rPr>
      </w:pPr>
    </w:p>
    <w:p>
      <w:pPr>
        <w:ind w:left="412" w:hanging="412"/>
        <w:spacing w:after="0"/>
        <w:tabs>
          <w:tab w:leader="none" w:pos="412" w:val="left"/>
        </w:tabs>
        <w:numPr>
          <w:ilvl w:val="0"/>
          <w:numId w:val="682"/>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PSUs</w:t>
      </w:r>
    </w:p>
    <w:p>
      <w:pPr>
        <w:spacing w:after="0" w:line="319" w:lineRule="exact"/>
        <w:rPr>
          <w:sz w:val="20"/>
          <w:szCs w:val="20"/>
          <w:color w:val="auto"/>
        </w:rPr>
      </w:pPr>
    </w:p>
    <w:p>
      <w:pPr>
        <w:ind w:left="652" w:hanging="652"/>
        <w:spacing w:after="0" w:line="287" w:lineRule="auto"/>
        <w:tabs>
          <w:tab w:leader="none" w:pos="434" w:val="left"/>
        </w:tabs>
        <w:numPr>
          <w:ilvl w:val="0"/>
          <w:numId w:val="683"/>
        </w:numPr>
        <w:rPr>
          <w:rFonts w:ascii="Arial" w:cs="Arial" w:eastAsia="Arial" w:hAnsi="Arial"/>
          <w:sz w:val="18"/>
          <w:szCs w:val="18"/>
          <w:color w:val="auto"/>
        </w:rPr>
      </w:pPr>
      <w:r>
        <w:rPr>
          <w:rFonts w:ascii="Arial" w:cs="Arial" w:eastAsia="Arial" w:hAnsi="Arial"/>
          <w:sz w:val="18"/>
          <w:szCs w:val="18"/>
          <w:color w:val="auto"/>
        </w:rPr>
        <w:t>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w:t>
      </w:r>
    </w:p>
    <w:p>
      <w:pPr>
        <w:spacing w:after="0" w:line="242" w:lineRule="exact"/>
        <w:rPr>
          <w:rFonts w:ascii="Arial" w:cs="Arial" w:eastAsia="Arial" w:hAnsi="Arial"/>
          <w:sz w:val="18"/>
          <w:szCs w:val="18"/>
          <w:color w:val="auto"/>
        </w:rPr>
      </w:pPr>
    </w:p>
    <w:p>
      <w:pPr>
        <w:ind w:left="432" w:hanging="432"/>
        <w:spacing w:after="0"/>
        <w:tabs>
          <w:tab w:leader="none" w:pos="432" w:val="left"/>
        </w:tabs>
        <w:numPr>
          <w:ilvl w:val="0"/>
          <w:numId w:val="683"/>
        </w:numPr>
        <w:rPr>
          <w:rFonts w:ascii="Arial" w:cs="Arial" w:eastAsia="Arial" w:hAnsi="Arial"/>
          <w:sz w:val="18"/>
          <w:szCs w:val="18"/>
          <w:color w:val="auto"/>
        </w:rPr>
      </w:pPr>
      <w:r>
        <w:rPr>
          <w:rFonts w:ascii="Arial" w:cs="Arial" w:eastAsia="Arial" w:hAnsi="Arial"/>
          <w:sz w:val="18"/>
          <w:szCs w:val="18"/>
          <w:color w:val="auto"/>
        </w:rPr>
        <w:t>One PSU represents a conditional entitlement to purchase a number of Shares at the nominal value of a Share. The number of Shares</w:t>
      </w:r>
    </w:p>
    <w:p>
      <w:pPr>
        <w:spacing w:after="0" w:line="36" w:lineRule="exact"/>
        <w:rPr>
          <w:rFonts w:ascii="Arial" w:cs="Arial" w:eastAsia="Arial" w:hAnsi="Arial"/>
          <w:sz w:val="18"/>
          <w:szCs w:val="18"/>
          <w:color w:val="auto"/>
        </w:rPr>
      </w:pPr>
    </w:p>
    <w:p>
      <w:pPr>
        <w:jc w:val="both"/>
        <w:ind w:left="652"/>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which shall be allocated to a Participant upon vesting shall be determined pursuant to a vesting multiple as described in Section 10 hereof (the </w:t>
      </w:r>
      <w:r>
        <w:rPr>
          <w:rFonts w:ascii="Arial" w:cs="Arial" w:eastAsia="Arial" w:hAnsi="Arial"/>
          <w:sz w:val="18"/>
          <w:szCs w:val="18"/>
          <w:b w:val="1"/>
          <w:bCs w:val="1"/>
          <w:color w:val="auto"/>
        </w:rPr>
        <w:t>Vesting Multiple</w:t>
      </w:r>
      <w:r>
        <w:rPr>
          <w:rFonts w:ascii="Arial" w:cs="Arial" w:eastAsia="Arial" w:hAnsi="Arial"/>
          <w:sz w:val="18"/>
          <w:szCs w:val="18"/>
          <w:color w:val="auto"/>
        </w:rPr>
        <w:t>), subject to, and in accordance with, the terms and conditions of this Plan and the PSU Award Agreement.</w:t>
      </w:r>
    </w:p>
    <w:p>
      <w:pPr>
        <w:spacing w:after="0" w:line="229" w:lineRule="exact"/>
        <w:rPr>
          <w:rFonts w:ascii="Arial" w:cs="Arial" w:eastAsia="Arial" w:hAnsi="Arial"/>
          <w:sz w:val="18"/>
          <w:szCs w:val="18"/>
          <w:color w:val="auto"/>
        </w:rPr>
      </w:pPr>
    </w:p>
    <w:p>
      <w:pPr>
        <w:ind w:left="652" w:hanging="652"/>
        <w:spacing w:after="0" w:line="293" w:lineRule="auto"/>
        <w:tabs>
          <w:tab w:leader="none" w:pos="467" w:val="left"/>
        </w:tabs>
        <w:numPr>
          <w:ilvl w:val="0"/>
          <w:numId w:val="683"/>
        </w:numPr>
        <w:rPr>
          <w:rFonts w:ascii="Arial" w:cs="Arial" w:eastAsia="Arial" w:hAnsi="Arial"/>
          <w:sz w:val="18"/>
          <w:szCs w:val="18"/>
          <w:color w:val="auto"/>
        </w:rPr>
      </w:pPr>
      <w:r>
        <w:rPr>
          <w:rFonts w:ascii="Arial" w:cs="Arial" w:eastAsia="Arial" w:hAnsi="Arial"/>
          <w:sz w:val="18"/>
          <w:szCs w:val="18"/>
          <w:color w:val="auto"/>
        </w:rPr>
        <w:t xml:space="preserve">The date of grants shall be determined by the Compensation Committee or the relevant Administrator and set out in the PSU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ind w:left="652" w:right="20" w:hanging="652"/>
        <w:spacing w:after="0" w:line="314" w:lineRule="auto"/>
        <w:tabs>
          <w:tab w:leader="none" w:pos="497" w:val="left"/>
        </w:tabs>
        <w:numPr>
          <w:ilvl w:val="0"/>
          <w:numId w:val="683"/>
        </w:numPr>
        <w:rPr>
          <w:rFonts w:ascii="Arial" w:cs="Arial" w:eastAsia="Arial" w:hAnsi="Arial"/>
          <w:sz w:val="18"/>
          <w:szCs w:val="18"/>
          <w:color w:val="auto"/>
        </w:rPr>
      </w:pPr>
      <w:r>
        <w:rPr>
          <w:rFonts w:ascii="Arial" w:cs="Arial" w:eastAsia="Arial" w:hAnsi="Arial"/>
          <w:sz w:val="18"/>
          <w:szCs w:val="18"/>
          <w:color w:val="auto"/>
        </w:rPr>
        <w:t>A change of the regular working quota (</w:t>
      </w:r>
      <w:r>
        <w:rPr>
          <w:rFonts w:ascii="Arial" w:cs="Arial" w:eastAsia="Arial" w:hAnsi="Arial"/>
          <w:sz w:val="18"/>
          <w:szCs w:val="18"/>
          <w:i w:val="1"/>
          <w:iCs w:val="1"/>
          <w:color w:val="auto"/>
        </w:rPr>
        <w:t>Arbeitspensum</w:t>
      </w:r>
      <w:r>
        <w:rPr>
          <w:rFonts w:ascii="Arial" w:cs="Arial" w:eastAsia="Arial" w:hAnsi="Arial"/>
          <w:sz w:val="18"/>
          <w:szCs w:val="18"/>
          <w:color w:val="auto"/>
        </w:rPr>
        <w:t>) during the Vesting Period shall not lead to an adjustment of PSUs already granted. New Participants admitted to the Plan after the Grant</w:t>
      </w:r>
    </w:p>
    <w:p>
      <w:pPr>
        <w:sectPr>
          <w:pgSz w:w="11900" w:h="16838" w:orient="portrait"/>
          <w:cols w:equalWidth="0" w:num="1">
            <w:col w:w="11232"/>
          </w:cols>
          <w:pgMar w:left="328" w:top="180" w:right="339" w:bottom="1440" w:gutter="0" w:footer="0" w:header="0"/>
        </w:sectPr>
      </w:pPr>
    </w:p>
    <w:bookmarkStart w:id="732" w:name="page733"/>
    <w:bookmarkEnd w:id="732"/>
    <w:tbl>
      <w:tblPr>
        <w:tblLayout w:type="fixed"/>
        <w:tblInd w:w="12"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20" w:type="dxa"/>
            <w:vAlign w:val="bottom"/>
          </w:tcPr>
          <w:p>
            <w:pPr>
              <w:jc w:val="right"/>
              <w:spacing w:after="0"/>
              <w:rPr>
                <w:sz w:val="20"/>
                <w:szCs w:val="20"/>
                <w:color w:val="auto"/>
              </w:rPr>
            </w:pPr>
            <w:r>
              <w:rPr>
                <w:rFonts w:ascii="Arial" w:cs="Arial" w:eastAsia="Arial" w:hAnsi="Arial"/>
                <w:sz w:val="13"/>
                <w:szCs w:val="13"/>
                <w:color w:val="auto"/>
              </w:rPr>
              <w:t>5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52"/>
        <w:spacing w:after="0" w:line="293" w:lineRule="auto"/>
        <w:rPr>
          <w:sz w:val="20"/>
          <w:szCs w:val="20"/>
          <w:color w:val="auto"/>
        </w:rPr>
      </w:pPr>
      <w:r>
        <w:rPr>
          <w:rFonts w:ascii="Arial" w:cs="Arial" w:eastAsia="Arial" w:hAnsi="Arial"/>
          <w:sz w:val="18"/>
          <w:szCs w:val="18"/>
          <w:color w:val="auto"/>
        </w:rPr>
        <w:t>Date may, if any, be granted a pro rata number of PSUs for that year, i.e. for the period between the beginning of their employment and the next regular Grant Date, as an interim grant or as additional PSUs on the next regular Grant Date.</w:t>
      </w:r>
    </w:p>
    <w:p>
      <w:pPr>
        <w:spacing w:after="0" w:line="192" w:lineRule="exact"/>
        <w:rPr>
          <w:sz w:val="20"/>
          <w:szCs w:val="20"/>
          <w:color w:val="auto"/>
        </w:rPr>
      </w:pPr>
    </w:p>
    <w:p>
      <w:pPr>
        <w:ind w:left="412" w:hanging="412"/>
        <w:spacing w:after="0"/>
        <w:tabs>
          <w:tab w:leader="none" w:pos="412" w:val="left"/>
        </w:tabs>
        <w:numPr>
          <w:ilvl w:val="0"/>
          <w:numId w:val="684"/>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 of the Plan and upon entry into the share register, subject to, and in accordance with, the restrictions and procedures set out in article 5 of the Company's articles of incorporation.</w:t>
      </w:r>
    </w:p>
    <w:p>
      <w:pPr>
        <w:spacing w:after="0" w:line="214" w:lineRule="exact"/>
        <w:rPr>
          <w:sz w:val="20"/>
          <w:szCs w:val="20"/>
          <w:color w:val="auto"/>
        </w:rPr>
      </w:pPr>
    </w:p>
    <w:p>
      <w:pPr>
        <w:ind w:left="412" w:hanging="412"/>
        <w:spacing w:after="0"/>
        <w:tabs>
          <w:tab w:leader="none" w:pos="412" w:val="left"/>
        </w:tabs>
        <w:numPr>
          <w:ilvl w:val="0"/>
          <w:numId w:val="685"/>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spacing w:after="0" w:line="211" w:lineRule="exact"/>
        <w:rPr>
          <w:sz w:val="20"/>
          <w:szCs w:val="20"/>
          <w:color w:val="auto"/>
        </w:rPr>
      </w:pPr>
    </w:p>
    <w:p>
      <w:pPr>
        <w:ind w:left="412" w:hanging="412"/>
        <w:spacing w:after="0"/>
        <w:tabs>
          <w:tab w:leader="none" w:pos="412" w:val="left"/>
        </w:tabs>
        <w:numPr>
          <w:ilvl w:val="0"/>
          <w:numId w:val="686"/>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319" w:lineRule="exact"/>
        <w:rPr>
          <w:sz w:val="20"/>
          <w:szCs w:val="20"/>
          <w:color w:val="auto"/>
        </w:rPr>
      </w:pPr>
    </w:p>
    <w:p>
      <w:pPr>
        <w:ind w:left="652" w:hanging="652"/>
        <w:spacing w:after="0" w:line="287" w:lineRule="auto"/>
        <w:tabs>
          <w:tab w:leader="none" w:pos="544" w:val="left"/>
        </w:tabs>
        <w:numPr>
          <w:ilvl w:val="0"/>
          <w:numId w:val="687"/>
        </w:numPr>
        <w:rPr>
          <w:rFonts w:ascii="Arial" w:cs="Arial" w:eastAsia="Arial" w:hAnsi="Arial"/>
          <w:sz w:val="18"/>
          <w:szCs w:val="18"/>
          <w:color w:val="auto"/>
        </w:rPr>
      </w:pPr>
      <w:r>
        <w:rPr>
          <w:rFonts w:ascii="Arial" w:cs="Arial" w:eastAsia="Arial" w:hAnsi="Arial"/>
          <w:sz w:val="18"/>
          <w:szCs w:val="18"/>
          <w:color w:val="auto"/>
        </w:rPr>
        <w:t xml:space="preserve">Unless otherwise set out in this Plan (in particular in Section 14) or in the PSU Award Agreement, PSUs shall vest on the third anniversary of the Grant Date (the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period between the Grant Date and the Vesting Date shall be deemed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32" w:hanging="432"/>
        <w:spacing w:after="0"/>
        <w:tabs>
          <w:tab w:leader="none" w:pos="432" w:val="left"/>
        </w:tabs>
        <w:numPr>
          <w:ilvl w:val="0"/>
          <w:numId w:val="687"/>
        </w:numPr>
        <w:rPr>
          <w:rFonts w:ascii="Arial" w:cs="Arial" w:eastAsia="Arial" w:hAnsi="Arial"/>
          <w:sz w:val="18"/>
          <w:szCs w:val="18"/>
          <w:color w:val="auto"/>
        </w:rPr>
      </w:pPr>
      <w:r>
        <w:rPr>
          <w:rFonts w:ascii="Arial" w:cs="Arial" w:eastAsia="Arial" w:hAnsi="Arial"/>
          <w:sz w:val="18"/>
          <w:szCs w:val="18"/>
          <w:color w:val="auto"/>
        </w:rPr>
        <w:t>Subject to section 14(b) below, no PSU shall vest if, during the Vesting Period, the relevant Participant's employment is terminated (i.e.</w:t>
      </w:r>
    </w:p>
    <w:p>
      <w:pPr>
        <w:spacing w:after="0" w:line="36" w:lineRule="exact"/>
        <w:rPr>
          <w:rFonts w:ascii="Arial" w:cs="Arial" w:eastAsia="Arial" w:hAnsi="Arial"/>
          <w:sz w:val="18"/>
          <w:szCs w:val="18"/>
          <w:color w:val="auto"/>
        </w:rPr>
      </w:pPr>
    </w:p>
    <w:p>
      <w:pPr>
        <w:ind w:left="652"/>
        <w:spacing w:after="0" w:line="293" w:lineRule="auto"/>
        <w:rPr>
          <w:rFonts w:ascii="Arial" w:cs="Arial" w:eastAsia="Arial" w:hAnsi="Arial"/>
          <w:sz w:val="18"/>
          <w:szCs w:val="18"/>
          <w:color w:val="auto"/>
        </w:rPr>
      </w:pPr>
      <w:r>
        <w:rPr>
          <w:rFonts w:ascii="Arial" w:cs="Arial" w:eastAsia="Arial" w:hAnsi="Arial"/>
          <w:sz w:val="18"/>
          <w:szCs w:val="18"/>
          <w:color w:val="auto"/>
        </w:rPr>
        <w:t>notice of termination is given (even if the notice period is still running) or another reason for termination occurs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set by a Group Company.</w:t>
      </w:r>
    </w:p>
    <w:p>
      <w:pPr>
        <w:spacing w:after="0" w:line="237" w:lineRule="exact"/>
        <w:rPr>
          <w:rFonts w:ascii="Arial" w:cs="Arial" w:eastAsia="Arial" w:hAnsi="Arial"/>
          <w:sz w:val="18"/>
          <w:szCs w:val="18"/>
          <w:color w:val="auto"/>
        </w:rPr>
      </w:pPr>
    </w:p>
    <w:p>
      <w:pPr>
        <w:ind w:left="652" w:hanging="652"/>
        <w:spacing w:after="0" w:line="287" w:lineRule="auto"/>
        <w:tabs>
          <w:tab w:leader="none" w:pos="417" w:val="left"/>
        </w:tabs>
        <w:numPr>
          <w:ilvl w:val="0"/>
          <w:numId w:val="687"/>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Alternatively, the Company may provide for cash-less acquisition or vesting-sale arrangements through a Plan Service Provider or otherwise.</w:t>
      </w:r>
    </w:p>
    <w:p>
      <w:pPr>
        <w:spacing w:after="0" w:line="211" w:lineRule="exact"/>
        <w:rPr>
          <w:sz w:val="20"/>
          <w:szCs w:val="20"/>
          <w:color w:val="auto"/>
        </w:rPr>
      </w:pPr>
    </w:p>
    <w:p>
      <w:pPr>
        <w:ind w:left="412" w:hanging="412"/>
        <w:spacing w:after="0"/>
        <w:tabs>
          <w:tab w:leader="none" w:pos="412" w:val="left"/>
        </w:tabs>
        <w:numPr>
          <w:ilvl w:val="0"/>
          <w:numId w:val="688"/>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319" w:lineRule="exact"/>
        <w:rPr>
          <w:sz w:val="20"/>
          <w:szCs w:val="20"/>
          <w:color w:val="auto"/>
        </w:rPr>
      </w:pPr>
    </w:p>
    <w:p>
      <w:pPr>
        <w:jc w:val="both"/>
        <w:ind w:left="652"/>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16,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Company, be sourced from conditional share capital, from treasury shares or from other sources. Unless otherwise determined by the Board of Directors or the Compensation Committee, Shares shall be sourced from the Company's conditional share capital and a respective maximum number of Shares out of conditional capital shall be deemed reserved, accordingly.</w:t>
      </w:r>
    </w:p>
    <w:p>
      <w:pPr>
        <w:sectPr>
          <w:pgSz w:w="11900" w:h="16838" w:orient="portrait"/>
          <w:cols w:equalWidth="0" w:num="1">
            <w:col w:w="11232"/>
          </w:cols>
          <w:pgMar w:left="328" w:top="180" w:right="339" w:bottom="1440" w:gutter="0" w:footer="0" w:header="0"/>
        </w:sectPr>
      </w:pPr>
    </w:p>
    <w:bookmarkStart w:id="733" w:name="page734"/>
    <w:bookmarkEnd w:id="733"/>
    <w:tbl>
      <w:tblPr>
        <w:tblLayout w:type="fixed"/>
        <w:tblInd w:w="12"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20" w:type="dxa"/>
            <w:vAlign w:val="bottom"/>
          </w:tcPr>
          <w:p>
            <w:pPr>
              <w:jc w:val="right"/>
              <w:spacing w:after="0"/>
              <w:rPr>
                <w:sz w:val="20"/>
                <w:szCs w:val="20"/>
                <w:color w:val="auto"/>
              </w:rPr>
            </w:pPr>
            <w:r>
              <w:rPr>
                <w:rFonts w:ascii="Arial" w:cs="Arial" w:eastAsia="Arial" w:hAnsi="Arial"/>
                <w:sz w:val="13"/>
                <w:szCs w:val="13"/>
                <w:color w:val="auto"/>
              </w:rPr>
              <w:t>6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2" w:hanging="532"/>
        <w:spacing w:after="0"/>
        <w:tabs>
          <w:tab w:leader="none" w:pos="532" w:val="left"/>
        </w:tabs>
        <w:numPr>
          <w:ilvl w:val="0"/>
          <w:numId w:val="689"/>
        </w:numPr>
        <w:rPr>
          <w:rFonts w:ascii="Arial" w:cs="Arial" w:eastAsia="Arial" w:hAnsi="Arial"/>
          <w:sz w:val="22"/>
          <w:szCs w:val="22"/>
          <w:b w:val="1"/>
          <w:bCs w:val="1"/>
          <w:color w:val="auto"/>
        </w:rPr>
      </w:pPr>
      <w:r>
        <w:rPr>
          <w:rFonts w:ascii="Arial" w:cs="Arial" w:eastAsia="Arial" w:hAnsi="Arial"/>
          <w:sz w:val="22"/>
          <w:szCs w:val="22"/>
          <w:b w:val="1"/>
          <w:bCs w:val="1"/>
          <w:color w:val="auto"/>
        </w:rPr>
        <w:t>Vesting Multiple</w:t>
      </w:r>
    </w:p>
    <w:p>
      <w:pPr>
        <w:spacing w:after="0" w:line="319" w:lineRule="exact"/>
        <w:rPr>
          <w:sz w:val="20"/>
          <w:szCs w:val="20"/>
          <w:color w:val="auto"/>
        </w:rPr>
      </w:pPr>
    </w:p>
    <w:p>
      <w:pPr>
        <w:ind w:left="492" w:hanging="492"/>
        <w:spacing w:after="0"/>
        <w:tabs>
          <w:tab w:leader="none" w:pos="492"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Vesting Multiple shall not be lower than 0 nor higher than 1.2 (one point two). Within such range, the Vesting Multiple shall be</w:t>
      </w:r>
    </w:p>
    <w:p>
      <w:pPr>
        <w:spacing w:after="0" w:line="36" w:lineRule="exact"/>
        <w:rPr>
          <w:rFonts w:ascii="Arial" w:cs="Arial" w:eastAsia="Arial" w:hAnsi="Arial"/>
          <w:sz w:val="18"/>
          <w:szCs w:val="18"/>
          <w:color w:val="auto"/>
        </w:rPr>
      </w:pPr>
    </w:p>
    <w:p>
      <w:pPr>
        <w:jc w:val="both"/>
        <w:ind w:left="652"/>
        <w:spacing w:after="0" w:line="284" w:lineRule="auto"/>
        <w:rPr>
          <w:rFonts w:ascii="Arial" w:cs="Arial" w:eastAsia="Arial" w:hAnsi="Arial"/>
          <w:sz w:val="18"/>
          <w:szCs w:val="18"/>
          <w:color w:val="auto"/>
        </w:rPr>
      </w:pPr>
      <w:r>
        <w:rPr>
          <w:rFonts w:ascii="Arial" w:cs="Arial" w:eastAsia="Arial" w:hAnsi="Arial"/>
          <w:sz w:val="18"/>
          <w:szCs w:val="18"/>
          <w:color w:val="auto"/>
        </w:rPr>
        <w:t>determined by the Board of Directors upon proposal by the Compensation Committee based on its assessment of the achievement of the goals set out in the score card (</w:t>
      </w:r>
      <w:r>
        <w:rPr>
          <w:rFonts w:ascii="Arial" w:cs="Arial" w:eastAsia="Arial" w:hAnsi="Arial"/>
          <w:sz w:val="18"/>
          <w:szCs w:val="18"/>
          <w:b w:val="1"/>
          <w:bCs w:val="1"/>
          <w:color w:val="auto"/>
        </w:rPr>
        <w:t>LTI Score Card</w:t>
      </w:r>
      <w:r>
        <w:rPr>
          <w:rFonts w:ascii="Arial" w:cs="Arial" w:eastAsia="Arial" w:hAnsi="Arial"/>
          <w:sz w:val="18"/>
          <w:szCs w:val="18"/>
          <w:color w:val="auto"/>
        </w:rPr>
        <w:t>) attached to the PSU Award Agreement or otherwise communicated by the Company to the Participant in connection with the grant (</w:t>
      </w:r>
      <w:r>
        <w:rPr>
          <w:rFonts w:ascii="Arial" w:cs="Arial" w:eastAsia="Arial" w:hAnsi="Arial"/>
          <w:sz w:val="18"/>
          <w:szCs w:val="18"/>
          <w:b w:val="1"/>
          <w:bCs w:val="1"/>
          <w:color w:val="auto"/>
        </w:rPr>
        <w:t>Goals</w:t>
      </w:r>
      <w:r>
        <w:rPr>
          <w:rFonts w:ascii="Arial" w:cs="Arial" w:eastAsia="Arial" w:hAnsi="Arial"/>
          <w:sz w:val="18"/>
          <w:szCs w:val="18"/>
          <w:color w:val="auto"/>
        </w:rPr>
        <w:t>). The Goals may include any corporate goals, i.e. strategic, operating or financial goals of the Company or the Group, any personal goals and performance of the relevant Participant and/or any goals relating to the total shareholder return or share price development. The LTI Score Card may attach a percentage weighting to each Goal for purposes of deriving the Vesting Multiple or require a global assessment of the achievement of goals.</w:t>
      </w:r>
    </w:p>
    <w:p>
      <w:pPr>
        <w:spacing w:after="0" w:line="231" w:lineRule="exact"/>
        <w:rPr>
          <w:rFonts w:ascii="Arial" w:cs="Arial" w:eastAsia="Arial" w:hAnsi="Arial"/>
          <w:sz w:val="18"/>
          <w:szCs w:val="18"/>
          <w:color w:val="auto"/>
        </w:rPr>
      </w:pPr>
    </w:p>
    <w:p>
      <w:pPr>
        <w:ind w:left="652" w:hanging="652"/>
        <w:spacing w:after="0" w:line="287" w:lineRule="auto"/>
        <w:tabs>
          <w:tab w:leader="none" w:pos="477" w:val="left"/>
        </w:tabs>
        <w:numPr>
          <w:ilvl w:val="0"/>
          <w:numId w:val="690"/>
        </w:numPr>
        <w:rPr>
          <w:rFonts w:ascii="Arial" w:cs="Arial" w:eastAsia="Arial" w:hAnsi="Arial"/>
          <w:sz w:val="18"/>
          <w:szCs w:val="18"/>
          <w:color w:val="auto"/>
        </w:rPr>
      </w:pPr>
      <w:r>
        <w:rPr>
          <w:rFonts w:ascii="Arial" w:cs="Arial" w:eastAsia="Arial" w:hAnsi="Arial"/>
          <w:sz w:val="18"/>
          <w:szCs w:val="18"/>
          <w:color w:val="auto"/>
        </w:rPr>
        <w:t>The Vesting Multiple shall, unless the nature of the Goals demands otherwise, be determined in the year following the year of grant. Notwithstanding such determination, Vesting shall occur only at the time and subject to the conditions otherwise set out in this Plan or in the PSU Award Agreement.</w:t>
      </w:r>
    </w:p>
    <w:p>
      <w:pPr>
        <w:spacing w:after="0" w:line="242" w:lineRule="exact"/>
        <w:rPr>
          <w:rFonts w:ascii="Arial" w:cs="Arial" w:eastAsia="Arial" w:hAnsi="Arial"/>
          <w:sz w:val="18"/>
          <w:szCs w:val="18"/>
          <w:color w:val="auto"/>
        </w:rPr>
      </w:pPr>
    </w:p>
    <w:p>
      <w:pPr>
        <w:ind w:left="652" w:hanging="652"/>
        <w:spacing w:after="0" w:line="287" w:lineRule="auto"/>
        <w:tabs>
          <w:tab w:leader="none" w:pos="432" w:val="left"/>
        </w:tabs>
        <w:numPr>
          <w:ilvl w:val="0"/>
          <w:numId w:val="690"/>
        </w:numPr>
        <w:rPr>
          <w:rFonts w:ascii="Arial" w:cs="Arial" w:eastAsia="Arial" w:hAnsi="Arial"/>
          <w:sz w:val="18"/>
          <w:szCs w:val="18"/>
          <w:color w:val="auto"/>
        </w:rPr>
      </w:pPr>
      <w:r>
        <w:rPr>
          <w:rFonts w:ascii="Arial" w:cs="Arial" w:eastAsia="Arial" w:hAnsi="Arial"/>
          <w:sz w:val="18"/>
          <w:szCs w:val="18"/>
          <w:color w:val="auto"/>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spacing w:after="0" w:line="211" w:lineRule="exact"/>
        <w:rPr>
          <w:sz w:val="20"/>
          <w:szCs w:val="20"/>
          <w:color w:val="auto"/>
        </w:rPr>
      </w:pPr>
    </w:p>
    <w:p>
      <w:pPr>
        <w:ind w:left="532" w:hanging="532"/>
        <w:spacing w:after="0"/>
        <w:tabs>
          <w:tab w:leader="none" w:pos="532" w:val="left"/>
        </w:tabs>
        <w:numPr>
          <w:ilvl w:val="0"/>
          <w:numId w:val="691"/>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Social Security Contributions</w:t>
      </w:r>
    </w:p>
    <w:p>
      <w:pPr>
        <w:spacing w:after="0" w:line="319" w:lineRule="exact"/>
        <w:rPr>
          <w:sz w:val="20"/>
          <w:szCs w:val="20"/>
          <w:color w:val="auto"/>
        </w:rPr>
      </w:pPr>
    </w:p>
    <w:p>
      <w:pPr>
        <w:ind w:left="652" w:hanging="652"/>
        <w:spacing w:after="0" w:line="287" w:lineRule="auto"/>
        <w:tabs>
          <w:tab w:leader="none" w:pos="451" w:val="left"/>
        </w:tabs>
        <w:numPr>
          <w:ilvl w:val="0"/>
          <w:numId w:val="692"/>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spacing w:after="0" w:line="229" w:lineRule="exact"/>
        <w:rPr>
          <w:rFonts w:ascii="Arial" w:cs="Arial" w:eastAsia="Arial" w:hAnsi="Arial"/>
          <w:sz w:val="18"/>
          <w:szCs w:val="18"/>
          <w:color w:val="auto"/>
        </w:rPr>
      </w:pPr>
    </w:p>
    <w:p>
      <w:pPr>
        <w:ind w:left="652" w:hanging="652"/>
        <w:spacing w:after="0" w:line="283" w:lineRule="auto"/>
        <w:tabs>
          <w:tab w:leader="none" w:pos="449"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w:t>
      </w:r>
    </w:p>
    <w:p>
      <w:pPr>
        <w:spacing w:after="0" w:line="249" w:lineRule="exact"/>
        <w:rPr>
          <w:rFonts w:ascii="Arial" w:cs="Arial" w:eastAsia="Arial" w:hAnsi="Arial"/>
          <w:sz w:val="18"/>
          <w:szCs w:val="18"/>
          <w:color w:val="auto"/>
        </w:rPr>
      </w:pPr>
    </w:p>
    <w:p>
      <w:pPr>
        <w:ind w:left="652" w:hanging="652"/>
        <w:spacing w:after="0" w:line="293" w:lineRule="auto"/>
        <w:tabs>
          <w:tab w:leader="none" w:pos="413"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PSU awards, Shares or related events.</w:t>
      </w:r>
    </w:p>
    <w:p>
      <w:pPr>
        <w:sectPr>
          <w:pgSz w:w="11900" w:h="16838" w:orient="portrait"/>
          <w:cols w:equalWidth="0" w:num="1">
            <w:col w:w="11232"/>
          </w:cols>
          <w:pgMar w:left="328" w:top="180" w:right="339" w:bottom="1440" w:gutter="0" w:footer="0" w:header="0"/>
        </w:sectPr>
      </w:pPr>
    </w:p>
    <w:bookmarkStart w:id="734" w:name="page735"/>
    <w:bookmarkEnd w:id="734"/>
    <w:tbl>
      <w:tblPr>
        <w:tblLayout w:type="fixed"/>
        <w:tblInd w:w="12"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20" w:type="dxa"/>
            <w:vAlign w:val="bottom"/>
          </w:tcPr>
          <w:p>
            <w:pPr>
              <w:jc w:val="right"/>
              <w:spacing w:after="0"/>
              <w:rPr>
                <w:sz w:val="20"/>
                <w:szCs w:val="20"/>
                <w:color w:val="auto"/>
              </w:rPr>
            </w:pPr>
            <w:r>
              <w:rPr>
                <w:rFonts w:ascii="Arial" w:cs="Arial" w:eastAsia="Arial" w:hAnsi="Arial"/>
                <w:sz w:val="13"/>
                <w:szCs w:val="13"/>
                <w:color w:val="auto"/>
              </w:rPr>
              <w:t>7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2" w:hanging="532"/>
        <w:spacing w:after="0"/>
        <w:tabs>
          <w:tab w:leader="none" w:pos="532" w:val="left"/>
        </w:tabs>
        <w:numPr>
          <w:ilvl w:val="0"/>
          <w:numId w:val="693"/>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Requirements</w:t>
      </w:r>
    </w:p>
    <w:p>
      <w:pPr>
        <w:spacing w:after="0" w:line="319" w:lineRule="exact"/>
        <w:rPr>
          <w:sz w:val="20"/>
          <w:szCs w:val="20"/>
          <w:color w:val="auto"/>
        </w:rPr>
      </w:pPr>
    </w:p>
    <w:p>
      <w:pPr>
        <w:jc w:val="both"/>
        <w:ind w:left="652"/>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202" w:lineRule="exact"/>
        <w:rPr>
          <w:sz w:val="20"/>
          <w:szCs w:val="20"/>
          <w:color w:val="auto"/>
        </w:rPr>
      </w:pPr>
    </w:p>
    <w:p>
      <w:pPr>
        <w:ind w:left="532" w:hanging="532"/>
        <w:spacing w:after="0"/>
        <w:tabs>
          <w:tab w:leader="none" w:pos="532" w:val="left"/>
        </w:tabs>
        <w:numPr>
          <w:ilvl w:val="0"/>
          <w:numId w:val="694"/>
        </w:numPr>
        <w:rPr>
          <w:rFonts w:ascii="Arial" w:cs="Arial" w:eastAsia="Arial" w:hAnsi="Arial"/>
          <w:sz w:val="22"/>
          <w:szCs w:val="22"/>
          <w:b w:val="1"/>
          <w:bCs w:val="1"/>
          <w:color w:val="auto"/>
        </w:rPr>
      </w:pPr>
      <w:r>
        <w:rPr>
          <w:rFonts w:ascii="Arial" w:cs="Arial" w:eastAsia="Arial" w:hAnsi="Arial"/>
          <w:sz w:val="22"/>
          <w:szCs w:val="22"/>
          <w:b w:val="1"/>
          <w:bCs w:val="1"/>
          <w:color w:val="auto"/>
        </w:rPr>
        <w:t>Other Obligations of the Participant</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employment) to any Group Company, until the Participant has satisfied such outstanding obligations.</w:t>
      </w:r>
    </w:p>
    <w:p>
      <w:pPr>
        <w:spacing w:after="0" w:line="211" w:lineRule="exact"/>
        <w:rPr>
          <w:sz w:val="20"/>
          <w:szCs w:val="20"/>
          <w:color w:val="auto"/>
        </w:rPr>
      </w:pPr>
    </w:p>
    <w:p>
      <w:pPr>
        <w:ind w:left="532" w:hanging="532"/>
        <w:spacing w:after="0"/>
        <w:tabs>
          <w:tab w:leader="none" w:pos="532" w:val="left"/>
        </w:tabs>
        <w:numPr>
          <w:ilvl w:val="0"/>
          <w:numId w:val="695"/>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and Forfeiture</w:t>
      </w:r>
    </w:p>
    <w:p>
      <w:pPr>
        <w:spacing w:after="0" w:line="319" w:lineRule="exact"/>
        <w:rPr>
          <w:sz w:val="20"/>
          <w:szCs w:val="20"/>
          <w:color w:val="auto"/>
        </w:rPr>
      </w:pPr>
    </w:p>
    <w:p>
      <w:pPr>
        <w:ind w:left="652" w:hanging="652"/>
        <w:spacing w:after="0" w:line="287" w:lineRule="auto"/>
        <w:tabs>
          <w:tab w:leader="none" w:pos="432" w:val="left"/>
        </w:tabs>
        <w:numPr>
          <w:ilvl w:val="0"/>
          <w:numId w:val="696"/>
        </w:numPr>
        <w:rPr>
          <w:rFonts w:ascii="Arial" w:cs="Arial" w:eastAsia="Arial" w:hAnsi="Arial"/>
          <w:sz w:val="18"/>
          <w:szCs w:val="18"/>
          <w:color w:val="auto"/>
        </w:rPr>
      </w:pPr>
      <w:r>
        <w:rPr>
          <w:rFonts w:ascii="Arial" w:cs="Arial" w:eastAsia="Arial" w:hAnsi="Arial"/>
          <w:sz w:val="18"/>
          <w:szCs w:val="18"/>
          <w:color w:val="auto"/>
        </w:rPr>
        <w:t>If a Participant's employment is terminated (i.e. notice of termination is given (even if the notice period is still running) or another reason for termination occurs during the Vesting period,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within the meaning of Article 337 CO and except as set out in section 14(b) below, all PSUs shall immediately cease and be forfeited.</w:t>
      </w:r>
    </w:p>
    <w:p>
      <w:pPr>
        <w:spacing w:after="0" w:line="224" w:lineRule="exact"/>
        <w:rPr>
          <w:rFonts w:ascii="Arial" w:cs="Arial" w:eastAsia="Arial" w:hAnsi="Arial"/>
          <w:sz w:val="18"/>
          <w:szCs w:val="18"/>
          <w:color w:val="auto"/>
        </w:rPr>
      </w:pPr>
    </w:p>
    <w:p>
      <w:pPr>
        <w:ind w:left="652" w:hanging="652"/>
        <w:spacing w:after="0" w:line="288" w:lineRule="auto"/>
        <w:tabs>
          <w:tab w:leader="none" w:pos="445" w:val="left"/>
        </w:tabs>
        <w:numPr>
          <w:ilvl w:val="0"/>
          <w:numId w:val="696"/>
        </w:numPr>
        <w:rPr>
          <w:rFonts w:ascii="Arial" w:cs="Arial" w:eastAsia="Arial" w:hAnsi="Arial"/>
          <w:sz w:val="18"/>
          <w:szCs w:val="18"/>
          <w:color w:val="auto"/>
        </w:rPr>
      </w:pPr>
      <w:r>
        <w:rPr>
          <w:rFonts w:ascii="Arial" w:cs="Arial" w:eastAsia="Arial" w:hAnsi="Arial"/>
          <w:sz w:val="18"/>
          <w:szCs w:val="18"/>
          <w:color w:val="auto"/>
        </w:rPr>
        <w:t xml:space="preserve">If the employment agreement terminates by reason of (i) death, permanent illness or disability of the Participant or (ii) retirement,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number of PSUs granted to the Participant shall vest immediately with the remaining PSUs lapsing without further effect.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(i) here before, the pro rata calculation will be made assuming that employment lasted one year longer (but in any case not longer than the end of the regular three-year Vesting Period). The Board of Directors may, at its sole discretion and with final and binding effect, based on a recommendation by the Compensation Committee and taking into consideration the objectives of the Plan, grant further exceptions from the forfeiture clause as per section 14 (a) above.</w:t>
      </w:r>
    </w:p>
    <w:p>
      <w:pPr>
        <w:spacing w:after="0" w:line="197" w:lineRule="exact"/>
        <w:rPr>
          <w:sz w:val="20"/>
          <w:szCs w:val="20"/>
          <w:color w:val="auto"/>
        </w:rPr>
      </w:pPr>
    </w:p>
    <w:p>
      <w:pPr>
        <w:ind w:left="532" w:hanging="532"/>
        <w:spacing w:after="0"/>
        <w:tabs>
          <w:tab w:leader="none" w:pos="532" w:val="left"/>
        </w:tabs>
        <w:numPr>
          <w:ilvl w:val="0"/>
          <w:numId w:val="697"/>
        </w:numPr>
        <w:rPr>
          <w:rFonts w:ascii="Arial" w:cs="Arial" w:eastAsia="Arial" w:hAnsi="Arial"/>
          <w:sz w:val="22"/>
          <w:szCs w:val="22"/>
          <w:b w:val="1"/>
          <w:bCs w:val="1"/>
          <w:color w:val="auto"/>
        </w:rPr>
      </w:pPr>
      <w:r>
        <w:rPr>
          <w:rFonts w:ascii="Arial" w:cs="Arial" w:eastAsia="Arial" w:hAnsi="Arial"/>
          <w:sz w:val="22"/>
          <w:szCs w:val="22"/>
          <w:b w:val="1"/>
          <w:bCs w:val="1"/>
          <w:color w:val="auto"/>
        </w:rPr>
        <w:t>Change of Control</w:t>
      </w:r>
    </w:p>
    <w:p>
      <w:pPr>
        <w:spacing w:after="0" w:line="297" w:lineRule="exact"/>
        <w:rPr>
          <w:sz w:val="20"/>
          <w:szCs w:val="20"/>
          <w:color w:val="auto"/>
        </w:rPr>
      </w:pPr>
    </w:p>
    <w:p>
      <w:pPr>
        <w:ind w:left="412" w:hanging="412"/>
        <w:spacing w:after="0"/>
        <w:tabs>
          <w:tab w:leader="none" w:pos="412" w:val="left"/>
        </w:tabs>
        <w:numPr>
          <w:ilvl w:val="0"/>
          <w:numId w:val="698"/>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314" w:lineRule="exact"/>
        <w:rPr>
          <w:rFonts w:ascii="Arial" w:cs="Arial" w:eastAsia="Arial" w:hAnsi="Arial"/>
          <w:sz w:val="18"/>
          <w:szCs w:val="18"/>
          <w:color w:val="auto"/>
        </w:rPr>
      </w:pPr>
    </w:p>
    <w:p>
      <w:pPr>
        <w:ind w:left="1292" w:right="20" w:hanging="644"/>
        <w:spacing w:after="0" w:line="287" w:lineRule="auto"/>
        <w:tabs>
          <w:tab w:leader="none" w:pos="1099" w:val="left"/>
        </w:tabs>
        <w:numPr>
          <w:ilvl w:val="1"/>
          <w:numId w:val="698"/>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42" w:lineRule="exact"/>
        <w:rPr>
          <w:rFonts w:ascii="Arial" w:cs="Arial" w:eastAsia="Arial" w:hAnsi="Arial"/>
          <w:sz w:val="18"/>
          <w:szCs w:val="18"/>
          <w:color w:val="auto"/>
        </w:rPr>
      </w:pPr>
    </w:p>
    <w:p>
      <w:pPr>
        <w:ind w:left="1292" w:hanging="644"/>
        <w:spacing w:after="0" w:line="293" w:lineRule="auto"/>
        <w:tabs>
          <w:tab w:leader="none" w:pos="1065" w:val="left"/>
        </w:tabs>
        <w:numPr>
          <w:ilvl w:val="1"/>
          <w:numId w:val="698"/>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ectPr>
          <w:pgSz w:w="11900" w:h="16838" w:orient="portrait"/>
          <w:cols w:equalWidth="0" w:num="1">
            <w:col w:w="11232"/>
          </w:cols>
          <w:pgMar w:left="328" w:top="180" w:right="339" w:bottom="1440" w:gutter="0" w:footer="0" w:header="0"/>
        </w:sectPr>
      </w:pPr>
    </w:p>
    <w:bookmarkStart w:id="735" w:name="page736"/>
    <w:bookmarkEnd w:id="735"/>
    <w:tbl>
      <w:tblPr>
        <w:tblLayout w:type="fixed"/>
        <w:tblInd w:w="12"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20" w:type="dxa"/>
            <w:vAlign w:val="bottom"/>
          </w:tcPr>
          <w:p>
            <w:pPr>
              <w:jc w:val="right"/>
              <w:spacing w:after="0"/>
              <w:rPr>
                <w:sz w:val="20"/>
                <w:szCs w:val="20"/>
                <w:color w:val="auto"/>
              </w:rPr>
            </w:pPr>
            <w:r>
              <w:rPr>
                <w:rFonts w:ascii="Arial" w:cs="Arial" w:eastAsia="Arial" w:hAnsi="Arial"/>
                <w:sz w:val="13"/>
                <w:szCs w:val="13"/>
                <w:color w:val="auto"/>
              </w:rPr>
              <w:t>8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92" w:hanging="644"/>
        <w:spacing w:after="0" w:line="285" w:lineRule="auto"/>
        <w:tabs>
          <w:tab w:leader="none" w:pos="1114" w:val="left"/>
        </w:tabs>
        <w:numPr>
          <w:ilvl w:val="1"/>
          <w:numId w:val="699"/>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31" w:lineRule="exact"/>
        <w:rPr>
          <w:rFonts w:ascii="Arial" w:cs="Arial" w:eastAsia="Arial" w:hAnsi="Arial"/>
          <w:sz w:val="18"/>
          <w:szCs w:val="18"/>
          <w:color w:val="auto"/>
        </w:rPr>
      </w:pPr>
    </w:p>
    <w:p>
      <w:pPr>
        <w:ind w:left="1292" w:hanging="644"/>
        <w:spacing w:after="0" w:line="284" w:lineRule="auto"/>
        <w:tabs>
          <w:tab w:leader="none" w:pos="1121" w:val="left"/>
        </w:tabs>
        <w:numPr>
          <w:ilvl w:val="1"/>
          <w:numId w:val="699"/>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46" w:lineRule="exact"/>
        <w:rPr>
          <w:rFonts w:ascii="Arial" w:cs="Arial" w:eastAsia="Arial" w:hAnsi="Arial"/>
          <w:sz w:val="18"/>
          <w:szCs w:val="18"/>
          <w:color w:val="auto"/>
        </w:rPr>
      </w:pPr>
    </w:p>
    <w:p>
      <w:pPr>
        <w:ind w:left="652" w:hanging="652"/>
        <w:spacing w:after="0" w:line="293" w:lineRule="auto"/>
        <w:tabs>
          <w:tab w:leader="none" w:pos="444"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PSUs in respect of which the Vesting Date has not occurred by the date of the Change of Control:</w:t>
      </w:r>
    </w:p>
    <w:p>
      <w:pPr>
        <w:spacing w:after="0" w:line="237" w:lineRule="exact"/>
        <w:rPr>
          <w:rFonts w:ascii="Arial" w:cs="Arial" w:eastAsia="Arial" w:hAnsi="Arial"/>
          <w:sz w:val="18"/>
          <w:szCs w:val="18"/>
          <w:color w:val="auto"/>
        </w:rPr>
      </w:pPr>
    </w:p>
    <w:p>
      <w:pPr>
        <w:ind w:left="1012" w:hanging="364"/>
        <w:spacing w:after="0"/>
        <w:tabs>
          <w:tab w:leader="none" w:pos="1012" w:val="left"/>
        </w:tabs>
        <w:numPr>
          <w:ilvl w:val="1"/>
          <w:numId w:val="700"/>
        </w:numPr>
        <w:rPr>
          <w:rFonts w:ascii="Arial" w:cs="Arial" w:eastAsia="Arial" w:hAnsi="Arial"/>
          <w:sz w:val="18"/>
          <w:szCs w:val="18"/>
          <w:color w:val="auto"/>
        </w:rPr>
      </w:pPr>
      <w:r>
        <w:rPr>
          <w:rFonts w:ascii="Arial" w:cs="Arial" w:eastAsia="Arial" w:hAnsi="Arial"/>
          <w:sz w:val="18"/>
          <w:szCs w:val="18"/>
          <w:color w:val="auto"/>
        </w:rPr>
        <w:t>all PSUs will vest immediately;</w:t>
      </w:r>
    </w:p>
    <w:p>
      <w:pPr>
        <w:spacing w:after="0" w:line="279" w:lineRule="exact"/>
        <w:rPr>
          <w:rFonts w:ascii="Arial" w:cs="Arial" w:eastAsia="Arial" w:hAnsi="Arial"/>
          <w:sz w:val="18"/>
          <w:szCs w:val="18"/>
          <w:color w:val="auto"/>
        </w:rPr>
      </w:pPr>
    </w:p>
    <w:p>
      <w:pPr>
        <w:ind w:left="1292" w:hanging="644"/>
        <w:spacing w:after="0" w:line="293" w:lineRule="auto"/>
        <w:tabs>
          <w:tab w:leader="none" w:pos="1073"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Vesting Multiple with respect to each PSU allocation will be determined by the Compensation Committee at the time of the Change of Control unless the Vesting Multiple has already been determined prior to the Change of Control; and</w:t>
      </w:r>
    </w:p>
    <w:p>
      <w:pPr>
        <w:spacing w:after="0" w:line="237" w:lineRule="exact"/>
        <w:rPr>
          <w:rFonts w:ascii="Arial" w:cs="Arial" w:eastAsia="Arial" w:hAnsi="Arial"/>
          <w:sz w:val="18"/>
          <w:szCs w:val="18"/>
          <w:color w:val="auto"/>
        </w:rPr>
      </w:pPr>
    </w:p>
    <w:p>
      <w:pPr>
        <w:ind w:left="1292" w:hanging="644"/>
        <w:spacing w:after="0" w:line="293" w:lineRule="auto"/>
        <w:tabs>
          <w:tab w:leader="none" w:pos="1202" w:val="left"/>
        </w:tabs>
        <w:numPr>
          <w:ilvl w:val="1"/>
          <w:numId w:val="700"/>
        </w:numPr>
        <w:rPr>
          <w:rFonts w:ascii="Arial" w:cs="Arial" w:eastAsia="Arial" w:hAnsi="Arial"/>
          <w:sz w:val="18"/>
          <w:szCs w:val="18"/>
          <w:color w:val="auto"/>
        </w:rPr>
      </w:pPr>
      <w:r>
        <w:rPr>
          <w:rFonts w:ascii="Arial" w:cs="Arial" w:eastAsia="Arial" w:hAnsi="Arial"/>
          <w:sz w:val="18"/>
          <w:szCs w:val="18"/>
          <w:color w:val="auto"/>
        </w:rPr>
        <w:t>the PSUs will be paid out in Shares, unless the Compensation Committee resolves to repurchase or exchange PSUs or decides upon another solution to provide the Participants with the vesting value of the PSUs.</w:t>
      </w:r>
    </w:p>
    <w:p>
      <w:pPr>
        <w:spacing w:after="0" w:line="237" w:lineRule="exact"/>
        <w:rPr>
          <w:rFonts w:ascii="Arial" w:cs="Arial" w:eastAsia="Arial" w:hAnsi="Arial"/>
          <w:sz w:val="18"/>
          <w:szCs w:val="18"/>
          <w:color w:val="auto"/>
        </w:rPr>
      </w:pPr>
    </w:p>
    <w:p>
      <w:pPr>
        <w:ind w:left="652" w:hanging="652"/>
        <w:spacing w:after="0" w:line="285" w:lineRule="auto"/>
        <w:tabs>
          <w:tab w:leader="none" w:pos="438"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Compensation Committee, decide to replace the consequences set forth above, by other terms that more appropriately and fairly address the situation.</w:t>
      </w:r>
    </w:p>
    <w:p>
      <w:pPr>
        <w:spacing w:after="0" w:line="231" w:lineRule="exact"/>
        <w:rPr>
          <w:rFonts w:ascii="Arial" w:cs="Arial" w:eastAsia="Arial" w:hAnsi="Arial"/>
          <w:sz w:val="18"/>
          <w:szCs w:val="18"/>
          <w:color w:val="auto"/>
        </w:rPr>
      </w:pPr>
    </w:p>
    <w:p>
      <w:pPr>
        <w:ind w:left="652" w:hanging="652"/>
        <w:spacing w:after="0" w:line="285" w:lineRule="auto"/>
        <w:tabs>
          <w:tab w:leader="none" w:pos="494"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Compensation Committee, decide to treat such event like a Change of Control event, providing, however, such adjustments to the consequences set forth above, that adequately and fairly address the differences to an actual Change of Control.</w:t>
      </w:r>
    </w:p>
    <w:p>
      <w:pPr>
        <w:spacing w:after="0" w:line="214" w:lineRule="exact"/>
        <w:rPr>
          <w:sz w:val="20"/>
          <w:szCs w:val="20"/>
          <w:color w:val="auto"/>
        </w:rPr>
      </w:pPr>
    </w:p>
    <w:p>
      <w:pPr>
        <w:ind w:left="532" w:hanging="532"/>
        <w:spacing w:after="0"/>
        <w:tabs>
          <w:tab w:leader="none" w:pos="532" w:val="left"/>
        </w:tabs>
        <w:numPr>
          <w:ilvl w:val="0"/>
          <w:numId w:val="701"/>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Events</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PSUs such that an adjustment is required in order to preserve the benefits intended to be made</w:t>
      </w:r>
    </w:p>
    <w:p>
      <w:pPr>
        <w:sectPr>
          <w:pgSz w:w="11900" w:h="16838" w:orient="portrait"/>
          <w:cols w:equalWidth="0" w:num="1">
            <w:col w:w="11232"/>
          </w:cols>
          <w:pgMar w:left="328" w:top="180" w:right="339" w:bottom="1440" w:gutter="0" w:footer="0" w:header="0"/>
        </w:sectPr>
      </w:pPr>
    </w:p>
    <w:bookmarkStart w:id="736" w:name="page737"/>
    <w:bookmarkEnd w:id="736"/>
    <w:tbl>
      <w:tblPr>
        <w:tblLayout w:type="fixed"/>
        <w:tblInd w:w="12"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20" w:type="dxa"/>
            <w:vAlign w:val="bottom"/>
          </w:tcPr>
          <w:p>
            <w:pPr>
              <w:jc w:val="right"/>
              <w:spacing w:after="0"/>
              <w:rPr>
                <w:sz w:val="20"/>
                <w:szCs w:val="20"/>
                <w:color w:val="auto"/>
              </w:rPr>
            </w:pPr>
            <w:r>
              <w:rPr>
                <w:rFonts w:ascii="Arial" w:cs="Arial" w:eastAsia="Arial" w:hAnsi="Arial"/>
                <w:sz w:val="13"/>
                <w:szCs w:val="13"/>
                <w:color w:val="auto"/>
              </w:rPr>
              <w:t>9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available under this Plan, then the PSUs and related terms shall be adjusted and/or, if deemed appropriate, a cash payment to Participants or persons having outstanding PSUs shall be made to compensate such dilution. Such adjustment shall be resolved by the Board of Directors at its sole discretion with final and binding effect, based on a recommendation by the Compensation Committee and taking into consideration the acquired rights of the Participants and the objectives of the Plan.</w:t>
      </w:r>
    </w:p>
    <w:p>
      <w:pPr>
        <w:spacing w:after="0" w:line="200" w:lineRule="exact"/>
        <w:rPr>
          <w:sz w:val="20"/>
          <w:szCs w:val="20"/>
          <w:color w:val="auto"/>
        </w:rPr>
      </w:pPr>
    </w:p>
    <w:p>
      <w:pPr>
        <w:ind w:left="532" w:hanging="532"/>
        <w:spacing w:after="0"/>
        <w:tabs>
          <w:tab w:leader="none" w:pos="532" w:val="left"/>
        </w:tabs>
        <w:numPr>
          <w:ilvl w:val="0"/>
          <w:numId w:val="702"/>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319" w:lineRule="exact"/>
        <w:rPr>
          <w:sz w:val="20"/>
          <w:szCs w:val="20"/>
          <w:color w:val="auto"/>
        </w:rPr>
      </w:pPr>
    </w:p>
    <w:p>
      <w:pPr>
        <w:ind w:left="652" w:hanging="652"/>
        <w:spacing w:after="0" w:line="284" w:lineRule="auto"/>
        <w:tabs>
          <w:tab w:leader="none" w:pos="448" w:val="left"/>
        </w:tabs>
        <w:numPr>
          <w:ilvl w:val="0"/>
          <w:numId w:val="703"/>
        </w:numPr>
        <w:rPr>
          <w:rFonts w:ascii="Arial" w:cs="Arial" w:eastAsia="Arial" w:hAnsi="Arial"/>
          <w:sz w:val="18"/>
          <w:szCs w:val="18"/>
          <w:color w:val="auto"/>
        </w:rPr>
      </w:pPr>
      <w:r>
        <w:rPr>
          <w:rFonts w:ascii="Arial" w:cs="Arial" w:eastAsia="Arial" w:hAnsi="Arial"/>
          <w:sz w:val="18"/>
          <w:szCs w:val="18"/>
          <w:color w:val="auto"/>
        </w:rPr>
        <w:t>By accepting a grant of PSUs, each Participant consents to the collection and processing of personal data relating to the Participant in connection with such grant and the performance of this Plan and the PSU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spacing w:after="0" w:line="244" w:lineRule="exact"/>
        <w:rPr>
          <w:rFonts w:ascii="Arial" w:cs="Arial" w:eastAsia="Arial" w:hAnsi="Arial"/>
          <w:sz w:val="18"/>
          <w:szCs w:val="18"/>
          <w:color w:val="auto"/>
        </w:rPr>
      </w:pPr>
    </w:p>
    <w:p>
      <w:pPr>
        <w:ind w:left="652" w:hanging="652"/>
        <w:spacing w:after="0" w:line="285" w:lineRule="auto"/>
        <w:tabs>
          <w:tab w:leader="none" w:pos="449" w:val="left"/>
        </w:tabs>
        <w:numPr>
          <w:ilvl w:val="0"/>
          <w:numId w:val="703"/>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spacing w:after="0" w:line="214" w:lineRule="exact"/>
        <w:rPr>
          <w:sz w:val="20"/>
          <w:szCs w:val="20"/>
          <w:color w:val="auto"/>
        </w:rPr>
      </w:pPr>
    </w:p>
    <w:p>
      <w:pPr>
        <w:ind w:left="532" w:hanging="532"/>
        <w:spacing w:after="0"/>
        <w:tabs>
          <w:tab w:leader="none" w:pos="532" w:val="left"/>
        </w:tabs>
        <w:numPr>
          <w:ilvl w:val="0"/>
          <w:numId w:val="704"/>
        </w:numPr>
        <w:rPr>
          <w:rFonts w:ascii="Arial" w:cs="Arial" w:eastAsia="Arial" w:hAnsi="Arial"/>
          <w:sz w:val="22"/>
          <w:szCs w:val="22"/>
          <w:b w:val="1"/>
          <w:bCs w:val="1"/>
          <w:color w:val="auto"/>
        </w:rPr>
      </w:pPr>
      <w:r>
        <w:rPr>
          <w:rFonts w:ascii="Arial" w:cs="Arial" w:eastAsia="Arial" w:hAnsi="Arial"/>
          <w:sz w:val="22"/>
          <w:szCs w:val="22"/>
          <w:b w:val="1"/>
          <w:bCs w:val="1"/>
          <w:color w:val="auto"/>
        </w:rPr>
        <w:t>Legal and regulatory restrictions</w:t>
      </w:r>
    </w:p>
    <w:p>
      <w:pPr>
        <w:spacing w:after="0" w:line="319" w:lineRule="exact"/>
        <w:rPr>
          <w:sz w:val="20"/>
          <w:szCs w:val="20"/>
          <w:color w:val="auto"/>
        </w:rPr>
      </w:pPr>
    </w:p>
    <w:p>
      <w:pPr>
        <w:ind w:left="652" w:right="20" w:hanging="652"/>
        <w:spacing w:after="0" w:line="293" w:lineRule="auto"/>
        <w:tabs>
          <w:tab w:leader="none" w:pos="489" w:val="left"/>
        </w:tabs>
        <w:numPr>
          <w:ilvl w:val="0"/>
          <w:numId w:val="705"/>
        </w:numPr>
        <w:rPr>
          <w:rFonts w:ascii="Arial" w:cs="Arial" w:eastAsia="Arial" w:hAnsi="Arial"/>
          <w:sz w:val="18"/>
          <w:szCs w:val="18"/>
          <w:color w:val="auto"/>
        </w:rPr>
      </w:pPr>
      <w:r>
        <w:rPr>
          <w:rFonts w:ascii="Arial" w:cs="Arial" w:eastAsia="Arial" w:hAnsi="Arial"/>
          <w:sz w:val="18"/>
          <w:szCs w:val="18"/>
          <w:color w:val="auto"/>
        </w:rPr>
        <w:t>Neither the Shares nor the PSU have been or will be registered or listed in any jurisdiction other than, if and to the extent required, Switzerland.</w:t>
      </w:r>
    </w:p>
    <w:p>
      <w:pPr>
        <w:spacing w:after="0" w:line="223" w:lineRule="exact"/>
        <w:rPr>
          <w:rFonts w:ascii="Arial" w:cs="Arial" w:eastAsia="Arial" w:hAnsi="Arial"/>
          <w:sz w:val="18"/>
          <w:szCs w:val="18"/>
          <w:color w:val="auto"/>
        </w:rPr>
      </w:pPr>
    </w:p>
    <w:p>
      <w:pPr>
        <w:jc w:val="right"/>
        <w:ind w:left="652" w:hanging="652"/>
        <w:spacing w:after="0" w:line="281" w:lineRule="auto"/>
        <w:tabs>
          <w:tab w:leader="none" w:pos="494" w:val="left"/>
        </w:tabs>
        <w:numPr>
          <w:ilvl w:val="0"/>
          <w:numId w:val="705"/>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w:t>
      </w:r>
    </w:p>
    <w:p>
      <w:pPr>
        <w:spacing w:after="0" w:line="3" w:lineRule="exact"/>
        <w:rPr>
          <w:rFonts w:ascii="Arial" w:cs="Arial" w:eastAsia="Arial" w:hAnsi="Arial"/>
          <w:sz w:val="18"/>
          <w:szCs w:val="18"/>
          <w:color w:val="auto"/>
        </w:rPr>
      </w:pPr>
    </w:p>
    <w:p>
      <w:pPr>
        <w:jc w:val="both"/>
        <w:ind w:left="652"/>
        <w:spacing w:after="0" w:line="285" w:lineRule="auto"/>
        <w:rPr>
          <w:rFonts w:ascii="Arial" w:cs="Arial" w:eastAsia="Arial" w:hAnsi="Arial"/>
          <w:sz w:val="18"/>
          <w:szCs w:val="18"/>
          <w:color w:val="auto"/>
        </w:rPr>
      </w:pPr>
      <w:r>
        <w:rPr>
          <w:rFonts w:ascii="Arial" w:cs="Arial" w:eastAsia="Arial" w:hAnsi="Arial"/>
          <w:sz w:val="18"/>
          <w:szCs w:val="18"/>
          <w:color w:val="auto"/>
        </w:rPr>
        <w:t>similar 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 its own discretion whether and how to compensate the relevant persons in lieu of such grant, delivery or extension.</w:t>
      </w:r>
    </w:p>
    <w:p>
      <w:pPr>
        <w:sectPr>
          <w:pgSz w:w="11900" w:h="16838" w:orient="portrait"/>
          <w:cols w:equalWidth="0" w:num="1">
            <w:col w:w="11232"/>
          </w:cols>
          <w:pgMar w:left="328" w:top="180" w:right="339" w:bottom="1440" w:gutter="0" w:footer="0" w:header="0"/>
        </w:sectPr>
      </w:pPr>
    </w:p>
    <w:bookmarkStart w:id="737" w:name="page738"/>
    <w:bookmarkEnd w:id="737"/>
    <w:tbl>
      <w:tblPr>
        <w:tblLayout w:type="fixed"/>
        <w:tblInd w:w="12" w:type="dxa"/>
        <w:tblCellMar>
          <w:top w:w="0" w:type="dxa"/>
          <w:left w:w="0" w:type="dxa"/>
          <w:bottom w:w="0" w:type="dxa"/>
          <w:right w:w="0" w:type="dxa"/>
        </w:tblCellMar>
      </w:tblPr>
      <w:tr>
        <w:trPr>
          <w:trHeight w:val="187"/>
        </w:trPr>
        <w:tc>
          <w:tcPr>
            <w:tcW w:w="704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4160" w:type="dxa"/>
            <w:vAlign w:val="bottom"/>
          </w:tcPr>
          <w:p>
            <w:pPr>
              <w:jc w:val="right"/>
              <w:spacing w:after="0"/>
              <w:rPr>
                <w:sz w:val="20"/>
                <w:szCs w:val="20"/>
                <w:color w:val="auto"/>
              </w:rPr>
            </w:pPr>
            <w:r>
              <w:rPr>
                <w:rFonts w:ascii="Arial" w:cs="Arial" w:eastAsia="Arial" w:hAnsi="Arial"/>
                <w:sz w:val="13"/>
                <w:szCs w:val="13"/>
                <w:color w:val="auto"/>
              </w:rPr>
              <w:t>10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52" w:hanging="652"/>
        <w:spacing w:after="0" w:line="293" w:lineRule="auto"/>
        <w:tabs>
          <w:tab w:leader="none" w:pos="423" w:val="left"/>
        </w:tabs>
        <w:numPr>
          <w:ilvl w:val="0"/>
          <w:numId w:val="706"/>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PSUs and any shares granted thereunder.</w:t>
      </w:r>
    </w:p>
    <w:p>
      <w:pPr>
        <w:spacing w:after="0" w:line="223" w:lineRule="exact"/>
        <w:rPr>
          <w:rFonts w:ascii="Arial" w:cs="Arial" w:eastAsia="Arial" w:hAnsi="Arial"/>
          <w:sz w:val="18"/>
          <w:szCs w:val="18"/>
          <w:color w:val="auto"/>
        </w:rPr>
      </w:pPr>
    </w:p>
    <w:p>
      <w:pPr>
        <w:ind w:left="652" w:hanging="652"/>
        <w:spacing w:after="0" w:line="293" w:lineRule="auto"/>
        <w:tabs>
          <w:tab w:leader="none" w:pos="459" w:val="left"/>
        </w:tabs>
        <w:numPr>
          <w:ilvl w:val="0"/>
          <w:numId w:val="706"/>
        </w:numPr>
        <w:rPr>
          <w:rFonts w:ascii="Arial" w:cs="Arial" w:eastAsia="Arial" w:hAnsi="Arial"/>
          <w:sz w:val="18"/>
          <w:szCs w:val="18"/>
          <w:color w:val="auto"/>
        </w:rPr>
      </w:pPr>
      <w:r>
        <w:rPr>
          <w:rFonts w:ascii="Arial" w:cs="Arial" w:eastAsia="Arial" w:hAnsi="Arial"/>
          <w:sz w:val="18"/>
          <w:szCs w:val="18"/>
          <w:color w:val="auto"/>
        </w:rPr>
        <w:t>Any grant of PSUs to members of the Management Team that qualifies as prohibited payment under the Compensation Ordinance or otherwise, shall be null and void.</w:t>
      </w:r>
    </w:p>
    <w:p>
      <w:pPr>
        <w:spacing w:after="0" w:line="237" w:lineRule="exact"/>
        <w:rPr>
          <w:rFonts w:ascii="Arial" w:cs="Arial" w:eastAsia="Arial" w:hAnsi="Arial"/>
          <w:sz w:val="18"/>
          <w:szCs w:val="18"/>
          <w:color w:val="auto"/>
        </w:rPr>
      </w:pPr>
    </w:p>
    <w:p>
      <w:pPr>
        <w:ind w:left="652" w:hanging="652"/>
        <w:spacing w:after="0" w:line="285" w:lineRule="auto"/>
        <w:tabs>
          <w:tab w:leader="none" w:pos="435" w:val="left"/>
        </w:tabs>
        <w:numPr>
          <w:ilvl w:val="0"/>
          <w:numId w:val="706"/>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case of termination of employment or Change of Control should, at the time of the relevant event, qualify as providing additional value to a member of the Management Team in a manner that would violate the Compensation Ordinance or other legal provisions, such additional value shall be otherwise compensated, e.g. by a relevant deduction from cash compensation or other proceeds.</w:t>
      </w:r>
    </w:p>
    <w:p>
      <w:pPr>
        <w:spacing w:after="0" w:line="214" w:lineRule="exact"/>
        <w:rPr>
          <w:sz w:val="20"/>
          <w:szCs w:val="20"/>
          <w:color w:val="auto"/>
        </w:rPr>
      </w:pPr>
    </w:p>
    <w:p>
      <w:pPr>
        <w:ind w:left="532" w:hanging="532"/>
        <w:spacing w:after="0"/>
        <w:tabs>
          <w:tab w:leader="none" w:pos="532" w:val="left"/>
        </w:tabs>
        <w:numPr>
          <w:ilvl w:val="0"/>
          <w:numId w:val="707"/>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PSU grants. Any adverse economic effects of such termination, suspension or amendment on grants already made pursuant to a PSU Agreement shall be fairly compensated in cash, by adjustment of other terms of the grant, by replacement by other grants or benefits, or otherwise.</w:t>
      </w:r>
    </w:p>
    <w:p>
      <w:pPr>
        <w:spacing w:after="0" w:line="200" w:lineRule="exact"/>
        <w:rPr>
          <w:sz w:val="20"/>
          <w:szCs w:val="20"/>
          <w:color w:val="auto"/>
        </w:rPr>
      </w:pPr>
    </w:p>
    <w:p>
      <w:pPr>
        <w:ind w:left="532" w:hanging="532"/>
        <w:spacing w:after="0"/>
        <w:tabs>
          <w:tab w:leader="none" w:pos="532" w:val="left"/>
        </w:tabs>
        <w:numPr>
          <w:ilvl w:val="0"/>
          <w:numId w:val="708"/>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ind w:left="532" w:hanging="532"/>
        <w:spacing w:after="0"/>
        <w:tabs>
          <w:tab w:leader="none" w:pos="532" w:val="left"/>
        </w:tabs>
        <w:numPr>
          <w:ilvl w:val="0"/>
          <w:numId w:val="70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319" w:lineRule="exact"/>
        <w:rPr>
          <w:sz w:val="20"/>
          <w:szCs w:val="20"/>
          <w:color w:val="auto"/>
        </w:rPr>
      </w:pPr>
    </w:p>
    <w:p>
      <w:pPr>
        <w:ind w:left="412" w:hanging="412"/>
        <w:spacing w:after="0"/>
        <w:tabs>
          <w:tab w:leader="none" w:pos="412" w:val="left"/>
        </w:tabs>
        <w:numPr>
          <w:ilvl w:val="0"/>
          <w:numId w:val="710"/>
        </w:numPr>
        <w:rPr>
          <w:rFonts w:ascii="Arial" w:cs="Arial" w:eastAsia="Arial" w:hAnsi="Arial"/>
          <w:sz w:val="18"/>
          <w:szCs w:val="18"/>
          <w:color w:val="auto"/>
        </w:rPr>
      </w:pPr>
      <w:r>
        <w:rPr>
          <w:rFonts w:ascii="Arial" w:cs="Arial" w:eastAsia="Arial" w:hAnsi="Arial"/>
          <w:sz w:val="18"/>
          <w:szCs w:val="18"/>
          <w:color w:val="auto"/>
        </w:rPr>
        <w:t>This Plan and any PSU Award Agreement shall be governed by, and construed in accordance with, the substantive laws of Switzerland.</w:t>
      </w:r>
    </w:p>
    <w:p>
      <w:pPr>
        <w:spacing w:after="0" w:line="292" w:lineRule="exact"/>
        <w:rPr>
          <w:rFonts w:ascii="Arial" w:cs="Arial" w:eastAsia="Arial" w:hAnsi="Arial"/>
          <w:sz w:val="18"/>
          <w:szCs w:val="18"/>
          <w:color w:val="auto"/>
        </w:rPr>
      </w:pPr>
    </w:p>
    <w:p>
      <w:pPr>
        <w:ind w:left="652" w:hanging="652"/>
        <w:spacing w:after="0" w:line="287" w:lineRule="auto"/>
        <w:tabs>
          <w:tab w:leader="none" w:pos="567" w:val="left"/>
        </w:tabs>
        <w:numPr>
          <w:ilvl w:val="0"/>
          <w:numId w:val="710"/>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spacing w:after="0" w:line="198" w:lineRule="exact"/>
        <w:rPr>
          <w:sz w:val="20"/>
          <w:szCs w:val="20"/>
          <w:color w:val="auto"/>
        </w:rPr>
      </w:pPr>
    </w:p>
    <w:p>
      <w:pPr>
        <w:ind w:left="532" w:hanging="532"/>
        <w:spacing w:after="0"/>
        <w:tabs>
          <w:tab w:leader="none" w:pos="532" w:val="left"/>
        </w:tabs>
        <w:numPr>
          <w:ilvl w:val="0"/>
          <w:numId w:val="711"/>
        </w:numPr>
        <w:rPr>
          <w:rFonts w:ascii="Arial" w:cs="Arial" w:eastAsia="Arial" w:hAnsi="Arial"/>
          <w:sz w:val="22"/>
          <w:szCs w:val="22"/>
          <w:b w:val="1"/>
          <w:bCs w:val="1"/>
          <w:color w:val="auto"/>
        </w:rPr>
      </w:pPr>
      <w:r>
        <w:rPr>
          <w:rFonts w:ascii="Arial" w:cs="Arial" w:eastAsia="Arial" w:hAnsi="Arial"/>
          <w:sz w:val="22"/>
          <w:szCs w:val="22"/>
          <w:b w:val="1"/>
          <w:bCs w:val="1"/>
          <w:color w:val="auto"/>
        </w:rPr>
        <w:t>Entry into Force</w:t>
      </w:r>
    </w:p>
    <w:p>
      <w:pPr>
        <w:spacing w:after="0" w:line="31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As per approval of the Board of Directors, this Plan shall enter into force as of March 29, 2017.</w:t>
      </w:r>
    </w:p>
    <w:p>
      <w:pPr>
        <w:sectPr>
          <w:pgSz w:w="11900" w:h="16838" w:orient="portrait"/>
          <w:cols w:equalWidth="0" w:num="1">
            <w:col w:w="11232"/>
          </w:cols>
          <w:pgMar w:left="328" w:top="180" w:right="339" w:bottom="1440" w:gutter="0" w:footer="0" w:header="0"/>
        </w:sectPr>
      </w:pPr>
    </w:p>
    <w:bookmarkStart w:id="738" w:name="page739"/>
    <w:bookmarkEnd w:id="738"/>
    <w:p>
      <w:pPr>
        <w:ind w:left="20"/>
        <w:spacing w:after="0"/>
        <w:rPr>
          <w:sz w:val="20"/>
          <w:szCs w:val="20"/>
          <w:color w:val="auto"/>
        </w:rPr>
      </w:pPr>
      <w:r>
        <w:rPr>
          <w:rFonts w:ascii="Arial" w:cs="Arial" w:eastAsia="Arial" w:hAnsi="Arial"/>
          <w:sz w:val="13"/>
          <w:szCs w:val="13"/>
          <w:color w:val="auto"/>
        </w:rPr>
        <w:t>Molecular Partners AG: Performance Share Plan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Goal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shall mean all Group Companies.</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LTI Score Card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Management Team </w:t>
      </w:r>
      <w:r>
        <w:rPr>
          <w:rFonts w:ascii="Arial" w:cs="Arial" w:eastAsia="Arial" w:hAnsi="Arial"/>
          <w:sz w:val="18"/>
          <w:szCs w:val="18"/>
          <w:color w:val="auto"/>
        </w:rPr>
        <w:t>shall mean the members of the top level executive management, i.e. those managers whose compensation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Ordinance.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PSUs through a PSU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Multiple </w:t>
      </w:r>
      <w:r>
        <w:rPr>
          <w:rFonts w:ascii="Arial" w:cs="Arial" w:eastAsia="Arial" w:hAnsi="Arial"/>
          <w:sz w:val="18"/>
          <w:szCs w:val="18"/>
          <w:color w:val="auto"/>
        </w:rPr>
        <w:t>shall be the multiple determined in accordance with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40"/>
          </w:cols>
          <w:pgMar w:left="320" w:top="180" w:right="339" w:bottom="1440" w:gutter="0" w:footer="0" w:header="0"/>
        </w:sectPr>
      </w:pPr>
    </w:p>
    <w:bookmarkStart w:id="739" w:name="page740"/>
    <w:bookmarkEnd w:id="739"/>
    <w:p>
      <w:pPr>
        <w:ind w:left="20"/>
        <w:spacing w:after="0"/>
        <w:rPr>
          <w:sz w:val="20"/>
          <w:szCs w:val="20"/>
          <w:color w:val="auto"/>
        </w:rPr>
      </w:pPr>
      <w:r>
        <w:rPr>
          <w:rFonts w:ascii="Arial" w:cs="Arial" w:eastAsia="Arial" w:hAnsi="Arial"/>
          <w:sz w:val="13"/>
          <w:szCs w:val="13"/>
          <w:color w:val="auto"/>
        </w:rPr>
        <w:t>Molecular Partners AG: Performance Share Plan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PSU Award Agreement 2017</w:t>
      </w:r>
    </w:p>
    <w:p>
      <w:pPr>
        <w:spacing w:after="0" w:line="27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Performance Share Plan 2017 (the </w:t>
      </w:r>
      <w:r>
        <w:rPr>
          <w:rFonts w:ascii="Arial" w:cs="Arial" w:eastAsia="Arial" w:hAnsi="Arial"/>
          <w:sz w:val="18"/>
          <w:szCs w:val="18"/>
          <w:b w:val="1"/>
          <w:bCs w:val="1"/>
          <w:color w:val="auto"/>
        </w:rPr>
        <w:t>PSU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PSU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PSU Plan, the Company hereby grants to you the following PSUs: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351"/>
        </w:trPr>
        <w:tc>
          <w:tcPr>
            <w:tcW w:w="2760" w:type="dxa"/>
            <w:vAlign w:val="bottom"/>
          </w:tcPr>
          <w:p>
            <w:pPr>
              <w:spacing w:after="0"/>
              <w:rPr>
                <w:sz w:val="20"/>
                <w:szCs w:val="20"/>
                <w:color w:val="auto"/>
              </w:rPr>
            </w:pPr>
            <w:r>
              <w:rPr>
                <w:rFonts w:ascii="Arial" w:cs="Arial" w:eastAsia="Arial" w:hAnsi="Arial"/>
                <w:sz w:val="18"/>
                <w:szCs w:val="18"/>
                <w:b w:val="1"/>
                <w:bCs w:val="1"/>
                <w:color w:val="auto"/>
              </w:rPr>
              <w:t>Number of PSUs</w:t>
            </w:r>
          </w:p>
        </w:tc>
        <w:tc>
          <w:tcPr>
            <w:tcW w:w="676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276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676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276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676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135"/>
        </w:trPr>
        <w:tc>
          <w:tcPr>
            <w:tcW w:w="2760" w:type="dxa"/>
            <w:vAlign w:val="bottom"/>
          </w:tcPr>
          <w:p>
            <w:pPr>
              <w:spacing w:after="0"/>
              <w:rPr>
                <w:sz w:val="11"/>
                <w:szCs w:val="11"/>
                <w:color w:val="auto"/>
              </w:rPr>
            </w:pPr>
          </w:p>
        </w:tc>
        <w:tc>
          <w:tcPr>
            <w:tcW w:w="6760" w:type="dxa"/>
            <w:vAlign w:val="bottom"/>
            <w:shd w:val="clear" w:color="auto" w:fill="D9D9D9"/>
          </w:tcPr>
          <w:p>
            <w:pPr>
              <w:spacing w:after="0"/>
              <w:rPr>
                <w:sz w:val="11"/>
                <w:szCs w:val="11"/>
                <w:color w:val="auto"/>
              </w:rPr>
            </w:pPr>
          </w:p>
        </w:tc>
      </w:tr>
    </w:tbl>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grants and any rights associated therewith are personal and not transferable. The number of Shares that may be allocated according to the PSU Plan shall be determined by the Compensation Committee in accordance with the PSU Plan and the LTI Score Card setting out the corporate goals relevant for this award ([communicated to you separately] | [</w:t>
      </w:r>
      <w:r>
        <w:rPr>
          <w:rFonts w:ascii="Arial" w:cs="Arial" w:eastAsia="Arial" w:hAnsi="Arial"/>
          <w:sz w:val="18"/>
          <w:szCs w:val="18"/>
          <w:u w:val="single" w:color="auto"/>
          <w:color w:val="auto"/>
        </w:rPr>
        <w:t>attached hereto]</w:t>
      </w:r>
      <w:r>
        <w:rPr>
          <w:rFonts w:ascii="Arial" w:cs="Arial" w:eastAsia="Arial" w:hAnsi="Arial"/>
          <w:sz w:val="18"/>
          <w:szCs w:val="18"/>
          <w:color w:val="auto"/>
        </w:rPr>
        <w:t>). Please note that the PSU Plan includes a number of restrictions and conditions, which may lead to a complete loss of any entitlements hereunder. [Any grants made to members of the Management Team shall be subject to the approval of relevant compensation amounts for the Management Team by the shareholders' meeting for the year 2017.]</w:t>
      </w:r>
    </w:p>
    <w:p>
      <w:pPr>
        <w:spacing w:after="0" w:line="2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PSUs in accordance with this Agreement and the PSU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250"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color w:val="auto"/>
        </w:rPr>
        <w:t>________________</w:t>
      </w:r>
      <w:r>
        <w:rPr>
          <w:sz w:val="20"/>
          <w:szCs w:val="20"/>
          <w:color w:val="auto"/>
        </w:rPr>
        <w:tab/>
      </w:r>
      <w:r>
        <w:rPr>
          <w:rFonts w:ascii="Arial" w:cs="Arial" w:eastAsia="Arial" w:hAnsi="Arial"/>
          <w:sz w:val="18"/>
          <w:szCs w:val="18"/>
          <w:color w:val="auto"/>
        </w:rPr>
        <w:t>________________</w:t>
      </w:r>
    </w:p>
    <w:p>
      <w:pPr>
        <w:spacing w:after="0"/>
        <w:tabs>
          <w:tab w:leader="none" w:pos="3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ectPr>
          <w:pgSz w:w="11900" w:h="16838" w:orient="portrait"/>
          <w:cols w:equalWidth="0" w:num="1">
            <w:col w:w="11240"/>
          </w:cols>
          <w:pgMar w:left="320" w:top="180" w:right="339" w:bottom="1440" w:gutter="0" w:footer="0" w:header="0"/>
        </w:sectPr>
      </w:pPr>
    </w:p>
    <w:bookmarkStart w:id="740" w:name="page741"/>
    <w:bookmarkEnd w:id="740"/>
    <w:tbl>
      <w:tblPr>
        <w:tblLayout w:type="fixed"/>
        <w:tblInd w:w="20" w:type="dxa"/>
        <w:tblCellMar>
          <w:top w:w="0" w:type="dxa"/>
          <w:left w:w="0" w:type="dxa"/>
          <w:bottom w:w="0" w:type="dxa"/>
          <w:right w:w="0" w:type="dxa"/>
        </w:tblCellMar>
      </w:tblPr>
      <w:tr>
        <w:trPr>
          <w:trHeight w:val="187"/>
        </w:trPr>
        <w:tc>
          <w:tcPr>
            <w:tcW w:w="6600" w:type="dxa"/>
            <w:vAlign w:val="bottom"/>
          </w:tcPr>
          <w:p>
            <w:pPr>
              <w:spacing w:after="0"/>
              <w:rPr>
                <w:sz w:val="20"/>
                <w:szCs w:val="20"/>
                <w:color w:val="auto"/>
              </w:rPr>
            </w:pPr>
            <w:r>
              <w:rPr>
                <w:rFonts w:ascii="Arial" w:cs="Arial" w:eastAsia="Arial" w:hAnsi="Arial"/>
                <w:sz w:val="13"/>
                <w:szCs w:val="13"/>
                <w:color w:val="auto"/>
              </w:rPr>
              <w:t>Molecular Partners AG: Performance Share Plan 2017</w:t>
            </w:r>
          </w:p>
        </w:tc>
        <w:tc>
          <w:tcPr>
            <w:tcW w:w="3560" w:type="dxa"/>
            <w:vAlign w:val="bottom"/>
          </w:tcPr>
          <w:p>
            <w:pPr>
              <w:jc w:val="right"/>
              <w:spacing w:after="0"/>
              <w:rPr>
                <w:sz w:val="20"/>
                <w:szCs w:val="20"/>
                <w:color w:val="auto"/>
              </w:rPr>
            </w:pPr>
            <w:r>
              <w:rPr>
                <w:rFonts w:ascii="Arial" w:cs="Arial" w:eastAsia="Arial" w:hAnsi="Arial"/>
                <w:sz w:val="13"/>
                <w:szCs w:val="13"/>
                <w:color w:val="auto"/>
              </w:rPr>
              <w:t>2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Accepted and agreed by the Participant on </w:t>
      </w:r>
      <w:r>
        <w:rPr>
          <w:rFonts w:ascii="Arial" w:cs="Arial" w:eastAsia="Arial" w:hAnsi="Arial"/>
          <w:sz w:val="16"/>
          <w:szCs w:val="16"/>
          <w:color w:val="auto"/>
        </w:rPr>
        <w:t>(Date, Signature):</w:t>
      </w:r>
      <w:r>
        <w:rPr>
          <w:rFonts w:ascii="Arial" w:cs="Arial" w:eastAsia="Arial" w:hAnsi="Arial"/>
          <w:sz w:val="18"/>
          <w:szCs w:val="18"/>
          <w:color w:val="auto"/>
        </w:rPr>
        <w:t xml:space="preserve">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to the PSU Award Agreement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 Plan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 Score Card [for [</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180"/>
          </w:cols>
          <w:pgMar w:left="320" w:top="180" w:right="1399" w:bottom="1440" w:gutter="0" w:footer="0" w:header="0"/>
        </w:sectPr>
      </w:pPr>
    </w:p>
    <w:bookmarkStart w:id="741" w:name="page742"/>
    <w:bookmarkEnd w:id="741"/>
    <w:p>
      <w:pPr>
        <w:jc w:val="right"/>
        <w:spacing w:after="0"/>
        <w:rPr>
          <w:sz w:val="20"/>
          <w:szCs w:val="20"/>
          <w:color w:val="auto"/>
        </w:rPr>
      </w:pPr>
      <w:r>
        <w:rPr>
          <w:rFonts w:ascii="Arial" w:cs="Arial" w:eastAsia="Arial" w:hAnsi="Arial"/>
          <w:sz w:val="18"/>
          <w:szCs w:val="18"/>
          <w:b w:val="1"/>
          <w:bCs w:val="1"/>
          <w:color w:val="auto"/>
        </w:rPr>
        <w:t>Exhibit 10.8</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Molecular Partners AG: Performance Share Plan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Plan 2018</w:t>
      </w:r>
    </w:p>
    <w:p>
      <w:pPr>
        <w:sectPr>
          <w:pgSz w:w="11900" w:h="16838" w:orient="portrait"/>
          <w:cols w:equalWidth="0" w:num="1">
            <w:col w:w="11240"/>
          </w:cols>
          <w:pgMar w:left="320" w:top="122" w:right="339" w:bottom="1440" w:gutter="0" w:footer="0" w:header="0"/>
        </w:sectPr>
      </w:pPr>
    </w:p>
    <w:bookmarkStart w:id="742" w:name="page743"/>
    <w:bookmarkEnd w:id="742"/>
    <w:p>
      <w:pPr>
        <w:ind w:left="20"/>
        <w:spacing w:after="0"/>
        <w:rPr>
          <w:sz w:val="20"/>
          <w:szCs w:val="20"/>
          <w:color w:val="auto"/>
        </w:rPr>
      </w:pPr>
      <w:r>
        <w:rPr>
          <w:rFonts w:ascii="Arial" w:cs="Arial" w:eastAsia="Arial" w:hAnsi="Arial"/>
          <w:sz w:val="13"/>
          <w:szCs w:val="13"/>
          <w:color w:val="auto"/>
        </w:rPr>
        <w:t>Molecular Partners AG: Performance Share Plan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Performance Share Plan 2018</w:t>
      </w:r>
    </w:p>
    <w:p>
      <w:pPr>
        <w:spacing w:after="0" w:line="90" w:lineRule="exact"/>
        <w:rPr>
          <w:sz w:val="20"/>
          <w:szCs w:val="20"/>
          <w:color w:val="auto"/>
        </w:rPr>
      </w:pPr>
    </w:p>
    <w:p>
      <w:pPr>
        <w:ind w:left="760" w:hanging="734"/>
        <w:spacing w:after="0"/>
        <w:tabs>
          <w:tab w:leader="none" w:pos="76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Purpose</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Definitions and Interpretation</w:t>
      </w:r>
    </w:p>
    <w:p>
      <w:pPr>
        <w:spacing w:after="0" w:line="6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Responsibilities and Administration</w:t>
      </w:r>
    </w:p>
    <w:p>
      <w:pPr>
        <w:spacing w:after="0" w:line="117" w:lineRule="exact"/>
        <w:rPr>
          <w:sz w:val="20"/>
          <w:szCs w:val="20"/>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Eligibility and Participation</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Grant of PSUs</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No Securities</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No Transfer</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Vesting and Delivery of Shares</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Underlying Shares</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Vesting Multiple</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Taxes and Social Security Contributions</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Disclosure Requirements</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Other Obligations of the Participant</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7"/>
          <w:szCs w:val="17"/>
          <w:color w:val="auto"/>
        </w:rPr>
      </w:pPr>
      <w:r>
        <w:rPr>
          <w:rFonts w:ascii="Arial" w:cs="Arial" w:eastAsia="Arial" w:hAnsi="Arial"/>
          <w:sz w:val="17"/>
          <w:szCs w:val="17"/>
          <w:color w:val="auto"/>
        </w:rPr>
        <w:t>Termination of Employment and Forfeiture</w:t>
      </w:r>
    </w:p>
    <w:p>
      <w:pPr>
        <w:spacing w:after="0" w:line="101" w:lineRule="exact"/>
        <w:rPr>
          <w:rFonts w:ascii="Arial" w:cs="Arial" w:eastAsia="Arial" w:hAnsi="Arial"/>
          <w:sz w:val="17"/>
          <w:szCs w:val="17"/>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Change of Control</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Corporate Events</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Data Protection</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Legal and regulatory restrictions</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Amendment and Termination</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Governing Law and Jurisdiction</w:t>
      </w:r>
    </w:p>
    <w:p>
      <w:pPr>
        <w:spacing w:after="0" w:line="90" w:lineRule="exact"/>
        <w:rPr>
          <w:rFonts w:ascii="Arial" w:cs="Arial" w:eastAsia="Arial" w:hAnsi="Arial"/>
          <w:sz w:val="18"/>
          <w:szCs w:val="18"/>
          <w:color w:val="auto"/>
        </w:rPr>
      </w:pPr>
    </w:p>
    <w:p>
      <w:pPr>
        <w:ind w:left="760" w:hanging="734"/>
        <w:spacing w:after="0"/>
        <w:tabs>
          <w:tab w:leader="none" w:pos="760" w:val="left"/>
        </w:tabs>
        <w:numPr>
          <w:ilvl w:val="0"/>
          <w:numId w:val="713"/>
        </w:numPr>
        <w:rPr>
          <w:rFonts w:ascii="Arial" w:cs="Arial" w:eastAsia="Arial" w:hAnsi="Arial"/>
          <w:sz w:val="18"/>
          <w:szCs w:val="18"/>
          <w:color w:val="auto"/>
        </w:rPr>
      </w:pPr>
      <w:r>
        <w:rPr>
          <w:rFonts w:ascii="Arial" w:cs="Arial" w:eastAsia="Arial" w:hAnsi="Arial"/>
          <w:sz w:val="18"/>
          <w:szCs w:val="18"/>
          <w:color w:val="auto"/>
        </w:rPr>
        <w:t>Entry into Force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Annex 1: Definitions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Annex 2: Form of PSU Award Agreement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2 |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9520" w:space="720"/>
            <w:col w:w="960"/>
          </w:cols>
          <w:pgMar w:left="320" w:top="180" w:right="379" w:bottom="1440" w:gutter="0" w:footer="0" w:header="0"/>
        </w:sectPr>
      </w:pPr>
    </w:p>
    <w:bookmarkStart w:id="743" w:name="page744"/>
    <w:bookmarkEnd w:id="743"/>
    <w:tbl>
      <w:tblPr>
        <w:tblLayout w:type="fixed"/>
        <w:tblInd w:w="20" w:type="dxa"/>
        <w:tblCellMar>
          <w:top w:w="0" w:type="dxa"/>
          <w:left w:w="0" w:type="dxa"/>
          <w:bottom w:w="0" w:type="dxa"/>
          <w:right w:w="0" w:type="dxa"/>
        </w:tblCellMar>
      </w:tblPr>
      <w:tr>
        <w:trPr>
          <w:trHeight w:val="187"/>
        </w:trPr>
        <w:tc>
          <w:tcPr>
            <w:tcW w:w="674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800" w:type="dxa"/>
            <w:vAlign w:val="bottom"/>
          </w:tcPr>
          <w:p>
            <w:pPr>
              <w:jc w:val="right"/>
              <w:spacing w:after="0"/>
              <w:rPr>
                <w:sz w:val="20"/>
                <w:szCs w:val="20"/>
                <w:color w:val="auto"/>
              </w:rPr>
            </w:pPr>
            <w:r>
              <w:rPr>
                <w:rFonts w:ascii="Arial" w:cs="Arial" w:eastAsia="Arial" w:hAnsi="Arial"/>
                <w:sz w:val="13"/>
                <w:szCs w:val="13"/>
                <w:color w:val="auto"/>
              </w:rPr>
              <w:t>3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Share Plan 2018</w:t>
      </w:r>
    </w:p>
    <w:p>
      <w:pPr>
        <w:spacing w:after="0" w:line="264" w:lineRule="exact"/>
        <w:rPr>
          <w:sz w:val="20"/>
          <w:szCs w:val="20"/>
          <w:color w:val="auto"/>
        </w:rPr>
      </w:pPr>
    </w:p>
    <w:p>
      <w:pPr>
        <w:ind w:left="480" w:hanging="472"/>
        <w:spacing w:after="0"/>
        <w:tabs>
          <w:tab w:leader="none" w:pos="480" w:val="left"/>
        </w:tabs>
        <w:numPr>
          <w:ilvl w:val="0"/>
          <w:numId w:val="71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97" w:lineRule="exact"/>
        <w:rPr>
          <w:sz w:val="20"/>
          <w:szCs w:val="20"/>
          <w:color w:val="auto"/>
        </w:rPr>
      </w:pPr>
    </w:p>
    <w:p>
      <w:pPr>
        <w:jc w:val="both"/>
        <w:ind w:left="500"/>
        <w:spacing w:after="0" w:line="300" w:lineRule="auto"/>
        <w:rPr>
          <w:sz w:val="20"/>
          <w:szCs w:val="20"/>
          <w:color w:val="auto"/>
        </w:rPr>
      </w:pPr>
      <w:r>
        <w:rPr>
          <w:rFonts w:ascii="Arial" w:cs="Arial" w:eastAsia="Arial" w:hAnsi="Arial"/>
          <w:sz w:val="18"/>
          <w:szCs w:val="18"/>
          <w:color w:val="auto"/>
        </w:rPr>
        <w:t>The purpose of this performance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 w:cs="Arial" w:eastAsia="Arial" w:hAnsi="Arial"/>
          <w:sz w:val="18"/>
          <w:szCs w:val="18"/>
          <w:b w:val="1"/>
          <w:bCs w:val="1"/>
          <w:color w:val="auto"/>
        </w:rPr>
        <w:t>PSU</w:t>
      </w:r>
      <w:r>
        <w:rPr>
          <w:rFonts w:ascii="Arial" w:cs="Arial" w:eastAsia="Arial" w:hAnsi="Arial"/>
          <w:sz w:val="18"/>
          <w:szCs w:val="18"/>
          <w:color w:val="auto"/>
        </w:rPr>
        <w:t>) to them.</w:t>
      </w:r>
    </w:p>
    <w:p>
      <w:pPr>
        <w:spacing w:after="0" w:line="186" w:lineRule="exact"/>
        <w:rPr>
          <w:sz w:val="20"/>
          <w:szCs w:val="20"/>
          <w:color w:val="auto"/>
        </w:rPr>
      </w:pPr>
    </w:p>
    <w:p>
      <w:pPr>
        <w:ind w:left="480" w:hanging="472"/>
        <w:spacing w:after="0"/>
        <w:tabs>
          <w:tab w:leader="none" w:pos="480" w:val="left"/>
        </w:tabs>
        <w:numPr>
          <w:ilvl w:val="0"/>
          <w:numId w:val="71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319" w:lineRule="exact"/>
        <w:rPr>
          <w:sz w:val="20"/>
          <w:szCs w:val="20"/>
          <w:color w:val="auto"/>
        </w:rPr>
      </w:pPr>
    </w:p>
    <w:p>
      <w:pPr>
        <w:ind w:left="480" w:hanging="472"/>
        <w:spacing w:after="0"/>
        <w:tabs>
          <w:tab w:leader="none" w:pos="48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Capitalized terms used in this Plan shall have the meaning set forth in Annex 1.</w:t>
      </w:r>
    </w:p>
    <w:p>
      <w:pPr>
        <w:spacing w:after="0" w:line="292" w:lineRule="exact"/>
        <w:rPr>
          <w:rFonts w:ascii="Arial" w:cs="Arial" w:eastAsia="Arial" w:hAnsi="Arial"/>
          <w:sz w:val="18"/>
          <w:szCs w:val="18"/>
          <w:color w:val="auto"/>
        </w:rPr>
      </w:pPr>
    </w:p>
    <w:p>
      <w:pPr>
        <w:jc w:val="both"/>
        <w:ind w:left="500" w:right="20" w:hanging="492"/>
        <w:spacing w:after="0" w:line="287" w:lineRule="auto"/>
        <w:tabs>
          <w:tab w:leader="none" w:pos="49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spacing w:after="0" w:line="211" w:lineRule="exact"/>
        <w:rPr>
          <w:sz w:val="20"/>
          <w:szCs w:val="20"/>
          <w:color w:val="auto"/>
        </w:rPr>
      </w:pPr>
    </w:p>
    <w:p>
      <w:pPr>
        <w:ind w:left="480" w:hanging="472"/>
        <w:spacing w:after="0"/>
        <w:tabs>
          <w:tab w:leader="none" w:pos="480" w:val="left"/>
        </w:tabs>
        <w:numPr>
          <w:ilvl w:val="0"/>
          <w:numId w:val="717"/>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319" w:lineRule="exact"/>
        <w:rPr>
          <w:sz w:val="20"/>
          <w:szCs w:val="20"/>
          <w:color w:val="auto"/>
        </w:rPr>
      </w:pPr>
    </w:p>
    <w:p>
      <w:pPr>
        <w:ind w:left="480" w:hanging="472"/>
        <w:spacing w:after="0"/>
        <w:tabs>
          <w:tab w:leader="none" w:pos="48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500"/>
        <w:spacing w:after="0" w:line="285"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the maximum number of PSUs that may be granted under this Plan and of shares to be allocated from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conditional capital or otherwise in connection with such PSUs.</w:t>
      </w:r>
    </w:p>
    <w:p>
      <w:pPr>
        <w:spacing w:after="0" w:line="231" w:lineRule="exact"/>
        <w:rPr>
          <w:rFonts w:ascii="Arial" w:cs="Arial" w:eastAsia="Arial" w:hAnsi="Arial"/>
          <w:sz w:val="18"/>
          <w:szCs w:val="18"/>
          <w:color w:val="auto"/>
        </w:rPr>
      </w:pPr>
    </w:p>
    <w:p>
      <w:pPr>
        <w:jc w:val="both"/>
        <w:ind w:left="500" w:hanging="492"/>
        <w:spacing w:after="0" w:line="281" w:lineRule="auto"/>
        <w:tabs>
          <w:tab w:leader="none" w:pos="49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or renew or terminate the Plan or to replace it with new editions or other plans. It may delegate,</w:t>
      </w:r>
    </w:p>
    <w:p>
      <w:pPr>
        <w:spacing w:after="0" w:line="1" w:lineRule="exact"/>
        <w:rPr>
          <w:rFonts w:ascii="Arial" w:cs="Arial" w:eastAsia="Arial" w:hAnsi="Arial"/>
          <w:sz w:val="18"/>
          <w:szCs w:val="18"/>
          <w:color w:val="auto"/>
        </w:rPr>
      </w:pPr>
    </w:p>
    <w:p>
      <w:pPr>
        <w:ind w:left="500"/>
        <w:spacing w:after="0" w:line="293" w:lineRule="auto"/>
        <w:rPr>
          <w:rFonts w:ascii="Arial" w:cs="Arial" w:eastAsia="Arial" w:hAnsi="Arial"/>
          <w:sz w:val="18"/>
          <w:szCs w:val="18"/>
          <w:color w:val="auto"/>
        </w:rPr>
      </w:pPr>
      <w:r>
        <w:rPr>
          <w:rFonts w:ascii="Arial" w:cs="Arial" w:eastAsia="Arial" w:hAnsi="Arial"/>
          <w:sz w:val="18"/>
          <w:szCs w:val="18"/>
          <w:color w:val="auto"/>
        </w:rPr>
        <w:t>under its supervision, the implementation and administration, as well as grants of PSUs other than to members of the Management Team,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jc w:val="both"/>
        <w:ind w:left="500" w:hanging="492"/>
        <w:spacing w:after="0" w:line="284" w:lineRule="auto"/>
        <w:tabs>
          <w:tab w:leader="none" w:pos="494" w:val="left"/>
        </w:tabs>
        <w:numPr>
          <w:ilvl w:val="0"/>
          <w:numId w:val="718"/>
        </w:numPr>
        <w:rPr>
          <w:rFonts w:ascii="Arial" w:cs="Arial" w:eastAsia="Arial" w:hAnsi="Arial"/>
          <w:sz w:val="18"/>
          <w:szCs w:val="18"/>
          <w:color w:val="auto"/>
        </w:rPr>
      </w:pPr>
      <w:r>
        <w:rPr>
          <w:rFonts w:ascii="Arial" w:cs="Arial" w:eastAsia="Arial" w:hAnsi="Arial"/>
          <w:sz w:val="18"/>
          <w:szCs w:val="18"/>
          <w:color w:val="auto"/>
        </w:rPr>
        <w:t>Any grants of PSUs to members of the Management Team shall be approved by the Board of Directors based on individual recommendations of the Nomination and Compensation Committee and will, as long as shareholder approval of variable compensation is outstanding, be conditional upon such shareholder approval. In case that the amount approved by the shareholders does not cover the full amount of contemplated aggregate variable compensation for the year of grant, the entitlements to short term and long-term variable compensation may be reduced by the Nomination and Compensation Committee in its sole discretion.</w:t>
      </w:r>
    </w:p>
    <w:p>
      <w:pPr>
        <w:spacing w:after="0" w:line="246" w:lineRule="exact"/>
        <w:rPr>
          <w:rFonts w:ascii="Arial" w:cs="Arial" w:eastAsia="Arial" w:hAnsi="Arial"/>
          <w:sz w:val="18"/>
          <w:szCs w:val="18"/>
          <w:color w:val="auto"/>
        </w:rPr>
      </w:pPr>
    </w:p>
    <w:p>
      <w:pPr>
        <w:jc w:val="both"/>
        <w:ind w:left="500" w:hanging="492"/>
        <w:spacing w:after="0" w:line="287" w:lineRule="auto"/>
        <w:tabs>
          <w:tab w:leader="none" w:pos="49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ectPr>
          <w:pgSz w:w="11900" w:h="16838" w:orient="portrait"/>
          <w:cols w:equalWidth="0" w:num="1">
            <w:col w:w="11240"/>
          </w:cols>
          <w:pgMar w:left="320" w:top="180" w:right="339" w:bottom="1440" w:gutter="0" w:footer="0" w:header="0"/>
        </w:sectPr>
      </w:pPr>
    </w:p>
    <w:bookmarkStart w:id="744" w:name="page745"/>
    <w:bookmarkEnd w:id="744"/>
    <w:tbl>
      <w:tblPr>
        <w:tblLayout w:type="fixed"/>
        <w:tblInd w:w="20" w:type="dxa"/>
        <w:tblCellMar>
          <w:top w:w="0" w:type="dxa"/>
          <w:left w:w="0" w:type="dxa"/>
          <w:bottom w:w="0" w:type="dxa"/>
          <w:right w:w="0" w:type="dxa"/>
        </w:tblCellMar>
      </w:tblPr>
      <w:tr>
        <w:trPr>
          <w:trHeight w:val="187"/>
        </w:trPr>
        <w:tc>
          <w:tcPr>
            <w:tcW w:w="674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800" w:type="dxa"/>
            <w:vAlign w:val="bottom"/>
          </w:tcPr>
          <w:p>
            <w:pPr>
              <w:jc w:val="right"/>
              <w:spacing w:after="0"/>
              <w:rPr>
                <w:sz w:val="20"/>
                <w:szCs w:val="20"/>
                <w:color w:val="auto"/>
              </w:rPr>
            </w:pPr>
            <w:r>
              <w:rPr>
                <w:rFonts w:ascii="Arial" w:cs="Arial" w:eastAsia="Arial" w:hAnsi="Arial"/>
                <w:sz w:val="13"/>
                <w:szCs w:val="13"/>
                <w:color w:val="auto"/>
              </w:rPr>
              <w:t>4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hanging="6"/>
        <w:spacing w:after="0" w:line="287" w:lineRule="auto"/>
        <w:rPr>
          <w:sz w:val="20"/>
          <w:szCs w:val="20"/>
          <w:color w:val="auto"/>
        </w:rPr>
      </w:pPr>
      <w:r>
        <w:rPr>
          <w:rFonts w:ascii="Arial" w:cs="Arial" w:eastAsia="Arial" w:hAnsi="Arial"/>
          <w:sz w:val="18"/>
          <w:szCs w:val="18"/>
          <w:color w:val="auto"/>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 Service</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w:t>
      </w:r>
    </w:p>
    <w:p>
      <w:pPr>
        <w:spacing w:after="0" w:line="198" w:lineRule="exact"/>
        <w:rPr>
          <w:sz w:val="20"/>
          <w:szCs w:val="20"/>
          <w:color w:val="auto"/>
        </w:rPr>
      </w:pPr>
    </w:p>
    <w:p>
      <w:pPr>
        <w:ind w:left="480" w:hanging="472"/>
        <w:spacing w:after="0"/>
        <w:tabs>
          <w:tab w:leader="none" w:pos="480" w:val="left"/>
        </w:tabs>
        <w:numPr>
          <w:ilvl w:val="0"/>
          <w:numId w:val="719"/>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319" w:lineRule="exact"/>
        <w:rPr>
          <w:sz w:val="20"/>
          <w:szCs w:val="20"/>
          <w:color w:val="auto"/>
        </w:rPr>
      </w:pPr>
    </w:p>
    <w:p>
      <w:pPr>
        <w:jc w:val="both"/>
        <w:ind w:left="500" w:hanging="492"/>
        <w:spacing w:after="0" w:line="287" w:lineRule="auto"/>
        <w:tabs>
          <w:tab w:leader="none" w:pos="49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As a rule, members of the executive management, other employees as well as selected consultants may become eligible to participate in this Plan. The decision on eligibility is reserved to the Nomination and Compensation Committee or, other than with respect to members of the Management Team, the relevant Administrator.</w:t>
      </w:r>
    </w:p>
    <w:p>
      <w:pPr>
        <w:spacing w:after="0" w:line="242" w:lineRule="exact"/>
        <w:rPr>
          <w:rFonts w:ascii="Arial" w:cs="Arial" w:eastAsia="Arial" w:hAnsi="Arial"/>
          <w:sz w:val="18"/>
          <w:szCs w:val="18"/>
          <w:color w:val="auto"/>
        </w:rPr>
      </w:pPr>
    </w:p>
    <w:p>
      <w:pPr>
        <w:jc w:val="both"/>
        <w:ind w:left="500" w:hanging="492"/>
        <w:spacing w:after="0" w:line="281" w:lineRule="auto"/>
        <w:tabs>
          <w:tab w:leader="none" w:pos="49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 w:cs="Arial" w:eastAsia="Arial" w:hAnsi="Arial"/>
          <w:sz w:val="18"/>
          <w:szCs w:val="18"/>
          <w:b w:val="1"/>
          <w:bCs w:val="1"/>
          <w:color w:val="auto"/>
        </w:rPr>
        <w:t>PSU</w:t>
      </w:r>
      <w:r>
        <w:rPr>
          <w:rFonts w:ascii="Arial" w:cs="Arial" w:eastAsia="Arial" w:hAnsi="Arial"/>
          <w:sz w:val="18"/>
          <w:szCs w:val="18"/>
          <w:color w:val="auto"/>
        </w:rPr>
        <w:t xml:space="preserve"> </w:t>
      </w:r>
      <w:r>
        <w:rPr>
          <w:rFonts w:ascii="Arial" w:cs="Arial" w:eastAsia="Arial" w:hAnsi="Arial"/>
          <w:sz w:val="18"/>
          <w:szCs w:val="18"/>
          <w:b w:val="1"/>
          <w:bCs w:val="1"/>
          <w:color w:val="auto"/>
        </w:rPr>
        <w:t>Award Agreement</w:t>
      </w:r>
      <w:r>
        <w:rPr>
          <w:rFonts w:ascii="Arial" w:cs="Arial" w:eastAsia="Arial" w:hAnsi="Arial"/>
          <w:sz w:val="18"/>
          <w:szCs w:val="18"/>
          <w:color w:val="auto"/>
        </w:rPr>
        <w:t>) among the Company (or the employer Group Company) and the eligible person, substantially in the form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as Annex 2. The right to receive PSUs shall accrue exclusively to those eligible persons who have, in accordance with this Plan,</w:t>
      </w:r>
    </w:p>
    <w:p>
      <w:pPr>
        <w:spacing w:after="0" w:line="2" w:lineRule="exact"/>
        <w:rPr>
          <w:rFonts w:ascii="Arial" w:cs="Arial" w:eastAsia="Arial" w:hAnsi="Arial"/>
          <w:sz w:val="18"/>
          <w:szCs w:val="18"/>
          <w:color w:val="auto"/>
        </w:rPr>
      </w:pPr>
    </w:p>
    <w:p>
      <w:pPr>
        <w:ind w:left="500"/>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been duly and validly offered, and have signed and returned, their individual PSU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jc w:val="both"/>
        <w:ind w:left="500" w:hanging="492"/>
        <w:spacing w:after="0" w:line="287" w:lineRule="auto"/>
        <w:tabs>
          <w:tab w:leader="none" w:pos="494" w:val="left"/>
        </w:tabs>
        <w:numPr>
          <w:ilvl w:val="0"/>
          <w:numId w:val="720"/>
        </w:numPr>
        <w:rPr>
          <w:rFonts w:ascii="Arial" w:cs="Arial" w:eastAsia="Arial" w:hAnsi="Arial"/>
          <w:sz w:val="18"/>
          <w:szCs w:val="18"/>
          <w:color w:val="auto"/>
        </w:rPr>
      </w:pPr>
      <w:r>
        <w:rPr>
          <w:rFonts w:ascii="Arial" w:cs="Arial" w:eastAsia="Arial" w:hAnsi="Arial"/>
          <w:sz w:val="18"/>
          <w:szCs w:val="18"/>
          <w:color w:val="auto"/>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spacing w:after="0" w:line="229" w:lineRule="exact"/>
        <w:rPr>
          <w:rFonts w:ascii="Arial" w:cs="Arial" w:eastAsia="Arial" w:hAnsi="Arial"/>
          <w:sz w:val="18"/>
          <w:szCs w:val="18"/>
          <w:color w:val="auto"/>
        </w:rPr>
      </w:pPr>
    </w:p>
    <w:p>
      <w:pPr>
        <w:ind w:left="500" w:hanging="492"/>
        <w:spacing w:after="0" w:line="293" w:lineRule="auto"/>
        <w:tabs>
          <w:tab w:leader="none" w:pos="490" w:val="left"/>
        </w:tabs>
        <w:numPr>
          <w:ilvl w:val="0"/>
          <w:numId w:val="720"/>
        </w:numPr>
        <w:rPr>
          <w:rFonts w:ascii="Arial" w:cs="Arial" w:eastAsia="Arial" w:hAnsi="Arial"/>
          <w:sz w:val="18"/>
          <w:szCs w:val="18"/>
          <w:color w:val="auto"/>
        </w:rPr>
      </w:pPr>
      <w:r>
        <w:rPr>
          <w:rFonts w:ascii="Arial" w:cs="Arial" w:eastAsia="Arial" w:hAnsi="Arial"/>
          <w:sz w:val="18"/>
          <w:szCs w:val="18"/>
          <w:color w:val="auto"/>
        </w:rPr>
        <w:t>Neither the grant of PSUs, nor the transfer of Shares in connection with this Plan shall confer upon any Participant any right to continue to be employed by any Group Company.</w:t>
      </w:r>
    </w:p>
    <w:p>
      <w:pPr>
        <w:spacing w:after="0" w:line="205" w:lineRule="exact"/>
        <w:rPr>
          <w:sz w:val="20"/>
          <w:szCs w:val="20"/>
          <w:color w:val="auto"/>
        </w:rPr>
      </w:pPr>
    </w:p>
    <w:p>
      <w:pPr>
        <w:ind w:left="480" w:hanging="472"/>
        <w:spacing w:after="0"/>
        <w:tabs>
          <w:tab w:leader="none" w:pos="480" w:val="left"/>
        </w:tabs>
        <w:numPr>
          <w:ilvl w:val="0"/>
          <w:numId w:val="721"/>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PSUs</w:t>
      </w:r>
    </w:p>
    <w:p>
      <w:pPr>
        <w:spacing w:after="0" w:line="319" w:lineRule="exact"/>
        <w:rPr>
          <w:sz w:val="20"/>
          <w:szCs w:val="20"/>
          <w:color w:val="auto"/>
        </w:rPr>
      </w:pPr>
    </w:p>
    <w:p>
      <w:pPr>
        <w:jc w:val="both"/>
        <w:ind w:left="500" w:hanging="492"/>
        <w:spacing w:after="0" w:line="287" w:lineRule="auto"/>
        <w:tabs>
          <w:tab w:leader="none" w:pos="49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w:t>
      </w:r>
    </w:p>
    <w:p>
      <w:pPr>
        <w:spacing w:after="0" w:line="242" w:lineRule="exact"/>
        <w:rPr>
          <w:rFonts w:ascii="Arial" w:cs="Arial" w:eastAsia="Arial" w:hAnsi="Arial"/>
          <w:sz w:val="18"/>
          <w:szCs w:val="18"/>
          <w:color w:val="auto"/>
        </w:rPr>
      </w:pPr>
    </w:p>
    <w:p>
      <w:pPr>
        <w:ind w:left="480" w:hanging="472"/>
        <w:spacing w:after="0"/>
        <w:tabs>
          <w:tab w:leader="none" w:pos="48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One PSU represents a conditional entitlement to purchase a number of Shares at the nominal value of a Share. The number of Shares</w:t>
      </w:r>
    </w:p>
    <w:p>
      <w:pPr>
        <w:spacing w:after="0" w:line="36" w:lineRule="exact"/>
        <w:rPr>
          <w:rFonts w:ascii="Arial" w:cs="Arial" w:eastAsia="Arial" w:hAnsi="Arial"/>
          <w:sz w:val="18"/>
          <w:szCs w:val="18"/>
          <w:color w:val="auto"/>
        </w:rPr>
      </w:pPr>
    </w:p>
    <w:p>
      <w:pPr>
        <w:jc w:val="both"/>
        <w:ind w:left="50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which shall be allocated to a Participant upon vesting shall be determined pursuant to a vesting multiple as described in Section 10 hereof (the </w:t>
      </w:r>
      <w:r>
        <w:rPr>
          <w:rFonts w:ascii="Arial" w:cs="Arial" w:eastAsia="Arial" w:hAnsi="Arial"/>
          <w:sz w:val="18"/>
          <w:szCs w:val="18"/>
          <w:b w:val="1"/>
          <w:bCs w:val="1"/>
          <w:color w:val="auto"/>
        </w:rPr>
        <w:t>Vesting Multiple</w:t>
      </w:r>
      <w:r>
        <w:rPr>
          <w:rFonts w:ascii="Arial" w:cs="Arial" w:eastAsia="Arial" w:hAnsi="Arial"/>
          <w:sz w:val="18"/>
          <w:szCs w:val="18"/>
          <w:color w:val="auto"/>
        </w:rPr>
        <w:t>), subject to, and in accordance with, the terms and conditions of this Plan and the PSU Award Agreement.</w:t>
      </w:r>
    </w:p>
    <w:p>
      <w:pPr>
        <w:spacing w:after="0" w:line="229" w:lineRule="exact"/>
        <w:rPr>
          <w:rFonts w:ascii="Arial" w:cs="Arial" w:eastAsia="Arial" w:hAnsi="Arial"/>
          <w:sz w:val="18"/>
          <w:szCs w:val="18"/>
          <w:color w:val="auto"/>
        </w:rPr>
      </w:pPr>
    </w:p>
    <w:p>
      <w:pPr>
        <w:ind w:left="500" w:hanging="492"/>
        <w:spacing w:after="0" w:line="293" w:lineRule="auto"/>
        <w:tabs>
          <w:tab w:leader="none" w:pos="494" w:val="left"/>
        </w:tabs>
        <w:numPr>
          <w:ilvl w:val="0"/>
          <w:numId w:val="722"/>
        </w:numPr>
        <w:rPr>
          <w:rFonts w:ascii="Arial" w:cs="Arial" w:eastAsia="Arial" w:hAnsi="Arial"/>
          <w:sz w:val="18"/>
          <w:szCs w:val="18"/>
          <w:color w:val="auto"/>
        </w:rPr>
      </w:pPr>
      <w:r>
        <w:rPr>
          <w:rFonts w:ascii="Arial" w:cs="Arial" w:eastAsia="Arial" w:hAnsi="Arial"/>
          <w:sz w:val="18"/>
          <w:szCs w:val="18"/>
          <w:color w:val="auto"/>
        </w:rPr>
        <w:t xml:space="preserve">The date of grants shall be determined by the Nomination and Compensation Committee or the relevant Administrator and set out in the PSU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left="500" w:hanging="492"/>
        <w:spacing w:after="0" w:line="292" w:lineRule="auto"/>
        <w:tabs>
          <w:tab w:leader="none" w:pos="490" w:val="left"/>
        </w:tabs>
        <w:numPr>
          <w:ilvl w:val="0"/>
          <w:numId w:val="722"/>
        </w:numPr>
        <w:rPr>
          <w:rFonts w:ascii="Arial" w:cs="Arial" w:eastAsia="Arial" w:hAnsi="Arial"/>
          <w:sz w:val="18"/>
          <w:szCs w:val="18"/>
          <w:color w:val="auto"/>
        </w:rPr>
      </w:pPr>
      <w:r>
        <w:rPr>
          <w:rFonts w:ascii="Arial" w:cs="Arial" w:eastAsia="Arial" w:hAnsi="Arial"/>
          <w:sz w:val="18"/>
          <w:szCs w:val="18"/>
          <w:color w:val="auto"/>
        </w:rPr>
        <w:t>A change of the regular working quota (</w:t>
      </w:r>
      <w:r>
        <w:rPr>
          <w:rFonts w:ascii="Arial" w:cs="Arial" w:eastAsia="Arial" w:hAnsi="Arial"/>
          <w:sz w:val="18"/>
          <w:szCs w:val="18"/>
          <w:i w:val="1"/>
          <w:iCs w:val="1"/>
          <w:color w:val="auto"/>
        </w:rPr>
        <w:t>Arbeitspensum</w:t>
      </w:r>
      <w:r>
        <w:rPr>
          <w:rFonts w:ascii="Arial" w:cs="Arial" w:eastAsia="Arial" w:hAnsi="Arial"/>
          <w:sz w:val="18"/>
          <w:szCs w:val="18"/>
          <w:color w:val="auto"/>
        </w:rPr>
        <w:t>)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sectPr>
          <w:pgSz w:w="11900" w:h="16838" w:orient="portrait"/>
          <w:cols w:equalWidth="0" w:num="1">
            <w:col w:w="11240"/>
          </w:cols>
          <w:pgMar w:left="320" w:top="180" w:right="339" w:bottom="1440" w:gutter="0" w:footer="0" w:header="0"/>
        </w:sectPr>
      </w:pPr>
    </w:p>
    <w:bookmarkStart w:id="745" w:name="page746"/>
    <w:bookmarkEnd w:id="745"/>
    <w:tbl>
      <w:tblPr>
        <w:tblLayout w:type="fixed"/>
        <w:tblInd w:w="20" w:type="dxa"/>
        <w:tblCellMar>
          <w:top w:w="0" w:type="dxa"/>
          <w:left w:w="0" w:type="dxa"/>
          <w:bottom w:w="0" w:type="dxa"/>
          <w:right w:w="0" w:type="dxa"/>
        </w:tblCellMar>
      </w:tblPr>
      <w:tr>
        <w:trPr>
          <w:trHeight w:val="187"/>
        </w:trPr>
        <w:tc>
          <w:tcPr>
            <w:tcW w:w="674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800" w:type="dxa"/>
            <w:vAlign w:val="bottom"/>
          </w:tcPr>
          <w:p>
            <w:pPr>
              <w:jc w:val="right"/>
              <w:spacing w:after="0"/>
              <w:rPr>
                <w:sz w:val="20"/>
                <w:szCs w:val="20"/>
                <w:color w:val="auto"/>
              </w:rPr>
            </w:pPr>
            <w:r>
              <w:rPr>
                <w:rFonts w:ascii="Arial" w:cs="Arial" w:eastAsia="Arial" w:hAnsi="Arial"/>
                <w:sz w:val="13"/>
                <w:szCs w:val="13"/>
                <w:color w:val="auto"/>
              </w:rPr>
              <w:t>5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hanging="472"/>
        <w:spacing w:after="0"/>
        <w:tabs>
          <w:tab w:leader="none" w:pos="480" w:val="left"/>
        </w:tabs>
        <w:numPr>
          <w:ilvl w:val="0"/>
          <w:numId w:val="723"/>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319" w:lineRule="exact"/>
        <w:rPr>
          <w:sz w:val="20"/>
          <w:szCs w:val="20"/>
          <w:color w:val="auto"/>
        </w:rPr>
      </w:pPr>
    </w:p>
    <w:p>
      <w:pPr>
        <w:jc w:val="both"/>
        <w:ind w:left="500"/>
        <w:spacing w:after="0" w:line="285" w:lineRule="auto"/>
        <w:rPr>
          <w:sz w:val="20"/>
          <w:szCs w:val="20"/>
          <w:color w:val="auto"/>
        </w:rPr>
      </w:pPr>
      <w:r>
        <w:rPr>
          <w:rFonts w:ascii="Arial" w:cs="Arial" w:eastAsia="Arial" w:hAnsi="Arial"/>
          <w:sz w:val="18"/>
          <w:szCs w:val="18"/>
          <w:color w:val="auto"/>
        </w:rPr>
        <w:t>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 of the Plan and upon entry into the share register, subject to, and in accordance with, the restrictions and procedures set out in article 5 of the Company's articles of incorporation.</w:t>
      </w:r>
    </w:p>
    <w:p>
      <w:pPr>
        <w:spacing w:after="0" w:line="200" w:lineRule="exact"/>
        <w:rPr>
          <w:sz w:val="20"/>
          <w:szCs w:val="20"/>
          <w:color w:val="auto"/>
        </w:rPr>
      </w:pPr>
    </w:p>
    <w:p>
      <w:pPr>
        <w:ind w:left="480" w:hanging="472"/>
        <w:spacing w:after="0"/>
        <w:tabs>
          <w:tab w:leader="none" w:pos="480" w:val="left"/>
        </w:tabs>
        <w:numPr>
          <w:ilvl w:val="0"/>
          <w:numId w:val="724"/>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31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spacing w:after="0" w:line="211" w:lineRule="exact"/>
        <w:rPr>
          <w:sz w:val="20"/>
          <w:szCs w:val="20"/>
          <w:color w:val="auto"/>
        </w:rPr>
      </w:pPr>
    </w:p>
    <w:p>
      <w:pPr>
        <w:ind w:left="480" w:hanging="472"/>
        <w:spacing w:after="0"/>
        <w:tabs>
          <w:tab w:leader="none" w:pos="480" w:val="left"/>
        </w:tabs>
        <w:numPr>
          <w:ilvl w:val="0"/>
          <w:numId w:val="725"/>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319" w:lineRule="exact"/>
        <w:rPr>
          <w:sz w:val="20"/>
          <w:szCs w:val="20"/>
          <w:color w:val="auto"/>
        </w:rPr>
      </w:pPr>
    </w:p>
    <w:p>
      <w:pPr>
        <w:jc w:val="both"/>
        <w:ind w:left="500" w:hanging="492"/>
        <w:spacing w:after="0" w:line="287" w:lineRule="auto"/>
        <w:tabs>
          <w:tab w:leader="none" w:pos="49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 xml:space="preserve">Unless otherwise set out in this Plan (in particular in Section 14) or in the PSU Award Agreement, PSUs shall vest on the third anniversary of the Grant Date (the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period between the Grant Date and the Vesting Date shall be deemed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left="480" w:hanging="472"/>
        <w:spacing w:after="0"/>
        <w:tabs>
          <w:tab w:leader="none" w:pos="480" w:val="left"/>
        </w:tabs>
        <w:numPr>
          <w:ilvl w:val="0"/>
          <w:numId w:val="726"/>
        </w:numPr>
        <w:rPr>
          <w:rFonts w:ascii="Arial" w:cs="Arial" w:eastAsia="Arial" w:hAnsi="Arial"/>
          <w:sz w:val="18"/>
          <w:szCs w:val="18"/>
          <w:color w:val="auto"/>
        </w:rPr>
      </w:pPr>
      <w:r>
        <w:rPr>
          <w:rFonts w:ascii="Arial" w:cs="Arial" w:eastAsia="Arial" w:hAnsi="Arial"/>
          <w:sz w:val="18"/>
          <w:szCs w:val="18"/>
          <w:color w:val="auto"/>
        </w:rPr>
        <w:t>Subject to section 14(b) below, no PSU shall vest if, during the Vesting Period, the relevant Participant's employment is terminated (i.e.</w:t>
      </w:r>
    </w:p>
    <w:p>
      <w:pPr>
        <w:spacing w:after="0" w:line="36" w:lineRule="exact"/>
        <w:rPr>
          <w:rFonts w:ascii="Arial" w:cs="Arial" w:eastAsia="Arial" w:hAnsi="Arial"/>
          <w:sz w:val="18"/>
          <w:szCs w:val="18"/>
          <w:color w:val="auto"/>
        </w:rPr>
      </w:pPr>
    </w:p>
    <w:p>
      <w:pPr>
        <w:ind w:left="500"/>
        <w:spacing w:after="0" w:line="293" w:lineRule="auto"/>
        <w:rPr>
          <w:rFonts w:ascii="Arial" w:cs="Arial" w:eastAsia="Arial" w:hAnsi="Arial"/>
          <w:sz w:val="18"/>
          <w:szCs w:val="18"/>
          <w:color w:val="auto"/>
        </w:rPr>
      </w:pPr>
      <w:r>
        <w:rPr>
          <w:rFonts w:ascii="Arial" w:cs="Arial" w:eastAsia="Arial" w:hAnsi="Arial"/>
          <w:sz w:val="18"/>
          <w:szCs w:val="18"/>
          <w:color w:val="auto"/>
        </w:rPr>
        <w:t>notice of termination is given (even if the notice period is still running) or another reason for termination occurs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set by a Group Company.</w:t>
      </w:r>
    </w:p>
    <w:p>
      <w:pPr>
        <w:spacing w:after="0" w:line="223" w:lineRule="exact"/>
        <w:rPr>
          <w:rFonts w:ascii="Arial" w:cs="Arial" w:eastAsia="Arial" w:hAnsi="Arial"/>
          <w:sz w:val="18"/>
          <w:szCs w:val="18"/>
          <w:color w:val="auto"/>
        </w:rPr>
      </w:pPr>
    </w:p>
    <w:p>
      <w:pPr>
        <w:jc w:val="both"/>
        <w:ind w:left="500" w:hanging="492"/>
        <w:spacing w:after="0" w:line="287" w:lineRule="auto"/>
        <w:tabs>
          <w:tab w:leader="none" w:pos="494" w:val="left"/>
        </w:tabs>
        <w:numPr>
          <w:ilvl w:val="0"/>
          <w:numId w:val="726"/>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Alternatively, the Company may provide for cash-less acquisition or vesting-sale arrangements through a Plan Service Provider or otherwise.</w:t>
      </w:r>
    </w:p>
    <w:p>
      <w:pPr>
        <w:spacing w:after="0" w:line="211" w:lineRule="exact"/>
        <w:rPr>
          <w:sz w:val="20"/>
          <w:szCs w:val="20"/>
          <w:color w:val="auto"/>
        </w:rPr>
      </w:pPr>
    </w:p>
    <w:p>
      <w:pPr>
        <w:ind w:left="480" w:hanging="472"/>
        <w:spacing w:after="0"/>
        <w:tabs>
          <w:tab w:leader="none" w:pos="480" w:val="left"/>
        </w:tabs>
        <w:numPr>
          <w:ilvl w:val="0"/>
          <w:numId w:val="727"/>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319" w:lineRule="exact"/>
        <w:rPr>
          <w:sz w:val="20"/>
          <w:szCs w:val="20"/>
          <w:color w:val="auto"/>
        </w:rPr>
      </w:pPr>
    </w:p>
    <w:p>
      <w:pPr>
        <w:jc w:val="both"/>
        <w:ind w:left="500"/>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16,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Vesting Multiple</w:t>
      </w:r>
    </w:p>
    <w:p>
      <w:pPr>
        <w:spacing w:after="0" w:line="319" w:lineRule="exact"/>
        <w:rPr>
          <w:sz w:val="20"/>
          <w:szCs w:val="20"/>
          <w:color w:val="auto"/>
        </w:rPr>
      </w:pPr>
    </w:p>
    <w:p>
      <w:pPr>
        <w:ind w:left="480" w:hanging="472"/>
        <w:spacing w:after="0"/>
        <w:tabs>
          <w:tab w:leader="none" w:pos="48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The Vesting Multiple shall not be lower than 0 nor higher than 1.2 (one point two). Within such range, the Vesting Multiple shall be</w:t>
      </w:r>
    </w:p>
    <w:p>
      <w:pPr>
        <w:spacing w:after="0" w:line="36" w:lineRule="exact"/>
        <w:rPr>
          <w:rFonts w:ascii="Arial" w:cs="Arial" w:eastAsia="Arial" w:hAnsi="Arial"/>
          <w:sz w:val="18"/>
          <w:szCs w:val="18"/>
          <w:color w:val="auto"/>
        </w:rPr>
      </w:pPr>
    </w:p>
    <w:p>
      <w:pPr>
        <w:jc w:val="both"/>
        <w:ind w:left="500"/>
        <w:spacing w:after="0" w:line="285" w:lineRule="auto"/>
        <w:rPr>
          <w:rFonts w:ascii="Arial" w:cs="Arial" w:eastAsia="Arial" w:hAnsi="Arial"/>
          <w:sz w:val="18"/>
          <w:szCs w:val="18"/>
          <w:color w:val="auto"/>
        </w:rPr>
      </w:pPr>
      <w:r>
        <w:rPr>
          <w:rFonts w:ascii="Arial" w:cs="Arial" w:eastAsia="Arial" w:hAnsi="Arial"/>
          <w:sz w:val="18"/>
          <w:szCs w:val="18"/>
          <w:color w:val="auto"/>
        </w:rPr>
        <w:t>determined by the Board of Directors upon proposal by the Nomination and Compensation Committee based on its assessment of the achievement of the goals set out in the score card (</w:t>
      </w:r>
      <w:r>
        <w:rPr>
          <w:rFonts w:ascii="Arial" w:cs="Arial" w:eastAsia="Arial" w:hAnsi="Arial"/>
          <w:sz w:val="18"/>
          <w:szCs w:val="18"/>
          <w:b w:val="1"/>
          <w:bCs w:val="1"/>
          <w:color w:val="auto"/>
        </w:rPr>
        <w:t>LTI Score Card</w:t>
      </w:r>
      <w:r>
        <w:rPr>
          <w:rFonts w:ascii="Arial" w:cs="Arial" w:eastAsia="Arial" w:hAnsi="Arial"/>
          <w:sz w:val="18"/>
          <w:szCs w:val="18"/>
          <w:color w:val="auto"/>
        </w:rPr>
        <w:t>) attached to the PSU Award Agreement or otherwise communicated by the Company to the Participant in connection with the grant (</w:t>
      </w:r>
      <w:r>
        <w:rPr>
          <w:rFonts w:ascii="Arial" w:cs="Arial" w:eastAsia="Arial" w:hAnsi="Arial"/>
          <w:sz w:val="18"/>
          <w:szCs w:val="18"/>
          <w:b w:val="1"/>
          <w:bCs w:val="1"/>
          <w:color w:val="auto"/>
        </w:rPr>
        <w:t>Goals</w:t>
      </w:r>
      <w:r>
        <w:rPr>
          <w:rFonts w:ascii="Arial" w:cs="Arial" w:eastAsia="Arial" w:hAnsi="Arial"/>
          <w:sz w:val="18"/>
          <w:szCs w:val="18"/>
          <w:color w:val="auto"/>
        </w:rPr>
        <w:t>). The Goals may include any corporate goals, i.e. strategic, operating or financial goals</w:t>
      </w:r>
    </w:p>
    <w:p>
      <w:pPr>
        <w:sectPr>
          <w:pgSz w:w="11900" w:h="16838" w:orient="portrait"/>
          <w:cols w:equalWidth="0" w:num="1">
            <w:col w:w="11240"/>
          </w:cols>
          <w:pgMar w:left="320" w:top="180" w:right="339" w:bottom="1440" w:gutter="0" w:footer="0" w:header="0"/>
        </w:sectPr>
      </w:pPr>
    </w:p>
    <w:bookmarkStart w:id="746" w:name="page747"/>
    <w:bookmarkEnd w:id="746"/>
    <w:tbl>
      <w:tblPr>
        <w:tblLayout w:type="fixed"/>
        <w:tblInd w:w="20" w:type="dxa"/>
        <w:tblCellMar>
          <w:top w:w="0" w:type="dxa"/>
          <w:left w:w="0" w:type="dxa"/>
          <w:bottom w:w="0" w:type="dxa"/>
          <w:right w:w="0" w:type="dxa"/>
        </w:tblCellMar>
      </w:tblPr>
      <w:tr>
        <w:trPr>
          <w:trHeight w:val="187"/>
        </w:trPr>
        <w:tc>
          <w:tcPr>
            <w:tcW w:w="674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800" w:type="dxa"/>
            <w:vAlign w:val="bottom"/>
          </w:tcPr>
          <w:p>
            <w:pPr>
              <w:jc w:val="right"/>
              <w:spacing w:after="0"/>
              <w:rPr>
                <w:sz w:val="20"/>
                <w:szCs w:val="20"/>
                <w:color w:val="auto"/>
              </w:rPr>
            </w:pPr>
            <w:r>
              <w:rPr>
                <w:rFonts w:ascii="Arial" w:cs="Arial" w:eastAsia="Arial" w:hAnsi="Arial"/>
                <w:sz w:val="13"/>
                <w:szCs w:val="13"/>
                <w:color w:val="auto"/>
              </w:rPr>
              <w:t>6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of the Company or the Group, any personal goals and performance of the relevant Participant and/or any goals relating to the total shareholder return or share price development. The LTI Score Card may attach a percentage weighting to each Goal for purposes of deriving the Vesting Multiple or require a global assessment of the achievement of goals.</w:t>
      </w:r>
    </w:p>
    <w:p>
      <w:pPr>
        <w:spacing w:after="0" w:line="229" w:lineRule="exact"/>
        <w:rPr>
          <w:sz w:val="20"/>
          <w:szCs w:val="20"/>
          <w:color w:val="auto"/>
        </w:rPr>
      </w:pPr>
    </w:p>
    <w:p>
      <w:pPr>
        <w:jc w:val="both"/>
        <w:ind w:left="500" w:hanging="492"/>
        <w:spacing w:after="0" w:line="287" w:lineRule="auto"/>
        <w:tabs>
          <w:tab w:leader="none" w:pos="49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The Vesting Multiple shall, unless the nature of the Goals demands otherwise, be determined in the year following the year of grant. Notwithstanding such determination, Vesting shall occur only at the time and subject to the conditions otherwise set out in this Plan or in the PSU Award Agreement.</w:t>
      </w:r>
    </w:p>
    <w:p>
      <w:pPr>
        <w:spacing w:after="0" w:line="242" w:lineRule="exact"/>
        <w:rPr>
          <w:rFonts w:ascii="Arial" w:cs="Arial" w:eastAsia="Arial" w:hAnsi="Arial"/>
          <w:sz w:val="18"/>
          <w:szCs w:val="18"/>
          <w:color w:val="auto"/>
        </w:rPr>
      </w:pPr>
    </w:p>
    <w:p>
      <w:pPr>
        <w:jc w:val="both"/>
        <w:ind w:left="500" w:hanging="492"/>
        <w:spacing w:after="0" w:line="287" w:lineRule="auto"/>
        <w:tabs>
          <w:tab w:leader="none" w:pos="494" w:val="left"/>
        </w:tabs>
        <w:numPr>
          <w:ilvl w:val="0"/>
          <w:numId w:val="729"/>
        </w:numPr>
        <w:rPr>
          <w:rFonts w:ascii="Arial" w:cs="Arial" w:eastAsia="Arial" w:hAnsi="Arial"/>
          <w:sz w:val="18"/>
          <w:szCs w:val="18"/>
          <w:color w:val="auto"/>
        </w:rPr>
      </w:pPr>
      <w:r>
        <w:rPr>
          <w:rFonts w:ascii="Arial" w:cs="Arial" w:eastAsia="Arial" w:hAnsi="Arial"/>
          <w:sz w:val="18"/>
          <w:szCs w:val="18"/>
          <w:color w:val="auto"/>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Taxes and Social Security Contributions</w:t>
      </w:r>
    </w:p>
    <w:p>
      <w:pPr>
        <w:spacing w:after="0" w:line="319" w:lineRule="exact"/>
        <w:rPr>
          <w:sz w:val="20"/>
          <w:szCs w:val="20"/>
          <w:color w:val="auto"/>
        </w:rPr>
      </w:pPr>
    </w:p>
    <w:p>
      <w:pPr>
        <w:jc w:val="both"/>
        <w:ind w:left="500" w:hanging="492"/>
        <w:spacing w:after="0" w:line="287" w:lineRule="auto"/>
        <w:tabs>
          <w:tab w:leader="none" w:pos="49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spacing w:after="0" w:line="229" w:lineRule="exact"/>
        <w:rPr>
          <w:rFonts w:ascii="Arial" w:cs="Arial" w:eastAsia="Arial" w:hAnsi="Arial"/>
          <w:sz w:val="18"/>
          <w:szCs w:val="18"/>
          <w:color w:val="auto"/>
        </w:rPr>
      </w:pPr>
    </w:p>
    <w:p>
      <w:pPr>
        <w:jc w:val="both"/>
        <w:ind w:left="500" w:hanging="492"/>
        <w:spacing w:after="0" w:line="283" w:lineRule="auto"/>
        <w:tabs>
          <w:tab w:leader="none" w:pos="490"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w:t>
      </w:r>
    </w:p>
    <w:p>
      <w:pPr>
        <w:spacing w:after="0" w:line="249" w:lineRule="exact"/>
        <w:rPr>
          <w:rFonts w:ascii="Arial" w:cs="Arial" w:eastAsia="Arial" w:hAnsi="Arial"/>
          <w:sz w:val="18"/>
          <w:szCs w:val="18"/>
          <w:color w:val="auto"/>
        </w:rPr>
      </w:pPr>
    </w:p>
    <w:p>
      <w:pPr>
        <w:ind w:left="500" w:hanging="492"/>
        <w:spacing w:after="0" w:line="293" w:lineRule="auto"/>
        <w:tabs>
          <w:tab w:leader="none" w:pos="494" w:val="left"/>
        </w:tabs>
        <w:numPr>
          <w:ilvl w:val="0"/>
          <w:numId w:val="730"/>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PSU awards, Shares or related events.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Disclosure Requirements</w:t>
      </w:r>
    </w:p>
    <w:p>
      <w:pPr>
        <w:spacing w:after="0" w:line="319" w:lineRule="exact"/>
        <w:rPr>
          <w:sz w:val="20"/>
          <w:szCs w:val="20"/>
          <w:color w:val="auto"/>
        </w:rPr>
      </w:pPr>
    </w:p>
    <w:p>
      <w:pPr>
        <w:jc w:val="both"/>
        <w:ind w:left="500"/>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ectPr>
          <w:pgSz w:w="11900" w:h="16838" w:orient="portrait"/>
          <w:cols w:equalWidth="0" w:num="1">
            <w:col w:w="11240"/>
          </w:cols>
          <w:pgMar w:left="320" w:top="180" w:right="339" w:bottom="1440" w:gutter="0" w:footer="0" w:header="0"/>
        </w:sectPr>
      </w:pPr>
    </w:p>
    <w:bookmarkStart w:id="747" w:name="page748"/>
    <w:bookmarkEnd w:id="747"/>
    <w:tbl>
      <w:tblPr>
        <w:tblLayout w:type="fixed"/>
        <w:tblInd w:w="20" w:type="dxa"/>
        <w:tblCellMar>
          <w:top w:w="0" w:type="dxa"/>
          <w:left w:w="0" w:type="dxa"/>
          <w:bottom w:w="0" w:type="dxa"/>
          <w:right w:w="0" w:type="dxa"/>
        </w:tblCellMar>
      </w:tblPr>
      <w:tr>
        <w:trPr>
          <w:trHeight w:val="187"/>
        </w:trPr>
        <w:tc>
          <w:tcPr>
            <w:tcW w:w="674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800" w:type="dxa"/>
            <w:vAlign w:val="bottom"/>
          </w:tcPr>
          <w:p>
            <w:pPr>
              <w:jc w:val="right"/>
              <w:spacing w:after="0"/>
              <w:rPr>
                <w:sz w:val="20"/>
                <w:szCs w:val="20"/>
                <w:color w:val="auto"/>
              </w:rPr>
            </w:pPr>
            <w:r>
              <w:rPr>
                <w:rFonts w:ascii="Arial" w:cs="Arial" w:eastAsia="Arial" w:hAnsi="Arial"/>
                <w:sz w:val="13"/>
                <w:szCs w:val="13"/>
                <w:color w:val="auto"/>
              </w:rPr>
              <w:t>7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Other Obligations of the Participant</w:t>
      </w:r>
    </w:p>
    <w:p>
      <w:pPr>
        <w:spacing w:after="0" w:line="31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employment) to any Group Company, until the Participant has satisfied such outstanding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Termination of Employment and Forfeiture</w:t>
      </w:r>
    </w:p>
    <w:p>
      <w:pPr>
        <w:spacing w:after="0" w:line="319" w:lineRule="exact"/>
        <w:rPr>
          <w:sz w:val="20"/>
          <w:szCs w:val="20"/>
          <w:color w:val="auto"/>
        </w:rPr>
      </w:pPr>
    </w:p>
    <w:p>
      <w:pPr>
        <w:jc w:val="both"/>
        <w:ind w:left="500" w:hanging="492"/>
        <w:spacing w:after="0" w:line="287" w:lineRule="auto"/>
        <w:tabs>
          <w:tab w:leader="none" w:pos="490" w:val="left"/>
        </w:tabs>
        <w:numPr>
          <w:ilvl w:val="0"/>
          <w:numId w:val="731"/>
        </w:numPr>
        <w:rPr>
          <w:rFonts w:ascii="Arial" w:cs="Arial" w:eastAsia="Arial" w:hAnsi="Arial"/>
          <w:sz w:val="18"/>
          <w:szCs w:val="18"/>
          <w:color w:val="auto"/>
        </w:rPr>
      </w:pPr>
      <w:r>
        <w:rPr>
          <w:rFonts w:ascii="Arial" w:cs="Arial" w:eastAsia="Arial" w:hAnsi="Arial"/>
          <w:sz w:val="18"/>
          <w:szCs w:val="18"/>
          <w:color w:val="auto"/>
        </w:rPr>
        <w:t>If a Participant's employment is terminated (i.e. notice of termination is given (even if the notice period is still running) or another reason for termination occurs during the Vesting period,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within the meaning of Article 337 CO and except as set out in section 14(b) below, all PSUs shall immediately cease and be forfeited.</w:t>
      </w:r>
    </w:p>
    <w:p>
      <w:pPr>
        <w:spacing w:after="0" w:line="225" w:lineRule="exact"/>
        <w:rPr>
          <w:sz w:val="20"/>
          <w:szCs w:val="20"/>
          <w:color w:val="auto"/>
        </w:rPr>
      </w:pPr>
    </w:p>
    <w:p>
      <w:pPr>
        <w:jc w:val="both"/>
        <w:ind w:left="500" w:hanging="492"/>
        <w:spacing w:after="0" w:line="288" w:lineRule="auto"/>
        <w:tabs>
          <w:tab w:leader="none" w:pos="490" w:val="left"/>
        </w:tabs>
        <w:numPr>
          <w:ilvl w:val="0"/>
          <w:numId w:val="732"/>
        </w:numPr>
        <w:rPr>
          <w:rFonts w:ascii="Arial" w:cs="Arial" w:eastAsia="Arial" w:hAnsi="Arial"/>
          <w:sz w:val="18"/>
          <w:szCs w:val="18"/>
          <w:color w:val="auto"/>
        </w:rPr>
      </w:pPr>
      <w:r>
        <w:rPr>
          <w:rFonts w:ascii="Arial" w:cs="Arial" w:eastAsia="Arial" w:hAnsi="Arial"/>
          <w:sz w:val="18"/>
          <w:szCs w:val="18"/>
          <w:color w:val="auto"/>
        </w:rPr>
        <w:t xml:space="preserve">If the employment agreement terminates by reason of (i) death, permanent illness or disability of the Participant or (ii) retirement,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number of PSUs granted to the Participant shall vest immediately with the remaining PSUs lapsing without further effect.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(i) here before, the pro rata calculation will be made assuming that employment lasted one year longer (but in any case not longer than the end of the regular three-year Vesting Period). The Board of Directors may, at its sole discretion and with final and binding effect, based on a recommendation by the Nomination and Compensation Committee and taking into consideration the objectives of the Plan, grant further exceptions from the forfeiture clause as per section 14 (a) above.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Change of Control</w:t>
      </w:r>
    </w:p>
    <w:p>
      <w:pPr>
        <w:spacing w:after="0" w:line="297" w:lineRule="exact"/>
        <w:rPr>
          <w:sz w:val="20"/>
          <w:szCs w:val="20"/>
          <w:color w:val="auto"/>
        </w:rPr>
      </w:pPr>
    </w:p>
    <w:p>
      <w:pPr>
        <w:ind w:left="480" w:hanging="472"/>
        <w:spacing w:after="0"/>
        <w:tabs>
          <w:tab w:leader="none" w:pos="48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301" w:lineRule="exact"/>
        <w:rPr>
          <w:rFonts w:ascii="Arial" w:cs="Arial" w:eastAsia="Arial" w:hAnsi="Arial"/>
          <w:sz w:val="18"/>
          <w:szCs w:val="18"/>
          <w:color w:val="auto"/>
        </w:rPr>
      </w:pPr>
    </w:p>
    <w:p>
      <w:pPr>
        <w:jc w:val="both"/>
        <w:ind w:left="980" w:hanging="486"/>
        <w:spacing w:after="0" w:line="287" w:lineRule="auto"/>
        <w:tabs>
          <w:tab w:leader="none" w:pos="978"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42" w:lineRule="exact"/>
        <w:rPr>
          <w:rFonts w:ascii="Arial" w:cs="Arial" w:eastAsia="Arial" w:hAnsi="Arial"/>
          <w:sz w:val="18"/>
          <w:szCs w:val="18"/>
          <w:color w:val="auto"/>
        </w:rPr>
      </w:pPr>
    </w:p>
    <w:p>
      <w:pPr>
        <w:ind w:left="980" w:right="20" w:hanging="486"/>
        <w:spacing w:after="0" w:line="293" w:lineRule="auto"/>
        <w:tabs>
          <w:tab w:leader="none" w:pos="977" w:val="left"/>
        </w:tabs>
        <w:numPr>
          <w:ilvl w:val="1"/>
          <w:numId w:val="733"/>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237" w:lineRule="exact"/>
        <w:rPr>
          <w:rFonts w:ascii="Arial" w:cs="Arial" w:eastAsia="Arial" w:hAnsi="Arial"/>
          <w:sz w:val="18"/>
          <w:szCs w:val="18"/>
          <w:color w:val="auto"/>
        </w:rPr>
      </w:pPr>
    </w:p>
    <w:p>
      <w:pPr>
        <w:jc w:val="both"/>
        <w:ind w:left="980" w:hanging="486"/>
        <w:spacing w:after="0" w:line="285" w:lineRule="auto"/>
        <w:tabs>
          <w:tab w:leader="none" w:pos="977" w:val="left"/>
        </w:tabs>
        <w:numPr>
          <w:ilvl w:val="1"/>
          <w:numId w:val="733"/>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31" w:lineRule="exact"/>
        <w:rPr>
          <w:rFonts w:ascii="Arial" w:cs="Arial" w:eastAsia="Arial" w:hAnsi="Arial"/>
          <w:sz w:val="18"/>
          <w:szCs w:val="18"/>
          <w:color w:val="auto"/>
        </w:rPr>
      </w:pPr>
    </w:p>
    <w:p>
      <w:pPr>
        <w:jc w:val="both"/>
        <w:ind w:left="980" w:hanging="486"/>
        <w:spacing w:after="0" w:line="287" w:lineRule="auto"/>
        <w:tabs>
          <w:tab w:leader="none" w:pos="973" w:val="left"/>
        </w:tabs>
        <w:numPr>
          <w:ilvl w:val="1"/>
          <w:numId w:val="733"/>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w:t>
      </w:r>
    </w:p>
    <w:p>
      <w:pPr>
        <w:sectPr>
          <w:pgSz w:w="11900" w:h="16838" w:orient="portrait"/>
          <w:cols w:equalWidth="0" w:num="1">
            <w:col w:w="11240"/>
          </w:cols>
          <w:pgMar w:left="320" w:top="180" w:right="339" w:bottom="1440" w:gutter="0" w:footer="0" w:header="0"/>
        </w:sectPr>
      </w:pPr>
    </w:p>
    <w:bookmarkStart w:id="748" w:name="page749"/>
    <w:bookmarkEnd w:id="748"/>
    <w:tbl>
      <w:tblPr>
        <w:tblLayout w:type="fixed"/>
        <w:tblInd w:w="20" w:type="dxa"/>
        <w:tblCellMar>
          <w:top w:w="0" w:type="dxa"/>
          <w:left w:w="0" w:type="dxa"/>
          <w:bottom w:w="0" w:type="dxa"/>
          <w:right w:w="0" w:type="dxa"/>
        </w:tblCellMar>
      </w:tblPr>
      <w:tr>
        <w:trPr>
          <w:trHeight w:val="187"/>
        </w:trPr>
        <w:tc>
          <w:tcPr>
            <w:tcW w:w="674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800" w:type="dxa"/>
            <w:vAlign w:val="bottom"/>
          </w:tcPr>
          <w:p>
            <w:pPr>
              <w:jc w:val="right"/>
              <w:spacing w:after="0"/>
              <w:rPr>
                <w:sz w:val="20"/>
                <w:szCs w:val="20"/>
                <w:color w:val="auto"/>
              </w:rPr>
            </w:pPr>
            <w:r>
              <w:rPr>
                <w:rFonts w:ascii="Arial" w:cs="Arial" w:eastAsia="Arial" w:hAnsi="Arial"/>
                <w:sz w:val="13"/>
                <w:szCs w:val="13"/>
                <w:color w:val="auto"/>
              </w:rPr>
              <w:t>8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spacing w:after="0" w:line="293" w:lineRule="auto"/>
        <w:rPr>
          <w:sz w:val="20"/>
          <w:szCs w:val="20"/>
          <w:color w:val="auto"/>
        </w:rPr>
      </w:pPr>
      <w:r>
        <w:rPr>
          <w:rFonts w:ascii="Arial" w:cs="Arial" w:eastAsia="Arial" w:hAnsi="Arial"/>
          <w:sz w:val="18"/>
          <w:szCs w:val="18"/>
          <w:color w:val="auto"/>
        </w:rPr>
        <w:t>transaction receive or continue to hold shares representing more than 50% of the voting rights pertaining to the total number of outstanding shares of the new or continuing entity.</w:t>
      </w:r>
    </w:p>
    <w:p>
      <w:pPr>
        <w:spacing w:after="0" w:line="224" w:lineRule="exact"/>
        <w:rPr>
          <w:sz w:val="20"/>
          <w:szCs w:val="20"/>
          <w:color w:val="auto"/>
        </w:rPr>
      </w:pPr>
    </w:p>
    <w:p>
      <w:pPr>
        <w:ind w:left="500" w:hanging="492"/>
        <w:spacing w:after="0" w:line="293" w:lineRule="auto"/>
        <w:tabs>
          <w:tab w:leader="none" w:pos="49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PSUs in respect of which the Vesting Date has not occurred by the date of the Change of Control:</w:t>
      </w:r>
    </w:p>
    <w:p>
      <w:pPr>
        <w:spacing w:after="0" w:line="237" w:lineRule="exact"/>
        <w:rPr>
          <w:rFonts w:ascii="Arial" w:cs="Arial" w:eastAsia="Arial" w:hAnsi="Arial"/>
          <w:sz w:val="18"/>
          <w:szCs w:val="18"/>
          <w:color w:val="auto"/>
        </w:rPr>
      </w:pPr>
    </w:p>
    <w:p>
      <w:pPr>
        <w:ind w:left="980" w:hanging="486"/>
        <w:spacing w:after="0"/>
        <w:tabs>
          <w:tab w:leader="none" w:pos="980" w:val="left"/>
        </w:tabs>
        <w:numPr>
          <w:ilvl w:val="1"/>
          <w:numId w:val="734"/>
        </w:numPr>
        <w:rPr>
          <w:rFonts w:ascii="Arial" w:cs="Arial" w:eastAsia="Arial" w:hAnsi="Arial"/>
          <w:sz w:val="18"/>
          <w:szCs w:val="18"/>
          <w:color w:val="auto"/>
        </w:rPr>
      </w:pPr>
      <w:r>
        <w:rPr>
          <w:rFonts w:ascii="Arial" w:cs="Arial" w:eastAsia="Arial" w:hAnsi="Arial"/>
          <w:sz w:val="18"/>
          <w:szCs w:val="18"/>
          <w:color w:val="auto"/>
        </w:rPr>
        <w:t>all PSUs will vest immediately;</w:t>
      </w:r>
    </w:p>
    <w:p>
      <w:pPr>
        <w:spacing w:after="0" w:line="292" w:lineRule="exact"/>
        <w:rPr>
          <w:rFonts w:ascii="Arial" w:cs="Arial" w:eastAsia="Arial" w:hAnsi="Arial"/>
          <w:sz w:val="18"/>
          <w:szCs w:val="18"/>
          <w:color w:val="auto"/>
        </w:rPr>
      </w:pPr>
    </w:p>
    <w:p>
      <w:pPr>
        <w:ind w:left="980" w:hanging="486"/>
        <w:spacing w:after="0" w:line="293" w:lineRule="auto"/>
        <w:tabs>
          <w:tab w:leader="none" w:pos="977" w:val="left"/>
        </w:tabs>
        <w:numPr>
          <w:ilvl w:val="1"/>
          <w:numId w:val="734"/>
        </w:numPr>
        <w:rPr>
          <w:rFonts w:ascii="Arial" w:cs="Arial" w:eastAsia="Arial" w:hAnsi="Arial"/>
          <w:sz w:val="18"/>
          <w:szCs w:val="18"/>
          <w:color w:val="auto"/>
        </w:rPr>
      </w:pPr>
      <w:r>
        <w:rPr>
          <w:rFonts w:ascii="Arial" w:cs="Arial" w:eastAsia="Arial" w:hAnsi="Arial"/>
          <w:sz w:val="18"/>
          <w:szCs w:val="18"/>
          <w:color w:val="auto"/>
        </w:rPr>
        <w:t>the Vesting Multiple with respect to each PSU allocation will be determined by the Nomination and Compensation Committee at the time of the Change of Control unless the Vesting Multiple has already been determined prior to the Change of Control; and</w:t>
      </w:r>
    </w:p>
    <w:p>
      <w:pPr>
        <w:spacing w:after="0" w:line="223" w:lineRule="exact"/>
        <w:rPr>
          <w:rFonts w:ascii="Arial" w:cs="Arial" w:eastAsia="Arial" w:hAnsi="Arial"/>
          <w:sz w:val="18"/>
          <w:szCs w:val="18"/>
          <w:color w:val="auto"/>
        </w:rPr>
      </w:pPr>
    </w:p>
    <w:p>
      <w:pPr>
        <w:ind w:left="980" w:hanging="486"/>
        <w:spacing w:after="0" w:line="293" w:lineRule="auto"/>
        <w:tabs>
          <w:tab w:leader="none" w:pos="977" w:val="left"/>
        </w:tabs>
        <w:numPr>
          <w:ilvl w:val="1"/>
          <w:numId w:val="734"/>
        </w:numPr>
        <w:rPr>
          <w:rFonts w:ascii="Arial" w:cs="Arial" w:eastAsia="Arial" w:hAnsi="Arial"/>
          <w:sz w:val="18"/>
          <w:szCs w:val="18"/>
          <w:color w:val="auto"/>
        </w:rPr>
      </w:pPr>
      <w:r>
        <w:rPr>
          <w:rFonts w:ascii="Arial" w:cs="Arial" w:eastAsia="Arial" w:hAnsi="Arial"/>
          <w:sz w:val="18"/>
          <w:szCs w:val="18"/>
          <w:color w:val="auto"/>
        </w:rPr>
        <w:t>the PSUs will be paid out in Shares, unless the Nomination and Compensation Committee resolves to repurchase or exchange PSUs or decides upon another solution to provide the Participants with the vesting value of the PSUs.</w:t>
      </w:r>
    </w:p>
    <w:p>
      <w:pPr>
        <w:spacing w:after="0" w:line="237" w:lineRule="exact"/>
        <w:rPr>
          <w:rFonts w:ascii="Arial" w:cs="Arial" w:eastAsia="Arial" w:hAnsi="Arial"/>
          <w:sz w:val="18"/>
          <w:szCs w:val="18"/>
          <w:color w:val="auto"/>
        </w:rPr>
      </w:pPr>
    </w:p>
    <w:p>
      <w:pPr>
        <w:jc w:val="both"/>
        <w:ind w:left="500" w:hanging="492"/>
        <w:spacing w:after="0" w:line="284" w:lineRule="auto"/>
        <w:tabs>
          <w:tab w:leader="none" w:pos="494" w:val="left"/>
        </w:tabs>
        <w:numPr>
          <w:ilvl w:val="0"/>
          <w:numId w:val="734"/>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46" w:lineRule="exact"/>
        <w:rPr>
          <w:rFonts w:ascii="Arial" w:cs="Arial" w:eastAsia="Arial" w:hAnsi="Arial"/>
          <w:sz w:val="18"/>
          <w:szCs w:val="18"/>
          <w:color w:val="auto"/>
        </w:rPr>
      </w:pPr>
    </w:p>
    <w:p>
      <w:pPr>
        <w:jc w:val="both"/>
        <w:ind w:left="500" w:hanging="492"/>
        <w:spacing w:after="0" w:line="285" w:lineRule="auto"/>
        <w:tabs>
          <w:tab w:leader="none" w:pos="490" w:val="left"/>
        </w:tabs>
        <w:numPr>
          <w:ilvl w:val="0"/>
          <w:numId w:val="734"/>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Corporate Events</w:t>
      </w:r>
    </w:p>
    <w:p>
      <w:pPr>
        <w:spacing w:after="0" w:line="319" w:lineRule="exact"/>
        <w:rPr>
          <w:sz w:val="20"/>
          <w:szCs w:val="20"/>
          <w:color w:val="auto"/>
        </w:rPr>
      </w:pPr>
    </w:p>
    <w:p>
      <w:pPr>
        <w:jc w:val="both"/>
        <w:ind w:left="500"/>
        <w:spacing w:after="0" w:line="283"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 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Data Protection</w:t>
      </w:r>
    </w:p>
    <w:p>
      <w:pPr>
        <w:spacing w:after="0" w:line="319" w:lineRule="exact"/>
        <w:rPr>
          <w:sz w:val="20"/>
          <w:szCs w:val="20"/>
          <w:color w:val="auto"/>
        </w:rPr>
      </w:pPr>
    </w:p>
    <w:p>
      <w:pPr>
        <w:jc w:val="both"/>
        <w:ind w:left="500" w:hanging="492"/>
        <w:spacing w:after="0" w:line="287" w:lineRule="auto"/>
        <w:tabs>
          <w:tab w:leader="none" w:pos="490" w:val="left"/>
        </w:tabs>
        <w:numPr>
          <w:ilvl w:val="0"/>
          <w:numId w:val="735"/>
        </w:numPr>
        <w:rPr>
          <w:rFonts w:ascii="Arial" w:cs="Arial" w:eastAsia="Arial" w:hAnsi="Arial"/>
          <w:sz w:val="18"/>
          <w:szCs w:val="18"/>
          <w:color w:val="auto"/>
        </w:rPr>
      </w:pPr>
      <w:r>
        <w:rPr>
          <w:rFonts w:ascii="Arial" w:cs="Arial" w:eastAsia="Arial" w:hAnsi="Arial"/>
          <w:sz w:val="18"/>
          <w:szCs w:val="18"/>
          <w:color w:val="auto"/>
        </w:rPr>
        <w:t>By accepting a grant of PSUs, each Participant consents to the collection and processing of personal data relating to the Participant in connection with such grant and the performance of this Plan and the PSU Award Agreement by the Company, the Board of Directors, the Administrator and any other person or entity the Company may find appropriate for the</w:t>
      </w:r>
    </w:p>
    <w:p>
      <w:pPr>
        <w:sectPr>
          <w:pgSz w:w="11900" w:h="16838" w:orient="portrait"/>
          <w:cols w:equalWidth="0" w:num="1">
            <w:col w:w="11240"/>
          </w:cols>
          <w:pgMar w:left="320" w:top="180" w:right="339" w:bottom="1440" w:gutter="0" w:footer="0" w:header="0"/>
        </w:sectPr>
      </w:pPr>
    </w:p>
    <w:bookmarkStart w:id="749" w:name="page750"/>
    <w:bookmarkEnd w:id="749"/>
    <w:tbl>
      <w:tblPr>
        <w:tblLayout w:type="fixed"/>
        <w:tblInd w:w="20" w:type="dxa"/>
        <w:tblCellMar>
          <w:top w:w="0" w:type="dxa"/>
          <w:left w:w="0" w:type="dxa"/>
          <w:bottom w:w="0" w:type="dxa"/>
          <w:right w:w="0" w:type="dxa"/>
        </w:tblCellMar>
      </w:tblPr>
      <w:tr>
        <w:trPr>
          <w:trHeight w:val="187"/>
        </w:trPr>
        <w:tc>
          <w:tcPr>
            <w:tcW w:w="674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800" w:type="dxa"/>
            <w:vAlign w:val="bottom"/>
          </w:tcPr>
          <w:p>
            <w:pPr>
              <w:jc w:val="right"/>
              <w:spacing w:after="0"/>
              <w:rPr>
                <w:sz w:val="20"/>
                <w:szCs w:val="20"/>
                <w:color w:val="auto"/>
              </w:rPr>
            </w:pPr>
            <w:r>
              <w:rPr>
                <w:rFonts w:ascii="Arial" w:cs="Arial" w:eastAsia="Arial" w:hAnsi="Arial"/>
                <w:sz w:val="13"/>
                <w:szCs w:val="13"/>
                <w:color w:val="auto"/>
              </w:rPr>
              <w:t>9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500"/>
        <w:spacing w:after="0" w:line="285" w:lineRule="auto"/>
        <w:rPr>
          <w:sz w:val="20"/>
          <w:szCs w:val="20"/>
          <w:color w:val="auto"/>
        </w:rPr>
      </w:pPr>
      <w:r>
        <w:rPr>
          <w:rFonts w:ascii="Arial" w:cs="Arial" w:eastAsia="Arial" w:hAnsi="Arial"/>
          <w:sz w:val="18"/>
          <w:szCs w:val="18"/>
          <w:color w:val="auto"/>
        </w:rPr>
        <w:t>administration of the Plan. The data may be used for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spacing w:after="0" w:line="232" w:lineRule="exact"/>
        <w:rPr>
          <w:sz w:val="20"/>
          <w:szCs w:val="20"/>
          <w:color w:val="auto"/>
        </w:rPr>
      </w:pPr>
    </w:p>
    <w:p>
      <w:pPr>
        <w:jc w:val="both"/>
        <w:ind w:left="500" w:hanging="492"/>
        <w:spacing w:after="0" w:line="285" w:lineRule="auto"/>
        <w:tabs>
          <w:tab w:leader="none" w:pos="490" w:val="left"/>
        </w:tabs>
        <w:numPr>
          <w:ilvl w:val="0"/>
          <w:numId w:val="736"/>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Legal and regulatory restrictions</w:t>
      </w:r>
    </w:p>
    <w:p>
      <w:pPr>
        <w:spacing w:after="0" w:line="319" w:lineRule="exact"/>
        <w:rPr>
          <w:sz w:val="20"/>
          <w:szCs w:val="20"/>
          <w:color w:val="auto"/>
        </w:rPr>
      </w:pPr>
    </w:p>
    <w:p>
      <w:pPr>
        <w:ind w:left="500" w:hanging="492"/>
        <w:spacing w:after="0" w:line="293" w:lineRule="auto"/>
        <w:tabs>
          <w:tab w:leader="none" w:pos="49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Neither the Shares nor the PSU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500" w:hanging="492"/>
        <w:spacing w:after="0" w:line="281" w:lineRule="auto"/>
        <w:tabs>
          <w:tab w:leader="none" w:pos="49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w:t>
      </w:r>
    </w:p>
    <w:p>
      <w:pPr>
        <w:spacing w:after="0" w:line="3" w:lineRule="exact"/>
        <w:rPr>
          <w:rFonts w:ascii="Arial" w:cs="Arial" w:eastAsia="Arial" w:hAnsi="Arial"/>
          <w:sz w:val="18"/>
          <w:szCs w:val="18"/>
          <w:color w:val="auto"/>
        </w:rPr>
      </w:pPr>
    </w:p>
    <w:p>
      <w:pPr>
        <w:jc w:val="both"/>
        <w:ind w:left="500"/>
        <w:spacing w:after="0" w:line="285" w:lineRule="auto"/>
        <w:rPr>
          <w:rFonts w:ascii="Arial" w:cs="Arial" w:eastAsia="Arial" w:hAnsi="Arial"/>
          <w:sz w:val="18"/>
          <w:szCs w:val="18"/>
          <w:color w:val="auto"/>
        </w:rPr>
      </w:pPr>
      <w:r>
        <w:rPr>
          <w:rFonts w:ascii="Arial" w:cs="Arial" w:eastAsia="Arial" w:hAnsi="Arial"/>
          <w:sz w:val="18"/>
          <w:szCs w:val="18"/>
          <w:color w:val="auto"/>
        </w:rPr>
        <w:t>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 its own discretion whether and how to compensate the relevant persons in lieu of such grant, delivery or extension.</w:t>
      </w:r>
    </w:p>
    <w:p>
      <w:pPr>
        <w:spacing w:after="0" w:line="231" w:lineRule="exact"/>
        <w:rPr>
          <w:rFonts w:ascii="Arial" w:cs="Arial" w:eastAsia="Arial" w:hAnsi="Arial"/>
          <w:sz w:val="18"/>
          <w:szCs w:val="18"/>
          <w:color w:val="auto"/>
        </w:rPr>
      </w:pPr>
    </w:p>
    <w:p>
      <w:pPr>
        <w:ind w:left="500" w:hanging="492"/>
        <w:spacing w:after="0" w:line="293" w:lineRule="auto"/>
        <w:tabs>
          <w:tab w:leader="none" w:pos="494" w:val="left"/>
        </w:tabs>
        <w:numPr>
          <w:ilvl w:val="0"/>
          <w:numId w:val="737"/>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PSUs and any shares granted thereunder.</w:t>
      </w:r>
    </w:p>
    <w:p>
      <w:pPr>
        <w:spacing w:after="0" w:line="237" w:lineRule="exact"/>
        <w:rPr>
          <w:rFonts w:ascii="Arial" w:cs="Arial" w:eastAsia="Arial" w:hAnsi="Arial"/>
          <w:sz w:val="18"/>
          <w:szCs w:val="18"/>
          <w:color w:val="auto"/>
        </w:rPr>
      </w:pPr>
    </w:p>
    <w:p>
      <w:pPr>
        <w:ind w:left="500" w:hanging="492"/>
        <w:spacing w:after="0" w:line="293" w:lineRule="auto"/>
        <w:tabs>
          <w:tab w:leader="none" w:pos="49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Any grant of PSUs to members of the Management Team that qualifies as prohibited payment under the Compensation Ordinance or otherwise, shall be null and void.</w:t>
      </w:r>
    </w:p>
    <w:p>
      <w:pPr>
        <w:spacing w:after="0" w:line="237" w:lineRule="exact"/>
        <w:rPr>
          <w:rFonts w:ascii="Arial" w:cs="Arial" w:eastAsia="Arial" w:hAnsi="Arial"/>
          <w:sz w:val="18"/>
          <w:szCs w:val="18"/>
          <w:color w:val="auto"/>
        </w:rPr>
      </w:pPr>
    </w:p>
    <w:p>
      <w:pPr>
        <w:jc w:val="both"/>
        <w:ind w:left="500" w:hanging="492"/>
        <w:spacing w:after="0" w:line="285" w:lineRule="auto"/>
        <w:tabs>
          <w:tab w:leader="none" w:pos="490" w:val="left"/>
        </w:tabs>
        <w:numPr>
          <w:ilvl w:val="0"/>
          <w:numId w:val="737"/>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case of termination of employment or Change of Control should, at the time of the relevant event, qualify as providing additional value to a member of the Management Team in a manner that would violate the Compensation Ordinance or other legal provisions, such additional value shall be otherwise compensated, e.g. by a relevant deduction from cash compensation or other proceeds.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Amendment and Termination</w:t>
      </w:r>
    </w:p>
    <w:p>
      <w:pPr>
        <w:spacing w:after="0" w:line="319" w:lineRule="exact"/>
        <w:rPr>
          <w:sz w:val="20"/>
          <w:szCs w:val="20"/>
          <w:color w:val="auto"/>
        </w:rPr>
      </w:pPr>
    </w:p>
    <w:p>
      <w:pPr>
        <w:ind w:left="500"/>
        <w:spacing w:after="0" w:line="293"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PSU grants. Any adverse economic</w:t>
      </w:r>
    </w:p>
    <w:p>
      <w:pPr>
        <w:sectPr>
          <w:pgSz w:w="11900" w:h="16838" w:orient="portrait"/>
          <w:cols w:equalWidth="0" w:num="1">
            <w:col w:w="11240"/>
          </w:cols>
          <w:pgMar w:left="320" w:top="180" w:right="339" w:bottom="1440" w:gutter="0" w:footer="0" w:header="0"/>
        </w:sectPr>
      </w:pPr>
    </w:p>
    <w:bookmarkStart w:id="750" w:name="page751"/>
    <w:bookmarkEnd w:id="750"/>
    <w:tbl>
      <w:tblPr>
        <w:tblLayout w:type="fixed"/>
        <w:tblInd w:w="20" w:type="dxa"/>
        <w:tblCellMar>
          <w:top w:w="0" w:type="dxa"/>
          <w:left w:w="0" w:type="dxa"/>
          <w:bottom w:w="0" w:type="dxa"/>
          <w:right w:w="0" w:type="dxa"/>
        </w:tblCellMar>
      </w:tblPr>
      <w:tr>
        <w:trPr>
          <w:trHeight w:val="187"/>
        </w:trPr>
        <w:tc>
          <w:tcPr>
            <w:tcW w:w="672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820" w:type="dxa"/>
            <w:vAlign w:val="bottom"/>
          </w:tcPr>
          <w:p>
            <w:pPr>
              <w:jc w:val="right"/>
              <w:spacing w:after="0"/>
              <w:rPr>
                <w:sz w:val="20"/>
                <w:szCs w:val="20"/>
                <w:color w:val="auto"/>
              </w:rPr>
            </w:pPr>
            <w:r>
              <w:rPr>
                <w:rFonts w:ascii="Arial" w:cs="Arial" w:eastAsia="Arial" w:hAnsi="Arial"/>
                <w:sz w:val="13"/>
                <w:szCs w:val="13"/>
                <w:color w:val="auto"/>
              </w:rPr>
              <w:t>10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500"/>
        <w:spacing w:after="0" w:line="293" w:lineRule="auto"/>
        <w:rPr>
          <w:sz w:val="20"/>
          <w:szCs w:val="20"/>
          <w:color w:val="auto"/>
        </w:rPr>
      </w:pPr>
      <w:r>
        <w:rPr>
          <w:rFonts w:ascii="Arial" w:cs="Arial" w:eastAsia="Arial" w:hAnsi="Arial"/>
          <w:sz w:val="18"/>
          <w:szCs w:val="18"/>
          <w:color w:val="auto"/>
        </w:rPr>
        <w:t>effects of such termination, suspension or amendment on grants already made pursuant to a PSU Agreement shall be fairly compensated in cash, by adjustment of other terms of the grant, by replacement by other grants or benefits,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Severability</w:t>
      </w:r>
    </w:p>
    <w:p>
      <w:pPr>
        <w:spacing w:after="0" w:line="31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Governing Law and Jurisdiction</w:t>
      </w:r>
    </w:p>
    <w:p>
      <w:pPr>
        <w:spacing w:after="0" w:line="319" w:lineRule="exact"/>
        <w:rPr>
          <w:sz w:val="20"/>
          <w:szCs w:val="20"/>
          <w:color w:val="auto"/>
        </w:rPr>
      </w:pPr>
    </w:p>
    <w:p>
      <w:pPr>
        <w:ind w:left="500" w:right="20" w:hanging="492"/>
        <w:spacing w:after="0" w:line="293" w:lineRule="auto"/>
        <w:tabs>
          <w:tab w:leader="none" w:pos="49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This Plan and any PSU Award Agreement shall be governed by, and construed in accordance with, the substantive laws of Switzerland.</w:t>
      </w:r>
    </w:p>
    <w:p>
      <w:pPr>
        <w:spacing w:after="0" w:line="237" w:lineRule="exact"/>
        <w:rPr>
          <w:rFonts w:ascii="Arial" w:cs="Arial" w:eastAsia="Arial" w:hAnsi="Arial"/>
          <w:sz w:val="18"/>
          <w:szCs w:val="18"/>
          <w:color w:val="auto"/>
        </w:rPr>
      </w:pPr>
    </w:p>
    <w:p>
      <w:pPr>
        <w:jc w:val="both"/>
        <w:ind w:left="500" w:hanging="492"/>
        <w:spacing w:after="0" w:line="287" w:lineRule="auto"/>
        <w:tabs>
          <w:tab w:leader="none" w:pos="49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  Entry into Force</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per approval of the Board of Directors, this Plan shall enter into force as of March 14, 2018.</w:t>
      </w:r>
    </w:p>
    <w:p>
      <w:pPr>
        <w:sectPr>
          <w:pgSz w:w="11900" w:h="16838" w:orient="portrait"/>
          <w:cols w:equalWidth="0" w:num="1">
            <w:col w:w="11240"/>
          </w:cols>
          <w:pgMar w:left="320" w:top="180" w:right="339" w:bottom="1440" w:gutter="0" w:footer="0" w:header="0"/>
        </w:sectPr>
      </w:pPr>
    </w:p>
    <w:bookmarkStart w:id="751" w:name="page752"/>
    <w:bookmarkEnd w:id="751"/>
    <w:p>
      <w:pPr>
        <w:spacing w:after="0"/>
        <w:rPr>
          <w:sz w:val="20"/>
          <w:szCs w:val="20"/>
          <w:color w:val="auto"/>
        </w:rPr>
      </w:pPr>
      <w:r>
        <w:rPr>
          <w:rFonts w:ascii="Arial" w:cs="Arial" w:eastAsia="Arial" w:hAnsi="Arial"/>
          <w:sz w:val="14"/>
          <w:szCs w:val="14"/>
          <w:color w:val="auto"/>
        </w:rPr>
        <w:t>Molecular Partners AG: Performance Share Plan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Goal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shall mean all Group Companies.</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LTI Score Card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Management Team </w:t>
      </w:r>
      <w:r>
        <w:rPr>
          <w:rFonts w:ascii="Arial" w:cs="Arial" w:eastAsia="Arial" w:hAnsi="Arial"/>
          <w:sz w:val="18"/>
          <w:szCs w:val="18"/>
          <w:color w:val="auto"/>
        </w:rPr>
        <w:t>shall mean the members of the top level executive management, i.e. those managers whose compensation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Ordinance.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PSUs through a PSU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Multiple </w:t>
      </w:r>
      <w:r>
        <w:rPr>
          <w:rFonts w:ascii="Arial" w:cs="Arial" w:eastAsia="Arial" w:hAnsi="Arial"/>
          <w:sz w:val="18"/>
          <w:szCs w:val="18"/>
          <w:color w:val="auto"/>
        </w:rPr>
        <w:t>shall be the multiple determined in accordance with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40"/>
          </w:cols>
          <w:pgMar w:left="320" w:top="158" w:right="339" w:bottom="1440" w:gutter="0" w:footer="0" w:header="0"/>
        </w:sectPr>
      </w:pPr>
    </w:p>
    <w:bookmarkStart w:id="752" w:name="page753"/>
    <w:bookmarkEnd w:id="752"/>
    <w:p>
      <w:pPr>
        <w:spacing w:after="0"/>
        <w:rPr>
          <w:sz w:val="20"/>
          <w:szCs w:val="20"/>
          <w:color w:val="auto"/>
        </w:rPr>
      </w:pPr>
      <w:r>
        <w:rPr>
          <w:rFonts w:ascii="Arial" w:cs="Arial" w:eastAsia="Arial" w:hAnsi="Arial"/>
          <w:sz w:val="14"/>
          <w:szCs w:val="14"/>
          <w:color w:val="auto"/>
        </w:rPr>
        <w:t>Molecular Partners AG: Performance Share Plan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PSU Award Agreement 2018</w:t>
      </w:r>
    </w:p>
    <w:p>
      <w:pPr>
        <w:spacing w:after="0" w:line="22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Performance Share Plan 2018 (the </w:t>
      </w:r>
      <w:r>
        <w:rPr>
          <w:rFonts w:ascii="Arial" w:cs="Arial" w:eastAsia="Arial" w:hAnsi="Arial"/>
          <w:sz w:val="18"/>
          <w:szCs w:val="18"/>
          <w:b w:val="1"/>
          <w:bCs w:val="1"/>
          <w:color w:val="auto"/>
        </w:rPr>
        <w:t>PSU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PSU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PSU Plan, the Company hereby grants to you the following PSUs:</w:t>
      </w:r>
    </w:p>
    <w:p>
      <w:pPr>
        <w:spacing w:after="0" w:line="293" w:lineRule="exact"/>
        <w:rPr>
          <w:sz w:val="20"/>
          <w:szCs w:val="20"/>
          <w:color w:val="auto"/>
        </w:rPr>
      </w:pPr>
    </w:p>
    <w:tbl>
      <w:tblPr>
        <w:tblLayout w:type="fixed"/>
        <w:tblInd w:w="360" w:type="dxa"/>
        <w:tblCellMar>
          <w:top w:w="0" w:type="dxa"/>
          <w:left w:w="0" w:type="dxa"/>
          <w:bottom w:w="0" w:type="dxa"/>
          <w:right w:w="0" w:type="dxa"/>
        </w:tblCellMar>
      </w:tblPr>
      <w:tr>
        <w:trPr>
          <w:trHeight w:val="338"/>
        </w:trPr>
        <w:tc>
          <w:tcPr>
            <w:tcW w:w="3500" w:type="dxa"/>
            <w:vAlign w:val="bottom"/>
          </w:tcPr>
          <w:p>
            <w:pPr>
              <w:spacing w:after="0"/>
              <w:rPr>
                <w:sz w:val="20"/>
                <w:szCs w:val="20"/>
                <w:color w:val="auto"/>
              </w:rPr>
            </w:pPr>
            <w:r>
              <w:rPr>
                <w:rFonts w:ascii="Arial" w:cs="Arial" w:eastAsia="Arial" w:hAnsi="Arial"/>
                <w:sz w:val="18"/>
                <w:szCs w:val="18"/>
                <w:b w:val="1"/>
                <w:bCs w:val="1"/>
                <w:color w:val="auto"/>
              </w:rPr>
              <w:t>Number of PSUs</w:t>
            </w:r>
          </w:p>
        </w:tc>
        <w:tc>
          <w:tcPr>
            <w:tcW w:w="650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highlight w:val="lightGray"/>
              </w:rPr>
              <w:t>[■]</w:t>
            </w:r>
          </w:p>
        </w:tc>
      </w:tr>
      <w:tr>
        <w:trPr>
          <w:trHeight w:val="634"/>
        </w:trPr>
        <w:tc>
          <w:tcPr>
            <w:tcW w:w="350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650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highlight w:val="lightGray"/>
              </w:rPr>
              <w:t>[■]</w:t>
            </w:r>
          </w:p>
        </w:tc>
      </w:tr>
      <w:tr>
        <w:trPr>
          <w:trHeight w:val="635"/>
        </w:trPr>
        <w:tc>
          <w:tcPr>
            <w:tcW w:w="350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6500" w:type="dxa"/>
            <w:vAlign w:val="bottom"/>
            <w:shd w:val="clear" w:color="auto" w:fill="DBDBDB"/>
          </w:tcPr>
          <w:p>
            <w:pPr>
              <w:ind w:left="40"/>
              <w:spacing w:after="0"/>
              <w:rPr>
                <w:sz w:val="20"/>
                <w:szCs w:val="20"/>
                <w:color w:val="auto"/>
              </w:rPr>
            </w:pPr>
            <w:r>
              <w:rPr>
                <w:rFonts w:ascii="Arial" w:cs="Arial" w:eastAsia="Arial" w:hAnsi="Arial"/>
                <w:sz w:val="18"/>
                <w:szCs w:val="18"/>
                <w:b w:val="1"/>
                <w:bCs w:val="1"/>
                <w:color w:val="auto"/>
                <w:highlight w:val="lightGray"/>
              </w:rPr>
              <w:t>[■]</w:t>
            </w:r>
          </w:p>
        </w:tc>
      </w:tr>
      <w:tr>
        <w:trPr>
          <w:trHeight w:val="40"/>
        </w:trPr>
        <w:tc>
          <w:tcPr>
            <w:tcW w:w="3500" w:type="dxa"/>
            <w:vAlign w:val="bottom"/>
          </w:tcPr>
          <w:p>
            <w:pPr>
              <w:spacing w:after="0"/>
              <w:rPr>
                <w:sz w:val="3"/>
                <w:szCs w:val="3"/>
                <w:color w:val="auto"/>
              </w:rPr>
            </w:pPr>
          </w:p>
        </w:tc>
        <w:tc>
          <w:tcPr>
            <w:tcW w:w="6500" w:type="dxa"/>
            <w:vAlign w:val="bottom"/>
            <w:shd w:val="clear" w:color="auto" w:fill="DBDBDB"/>
          </w:tcPr>
          <w:p>
            <w:pPr>
              <w:spacing w:after="0"/>
              <w:rPr>
                <w:sz w:val="3"/>
                <w:szCs w:val="3"/>
                <w:color w:val="auto"/>
              </w:rPr>
            </w:pPr>
          </w:p>
        </w:tc>
      </w:tr>
    </w:tbl>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corporate goals relevant for this award ([communicated to you separately] | [</w:t>
      </w:r>
      <w:r>
        <w:rPr>
          <w:rFonts w:ascii="Arial" w:cs="Arial" w:eastAsia="Arial" w:hAnsi="Arial"/>
          <w:sz w:val="18"/>
          <w:szCs w:val="18"/>
          <w:u w:val="single" w:color="auto"/>
          <w:color w:val="auto"/>
        </w:rPr>
        <w:t>attached hereto]</w:t>
      </w:r>
      <w:r>
        <w:rPr>
          <w:rFonts w:ascii="Arial" w:cs="Arial" w:eastAsia="Arial" w:hAnsi="Arial"/>
          <w:sz w:val="18"/>
          <w:szCs w:val="18"/>
          <w:color w:val="auto"/>
        </w:rPr>
        <w:t>). Please note that the PSU Plan includes a number of restrictions and conditions, which may lead to a complete loss of any entitlements hereunder. [Any grants made to members of the Management Team shall be subject to the approval of relevant compensation amounts for the Management Team by the shareholders' meeting for the year 2018.]</w:t>
      </w:r>
    </w:p>
    <w:p>
      <w:pPr>
        <w:spacing w:after="0" w:line="2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PSUs in accordance with this Agreement and the PSU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Molecular Partners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45859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4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 by the Participant on (</w:t>
      </w:r>
      <w:r>
        <w:rPr>
          <w:rFonts w:ascii="Arial" w:cs="Arial" w:eastAsia="Arial" w:hAnsi="Arial"/>
          <w:sz w:val="16"/>
          <w:szCs w:val="16"/>
          <w:color w:val="auto"/>
        </w:rPr>
        <w:t>Date, 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6350</wp:posOffset>
            </wp:positionV>
            <wp:extent cx="18942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753" w:name="page754"/>
    <w:bookmarkEnd w:id="753"/>
    <w:tbl>
      <w:tblPr>
        <w:tblLayout w:type="fixed"/>
        <w:tblInd w:w="20" w:type="dxa"/>
        <w:tblCellMar>
          <w:top w:w="0" w:type="dxa"/>
          <w:left w:w="0" w:type="dxa"/>
          <w:bottom w:w="0" w:type="dxa"/>
          <w:right w:w="0" w:type="dxa"/>
        </w:tblCellMar>
      </w:tblPr>
      <w:tr>
        <w:trPr>
          <w:trHeight w:val="187"/>
        </w:trPr>
        <w:tc>
          <w:tcPr>
            <w:tcW w:w="6780" w:type="dxa"/>
            <w:vAlign w:val="bottom"/>
          </w:tcPr>
          <w:p>
            <w:pPr>
              <w:spacing w:after="0"/>
              <w:rPr>
                <w:sz w:val="20"/>
                <w:szCs w:val="20"/>
                <w:color w:val="auto"/>
              </w:rPr>
            </w:pPr>
            <w:r>
              <w:rPr>
                <w:rFonts w:ascii="Arial" w:cs="Arial" w:eastAsia="Arial" w:hAnsi="Arial"/>
                <w:sz w:val="13"/>
                <w:szCs w:val="13"/>
                <w:color w:val="auto"/>
              </w:rPr>
              <w:t>Molecular Partners AG: Performance Share Plan 2018</w:t>
            </w:r>
          </w:p>
        </w:tc>
        <w:tc>
          <w:tcPr>
            <w:tcW w:w="3760" w:type="dxa"/>
            <w:vAlign w:val="bottom"/>
          </w:tcPr>
          <w:p>
            <w:pPr>
              <w:jc w:val="right"/>
              <w:spacing w:after="0"/>
              <w:rPr>
                <w:sz w:val="20"/>
                <w:szCs w:val="20"/>
                <w:color w:val="auto"/>
              </w:rPr>
            </w:pPr>
            <w:r>
              <w:rPr>
                <w:rFonts w:ascii="Arial" w:cs="Arial" w:eastAsia="Arial" w:hAnsi="Arial"/>
                <w:sz w:val="13"/>
                <w:szCs w:val="13"/>
                <w:color w:val="auto"/>
              </w:rPr>
              <w:t>2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to the PSU Award Agreement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 Plan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 Score Card [for [</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560"/>
          </w:cols>
          <w:pgMar w:left="320" w:top="180" w:right="1019" w:bottom="1440" w:gutter="0" w:footer="0" w:header="0"/>
        </w:sectPr>
      </w:pPr>
    </w:p>
    <w:bookmarkStart w:id="754" w:name="page755"/>
    <w:bookmarkEnd w:id="754"/>
    <w:p>
      <w:pPr>
        <w:spacing w:after="0"/>
        <w:tabs>
          <w:tab w:leader="none" w:pos="10220" w:val="left"/>
        </w:tabs>
        <w:rPr>
          <w:sz w:val="20"/>
          <w:szCs w:val="20"/>
          <w:color w:val="auto"/>
        </w:rPr>
      </w:pPr>
      <w:r>
        <w:rPr>
          <w:rFonts w:ascii="Arial" w:cs="Arial" w:eastAsia="Arial" w:hAnsi="Arial"/>
          <w:sz w:val="13"/>
          <w:szCs w:val="13"/>
          <w:color w:val="auto"/>
        </w:rPr>
        <w:t>Molecular Partners AG: Performance Share Plan 2019</w:t>
      </w:r>
      <w:r>
        <w:rPr>
          <w:sz w:val="20"/>
          <w:szCs w:val="20"/>
          <w:color w:val="auto"/>
        </w:rPr>
        <w:tab/>
      </w:r>
      <w:r>
        <w:rPr>
          <w:rFonts w:ascii="Arial" w:cs="Arial" w:eastAsia="Arial" w:hAnsi="Arial"/>
          <w:sz w:val="25"/>
          <w:szCs w:val="25"/>
          <w:b w:val="1"/>
          <w:bCs w:val="1"/>
          <w:color w:val="auto"/>
          <w:vertAlign w:val="subscript"/>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Plan 2019</w:t>
      </w:r>
    </w:p>
    <w:p>
      <w:pPr>
        <w:sectPr>
          <w:pgSz w:w="11900" w:h="16838" w:orient="portrait"/>
          <w:cols w:equalWidth="0" w:num="1">
            <w:col w:w="11180"/>
          </w:cols>
          <w:pgMar w:left="340" w:top="0" w:right="379" w:bottom="1440" w:gutter="0" w:footer="0" w:header="0"/>
        </w:sectPr>
      </w:pPr>
    </w:p>
    <w:bookmarkStart w:id="755" w:name="page756"/>
    <w:bookmarkEnd w:id="755"/>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20" w:type="dxa"/>
            <w:vAlign w:val="bottom"/>
          </w:tcPr>
          <w:p>
            <w:pPr>
              <w:jc w:val="right"/>
              <w:spacing w:after="0"/>
              <w:rPr>
                <w:sz w:val="20"/>
                <w:szCs w:val="20"/>
                <w:color w:val="auto"/>
              </w:rPr>
            </w:pPr>
            <w:r>
              <w:rPr>
                <w:rFonts w:ascii="Arial" w:cs="Arial" w:eastAsia="Arial" w:hAnsi="Arial"/>
                <w:sz w:val="13"/>
                <w:szCs w:val="13"/>
                <w:color w:val="auto"/>
              </w:rPr>
              <w:t>2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60" w:type="dxa"/>
            <w:vAlign w:val="bottom"/>
            <w:gridSpan w:val="3"/>
          </w:tcPr>
          <w:p>
            <w:pPr>
              <w:spacing w:after="0"/>
              <w:rPr>
                <w:sz w:val="20"/>
                <w:szCs w:val="20"/>
                <w:color w:val="auto"/>
              </w:rPr>
            </w:pPr>
            <w:r>
              <w:rPr>
                <w:rFonts w:ascii="Arial" w:cs="Arial" w:eastAsia="Arial" w:hAnsi="Arial"/>
                <w:sz w:val="18"/>
                <w:szCs w:val="18"/>
                <w:color w:val="auto"/>
              </w:rPr>
              <w:t>Performance Share Plan 2018</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3</w:t>
              </w:r>
            </w:hyperlink>
          </w:p>
        </w:tc>
        <w:tc>
          <w:tcPr>
            <w:tcW w:w="100" w:type="dxa"/>
            <w:vAlign w:val="bottom"/>
          </w:tcPr>
          <w:p>
            <w:pPr>
              <w:spacing w:after="0"/>
              <w:rPr>
                <w:sz w:val="17"/>
                <w:szCs w:val="17"/>
                <w:color w:val="auto"/>
              </w:rPr>
            </w:pPr>
          </w:p>
        </w:tc>
      </w:tr>
      <w:tr>
        <w:trPr>
          <w:trHeight w:val="533"/>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Purpose</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3</w:t>
              </w:r>
            </w:hyperlink>
          </w:p>
        </w:tc>
        <w:tc>
          <w:tcPr>
            <w:tcW w:w="100" w:type="dxa"/>
            <w:vAlign w:val="bottom"/>
          </w:tcPr>
          <w:p>
            <w:pPr>
              <w:spacing w:after="0"/>
              <w:rPr>
                <w:sz w:val="24"/>
                <w:szCs w:val="24"/>
                <w:color w:val="auto"/>
              </w:rPr>
            </w:pPr>
          </w:p>
        </w:tc>
      </w:tr>
      <w:tr>
        <w:trPr>
          <w:trHeight w:val="533"/>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3</w:t>
              </w:r>
            </w:hyperlink>
          </w:p>
        </w:tc>
        <w:tc>
          <w:tcPr>
            <w:tcW w:w="100" w:type="dxa"/>
            <w:vAlign w:val="bottom"/>
          </w:tcPr>
          <w:p>
            <w:pPr>
              <w:spacing w:after="0"/>
              <w:rPr>
                <w:sz w:val="24"/>
                <w:szCs w:val="24"/>
                <w:color w:val="auto"/>
              </w:rPr>
            </w:pPr>
          </w:p>
        </w:tc>
      </w:tr>
      <w:tr>
        <w:trPr>
          <w:trHeight w:val="533"/>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Responsibilities and Administration</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3</w:t>
              </w:r>
            </w:hyperlink>
          </w:p>
        </w:tc>
        <w:tc>
          <w:tcPr>
            <w:tcW w:w="100" w:type="dxa"/>
            <w:vAlign w:val="bottom"/>
          </w:tcPr>
          <w:p>
            <w:pPr>
              <w:spacing w:after="0"/>
              <w:rPr>
                <w:sz w:val="24"/>
                <w:szCs w:val="24"/>
                <w:color w:val="auto"/>
              </w:rPr>
            </w:pPr>
          </w:p>
        </w:tc>
      </w:tr>
      <w:tr>
        <w:trPr>
          <w:trHeight w:val="534"/>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Eligibility and Participation</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4</w:t>
              </w:r>
            </w:hyperlink>
          </w:p>
        </w:tc>
        <w:tc>
          <w:tcPr>
            <w:tcW w:w="100" w:type="dxa"/>
            <w:vAlign w:val="bottom"/>
          </w:tcPr>
          <w:p>
            <w:pPr>
              <w:spacing w:after="0"/>
              <w:rPr>
                <w:sz w:val="24"/>
                <w:szCs w:val="24"/>
                <w:color w:val="auto"/>
              </w:rPr>
            </w:pPr>
          </w:p>
        </w:tc>
      </w:tr>
      <w:tr>
        <w:trPr>
          <w:trHeight w:val="533"/>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Grant of PSUs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4</w:t>
              </w:r>
            </w:hyperlink>
          </w:p>
        </w:tc>
        <w:tc>
          <w:tcPr>
            <w:tcW w:w="100" w:type="dxa"/>
            <w:vAlign w:val="bottom"/>
          </w:tcPr>
          <w:p>
            <w:pPr>
              <w:spacing w:after="0"/>
              <w:rPr>
                <w:sz w:val="24"/>
                <w:szCs w:val="24"/>
                <w:color w:val="auto"/>
              </w:rPr>
            </w:pPr>
          </w:p>
        </w:tc>
      </w:tr>
      <w:tr>
        <w:trPr>
          <w:trHeight w:val="533"/>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No Securities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5</w:t>
              </w:r>
            </w:hyperlink>
          </w:p>
        </w:tc>
        <w:tc>
          <w:tcPr>
            <w:tcW w:w="100" w:type="dxa"/>
            <w:vAlign w:val="bottom"/>
          </w:tcPr>
          <w:p>
            <w:pPr>
              <w:spacing w:after="0"/>
              <w:rPr>
                <w:sz w:val="24"/>
                <w:szCs w:val="24"/>
                <w:color w:val="auto"/>
              </w:rPr>
            </w:pPr>
          </w:p>
        </w:tc>
      </w:tr>
      <w:tr>
        <w:trPr>
          <w:trHeight w:val="533"/>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No Transfer</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5</w:t>
              </w:r>
            </w:hyperlink>
          </w:p>
        </w:tc>
        <w:tc>
          <w:tcPr>
            <w:tcW w:w="100" w:type="dxa"/>
            <w:vAlign w:val="bottom"/>
          </w:tcPr>
          <w:p>
            <w:pPr>
              <w:spacing w:after="0"/>
              <w:rPr>
                <w:sz w:val="24"/>
                <w:szCs w:val="24"/>
                <w:color w:val="auto"/>
              </w:rPr>
            </w:pPr>
          </w:p>
        </w:tc>
      </w:tr>
      <w:tr>
        <w:trPr>
          <w:trHeight w:val="533"/>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10000" w:type="dxa"/>
            <w:vAlign w:val="bottom"/>
            <w:gridSpan w:val="2"/>
          </w:tcPr>
          <w:p>
            <w:pPr>
              <w:ind w:left="100"/>
              <w:spacing w:after="0"/>
              <w:rPr>
                <w:sz w:val="20"/>
                <w:szCs w:val="20"/>
                <w:color w:val="auto"/>
              </w:rPr>
            </w:pPr>
            <w:r>
              <w:rPr>
                <w:rFonts w:ascii="Arial" w:cs="Arial" w:eastAsia="Arial" w:hAnsi="Arial"/>
                <w:sz w:val="18"/>
                <w:szCs w:val="18"/>
                <w:color w:val="auto"/>
              </w:rPr>
              <w:t>Vesting and Delivery of Shares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5</w:t>
              </w:r>
            </w:hyperlink>
          </w:p>
        </w:tc>
        <w:tc>
          <w:tcPr>
            <w:tcW w:w="100" w:type="dxa"/>
            <w:vAlign w:val="bottom"/>
          </w:tcPr>
          <w:p>
            <w:pPr>
              <w:spacing w:after="0"/>
              <w:rPr>
                <w:sz w:val="24"/>
                <w:szCs w:val="24"/>
                <w:color w:val="auto"/>
              </w:rPr>
            </w:pPr>
          </w:p>
        </w:tc>
      </w:tr>
      <w:tr>
        <w:trPr>
          <w:trHeight w:val="534"/>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Underlying Shares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5</w:t>
              </w:r>
            </w:hyperlink>
          </w:p>
        </w:tc>
        <w:tc>
          <w:tcPr>
            <w:tcW w:w="100" w:type="dxa"/>
            <w:vAlign w:val="bottom"/>
          </w:tcPr>
          <w:p>
            <w:pPr>
              <w:spacing w:after="0"/>
              <w:rPr>
                <w:sz w:val="24"/>
                <w:szCs w:val="24"/>
                <w:color w:val="auto"/>
              </w:rPr>
            </w:pPr>
          </w:p>
        </w:tc>
      </w:tr>
      <w:tr>
        <w:trPr>
          <w:trHeight w:val="533"/>
        </w:trPr>
        <w:tc>
          <w:tcPr>
            <w:tcW w:w="300" w:type="dxa"/>
            <w:vAlign w:val="bottom"/>
            <w:gridSpan w:val="2"/>
          </w:tcPr>
          <w:p>
            <w:pPr>
              <w:spacing w:after="0"/>
              <w:rPr>
                <w:sz w:val="20"/>
                <w:szCs w:val="20"/>
                <w:color w:val="auto"/>
              </w:rPr>
            </w:pPr>
            <w:r>
              <w:rPr>
                <w:rFonts w:ascii="Arial" w:cs="Arial" w:eastAsia="Arial" w:hAnsi="Arial"/>
                <w:sz w:val="18"/>
                <w:szCs w:val="18"/>
                <w:color w:val="auto"/>
              </w:rPr>
              <w:t>10.</w:t>
            </w:r>
          </w:p>
        </w:tc>
        <w:tc>
          <w:tcPr>
            <w:tcW w:w="9960" w:type="dxa"/>
            <w:vAlign w:val="bottom"/>
          </w:tcPr>
          <w:p>
            <w:pPr>
              <w:ind w:left="160"/>
              <w:spacing w:after="0"/>
              <w:rPr>
                <w:sz w:val="20"/>
                <w:szCs w:val="20"/>
                <w:color w:val="auto"/>
              </w:rPr>
            </w:pPr>
            <w:r>
              <w:rPr>
                <w:rFonts w:ascii="Arial" w:cs="Arial" w:eastAsia="Arial" w:hAnsi="Arial"/>
                <w:sz w:val="18"/>
                <w:szCs w:val="18"/>
                <w:color w:val="auto"/>
              </w:rPr>
              <w:t>Vesting Multiple</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5</w:t>
              </w:r>
            </w:hyperlink>
          </w:p>
        </w:tc>
        <w:tc>
          <w:tcPr>
            <w:tcW w:w="100" w:type="dxa"/>
            <w:vAlign w:val="bottom"/>
          </w:tcPr>
          <w:p>
            <w:pPr>
              <w:spacing w:after="0"/>
              <w:rPr>
                <w:sz w:val="24"/>
                <w:szCs w:val="24"/>
                <w:color w:val="auto"/>
              </w:rPr>
            </w:pPr>
          </w:p>
        </w:tc>
      </w:tr>
      <w:tr>
        <w:trPr>
          <w:trHeight w:val="533"/>
        </w:trPr>
        <w:tc>
          <w:tcPr>
            <w:tcW w:w="300" w:type="dxa"/>
            <w:vAlign w:val="bottom"/>
            <w:gridSpan w:val="2"/>
          </w:tcPr>
          <w:p>
            <w:pPr>
              <w:spacing w:after="0"/>
              <w:rPr>
                <w:sz w:val="20"/>
                <w:szCs w:val="20"/>
                <w:color w:val="auto"/>
              </w:rPr>
            </w:pPr>
            <w:r>
              <w:rPr>
                <w:rFonts w:ascii="Arial" w:cs="Arial" w:eastAsia="Arial" w:hAnsi="Arial"/>
                <w:sz w:val="18"/>
                <w:szCs w:val="18"/>
                <w:color w:val="auto"/>
              </w:rPr>
              <w:t>11.</w:t>
            </w:r>
          </w:p>
        </w:tc>
        <w:tc>
          <w:tcPr>
            <w:tcW w:w="9960" w:type="dxa"/>
            <w:vAlign w:val="bottom"/>
          </w:tcPr>
          <w:p>
            <w:pPr>
              <w:ind w:left="160"/>
              <w:spacing w:after="0"/>
              <w:rPr>
                <w:sz w:val="20"/>
                <w:szCs w:val="20"/>
                <w:color w:val="auto"/>
              </w:rPr>
            </w:pPr>
            <w:r>
              <w:rPr>
                <w:rFonts w:ascii="Arial" w:cs="Arial" w:eastAsia="Arial" w:hAnsi="Arial"/>
                <w:sz w:val="18"/>
                <w:szCs w:val="18"/>
                <w:color w:val="auto"/>
              </w:rPr>
              <w:t>Taxes and Social Security Contributions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6</w:t>
              </w:r>
            </w:hyperlink>
          </w:p>
        </w:tc>
        <w:tc>
          <w:tcPr>
            <w:tcW w:w="100" w:type="dxa"/>
            <w:vAlign w:val="bottom"/>
          </w:tcPr>
          <w:p>
            <w:pPr>
              <w:spacing w:after="0"/>
              <w:rPr>
                <w:sz w:val="24"/>
                <w:szCs w:val="24"/>
                <w:color w:val="auto"/>
              </w:rPr>
            </w:pPr>
          </w:p>
        </w:tc>
      </w:tr>
      <w:tr>
        <w:trPr>
          <w:trHeight w:val="534"/>
        </w:trPr>
        <w:tc>
          <w:tcPr>
            <w:tcW w:w="300" w:type="dxa"/>
            <w:vAlign w:val="bottom"/>
            <w:gridSpan w:val="2"/>
          </w:tcPr>
          <w:p>
            <w:pPr>
              <w:spacing w:after="0"/>
              <w:rPr>
                <w:sz w:val="20"/>
                <w:szCs w:val="20"/>
                <w:color w:val="auto"/>
              </w:rPr>
            </w:pPr>
            <w:r>
              <w:rPr>
                <w:rFonts w:ascii="Arial" w:cs="Arial" w:eastAsia="Arial" w:hAnsi="Arial"/>
                <w:sz w:val="18"/>
                <w:szCs w:val="18"/>
                <w:color w:val="auto"/>
              </w:rPr>
              <w:t>12.</w:t>
            </w:r>
          </w:p>
        </w:tc>
        <w:tc>
          <w:tcPr>
            <w:tcW w:w="9960" w:type="dxa"/>
            <w:vAlign w:val="bottom"/>
          </w:tcPr>
          <w:p>
            <w:pPr>
              <w:ind w:left="160"/>
              <w:spacing w:after="0"/>
              <w:rPr>
                <w:sz w:val="20"/>
                <w:szCs w:val="20"/>
                <w:color w:val="auto"/>
              </w:rPr>
            </w:pPr>
            <w:r>
              <w:rPr>
                <w:rFonts w:ascii="Arial" w:cs="Arial" w:eastAsia="Arial" w:hAnsi="Arial"/>
                <w:sz w:val="18"/>
                <w:szCs w:val="18"/>
                <w:color w:val="auto"/>
              </w:rPr>
              <w:t>Disclosure Requirements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6</w:t>
              </w:r>
            </w:hyperlink>
          </w:p>
        </w:tc>
        <w:tc>
          <w:tcPr>
            <w:tcW w:w="100" w:type="dxa"/>
            <w:vAlign w:val="bottom"/>
          </w:tcPr>
          <w:p>
            <w:pPr>
              <w:spacing w:after="0"/>
              <w:rPr>
                <w:sz w:val="24"/>
                <w:szCs w:val="24"/>
                <w:color w:val="auto"/>
              </w:rPr>
            </w:pPr>
          </w:p>
        </w:tc>
      </w:tr>
      <w:tr>
        <w:trPr>
          <w:trHeight w:val="533"/>
        </w:trPr>
        <w:tc>
          <w:tcPr>
            <w:tcW w:w="300" w:type="dxa"/>
            <w:vAlign w:val="bottom"/>
            <w:gridSpan w:val="2"/>
          </w:tcPr>
          <w:p>
            <w:pPr>
              <w:spacing w:after="0"/>
              <w:rPr>
                <w:sz w:val="20"/>
                <w:szCs w:val="20"/>
                <w:color w:val="auto"/>
              </w:rPr>
            </w:pPr>
            <w:r>
              <w:rPr>
                <w:rFonts w:ascii="Arial" w:cs="Arial" w:eastAsia="Arial" w:hAnsi="Arial"/>
                <w:sz w:val="18"/>
                <w:szCs w:val="18"/>
                <w:color w:val="auto"/>
              </w:rPr>
              <w:t>13.</w:t>
            </w:r>
          </w:p>
        </w:tc>
        <w:tc>
          <w:tcPr>
            <w:tcW w:w="9960" w:type="dxa"/>
            <w:vAlign w:val="bottom"/>
          </w:tcPr>
          <w:p>
            <w:pPr>
              <w:ind w:left="160"/>
              <w:spacing w:after="0"/>
              <w:rPr>
                <w:sz w:val="20"/>
                <w:szCs w:val="20"/>
                <w:color w:val="auto"/>
              </w:rPr>
            </w:pPr>
            <w:r>
              <w:rPr>
                <w:rFonts w:ascii="Arial" w:cs="Arial" w:eastAsia="Arial" w:hAnsi="Arial"/>
                <w:sz w:val="18"/>
                <w:szCs w:val="18"/>
                <w:color w:val="auto"/>
              </w:rPr>
              <w:t>Other Obligations of the Participant</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6</w:t>
              </w:r>
            </w:hyperlink>
          </w:p>
        </w:tc>
        <w:tc>
          <w:tcPr>
            <w:tcW w:w="100" w:type="dxa"/>
            <w:vAlign w:val="bottom"/>
          </w:tcPr>
          <w:p>
            <w:pPr>
              <w:spacing w:after="0"/>
              <w:rPr>
                <w:sz w:val="24"/>
                <w:szCs w:val="24"/>
                <w:color w:val="auto"/>
              </w:rPr>
            </w:pPr>
          </w:p>
        </w:tc>
      </w:tr>
      <w:tr>
        <w:trPr>
          <w:trHeight w:val="533"/>
        </w:trPr>
        <w:tc>
          <w:tcPr>
            <w:tcW w:w="300" w:type="dxa"/>
            <w:vAlign w:val="bottom"/>
            <w:gridSpan w:val="2"/>
          </w:tcPr>
          <w:p>
            <w:pPr>
              <w:spacing w:after="0"/>
              <w:rPr>
                <w:sz w:val="20"/>
                <w:szCs w:val="20"/>
                <w:color w:val="auto"/>
              </w:rPr>
            </w:pPr>
            <w:r>
              <w:rPr>
                <w:rFonts w:ascii="Arial" w:cs="Arial" w:eastAsia="Arial" w:hAnsi="Arial"/>
                <w:sz w:val="18"/>
                <w:szCs w:val="18"/>
                <w:color w:val="auto"/>
              </w:rPr>
              <w:t>14.</w:t>
            </w:r>
          </w:p>
        </w:tc>
        <w:tc>
          <w:tcPr>
            <w:tcW w:w="9960" w:type="dxa"/>
            <w:vAlign w:val="bottom"/>
          </w:tcPr>
          <w:p>
            <w:pPr>
              <w:ind w:left="160"/>
              <w:spacing w:after="0"/>
              <w:rPr>
                <w:sz w:val="20"/>
                <w:szCs w:val="20"/>
                <w:color w:val="auto"/>
              </w:rPr>
            </w:pPr>
            <w:r>
              <w:rPr>
                <w:rFonts w:ascii="Arial" w:cs="Arial" w:eastAsia="Arial" w:hAnsi="Arial"/>
                <w:sz w:val="18"/>
                <w:szCs w:val="18"/>
                <w:color w:val="auto"/>
              </w:rPr>
              <w:t>Termination of Employment and Forfeiture</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7</w:t>
              </w:r>
            </w:hyperlink>
          </w:p>
        </w:tc>
        <w:tc>
          <w:tcPr>
            <w:tcW w:w="100" w:type="dxa"/>
            <w:vAlign w:val="bottom"/>
          </w:tcPr>
          <w:p>
            <w:pPr>
              <w:spacing w:after="0"/>
              <w:rPr>
                <w:sz w:val="24"/>
                <w:szCs w:val="24"/>
                <w:color w:val="auto"/>
              </w:rPr>
            </w:pPr>
          </w:p>
        </w:tc>
      </w:tr>
      <w:tr>
        <w:trPr>
          <w:trHeight w:val="533"/>
        </w:trPr>
        <w:tc>
          <w:tcPr>
            <w:tcW w:w="300" w:type="dxa"/>
            <w:vAlign w:val="bottom"/>
            <w:gridSpan w:val="2"/>
          </w:tcPr>
          <w:p>
            <w:pPr>
              <w:spacing w:after="0"/>
              <w:rPr>
                <w:sz w:val="20"/>
                <w:szCs w:val="20"/>
                <w:color w:val="auto"/>
              </w:rPr>
            </w:pPr>
            <w:r>
              <w:rPr>
                <w:rFonts w:ascii="Arial" w:cs="Arial" w:eastAsia="Arial" w:hAnsi="Arial"/>
                <w:sz w:val="18"/>
                <w:szCs w:val="18"/>
                <w:color w:val="auto"/>
              </w:rPr>
              <w:t>15.</w:t>
            </w:r>
          </w:p>
        </w:tc>
        <w:tc>
          <w:tcPr>
            <w:tcW w:w="9960" w:type="dxa"/>
            <w:vAlign w:val="bottom"/>
          </w:tcPr>
          <w:p>
            <w:pPr>
              <w:ind w:left="160"/>
              <w:spacing w:after="0"/>
              <w:rPr>
                <w:sz w:val="20"/>
                <w:szCs w:val="20"/>
                <w:color w:val="auto"/>
              </w:rPr>
            </w:pPr>
            <w:r>
              <w:rPr>
                <w:rFonts w:ascii="Arial" w:cs="Arial" w:eastAsia="Arial" w:hAnsi="Arial"/>
                <w:sz w:val="18"/>
                <w:szCs w:val="18"/>
                <w:color w:val="auto"/>
              </w:rPr>
              <w:t>Change of Control</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7</w:t>
              </w:r>
            </w:hyperlink>
          </w:p>
        </w:tc>
        <w:tc>
          <w:tcPr>
            <w:tcW w:w="100" w:type="dxa"/>
            <w:vAlign w:val="bottom"/>
          </w:tcPr>
          <w:p>
            <w:pPr>
              <w:spacing w:after="0"/>
              <w:rPr>
                <w:sz w:val="24"/>
                <w:szCs w:val="24"/>
                <w:color w:val="auto"/>
              </w:rPr>
            </w:pPr>
          </w:p>
        </w:tc>
      </w:tr>
      <w:tr>
        <w:trPr>
          <w:trHeight w:val="534"/>
        </w:trPr>
        <w:tc>
          <w:tcPr>
            <w:tcW w:w="300" w:type="dxa"/>
            <w:vAlign w:val="bottom"/>
            <w:gridSpan w:val="2"/>
          </w:tcPr>
          <w:p>
            <w:pPr>
              <w:spacing w:after="0"/>
              <w:rPr>
                <w:sz w:val="20"/>
                <w:szCs w:val="20"/>
                <w:color w:val="auto"/>
              </w:rPr>
            </w:pPr>
            <w:r>
              <w:rPr>
                <w:rFonts w:ascii="Arial" w:cs="Arial" w:eastAsia="Arial" w:hAnsi="Arial"/>
                <w:sz w:val="18"/>
                <w:szCs w:val="18"/>
                <w:color w:val="auto"/>
              </w:rPr>
              <w:t>16.</w:t>
            </w:r>
          </w:p>
        </w:tc>
        <w:tc>
          <w:tcPr>
            <w:tcW w:w="9960" w:type="dxa"/>
            <w:vAlign w:val="bottom"/>
          </w:tcPr>
          <w:p>
            <w:pPr>
              <w:ind w:left="160"/>
              <w:spacing w:after="0"/>
              <w:rPr>
                <w:sz w:val="20"/>
                <w:szCs w:val="20"/>
                <w:color w:val="auto"/>
              </w:rPr>
            </w:pPr>
            <w:r>
              <w:rPr>
                <w:rFonts w:ascii="Arial" w:cs="Arial" w:eastAsia="Arial" w:hAnsi="Arial"/>
                <w:sz w:val="18"/>
                <w:szCs w:val="18"/>
                <w:color w:val="auto"/>
              </w:rPr>
              <w:t>Corporate Events</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8</w:t>
              </w:r>
            </w:hyperlink>
          </w:p>
        </w:tc>
        <w:tc>
          <w:tcPr>
            <w:tcW w:w="100" w:type="dxa"/>
            <w:vAlign w:val="bottom"/>
          </w:tcPr>
          <w:p>
            <w:pPr>
              <w:spacing w:after="0"/>
              <w:rPr>
                <w:sz w:val="24"/>
                <w:szCs w:val="24"/>
                <w:color w:val="auto"/>
              </w:rPr>
            </w:pPr>
          </w:p>
        </w:tc>
      </w:tr>
      <w:tr>
        <w:trPr>
          <w:trHeight w:val="533"/>
        </w:trPr>
        <w:tc>
          <w:tcPr>
            <w:tcW w:w="300" w:type="dxa"/>
            <w:vAlign w:val="bottom"/>
            <w:gridSpan w:val="2"/>
          </w:tcPr>
          <w:p>
            <w:pPr>
              <w:spacing w:after="0"/>
              <w:rPr>
                <w:sz w:val="20"/>
                <w:szCs w:val="20"/>
                <w:color w:val="auto"/>
              </w:rPr>
            </w:pPr>
            <w:r>
              <w:rPr>
                <w:rFonts w:ascii="Arial" w:cs="Arial" w:eastAsia="Arial" w:hAnsi="Arial"/>
                <w:sz w:val="18"/>
                <w:szCs w:val="18"/>
                <w:color w:val="auto"/>
              </w:rPr>
              <w:t>17.</w:t>
            </w:r>
          </w:p>
        </w:tc>
        <w:tc>
          <w:tcPr>
            <w:tcW w:w="9960" w:type="dxa"/>
            <w:vAlign w:val="bottom"/>
          </w:tcPr>
          <w:p>
            <w:pPr>
              <w:ind w:left="160"/>
              <w:spacing w:after="0"/>
              <w:rPr>
                <w:sz w:val="20"/>
                <w:szCs w:val="20"/>
                <w:color w:val="auto"/>
              </w:rPr>
            </w:pPr>
            <w:r>
              <w:rPr>
                <w:rFonts w:ascii="Arial" w:cs="Arial" w:eastAsia="Arial" w:hAnsi="Arial"/>
                <w:sz w:val="18"/>
                <w:szCs w:val="18"/>
                <w:color w:val="auto"/>
              </w:rPr>
              <w:t>Data Protection</w:t>
            </w:r>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9</w:t>
              </w:r>
            </w:hyperlink>
          </w:p>
        </w:tc>
        <w:tc>
          <w:tcPr>
            <w:tcW w:w="100" w:type="dxa"/>
            <w:vAlign w:val="bottom"/>
          </w:tcPr>
          <w:p>
            <w:pPr>
              <w:spacing w:after="0"/>
              <w:rPr>
                <w:sz w:val="24"/>
                <w:szCs w:val="24"/>
                <w:color w:val="auto"/>
              </w:rPr>
            </w:pPr>
          </w:p>
        </w:tc>
      </w:tr>
      <w:tr>
        <w:trPr>
          <w:trHeight w:val="534"/>
        </w:trPr>
        <w:tc>
          <w:tcPr>
            <w:tcW w:w="300" w:type="dxa"/>
            <w:vAlign w:val="bottom"/>
            <w:gridSpan w:val="2"/>
          </w:tcPr>
          <w:p>
            <w:pPr>
              <w:spacing w:after="0"/>
              <w:rPr>
                <w:rFonts w:ascii="Arial" w:cs="Arial" w:eastAsia="Arial" w:hAnsi="Arial"/>
                <w:sz w:val="18"/>
                <w:szCs w:val="18"/>
                <w:color w:val="auto"/>
              </w:rPr>
            </w:pPr>
            <w:hyperlink w:anchor="page755">
              <w:r>
                <w:rPr>
                  <w:rFonts w:ascii="Arial" w:cs="Arial" w:eastAsia="Arial" w:hAnsi="Arial"/>
                  <w:sz w:val="18"/>
                  <w:szCs w:val="18"/>
                  <w:color w:val="auto"/>
                </w:rPr>
                <w:t>18.</w:t>
              </w:r>
            </w:hyperlink>
          </w:p>
        </w:tc>
        <w:tc>
          <w:tcPr>
            <w:tcW w:w="9960" w:type="dxa"/>
            <w:vAlign w:val="bottom"/>
          </w:tcPr>
          <w:p>
            <w:pPr>
              <w:ind w:left="160"/>
              <w:spacing w:after="0"/>
              <w:rPr>
                <w:rFonts w:ascii="Arial" w:cs="Arial" w:eastAsia="Arial" w:hAnsi="Arial"/>
                <w:sz w:val="18"/>
                <w:szCs w:val="18"/>
                <w:color w:val="auto"/>
              </w:rPr>
            </w:pPr>
            <w:hyperlink w:anchor="page755">
              <w:r>
                <w:rPr>
                  <w:rFonts w:ascii="Arial" w:cs="Arial" w:eastAsia="Arial" w:hAnsi="Arial"/>
                  <w:sz w:val="18"/>
                  <w:szCs w:val="18"/>
                  <w:color w:val="auto"/>
                </w:rPr>
                <w:t>Legal and regulatory restrictions</w:t>
              </w:r>
            </w:hyperlink>
          </w:p>
        </w:tc>
        <w:tc>
          <w:tcPr>
            <w:tcW w:w="100" w:type="dxa"/>
            <w:vAlign w:val="bottom"/>
            <w:tcBorders>
              <w:bottom w:val="single" w:sz="8" w:color="auto"/>
            </w:tcBorders>
          </w:tcPr>
          <w:p>
            <w:pPr>
              <w:spacing w:after="0"/>
              <w:rPr>
                <w:rFonts w:ascii="Arial" w:cs="Arial" w:eastAsia="Arial" w:hAnsi="Arial"/>
                <w:sz w:val="18"/>
                <w:szCs w:val="18"/>
                <w:color w:val="auto"/>
                <w:w w:val="79"/>
              </w:rPr>
            </w:pPr>
            <w:hyperlink w:anchor="page755">
              <w:r>
                <w:rPr>
                  <w:rFonts w:ascii="Arial" w:cs="Arial" w:eastAsia="Arial" w:hAnsi="Arial"/>
                  <w:sz w:val="18"/>
                  <w:szCs w:val="18"/>
                  <w:color w:val="auto"/>
                  <w:w w:val="79"/>
                </w:rPr>
                <w:t>9</w:t>
              </w:r>
            </w:hyperlink>
          </w:p>
        </w:tc>
        <w:tc>
          <w:tcPr>
            <w:tcW w:w="100" w:type="dxa"/>
            <w:vAlign w:val="bottom"/>
          </w:tcPr>
          <w:p>
            <w:pPr>
              <w:spacing w:after="0"/>
              <w:rPr>
                <w:sz w:val="24"/>
                <w:szCs w:val="24"/>
                <w:color w:val="auto"/>
              </w:rPr>
            </w:pPr>
          </w:p>
        </w:tc>
      </w:tr>
      <w:tr>
        <w:trPr>
          <w:trHeight w:val="574"/>
        </w:trPr>
        <w:tc>
          <w:tcPr>
            <w:tcW w:w="300" w:type="dxa"/>
            <w:vAlign w:val="bottom"/>
            <w:gridSpan w:val="2"/>
          </w:tcPr>
          <w:p>
            <w:pPr>
              <w:spacing w:after="0"/>
              <w:rPr>
                <w:sz w:val="20"/>
                <w:szCs w:val="20"/>
                <w:color w:val="auto"/>
              </w:rPr>
            </w:pPr>
            <w:r>
              <w:rPr>
                <w:rFonts w:ascii="Arial" w:cs="Arial" w:eastAsia="Arial" w:hAnsi="Arial"/>
                <w:sz w:val="18"/>
                <w:szCs w:val="18"/>
                <w:color w:val="auto"/>
              </w:rPr>
              <w:t>19.</w:t>
            </w:r>
          </w:p>
        </w:tc>
        <w:tc>
          <w:tcPr>
            <w:tcW w:w="9960" w:type="dxa"/>
            <w:vAlign w:val="bottom"/>
          </w:tcPr>
          <w:p>
            <w:pPr>
              <w:ind w:left="140"/>
              <w:spacing w:after="0"/>
              <w:rPr>
                <w:sz w:val="20"/>
                <w:szCs w:val="20"/>
                <w:color w:val="auto"/>
              </w:rPr>
            </w:pPr>
            <w:r>
              <w:rPr>
                <w:rFonts w:ascii="Arial" w:cs="Arial" w:eastAsia="Arial" w:hAnsi="Arial"/>
                <w:sz w:val="18"/>
                <w:szCs w:val="18"/>
                <w:color w:val="auto"/>
              </w:rPr>
              <w:t>Amendment and Termination</w:t>
            </w: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10</w:t>
            </w:r>
          </w:p>
        </w:tc>
      </w:tr>
      <w:tr>
        <w:trPr>
          <w:trHeight w:val="553"/>
        </w:trPr>
        <w:tc>
          <w:tcPr>
            <w:tcW w:w="300" w:type="dxa"/>
            <w:vAlign w:val="bottom"/>
            <w:gridSpan w:val="2"/>
          </w:tcPr>
          <w:p>
            <w:pPr>
              <w:spacing w:after="0"/>
              <w:rPr>
                <w:rFonts w:ascii="Arial" w:cs="Arial" w:eastAsia="Arial" w:hAnsi="Arial"/>
                <w:sz w:val="18"/>
                <w:szCs w:val="18"/>
                <w:color w:val="auto"/>
              </w:rPr>
            </w:pPr>
            <w:hyperlink w:anchor="page755">
              <w:r>
                <w:rPr>
                  <w:rFonts w:ascii="Arial" w:cs="Arial" w:eastAsia="Arial" w:hAnsi="Arial"/>
                  <w:sz w:val="18"/>
                  <w:szCs w:val="18"/>
                  <w:color w:val="auto"/>
                </w:rPr>
                <w:t>20.</w:t>
              </w:r>
            </w:hyperlink>
          </w:p>
        </w:tc>
        <w:tc>
          <w:tcPr>
            <w:tcW w:w="9960" w:type="dxa"/>
            <w:vAlign w:val="bottom"/>
          </w:tcPr>
          <w:p>
            <w:pPr>
              <w:ind w:left="160"/>
              <w:spacing w:after="0"/>
              <w:rPr>
                <w:rFonts w:ascii="Arial" w:cs="Arial" w:eastAsia="Arial" w:hAnsi="Arial"/>
                <w:sz w:val="18"/>
                <w:szCs w:val="18"/>
                <w:color w:val="auto"/>
              </w:rPr>
            </w:pPr>
            <w:hyperlink w:anchor="page755">
              <w:r>
                <w:rPr>
                  <w:rFonts w:ascii="Arial" w:cs="Arial" w:eastAsia="Arial" w:hAnsi="Arial"/>
                  <w:sz w:val="18"/>
                  <w:szCs w:val="18"/>
                  <w:color w:val="auto"/>
                </w:rPr>
                <w:t>Severability</w:t>
              </w:r>
            </w:hyperlink>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10</w:t>
            </w:r>
          </w:p>
        </w:tc>
      </w:tr>
      <w:tr>
        <w:trPr>
          <w:trHeight w:val="554"/>
        </w:trPr>
        <w:tc>
          <w:tcPr>
            <w:tcW w:w="300" w:type="dxa"/>
            <w:vAlign w:val="bottom"/>
            <w:gridSpan w:val="2"/>
          </w:tcPr>
          <w:p>
            <w:pPr>
              <w:spacing w:after="0"/>
              <w:rPr>
                <w:sz w:val="20"/>
                <w:szCs w:val="20"/>
                <w:color w:val="auto"/>
              </w:rPr>
            </w:pPr>
            <w:r>
              <w:rPr>
                <w:rFonts w:ascii="Arial" w:cs="Arial" w:eastAsia="Arial" w:hAnsi="Arial"/>
                <w:sz w:val="18"/>
                <w:szCs w:val="18"/>
                <w:color w:val="auto"/>
              </w:rPr>
              <w:t>21.</w:t>
            </w:r>
          </w:p>
        </w:tc>
        <w:tc>
          <w:tcPr>
            <w:tcW w:w="9960" w:type="dxa"/>
            <w:vAlign w:val="bottom"/>
          </w:tcPr>
          <w:p>
            <w:pPr>
              <w:ind w:left="160"/>
              <w:spacing w:after="0"/>
              <w:rPr>
                <w:sz w:val="20"/>
                <w:szCs w:val="20"/>
                <w:color w:val="auto"/>
              </w:rPr>
            </w:pPr>
            <w:r>
              <w:rPr>
                <w:rFonts w:ascii="Arial" w:cs="Arial" w:eastAsia="Arial" w:hAnsi="Arial"/>
                <w:sz w:val="18"/>
                <w:szCs w:val="18"/>
                <w:color w:val="auto"/>
              </w:rPr>
              <w:t>Governing Law and Jurisdiction</w:t>
            </w: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10</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22.</w:t>
            </w:r>
          </w:p>
        </w:tc>
        <w:tc>
          <w:tcPr>
            <w:tcW w:w="9960" w:type="dxa"/>
            <w:vAlign w:val="bottom"/>
          </w:tcPr>
          <w:p>
            <w:pPr>
              <w:ind w:left="160"/>
              <w:spacing w:after="0"/>
              <w:rPr>
                <w:sz w:val="20"/>
                <w:szCs w:val="20"/>
                <w:color w:val="auto"/>
              </w:rPr>
            </w:pPr>
            <w:r>
              <w:rPr>
                <w:rFonts w:ascii="Arial" w:cs="Arial" w:eastAsia="Arial" w:hAnsi="Arial"/>
                <w:sz w:val="18"/>
                <w:szCs w:val="18"/>
                <w:color w:val="auto"/>
              </w:rPr>
              <w:t>Entry into Force</w:t>
            </w: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ectPr>
          <w:pgSz w:w="11900" w:h="16884" w:orient="portrait"/>
          <w:cols w:equalWidth="0" w:num="1">
            <w:col w:w="11220"/>
          </w:cols>
          <w:pgMar w:left="320" w:top="180" w:right="359" w:bottom="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Annex 1: Definitions</w:t>
      </w:r>
    </w:p>
    <w:p>
      <w:pPr>
        <w:sectPr>
          <w:pgSz w:w="11900" w:h="16884" w:orient="portrait"/>
          <w:cols w:equalWidth="0" w:num="1">
            <w:col w:w="11220"/>
          </w:cols>
          <w:pgMar w:left="320" w:top="180" w:right="359" w:bottom="0" w:gutter="0" w:footer="0" w:header="0"/>
          <w:type w:val="continuous"/>
        </w:sectPr>
      </w:pPr>
    </w:p>
    <w:bookmarkStart w:id="756" w:name="page757"/>
    <w:bookmarkEnd w:id="756"/>
    <w:p>
      <w:pPr>
        <w:spacing w:after="0"/>
        <w:rPr>
          <w:sz w:val="20"/>
          <w:szCs w:val="20"/>
          <w:color w:val="auto"/>
        </w:rPr>
      </w:pPr>
      <w:r>
        <w:rPr>
          <w:rFonts w:ascii="Arial" w:cs="Arial" w:eastAsia="Arial" w:hAnsi="Arial"/>
          <w:sz w:val="18"/>
          <w:szCs w:val="18"/>
          <w:color w:val="auto"/>
        </w:rPr>
        <w:t>Annex 2: Form of PSU Award Agreement</w:t>
      </w:r>
    </w:p>
    <w:p>
      <w:pPr>
        <w:sectPr>
          <w:pgSz w:w="11900" w:h="16838" w:orient="portrait"/>
          <w:cols w:equalWidth="0" w:num="1">
            <w:col w:w="10139"/>
          </w:cols>
          <w:pgMar w:left="320" w:top="153" w:right="1440" w:bottom="1440" w:gutter="0" w:footer="0" w:header="0"/>
        </w:sectPr>
      </w:pPr>
    </w:p>
    <w:bookmarkStart w:id="757" w:name="page758"/>
    <w:bookmarkEnd w:id="757"/>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20" w:type="dxa"/>
            <w:vAlign w:val="bottom"/>
          </w:tcPr>
          <w:p>
            <w:pPr>
              <w:jc w:val="right"/>
              <w:spacing w:after="0"/>
              <w:rPr>
                <w:sz w:val="20"/>
                <w:szCs w:val="20"/>
                <w:color w:val="auto"/>
              </w:rPr>
            </w:pPr>
            <w:r>
              <w:rPr>
                <w:rFonts w:ascii="Arial" w:cs="Arial" w:eastAsia="Arial" w:hAnsi="Arial"/>
                <w:sz w:val="13"/>
                <w:szCs w:val="13"/>
                <w:color w:val="auto"/>
              </w:rPr>
              <w:t>3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Share Plan 2019</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Purpose</w:t>
      </w:r>
    </w:p>
    <w:p>
      <w:pPr>
        <w:spacing w:after="0" w:line="297"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purpose of this performance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 w:cs="Arial" w:eastAsia="Arial" w:hAnsi="Arial"/>
          <w:sz w:val="18"/>
          <w:szCs w:val="18"/>
          <w:b w:val="1"/>
          <w:bCs w:val="1"/>
          <w:color w:val="auto"/>
        </w:rPr>
        <w:t>PSU</w:t>
      </w:r>
      <w:r>
        <w:rPr>
          <w:rFonts w:ascii="Arial" w:cs="Arial" w:eastAsia="Arial" w:hAnsi="Arial"/>
          <w:sz w:val="18"/>
          <w:szCs w:val="18"/>
          <w:color w:val="auto"/>
        </w:rPr>
        <w:t>) to them.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Definitions and Interpretation</w:t>
      </w:r>
    </w:p>
    <w:p>
      <w:pPr>
        <w:spacing w:after="0" w:line="319" w:lineRule="exact"/>
        <w:rPr>
          <w:sz w:val="20"/>
          <w:szCs w:val="20"/>
          <w:color w:val="auto"/>
        </w:rPr>
      </w:pPr>
    </w:p>
    <w:p>
      <w:pPr>
        <w:ind w:left="320" w:hanging="312"/>
        <w:spacing w:after="0"/>
        <w:tabs>
          <w:tab w:leader="none" w:pos="32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Capitalized terms used in this Plan shall have the meaning set forth in Annex 1.</w:t>
      </w:r>
    </w:p>
    <w:p>
      <w:pPr>
        <w:spacing w:after="0" w:line="292" w:lineRule="exact"/>
        <w:rPr>
          <w:rFonts w:ascii="Arial" w:cs="Arial" w:eastAsia="Arial" w:hAnsi="Arial"/>
          <w:sz w:val="18"/>
          <w:szCs w:val="18"/>
          <w:color w:val="auto"/>
        </w:rPr>
      </w:pPr>
    </w:p>
    <w:p>
      <w:pPr>
        <w:jc w:val="both"/>
        <w:ind w:left="340" w:right="20" w:hanging="332"/>
        <w:spacing w:after="0" w:line="287" w:lineRule="auto"/>
        <w:tabs>
          <w:tab w:leader="none" w:pos="330" w:val="left"/>
        </w:tabs>
        <w:numPr>
          <w:ilvl w:val="0"/>
          <w:numId w:val="739"/>
        </w:numPr>
        <w:rPr>
          <w:rFonts w:ascii="Arial" w:cs="Arial" w:eastAsia="Arial" w:hAnsi="Arial"/>
          <w:sz w:val="18"/>
          <w:szCs w:val="18"/>
          <w:color w:val="auto"/>
        </w:rPr>
      </w:pPr>
      <w:r>
        <w:rPr>
          <w:rFonts w:ascii="Arial" w:cs="Arial" w:eastAsia="Arial" w:hAnsi="Arial"/>
          <w:sz w:val="18"/>
          <w:szCs w:val="18"/>
          <w:color w:val="auto"/>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Responsibilities and Administration</w:t>
      </w:r>
    </w:p>
    <w:p>
      <w:pPr>
        <w:spacing w:after="0" w:line="319" w:lineRule="exact"/>
        <w:rPr>
          <w:sz w:val="20"/>
          <w:szCs w:val="20"/>
          <w:color w:val="auto"/>
        </w:rPr>
      </w:pPr>
    </w:p>
    <w:p>
      <w:pPr>
        <w:ind w:left="320" w:hanging="312"/>
        <w:spacing w:after="0"/>
        <w:tabs>
          <w:tab w:leader="none" w:pos="32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340"/>
        <w:spacing w:after="0" w:line="285"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 Committee</w:t>
      </w:r>
      <w:r>
        <w:rPr>
          <w:rFonts w:ascii="Arial" w:cs="Arial" w:eastAsia="Arial" w:hAnsi="Arial"/>
          <w:sz w:val="18"/>
          <w:szCs w:val="18"/>
          <w:color w:val="auto"/>
        </w:rPr>
        <w:t>), the maximum number of PSUs that may be granted under this Plan and of shares to be allocated from the Company's conditional capital or otherwise in connection with such PSUs.</w:t>
      </w:r>
    </w:p>
    <w:p>
      <w:pPr>
        <w:spacing w:after="0" w:line="245" w:lineRule="exact"/>
        <w:rPr>
          <w:rFonts w:ascii="Arial" w:cs="Arial" w:eastAsia="Arial" w:hAnsi="Arial"/>
          <w:sz w:val="18"/>
          <w:szCs w:val="18"/>
          <w:color w:val="auto"/>
        </w:rPr>
      </w:pPr>
    </w:p>
    <w:p>
      <w:pPr>
        <w:jc w:val="both"/>
        <w:ind w:left="340" w:hanging="332"/>
        <w:spacing w:after="0" w:line="281" w:lineRule="auto"/>
        <w:tabs>
          <w:tab w:leader="none" w:pos="33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or renew or terminate the Plan or to replace it with new editions or other plans. It may delegate, under</w:t>
      </w:r>
    </w:p>
    <w:p>
      <w:pPr>
        <w:spacing w:after="0" w:line="1"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its supervision, the implementation and administration, as well as grants of PSUs other than to members of the Management Team,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jc w:val="both"/>
        <w:ind w:left="340" w:hanging="332"/>
        <w:spacing w:after="0" w:line="284" w:lineRule="auto"/>
        <w:tabs>
          <w:tab w:leader="none" w:pos="334" w:val="left"/>
        </w:tabs>
        <w:numPr>
          <w:ilvl w:val="0"/>
          <w:numId w:val="740"/>
        </w:numPr>
        <w:rPr>
          <w:rFonts w:ascii="Arial" w:cs="Arial" w:eastAsia="Arial" w:hAnsi="Arial"/>
          <w:sz w:val="18"/>
          <w:szCs w:val="18"/>
          <w:color w:val="auto"/>
        </w:rPr>
      </w:pPr>
      <w:r>
        <w:rPr>
          <w:rFonts w:ascii="Arial" w:cs="Arial" w:eastAsia="Arial" w:hAnsi="Arial"/>
          <w:sz w:val="18"/>
          <w:szCs w:val="18"/>
          <w:color w:val="auto"/>
        </w:rPr>
        <w:t>Any grants of PSUs to members of the Management Team shall be approved by the Board of Directors based on individual recommendations of the Nomination and Compensation Committee and will, as long as shareholder approval of variable compensation is outstanding, be conditional upon such shareholder approval. In case that the amount approved by the shareholders does not cover the full amount of contemplated aggregate variable compensation for the year of grant, the entitlements to short term and long-term variable compensation may be reduced by the Nomination and Compensation Committee in its sole discretion.</w:t>
      </w:r>
    </w:p>
    <w:p>
      <w:pPr>
        <w:spacing w:after="0" w:line="233" w:lineRule="exact"/>
        <w:rPr>
          <w:rFonts w:ascii="Arial" w:cs="Arial" w:eastAsia="Arial" w:hAnsi="Arial"/>
          <w:sz w:val="18"/>
          <w:szCs w:val="18"/>
          <w:color w:val="auto"/>
        </w:rPr>
      </w:pPr>
    </w:p>
    <w:p>
      <w:pPr>
        <w:jc w:val="both"/>
        <w:ind w:left="340" w:hanging="332"/>
        <w:spacing w:after="0" w:line="287" w:lineRule="auto"/>
        <w:tabs>
          <w:tab w:leader="none" w:pos="33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ectPr>
          <w:pgSz w:w="11900" w:h="16838" w:orient="portrait"/>
          <w:cols w:equalWidth="0" w:num="1">
            <w:col w:w="11240"/>
          </w:cols>
          <w:pgMar w:left="320" w:top="180" w:right="339" w:bottom="1440" w:gutter="0" w:footer="0" w:header="0"/>
        </w:sectPr>
      </w:pPr>
    </w:p>
    <w:bookmarkStart w:id="758" w:name="page759"/>
    <w:bookmarkEnd w:id="758"/>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20" w:type="dxa"/>
            <w:vAlign w:val="bottom"/>
          </w:tcPr>
          <w:p>
            <w:pPr>
              <w:jc w:val="right"/>
              <w:spacing w:after="0"/>
              <w:rPr>
                <w:sz w:val="20"/>
                <w:szCs w:val="20"/>
                <w:color w:val="auto"/>
              </w:rPr>
            </w:pPr>
            <w:r>
              <w:rPr>
                <w:rFonts w:ascii="Arial" w:cs="Arial" w:eastAsia="Arial" w:hAnsi="Arial"/>
                <w:sz w:val="13"/>
                <w:szCs w:val="13"/>
                <w:color w:val="auto"/>
              </w:rPr>
              <w:t>4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87" w:lineRule="auto"/>
        <w:tabs>
          <w:tab w:leader="none" w:pos="33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 Service</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Eligibility and Participation</w:t>
      </w:r>
    </w:p>
    <w:p>
      <w:pPr>
        <w:spacing w:after="0" w:line="319" w:lineRule="exact"/>
        <w:rPr>
          <w:sz w:val="20"/>
          <w:szCs w:val="20"/>
          <w:color w:val="auto"/>
        </w:rPr>
      </w:pPr>
    </w:p>
    <w:p>
      <w:pPr>
        <w:jc w:val="both"/>
        <w:ind w:left="340" w:hanging="332"/>
        <w:spacing w:after="0" w:line="287" w:lineRule="auto"/>
        <w:tabs>
          <w:tab w:leader="none" w:pos="33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As a rule, members of the executive management, other employees as well as selected consultants may become eligible to participate in this Plan. The decision on eligibility is reserved to the Nomination and Compensation Committee or, other than with respect to members of the Management Team, the relevant Administrator.</w:t>
      </w:r>
    </w:p>
    <w:p>
      <w:pPr>
        <w:spacing w:after="0" w:line="242" w:lineRule="exact"/>
        <w:rPr>
          <w:rFonts w:ascii="Arial" w:cs="Arial" w:eastAsia="Arial" w:hAnsi="Arial"/>
          <w:sz w:val="18"/>
          <w:szCs w:val="18"/>
          <w:color w:val="auto"/>
        </w:rPr>
      </w:pPr>
    </w:p>
    <w:p>
      <w:pPr>
        <w:jc w:val="both"/>
        <w:ind w:left="340" w:hanging="332"/>
        <w:spacing w:after="0" w:line="281" w:lineRule="auto"/>
        <w:tabs>
          <w:tab w:leader="none" w:pos="33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 w:cs="Arial" w:eastAsia="Arial" w:hAnsi="Arial"/>
          <w:sz w:val="18"/>
          <w:szCs w:val="18"/>
          <w:b w:val="1"/>
          <w:bCs w:val="1"/>
          <w:color w:val="auto"/>
        </w:rPr>
        <w:t>PSU</w:t>
      </w:r>
      <w:r>
        <w:rPr>
          <w:rFonts w:ascii="Arial" w:cs="Arial" w:eastAsia="Arial" w:hAnsi="Arial"/>
          <w:sz w:val="18"/>
          <w:szCs w:val="18"/>
          <w:color w:val="auto"/>
        </w:rPr>
        <w:t xml:space="preserve"> </w:t>
      </w:r>
      <w:r>
        <w:rPr>
          <w:rFonts w:ascii="Arial" w:cs="Arial" w:eastAsia="Arial" w:hAnsi="Arial"/>
          <w:sz w:val="18"/>
          <w:szCs w:val="18"/>
          <w:b w:val="1"/>
          <w:bCs w:val="1"/>
          <w:color w:val="auto"/>
        </w:rPr>
        <w:t>Award Agreement</w:t>
      </w:r>
      <w:r>
        <w:rPr>
          <w:rFonts w:ascii="Arial" w:cs="Arial" w:eastAsia="Arial" w:hAnsi="Arial"/>
          <w:sz w:val="18"/>
          <w:szCs w:val="18"/>
          <w:color w:val="auto"/>
        </w:rPr>
        <w:t>) among the Company (or the employer Group Company) and the eligible person, substantially in the form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as Annex 2. The right to receive PSUs shall accrue exclusively to those eligible persons who have, in accordance with this Plan,</w:t>
      </w:r>
    </w:p>
    <w:p>
      <w:pPr>
        <w:spacing w:after="0" w:line="2"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been duly and validly offered, and have signed and returned, their individual PSU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340" w:hanging="332"/>
        <w:spacing w:after="0" w:line="287" w:lineRule="auto"/>
        <w:tabs>
          <w:tab w:leader="none" w:pos="334" w:val="left"/>
        </w:tabs>
        <w:numPr>
          <w:ilvl w:val="0"/>
          <w:numId w:val="742"/>
        </w:numPr>
        <w:rPr>
          <w:rFonts w:ascii="Arial" w:cs="Arial" w:eastAsia="Arial" w:hAnsi="Arial"/>
          <w:sz w:val="18"/>
          <w:szCs w:val="18"/>
          <w:color w:val="auto"/>
        </w:rPr>
      </w:pPr>
      <w:r>
        <w:rPr>
          <w:rFonts w:ascii="Arial" w:cs="Arial" w:eastAsia="Arial" w:hAnsi="Arial"/>
          <w:sz w:val="18"/>
          <w:szCs w:val="18"/>
          <w:color w:val="auto"/>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spacing w:after="0" w:line="242" w:lineRule="exact"/>
        <w:rPr>
          <w:rFonts w:ascii="Arial" w:cs="Arial" w:eastAsia="Arial" w:hAnsi="Arial"/>
          <w:sz w:val="18"/>
          <w:szCs w:val="18"/>
          <w:color w:val="auto"/>
        </w:rPr>
      </w:pPr>
    </w:p>
    <w:p>
      <w:pPr>
        <w:ind w:left="340" w:hanging="332"/>
        <w:spacing w:after="0" w:line="293" w:lineRule="auto"/>
        <w:tabs>
          <w:tab w:leader="none" w:pos="33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Neither the grant of PSUs, nor the transfer of Shares in connection with this Plan shall confer upon any Participant any right to continue to be employed by any Group Company.</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Grant of PSUs</w:t>
      </w:r>
    </w:p>
    <w:p>
      <w:pPr>
        <w:spacing w:after="0" w:line="319" w:lineRule="exact"/>
        <w:rPr>
          <w:sz w:val="20"/>
          <w:szCs w:val="20"/>
          <w:color w:val="auto"/>
        </w:rPr>
      </w:pPr>
    </w:p>
    <w:p>
      <w:pPr>
        <w:jc w:val="both"/>
        <w:ind w:left="340" w:hanging="332"/>
        <w:spacing w:after="0" w:line="287" w:lineRule="auto"/>
        <w:tabs>
          <w:tab w:leader="none" w:pos="33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w:t>
      </w:r>
    </w:p>
    <w:p>
      <w:pPr>
        <w:spacing w:after="0" w:line="229" w:lineRule="exact"/>
        <w:rPr>
          <w:rFonts w:ascii="Arial" w:cs="Arial" w:eastAsia="Arial" w:hAnsi="Arial"/>
          <w:sz w:val="18"/>
          <w:szCs w:val="18"/>
          <w:color w:val="auto"/>
        </w:rPr>
      </w:pPr>
    </w:p>
    <w:p>
      <w:pPr>
        <w:ind w:left="320" w:hanging="312"/>
        <w:spacing w:after="0"/>
        <w:tabs>
          <w:tab w:leader="none" w:pos="32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One PSU represents a conditional entitlement to purchase a number of Shares at the nominal value of a Share. The number of Shares</w:t>
      </w:r>
    </w:p>
    <w:p>
      <w:pPr>
        <w:spacing w:after="0" w:line="36"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which shall be allocated to a Participant upon vesting shall be determined pursuant to a vesting multiple as described in Section 10 hereof (the </w:t>
      </w:r>
      <w:r>
        <w:rPr>
          <w:rFonts w:ascii="Arial" w:cs="Arial" w:eastAsia="Arial" w:hAnsi="Arial"/>
          <w:sz w:val="18"/>
          <w:szCs w:val="18"/>
          <w:b w:val="1"/>
          <w:bCs w:val="1"/>
          <w:color w:val="auto"/>
        </w:rPr>
        <w:t>Vesting Multiple</w:t>
      </w:r>
      <w:r>
        <w:rPr>
          <w:rFonts w:ascii="Arial" w:cs="Arial" w:eastAsia="Arial" w:hAnsi="Arial"/>
          <w:sz w:val="18"/>
          <w:szCs w:val="18"/>
          <w:color w:val="auto"/>
        </w:rPr>
        <w:t>), subject to, and in accordance with, the terms and conditions of this Plan and the PSU Award Agreement.</w:t>
      </w:r>
    </w:p>
    <w:p>
      <w:pPr>
        <w:spacing w:after="0" w:line="237" w:lineRule="exact"/>
        <w:rPr>
          <w:rFonts w:ascii="Arial" w:cs="Arial" w:eastAsia="Arial" w:hAnsi="Arial"/>
          <w:sz w:val="18"/>
          <w:szCs w:val="18"/>
          <w:color w:val="auto"/>
        </w:rPr>
      </w:pPr>
    </w:p>
    <w:p>
      <w:pPr>
        <w:ind w:left="340" w:hanging="332"/>
        <w:spacing w:after="0" w:line="293" w:lineRule="auto"/>
        <w:tabs>
          <w:tab w:leader="none" w:pos="334" w:val="left"/>
        </w:tabs>
        <w:numPr>
          <w:ilvl w:val="0"/>
          <w:numId w:val="743"/>
        </w:numPr>
        <w:rPr>
          <w:rFonts w:ascii="Arial" w:cs="Arial" w:eastAsia="Arial" w:hAnsi="Arial"/>
          <w:sz w:val="18"/>
          <w:szCs w:val="18"/>
          <w:color w:val="auto"/>
        </w:rPr>
      </w:pPr>
      <w:r>
        <w:rPr>
          <w:rFonts w:ascii="Arial" w:cs="Arial" w:eastAsia="Arial" w:hAnsi="Arial"/>
          <w:sz w:val="18"/>
          <w:szCs w:val="18"/>
          <w:color w:val="auto"/>
        </w:rPr>
        <w:t xml:space="preserve">The date of grants shall be determined by the Nomination and Compensation Committee or the relevant Administrator and set out in the PSU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left="340" w:hanging="332"/>
        <w:spacing w:after="0" w:line="292" w:lineRule="auto"/>
        <w:tabs>
          <w:tab w:leader="none" w:pos="33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A change of the regular working quota (</w:t>
      </w:r>
      <w:r>
        <w:rPr>
          <w:rFonts w:ascii="Arial" w:cs="Arial" w:eastAsia="Arial" w:hAnsi="Arial"/>
          <w:sz w:val="18"/>
          <w:szCs w:val="18"/>
          <w:i w:val="1"/>
          <w:iCs w:val="1"/>
          <w:color w:val="auto"/>
        </w:rPr>
        <w:t>Arbeitspensum</w:t>
      </w:r>
      <w:r>
        <w:rPr>
          <w:rFonts w:ascii="Arial" w:cs="Arial" w:eastAsia="Arial" w:hAnsi="Arial"/>
          <w:sz w:val="18"/>
          <w:szCs w:val="18"/>
          <w:color w:val="auto"/>
        </w:rPr>
        <w:t>)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sectPr>
          <w:pgSz w:w="11900" w:h="16838" w:orient="portrait"/>
          <w:cols w:equalWidth="0" w:num="1">
            <w:col w:w="11240"/>
          </w:cols>
          <w:pgMar w:left="320" w:top="180" w:right="339" w:bottom="1440" w:gutter="0" w:footer="0" w:header="0"/>
        </w:sectPr>
      </w:pPr>
    </w:p>
    <w:bookmarkStart w:id="759" w:name="page760"/>
    <w:bookmarkEnd w:id="759"/>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20" w:type="dxa"/>
            <w:vAlign w:val="bottom"/>
          </w:tcPr>
          <w:p>
            <w:pPr>
              <w:jc w:val="right"/>
              <w:spacing w:after="0"/>
              <w:rPr>
                <w:sz w:val="20"/>
                <w:szCs w:val="20"/>
                <w:color w:val="auto"/>
              </w:rPr>
            </w:pPr>
            <w:r>
              <w:rPr>
                <w:rFonts w:ascii="Arial" w:cs="Arial" w:eastAsia="Arial" w:hAnsi="Arial"/>
                <w:sz w:val="13"/>
                <w:szCs w:val="13"/>
                <w:color w:val="auto"/>
              </w:rPr>
              <w:t>5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No Securities</w:t>
      </w:r>
    </w:p>
    <w:p>
      <w:pPr>
        <w:spacing w:after="0" w:line="31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 of the Plan and upon entry into the share register, subject to, and in accordance with, the restrictions and procedures set out in article 5 of the Company's articles of incorporation.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No Transfer</w:t>
      </w:r>
    </w:p>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Vesting and Delivery of Shares</w:t>
      </w:r>
    </w:p>
    <w:p>
      <w:pPr>
        <w:spacing w:after="0" w:line="319" w:lineRule="exact"/>
        <w:rPr>
          <w:sz w:val="20"/>
          <w:szCs w:val="20"/>
          <w:color w:val="auto"/>
        </w:rPr>
      </w:pPr>
    </w:p>
    <w:p>
      <w:pPr>
        <w:jc w:val="both"/>
        <w:ind w:left="340" w:hanging="332"/>
        <w:spacing w:after="0" w:line="287" w:lineRule="auto"/>
        <w:tabs>
          <w:tab w:leader="none" w:pos="33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 xml:space="preserve">Unless otherwise set out in this Plan (in particular in Section 14) or in the PSU Award Agreement, PSUs shall vest on the third anniversary of the Grant Date (the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period between the Grant Date and the Vesting Date shall be deemed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20" w:hanging="312"/>
        <w:spacing w:after="0"/>
        <w:tabs>
          <w:tab w:leader="none" w:pos="32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Subject to Section 14(b) and (c) below, no PSU shall vest if, during the Vesting Period, the relevant Participant's employment is</w:t>
      </w:r>
    </w:p>
    <w:p>
      <w:pPr>
        <w:spacing w:after="0" w:line="36"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terminated (i.e. notice of termination is given (even if the notice period is still running) or another reason for termination occurs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set by a Group Company.</w:t>
      </w:r>
    </w:p>
    <w:p>
      <w:pPr>
        <w:spacing w:after="0" w:line="237" w:lineRule="exact"/>
        <w:rPr>
          <w:rFonts w:ascii="Arial" w:cs="Arial" w:eastAsia="Arial" w:hAnsi="Arial"/>
          <w:sz w:val="18"/>
          <w:szCs w:val="18"/>
          <w:color w:val="auto"/>
        </w:rPr>
      </w:pPr>
    </w:p>
    <w:p>
      <w:pPr>
        <w:jc w:val="both"/>
        <w:ind w:left="340" w:hanging="332"/>
        <w:spacing w:after="0" w:line="287" w:lineRule="auto"/>
        <w:tabs>
          <w:tab w:leader="none" w:pos="334" w:val="left"/>
        </w:tabs>
        <w:numPr>
          <w:ilvl w:val="0"/>
          <w:numId w:val="744"/>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Alternatively, the Company may provide for cash-less acquisition or vesting-sale arrangements through a Plan Service Provider or otherwise.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Underlying Shares</w:t>
      </w:r>
    </w:p>
    <w:p>
      <w:pPr>
        <w:spacing w:after="0" w:line="31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16,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10.Vesting Multiple</w:t>
      </w:r>
    </w:p>
    <w:p>
      <w:pPr>
        <w:spacing w:after="0" w:line="319" w:lineRule="exact"/>
        <w:rPr>
          <w:sz w:val="20"/>
          <w:szCs w:val="20"/>
          <w:color w:val="auto"/>
        </w:rPr>
      </w:pPr>
    </w:p>
    <w:p>
      <w:pPr>
        <w:ind w:left="320" w:hanging="312"/>
        <w:spacing w:after="0"/>
        <w:tabs>
          <w:tab w:leader="none" w:pos="320" w:val="left"/>
        </w:tabs>
        <w:numPr>
          <w:ilvl w:val="0"/>
          <w:numId w:val="745"/>
        </w:numPr>
        <w:rPr>
          <w:rFonts w:ascii="Arial" w:cs="Arial" w:eastAsia="Arial" w:hAnsi="Arial"/>
          <w:sz w:val="18"/>
          <w:szCs w:val="18"/>
          <w:color w:val="auto"/>
        </w:rPr>
      </w:pPr>
      <w:r>
        <w:rPr>
          <w:rFonts w:ascii="Arial" w:cs="Arial" w:eastAsia="Arial" w:hAnsi="Arial"/>
          <w:sz w:val="18"/>
          <w:szCs w:val="18"/>
          <w:color w:val="auto"/>
        </w:rPr>
        <w:t>The Vesting Multiple shall not be lower than 0 nor higher than 1.2 (one point two). Within such range, the Vesting Multiple shall be</w:t>
      </w:r>
    </w:p>
    <w:p>
      <w:pPr>
        <w:spacing w:after="0" w:line="36" w:lineRule="exact"/>
        <w:rPr>
          <w:rFonts w:ascii="Arial" w:cs="Arial" w:eastAsia="Arial" w:hAnsi="Arial"/>
          <w:sz w:val="18"/>
          <w:szCs w:val="18"/>
          <w:color w:val="auto"/>
        </w:rPr>
      </w:pPr>
    </w:p>
    <w:p>
      <w:pPr>
        <w:jc w:val="both"/>
        <w:ind w:left="340"/>
        <w:spacing w:after="0" w:line="287" w:lineRule="auto"/>
        <w:rPr>
          <w:rFonts w:ascii="Arial" w:cs="Arial" w:eastAsia="Arial" w:hAnsi="Arial"/>
          <w:sz w:val="18"/>
          <w:szCs w:val="18"/>
          <w:color w:val="auto"/>
        </w:rPr>
      </w:pPr>
      <w:r>
        <w:rPr>
          <w:rFonts w:ascii="Arial" w:cs="Arial" w:eastAsia="Arial" w:hAnsi="Arial"/>
          <w:sz w:val="18"/>
          <w:szCs w:val="18"/>
          <w:color w:val="auto"/>
        </w:rPr>
        <w:t>determined by the Board of Directors upon proposal by the Nomination and Compensation Committee based on its assessment of the achievement of the goals set out in the score card (</w:t>
      </w:r>
      <w:r>
        <w:rPr>
          <w:rFonts w:ascii="Arial" w:cs="Arial" w:eastAsia="Arial" w:hAnsi="Arial"/>
          <w:sz w:val="18"/>
          <w:szCs w:val="18"/>
          <w:b w:val="1"/>
          <w:bCs w:val="1"/>
          <w:color w:val="auto"/>
        </w:rPr>
        <w:t>LTI Score Card</w:t>
      </w:r>
      <w:r>
        <w:rPr>
          <w:rFonts w:ascii="Arial" w:cs="Arial" w:eastAsia="Arial" w:hAnsi="Arial"/>
          <w:sz w:val="18"/>
          <w:szCs w:val="18"/>
          <w:color w:val="auto"/>
        </w:rPr>
        <w:t>) attached to the PSU Award Agreement or otherwise communicated by the Company to the Participant in connection with the grant (</w:t>
      </w:r>
      <w:r>
        <w:rPr>
          <w:rFonts w:ascii="Arial" w:cs="Arial" w:eastAsia="Arial" w:hAnsi="Arial"/>
          <w:sz w:val="18"/>
          <w:szCs w:val="18"/>
          <w:b w:val="1"/>
          <w:bCs w:val="1"/>
          <w:color w:val="auto"/>
        </w:rPr>
        <w:t>Goals</w:t>
      </w:r>
      <w:r>
        <w:rPr>
          <w:rFonts w:ascii="Arial" w:cs="Arial" w:eastAsia="Arial" w:hAnsi="Arial"/>
          <w:sz w:val="18"/>
          <w:szCs w:val="18"/>
          <w:color w:val="auto"/>
        </w:rPr>
        <w:t>). The Goals may include any corporate goals, i.e.</w:t>
      </w:r>
    </w:p>
    <w:p>
      <w:pPr>
        <w:sectPr>
          <w:pgSz w:w="11900" w:h="16838" w:orient="portrait"/>
          <w:cols w:equalWidth="0" w:num="1">
            <w:col w:w="11240"/>
          </w:cols>
          <w:pgMar w:left="320" w:top="180" w:right="339" w:bottom="1440" w:gutter="0" w:footer="0" w:header="0"/>
        </w:sectPr>
      </w:pPr>
    </w:p>
    <w:bookmarkStart w:id="760" w:name="page761"/>
    <w:bookmarkEnd w:id="760"/>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20" w:type="dxa"/>
            <w:vAlign w:val="bottom"/>
          </w:tcPr>
          <w:p>
            <w:pPr>
              <w:jc w:val="right"/>
              <w:spacing w:after="0"/>
              <w:rPr>
                <w:sz w:val="20"/>
                <w:szCs w:val="20"/>
                <w:color w:val="auto"/>
              </w:rPr>
            </w:pPr>
            <w:r>
              <w:rPr>
                <w:rFonts w:ascii="Arial" w:cs="Arial" w:eastAsia="Arial" w:hAnsi="Arial"/>
                <w:sz w:val="13"/>
                <w:szCs w:val="13"/>
                <w:color w:val="auto"/>
              </w:rPr>
              <w:t>6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strategic, operating or financial goals of the Company or the Group, any personal goals and performance of the relevant Participant and/or any goals relating to the total shareholder return or share price development. The LTI Score Card may attach a percentage weighting to each Goal for purposes of deriving the Vesting Multiple or require a global assessment of the achievement of goals.</w:t>
      </w:r>
    </w:p>
    <w:p>
      <w:pPr>
        <w:spacing w:after="0" w:line="243" w:lineRule="exact"/>
        <w:rPr>
          <w:sz w:val="20"/>
          <w:szCs w:val="20"/>
          <w:color w:val="auto"/>
        </w:rPr>
      </w:pPr>
    </w:p>
    <w:p>
      <w:pPr>
        <w:jc w:val="both"/>
        <w:ind w:left="340" w:hanging="332"/>
        <w:spacing w:after="0" w:line="287" w:lineRule="auto"/>
        <w:tabs>
          <w:tab w:leader="none" w:pos="33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The Vesting Multiple shall, unless the nature of the Goals demands otherwise, be determined in the year following the year of grant. Notwithstanding such determination, Vesting shall occur only at the time and subject to the conditions otherwise set out in this Plan or in the PSU Award Agreement.</w:t>
      </w:r>
    </w:p>
    <w:p>
      <w:pPr>
        <w:spacing w:after="0" w:line="242" w:lineRule="exact"/>
        <w:rPr>
          <w:rFonts w:ascii="Arial" w:cs="Arial" w:eastAsia="Arial" w:hAnsi="Arial"/>
          <w:sz w:val="18"/>
          <w:szCs w:val="18"/>
          <w:color w:val="auto"/>
        </w:rPr>
      </w:pPr>
    </w:p>
    <w:p>
      <w:pPr>
        <w:jc w:val="both"/>
        <w:ind w:left="340" w:hanging="332"/>
        <w:spacing w:after="0" w:line="287" w:lineRule="auto"/>
        <w:tabs>
          <w:tab w:leader="none" w:pos="334" w:val="left"/>
        </w:tabs>
        <w:numPr>
          <w:ilvl w:val="0"/>
          <w:numId w:val="746"/>
        </w:numPr>
        <w:rPr>
          <w:rFonts w:ascii="Arial" w:cs="Arial" w:eastAsia="Arial" w:hAnsi="Arial"/>
          <w:sz w:val="18"/>
          <w:szCs w:val="18"/>
          <w:color w:val="auto"/>
        </w:rPr>
      </w:pPr>
      <w:r>
        <w:rPr>
          <w:rFonts w:ascii="Arial" w:cs="Arial" w:eastAsia="Arial" w:hAnsi="Arial"/>
          <w:sz w:val="18"/>
          <w:szCs w:val="18"/>
          <w:color w:val="auto"/>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11.Taxes and Social Security Contributions</w:t>
      </w:r>
    </w:p>
    <w:p>
      <w:pPr>
        <w:spacing w:after="0" w:line="319" w:lineRule="exact"/>
        <w:rPr>
          <w:sz w:val="20"/>
          <w:szCs w:val="20"/>
          <w:color w:val="auto"/>
        </w:rPr>
      </w:pPr>
    </w:p>
    <w:p>
      <w:pPr>
        <w:jc w:val="both"/>
        <w:ind w:left="340" w:hanging="332"/>
        <w:spacing w:after="0" w:line="287" w:lineRule="auto"/>
        <w:tabs>
          <w:tab w:leader="none" w:pos="33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spacing w:after="0" w:line="242" w:lineRule="exact"/>
        <w:rPr>
          <w:rFonts w:ascii="Arial" w:cs="Arial" w:eastAsia="Arial" w:hAnsi="Arial"/>
          <w:sz w:val="18"/>
          <w:szCs w:val="18"/>
          <w:color w:val="auto"/>
        </w:rPr>
      </w:pPr>
    </w:p>
    <w:p>
      <w:pPr>
        <w:jc w:val="both"/>
        <w:ind w:left="340" w:hanging="332"/>
        <w:spacing w:after="0" w:line="283" w:lineRule="auto"/>
        <w:tabs>
          <w:tab w:leader="none" w:pos="33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w:t>
      </w:r>
    </w:p>
    <w:p>
      <w:pPr>
        <w:spacing w:after="0" w:line="249" w:lineRule="exact"/>
        <w:rPr>
          <w:rFonts w:ascii="Arial" w:cs="Arial" w:eastAsia="Arial" w:hAnsi="Arial"/>
          <w:sz w:val="18"/>
          <w:szCs w:val="18"/>
          <w:color w:val="auto"/>
        </w:rPr>
      </w:pPr>
    </w:p>
    <w:p>
      <w:pPr>
        <w:ind w:left="340" w:hanging="332"/>
        <w:spacing w:after="0" w:line="293" w:lineRule="auto"/>
        <w:tabs>
          <w:tab w:leader="none" w:pos="334"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PSU awards, Shares or related events.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12.Disclosure Requirements</w:t>
      </w:r>
    </w:p>
    <w:p>
      <w:pPr>
        <w:spacing w:after="0" w:line="31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ectPr>
          <w:pgSz w:w="11900" w:h="16838" w:orient="portrait"/>
          <w:cols w:equalWidth="0" w:num="1">
            <w:col w:w="11240"/>
          </w:cols>
          <w:pgMar w:left="320" w:top="180" w:right="339" w:bottom="1440" w:gutter="0" w:footer="0" w:header="0"/>
        </w:sectPr>
      </w:pPr>
    </w:p>
    <w:bookmarkStart w:id="761" w:name="page762"/>
    <w:bookmarkEnd w:id="761"/>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20" w:type="dxa"/>
            <w:vAlign w:val="bottom"/>
          </w:tcPr>
          <w:p>
            <w:pPr>
              <w:jc w:val="right"/>
              <w:spacing w:after="0"/>
              <w:rPr>
                <w:sz w:val="20"/>
                <w:szCs w:val="20"/>
                <w:color w:val="auto"/>
              </w:rPr>
            </w:pPr>
            <w:r>
              <w:rPr>
                <w:rFonts w:ascii="Arial" w:cs="Arial" w:eastAsia="Arial" w:hAnsi="Arial"/>
                <w:sz w:val="13"/>
                <w:szCs w:val="13"/>
                <w:color w:val="auto"/>
              </w:rPr>
              <w:t>7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13.Other Obligations of the Participant</w:t>
      </w:r>
    </w:p>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employment) to any Group Company, until the Participant has satisfied such outstanding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14.Termination of Employment and Forfeiture</w:t>
      </w:r>
    </w:p>
    <w:p>
      <w:pPr>
        <w:spacing w:after="0" w:line="319" w:lineRule="exact"/>
        <w:rPr>
          <w:sz w:val="20"/>
          <w:szCs w:val="20"/>
          <w:color w:val="auto"/>
        </w:rPr>
      </w:pPr>
    </w:p>
    <w:p>
      <w:pPr>
        <w:jc w:val="both"/>
        <w:ind w:left="340" w:hanging="332"/>
        <w:spacing w:after="0" w:line="285" w:lineRule="auto"/>
        <w:tabs>
          <w:tab w:leader="none" w:pos="33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If (i) a Participant's employment is terminated (i.e. notice of termination is given even if the notice period is still running) or (ii) another reason for termination occurs during the Vesting period,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within the meaning of Article 337 CO and except as set out in Section 14 (b) and (c) below, all PSUs shall immediately cease and be forfeited.</w:t>
      </w:r>
    </w:p>
    <w:p>
      <w:pPr>
        <w:spacing w:after="0" w:line="227" w:lineRule="exact"/>
        <w:rPr>
          <w:rFonts w:ascii="Arial" w:cs="Arial" w:eastAsia="Arial" w:hAnsi="Arial"/>
          <w:sz w:val="18"/>
          <w:szCs w:val="18"/>
          <w:color w:val="auto"/>
        </w:rPr>
      </w:pPr>
    </w:p>
    <w:p>
      <w:pPr>
        <w:jc w:val="both"/>
        <w:ind w:left="340" w:hanging="332"/>
        <w:spacing w:after="0" w:line="292" w:lineRule="auto"/>
        <w:tabs>
          <w:tab w:leader="none" w:pos="33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 xml:space="preserve">If a Participant’s employment agreement is terminated by the Company or a Group Company for reasons </w:t>
      </w:r>
      <w:r>
        <w:rPr>
          <w:rFonts w:ascii="Arial" w:cs="Arial" w:eastAsia="Arial" w:hAnsi="Arial"/>
          <w:sz w:val="18"/>
          <w:szCs w:val="18"/>
          <w:i w:val="1"/>
          <w:iCs w:val="1"/>
          <w:color w:val="auto"/>
        </w:rPr>
        <w:t>not</w:t>
      </w:r>
      <w:r>
        <w:rPr>
          <w:rFonts w:ascii="Arial" w:cs="Arial" w:eastAsia="Arial" w:hAnsi="Arial"/>
          <w:sz w:val="18"/>
          <w:szCs w:val="18"/>
          <w:color w:val="auto"/>
        </w:rPr>
        <w:t xml:space="preserve"> pertaining to the Participant,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PSUs granted to the Participant shall vest at the end of the Vesting Period with the remaining PSUs lapsing without further effect. For clarity, the pro rata calculation under this Section 14 shall be determined on a monthly basis (36/36), based on the complete months of employment worked during the Vesting Period.</w:t>
      </w:r>
    </w:p>
    <w:p>
      <w:pPr>
        <w:spacing w:after="0" w:line="207" w:lineRule="exact"/>
        <w:rPr>
          <w:rFonts w:ascii="Arial" w:cs="Arial" w:eastAsia="Arial" w:hAnsi="Arial"/>
          <w:sz w:val="18"/>
          <w:szCs w:val="18"/>
          <w:color w:val="auto"/>
        </w:rPr>
      </w:pPr>
    </w:p>
    <w:p>
      <w:pPr>
        <w:jc w:val="both"/>
        <w:ind w:left="340" w:hanging="332"/>
        <w:spacing w:after="0" w:line="292" w:lineRule="auto"/>
        <w:tabs>
          <w:tab w:leader="none" w:pos="334" w:val="left"/>
        </w:tabs>
        <w:numPr>
          <w:ilvl w:val="0"/>
          <w:numId w:val="748"/>
        </w:numPr>
        <w:rPr>
          <w:rFonts w:ascii="Arial" w:cs="Arial" w:eastAsia="Arial" w:hAnsi="Arial"/>
          <w:sz w:val="18"/>
          <w:szCs w:val="18"/>
          <w:color w:val="auto"/>
        </w:rPr>
      </w:pPr>
      <w:r>
        <w:rPr>
          <w:rFonts w:ascii="Arial" w:cs="Arial" w:eastAsia="Arial" w:hAnsi="Arial"/>
          <w:sz w:val="18"/>
          <w:szCs w:val="18"/>
          <w:color w:val="auto"/>
        </w:rPr>
        <w:t xml:space="preserve">If the employment agreement terminates by reason of (i) death, permanent illness or disability of the Participant or (ii) retirement,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number of PSUs granted to the Participant shall vest immediately with the remaining PSUs lapsing without further effect. In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(i) here before, the pro rata calculation will be made assuming that employment lasted one year longer (but in any case not longer than the end of the regular three-year Vesting Period).</w:t>
      </w:r>
    </w:p>
    <w:p>
      <w:pPr>
        <w:spacing w:after="0" w:line="239" w:lineRule="exact"/>
        <w:rPr>
          <w:rFonts w:ascii="Arial" w:cs="Arial" w:eastAsia="Arial" w:hAnsi="Arial"/>
          <w:sz w:val="18"/>
          <w:szCs w:val="18"/>
          <w:color w:val="auto"/>
        </w:rPr>
      </w:pPr>
    </w:p>
    <w:p>
      <w:pPr>
        <w:jc w:val="both"/>
        <w:ind w:left="340" w:hanging="332"/>
        <w:spacing w:after="0" w:line="284" w:lineRule="auto"/>
        <w:tabs>
          <w:tab w:leader="none" w:pos="330" w:val="left"/>
        </w:tabs>
        <w:numPr>
          <w:ilvl w:val="0"/>
          <w:numId w:val="748"/>
        </w:numPr>
        <w:rPr>
          <w:rFonts w:ascii="Arial" w:cs="Arial" w:eastAsia="Arial" w:hAnsi="Arial"/>
          <w:sz w:val="18"/>
          <w:szCs w:val="18"/>
          <w:color w:val="auto"/>
        </w:rPr>
      </w:pPr>
      <w:r>
        <w:rPr>
          <w:rFonts w:ascii="Arial" w:cs="Arial" w:eastAsia="Arial" w:hAnsi="Arial"/>
          <w:sz w:val="18"/>
          <w:szCs w:val="18"/>
          <w:color w:val="auto"/>
        </w:rPr>
        <w:t>The Management Board may, at its sole discretion and with final and binding effect and taking into consideration the objectives of the Plan, grant further exceptions from the forfeiture clause as per Section 14 (a) above and assess whether a Participant’s employment agreement was terminated for reasons not pertaining to the Participant pursuant to Section 14(b) above, provided, however, that the Board of Directors, based on a recommendation by the Nomination and Compensation Committee, shall be responsible to grant such an exception or perform such assessment if the Participant concerned is a member of the Management Board.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15.Change of Control</w:t>
      </w:r>
    </w:p>
    <w:p>
      <w:pPr>
        <w:spacing w:after="0" w:line="297" w:lineRule="exact"/>
        <w:rPr>
          <w:sz w:val="20"/>
          <w:szCs w:val="20"/>
          <w:color w:val="auto"/>
        </w:rPr>
      </w:pPr>
    </w:p>
    <w:p>
      <w:pPr>
        <w:ind w:left="320" w:hanging="312"/>
        <w:spacing w:after="0"/>
        <w:tabs>
          <w:tab w:leader="none" w:pos="32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301" w:lineRule="exact"/>
        <w:rPr>
          <w:rFonts w:ascii="Arial" w:cs="Arial" w:eastAsia="Arial" w:hAnsi="Arial"/>
          <w:sz w:val="18"/>
          <w:szCs w:val="18"/>
          <w:color w:val="auto"/>
        </w:rPr>
      </w:pPr>
    </w:p>
    <w:p>
      <w:pPr>
        <w:jc w:val="both"/>
        <w:ind w:left="660" w:hanging="328"/>
        <w:spacing w:after="0" w:line="287" w:lineRule="auto"/>
        <w:tabs>
          <w:tab w:leader="none" w:pos="658" w:val="left"/>
        </w:tabs>
        <w:numPr>
          <w:ilvl w:val="1"/>
          <w:numId w:val="749"/>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42" w:lineRule="exact"/>
        <w:rPr>
          <w:rFonts w:ascii="Arial" w:cs="Arial" w:eastAsia="Arial" w:hAnsi="Arial"/>
          <w:sz w:val="18"/>
          <w:szCs w:val="18"/>
          <w:color w:val="auto"/>
        </w:rPr>
      </w:pPr>
    </w:p>
    <w:p>
      <w:pPr>
        <w:ind w:left="660" w:right="20" w:hanging="328"/>
        <w:spacing w:after="0" w:line="293" w:lineRule="auto"/>
        <w:tabs>
          <w:tab w:leader="none" w:pos="657" w:val="left"/>
        </w:tabs>
        <w:numPr>
          <w:ilvl w:val="1"/>
          <w:numId w:val="749"/>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ectPr>
          <w:pgSz w:w="11900" w:h="16838" w:orient="portrait"/>
          <w:cols w:equalWidth="0" w:num="1">
            <w:col w:w="11240"/>
          </w:cols>
          <w:pgMar w:left="320" w:top="180" w:right="339" w:bottom="1440" w:gutter="0" w:footer="0" w:header="0"/>
        </w:sectPr>
      </w:pPr>
    </w:p>
    <w:bookmarkStart w:id="762" w:name="page763"/>
    <w:bookmarkEnd w:id="762"/>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20" w:type="dxa"/>
            <w:vAlign w:val="bottom"/>
          </w:tcPr>
          <w:p>
            <w:pPr>
              <w:jc w:val="right"/>
              <w:spacing w:after="0"/>
              <w:rPr>
                <w:sz w:val="20"/>
                <w:szCs w:val="20"/>
                <w:color w:val="auto"/>
              </w:rPr>
            </w:pPr>
            <w:r>
              <w:rPr>
                <w:rFonts w:ascii="Arial" w:cs="Arial" w:eastAsia="Arial" w:hAnsi="Arial"/>
                <w:sz w:val="13"/>
                <w:szCs w:val="13"/>
                <w:color w:val="auto"/>
              </w:rPr>
              <w:t>8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85" w:lineRule="auto"/>
        <w:tabs>
          <w:tab w:leader="none" w:pos="657" w:val="left"/>
        </w:tabs>
        <w:numPr>
          <w:ilvl w:val="1"/>
          <w:numId w:val="750"/>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45" w:lineRule="exact"/>
        <w:rPr>
          <w:rFonts w:ascii="Arial" w:cs="Arial" w:eastAsia="Arial" w:hAnsi="Arial"/>
          <w:sz w:val="18"/>
          <w:szCs w:val="18"/>
          <w:color w:val="auto"/>
        </w:rPr>
      </w:pPr>
    </w:p>
    <w:p>
      <w:pPr>
        <w:jc w:val="both"/>
        <w:ind w:left="660" w:hanging="328"/>
        <w:spacing w:after="0" w:line="285" w:lineRule="auto"/>
        <w:tabs>
          <w:tab w:leader="none" w:pos="653" w:val="left"/>
        </w:tabs>
        <w:numPr>
          <w:ilvl w:val="1"/>
          <w:numId w:val="750"/>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45" w:lineRule="exact"/>
        <w:rPr>
          <w:rFonts w:ascii="Arial" w:cs="Arial" w:eastAsia="Arial" w:hAnsi="Arial"/>
          <w:sz w:val="18"/>
          <w:szCs w:val="18"/>
          <w:color w:val="auto"/>
        </w:rPr>
      </w:pPr>
    </w:p>
    <w:p>
      <w:pPr>
        <w:ind w:left="340" w:hanging="332"/>
        <w:spacing w:after="0" w:line="293" w:lineRule="auto"/>
        <w:tabs>
          <w:tab w:leader="none" w:pos="33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PSUs in respect of which the Vesting Date has not occurred by the date of the Change of Control:</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1"/>
          <w:numId w:val="751"/>
        </w:numPr>
        <w:rPr>
          <w:rFonts w:ascii="Arial" w:cs="Arial" w:eastAsia="Arial" w:hAnsi="Arial"/>
          <w:sz w:val="18"/>
          <w:szCs w:val="18"/>
          <w:color w:val="auto"/>
        </w:rPr>
      </w:pPr>
      <w:r>
        <w:rPr>
          <w:rFonts w:ascii="Arial" w:cs="Arial" w:eastAsia="Arial" w:hAnsi="Arial"/>
          <w:sz w:val="18"/>
          <w:szCs w:val="18"/>
          <w:color w:val="auto"/>
        </w:rPr>
        <w:t>all PSUs will vest immediately;</w:t>
      </w:r>
    </w:p>
    <w:p>
      <w:pPr>
        <w:spacing w:after="0" w:line="292" w:lineRule="exact"/>
        <w:rPr>
          <w:rFonts w:ascii="Arial" w:cs="Arial" w:eastAsia="Arial" w:hAnsi="Arial"/>
          <w:sz w:val="18"/>
          <w:szCs w:val="18"/>
          <w:color w:val="auto"/>
        </w:rPr>
      </w:pPr>
    </w:p>
    <w:p>
      <w:pPr>
        <w:ind w:left="660" w:hanging="328"/>
        <w:spacing w:after="0" w:line="293" w:lineRule="auto"/>
        <w:tabs>
          <w:tab w:leader="none" w:pos="657" w:val="left"/>
        </w:tabs>
        <w:numPr>
          <w:ilvl w:val="1"/>
          <w:numId w:val="751"/>
        </w:numPr>
        <w:rPr>
          <w:rFonts w:ascii="Arial" w:cs="Arial" w:eastAsia="Arial" w:hAnsi="Arial"/>
          <w:sz w:val="18"/>
          <w:szCs w:val="18"/>
          <w:color w:val="auto"/>
        </w:rPr>
      </w:pPr>
      <w:r>
        <w:rPr>
          <w:rFonts w:ascii="Arial" w:cs="Arial" w:eastAsia="Arial" w:hAnsi="Arial"/>
          <w:sz w:val="18"/>
          <w:szCs w:val="18"/>
          <w:color w:val="auto"/>
        </w:rPr>
        <w:t>the Vesting Multiple with respect to each PSU allocation will be determined by the Nomination and Compensation Committee at the time of the Change of Control unless the Vesting Multiple has already been determined prior to the Change of Control; and</w:t>
      </w:r>
    </w:p>
    <w:p>
      <w:pPr>
        <w:spacing w:after="0" w:line="237" w:lineRule="exact"/>
        <w:rPr>
          <w:rFonts w:ascii="Arial" w:cs="Arial" w:eastAsia="Arial" w:hAnsi="Arial"/>
          <w:sz w:val="18"/>
          <w:szCs w:val="18"/>
          <w:color w:val="auto"/>
        </w:rPr>
      </w:pPr>
    </w:p>
    <w:p>
      <w:pPr>
        <w:ind w:left="660" w:hanging="328"/>
        <w:spacing w:after="0" w:line="293" w:lineRule="auto"/>
        <w:tabs>
          <w:tab w:leader="none" w:pos="657" w:val="left"/>
        </w:tabs>
        <w:numPr>
          <w:ilvl w:val="1"/>
          <w:numId w:val="751"/>
        </w:numPr>
        <w:rPr>
          <w:rFonts w:ascii="Arial" w:cs="Arial" w:eastAsia="Arial" w:hAnsi="Arial"/>
          <w:sz w:val="18"/>
          <w:szCs w:val="18"/>
          <w:color w:val="auto"/>
        </w:rPr>
      </w:pPr>
      <w:r>
        <w:rPr>
          <w:rFonts w:ascii="Arial" w:cs="Arial" w:eastAsia="Arial" w:hAnsi="Arial"/>
          <w:sz w:val="18"/>
          <w:szCs w:val="18"/>
          <w:color w:val="auto"/>
        </w:rPr>
        <w:t>the PSUs will be paid out in Shares, unless the Nomination and Compensation Committee resolves to repurchase or exchange PSUs or decides upon another solution to provide the Participants with the vesting value of the PSUs.</w:t>
      </w:r>
    </w:p>
    <w:p>
      <w:pPr>
        <w:spacing w:after="0" w:line="223" w:lineRule="exact"/>
        <w:rPr>
          <w:rFonts w:ascii="Arial" w:cs="Arial" w:eastAsia="Arial" w:hAnsi="Arial"/>
          <w:sz w:val="18"/>
          <w:szCs w:val="18"/>
          <w:color w:val="auto"/>
        </w:rPr>
      </w:pPr>
    </w:p>
    <w:p>
      <w:pPr>
        <w:jc w:val="both"/>
        <w:ind w:left="340" w:hanging="332"/>
        <w:spacing w:after="0" w:line="285" w:lineRule="auto"/>
        <w:tabs>
          <w:tab w:leader="none" w:pos="334" w:val="left"/>
        </w:tabs>
        <w:numPr>
          <w:ilvl w:val="0"/>
          <w:numId w:val="751"/>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45" w:lineRule="exact"/>
        <w:rPr>
          <w:rFonts w:ascii="Arial" w:cs="Arial" w:eastAsia="Arial" w:hAnsi="Arial"/>
          <w:sz w:val="18"/>
          <w:szCs w:val="18"/>
          <w:color w:val="auto"/>
        </w:rPr>
      </w:pPr>
    </w:p>
    <w:p>
      <w:pPr>
        <w:jc w:val="both"/>
        <w:ind w:left="340" w:hanging="332"/>
        <w:spacing w:after="0" w:line="285" w:lineRule="auto"/>
        <w:tabs>
          <w:tab w:leader="none" w:pos="33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16.Corporate Events</w:t>
      </w:r>
    </w:p>
    <w:p>
      <w:pPr>
        <w:spacing w:after="0" w:line="31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w:t>
      </w:r>
    </w:p>
    <w:p>
      <w:pPr>
        <w:sectPr>
          <w:pgSz w:w="11900" w:h="16838" w:orient="portrait"/>
          <w:cols w:equalWidth="0" w:num="1">
            <w:col w:w="11240"/>
          </w:cols>
          <w:pgMar w:left="320" w:top="180" w:right="339" w:bottom="1440" w:gutter="0" w:footer="0" w:header="0"/>
        </w:sectPr>
      </w:pPr>
    </w:p>
    <w:bookmarkStart w:id="763" w:name="page764"/>
    <w:bookmarkEnd w:id="763"/>
    <w:tbl>
      <w:tblPr>
        <w:tblLayout w:type="fixed"/>
        <w:tblInd w:w="20" w:type="dxa"/>
        <w:tblCellMar>
          <w:top w:w="0" w:type="dxa"/>
          <w:left w:w="0" w:type="dxa"/>
          <w:bottom w:w="0" w:type="dxa"/>
          <w:right w:w="0" w:type="dxa"/>
        </w:tblCellMar>
      </w:tblPr>
      <w:tr>
        <w:trPr>
          <w:trHeight w:val="187"/>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20" w:type="dxa"/>
            <w:vAlign w:val="bottom"/>
          </w:tcPr>
          <w:p>
            <w:pPr>
              <w:jc w:val="right"/>
              <w:spacing w:after="0"/>
              <w:rPr>
                <w:sz w:val="20"/>
                <w:szCs w:val="20"/>
                <w:color w:val="auto"/>
              </w:rPr>
            </w:pPr>
            <w:r>
              <w:rPr>
                <w:rFonts w:ascii="Arial" w:cs="Arial" w:eastAsia="Arial" w:hAnsi="Arial"/>
                <w:sz w:val="13"/>
                <w:szCs w:val="13"/>
                <w:color w:val="auto"/>
              </w:rPr>
              <w:t>9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17.Data Protection</w:t>
      </w:r>
    </w:p>
    <w:p>
      <w:pPr>
        <w:spacing w:after="0" w:line="319" w:lineRule="exact"/>
        <w:rPr>
          <w:sz w:val="20"/>
          <w:szCs w:val="20"/>
          <w:color w:val="auto"/>
        </w:rPr>
      </w:pPr>
    </w:p>
    <w:p>
      <w:pPr>
        <w:jc w:val="both"/>
        <w:ind w:left="340" w:hanging="332"/>
        <w:spacing w:after="0" w:line="284" w:lineRule="auto"/>
        <w:tabs>
          <w:tab w:leader="none" w:pos="33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By accepting a grant of PSUs, each Participant consents to the collection and processing of personal data relating to the Participant in connection with such grant and the performance of this Plan and the PSU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spacing w:after="0" w:line="244" w:lineRule="exact"/>
        <w:rPr>
          <w:rFonts w:ascii="Arial" w:cs="Arial" w:eastAsia="Arial" w:hAnsi="Arial"/>
          <w:sz w:val="18"/>
          <w:szCs w:val="18"/>
          <w:color w:val="auto"/>
        </w:rPr>
      </w:pPr>
    </w:p>
    <w:p>
      <w:pPr>
        <w:jc w:val="both"/>
        <w:ind w:left="340" w:hanging="332"/>
        <w:spacing w:after="0" w:line="285" w:lineRule="auto"/>
        <w:tabs>
          <w:tab w:leader="none" w:pos="33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18.Legal and regulatory restrictions</w:t>
      </w:r>
    </w:p>
    <w:p>
      <w:pPr>
        <w:spacing w:after="0" w:line="319" w:lineRule="exact"/>
        <w:rPr>
          <w:sz w:val="20"/>
          <w:szCs w:val="20"/>
          <w:color w:val="auto"/>
        </w:rPr>
      </w:pPr>
    </w:p>
    <w:p>
      <w:pPr>
        <w:ind w:left="340" w:hanging="332"/>
        <w:spacing w:after="0" w:line="293" w:lineRule="auto"/>
        <w:tabs>
          <w:tab w:leader="none" w:pos="33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Neither the Shares nor the PSU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340" w:hanging="332"/>
        <w:spacing w:after="0" w:line="281" w:lineRule="auto"/>
        <w:tabs>
          <w:tab w:leader="none" w:pos="33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w:t>
      </w:r>
    </w:p>
    <w:p>
      <w:pPr>
        <w:spacing w:after="0" w:line="3" w:lineRule="exact"/>
        <w:rPr>
          <w:rFonts w:ascii="Arial" w:cs="Arial" w:eastAsia="Arial" w:hAnsi="Arial"/>
          <w:sz w:val="18"/>
          <w:szCs w:val="18"/>
          <w:color w:val="auto"/>
        </w:rPr>
      </w:pPr>
    </w:p>
    <w:p>
      <w:pPr>
        <w:jc w:val="both"/>
        <w:ind w:left="340"/>
        <w:spacing w:after="0" w:line="285" w:lineRule="auto"/>
        <w:rPr>
          <w:rFonts w:ascii="Arial" w:cs="Arial" w:eastAsia="Arial" w:hAnsi="Arial"/>
          <w:sz w:val="18"/>
          <w:szCs w:val="18"/>
          <w:color w:val="auto"/>
        </w:rPr>
      </w:pPr>
      <w:r>
        <w:rPr>
          <w:rFonts w:ascii="Arial" w:cs="Arial" w:eastAsia="Arial" w:hAnsi="Arial"/>
          <w:sz w:val="18"/>
          <w:szCs w:val="18"/>
          <w:color w:val="auto"/>
        </w:rPr>
        <w:t>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 its own discretion whether and how to compensate the relevant persons in lieu of such grant, delivery or extension.</w:t>
      </w:r>
    </w:p>
    <w:p>
      <w:pPr>
        <w:spacing w:after="0" w:line="245" w:lineRule="exact"/>
        <w:rPr>
          <w:rFonts w:ascii="Arial" w:cs="Arial" w:eastAsia="Arial" w:hAnsi="Arial"/>
          <w:sz w:val="18"/>
          <w:szCs w:val="18"/>
          <w:color w:val="auto"/>
        </w:rPr>
      </w:pPr>
    </w:p>
    <w:p>
      <w:pPr>
        <w:ind w:left="340" w:hanging="332"/>
        <w:spacing w:after="0" w:line="293" w:lineRule="auto"/>
        <w:tabs>
          <w:tab w:leader="none" w:pos="334" w:val="left"/>
        </w:tabs>
        <w:numPr>
          <w:ilvl w:val="0"/>
          <w:numId w:val="753"/>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PSUs and any shares granted thereunder.</w:t>
      </w:r>
    </w:p>
    <w:p>
      <w:pPr>
        <w:spacing w:after="0" w:line="223" w:lineRule="exact"/>
        <w:rPr>
          <w:rFonts w:ascii="Arial" w:cs="Arial" w:eastAsia="Arial" w:hAnsi="Arial"/>
          <w:sz w:val="18"/>
          <w:szCs w:val="18"/>
          <w:color w:val="auto"/>
        </w:rPr>
      </w:pPr>
    </w:p>
    <w:p>
      <w:pPr>
        <w:ind w:left="340" w:hanging="332"/>
        <w:spacing w:after="0" w:line="293" w:lineRule="auto"/>
        <w:tabs>
          <w:tab w:leader="none" w:pos="330" w:val="left"/>
        </w:tabs>
        <w:numPr>
          <w:ilvl w:val="0"/>
          <w:numId w:val="753"/>
        </w:numPr>
        <w:rPr>
          <w:rFonts w:ascii="Arial" w:cs="Arial" w:eastAsia="Arial" w:hAnsi="Arial"/>
          <w:sz w:val="18"/>
          <w:szCs w:val="18"/>
          <w:color w:val="auto"/>
        </w:rPr>
      </w:pPr>
      <w:r>
        <w:rPr>
          <w:rFonts w:ascii="Arial" w:cs="Arial" w:eastAsia="Arial" w:hAnsi="Arial"/>
          <w:sz w:val="18"/>
          <w:szCs w:val="18"/>
          <w:color w:val="auto"/>
        </w:rPr>
        <w:t>Any grant of PSUs to members of the Management Team that qualifies as prohibited payment under the Compensation Ordinance or otherwise, shall be null and void.</w:t>
      </w:r>
    </w:p>
    <w:p>
      <w:pPr>
        <w:sectPr>
          <w:pgSz w:w="11900" w:h="16838" w:orient="portrait"/>
          <w:cols w:equalWidth="0" w:num="1">
            <w:col w:w="11240"/>
          </w:cols>
          <w:pgMar w:left="320" w:top="180" w:right="339" w:bottom="1440" w:gutter="0" w:footer="0" w:header="0"/>
        </w:sectPr>
      </w:pPr>
    </w:p>
    <w:bookmarkStart w:id="764" w:name="page765"/>
    <w:bookmarkEnd w:id="764"/>
    <w:tbl>
      <w:tblPr>
        <w:tblLayout w:type="fixed"/>
        <w:tblInd w:w="20" w:type="dxa"/>
        <w:tblCellMar>
          <w:top w:w="0" w:type="dxa"/>
          <w:left w:w="0" w:type="dxa"/>
          <w:bottom w:w="0" w:type="dxa"/>
          <w:right w:w="0" w:type="dxa"/>
        </w:tblCellMar>
      </w:tblPr>
      <w:tr>
        <w:trPr>
          <w:trHeight w:val="187"/>
        </w:trPr>
        <w:tc>
          <w:tcPr>
            <w:tcW w:w="704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60" w:type="dxa"/>
            <w:vAlign w:val="bottom"/>
          </w:tcPr>
          <w:p>
            <w:pPr>
              <w:jc w:val="right"/>
              <w:spacing w:after="0"/>
              <w:rPr>
                <w:sz w:val="20"/>
                <w:szCs w:val="20"/>
                <w:color w:val="auto"/>
              </w:rPr>
            </w:pPr>
            <w:r>
              <w:rPr>
                <w:rFonts w:ascii="Arial" w:cs="Arial" w:eastAsia="Arial" w:hAnsi="Arial"/>
                <w:sz w:val="13"/>
                <w:szCs w:val="13"/>
                <w:color w:val="auto"/>
              </w:rPr>
              <w:t>10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hanging="332"/>
        <w:spacing w:after="0" w:line="285" w:lineRule="auto"/>
        <w:tabs>
          <w:tab w:leader="none" w:pos="33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case of termination of employment or Change of Control should, at the time of the relevant event, qualify as providing additional value to a member of the Management Team in a manner that would violate the Compensation Ordinance or other legal provisions, such additional value shall be otherwise compensated, e.g. by a relevant deduction from cash compensation or other proceeds.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19.Amendment and Termination</w:t>
      </w:r>
    </w:p>
    <w:p>
      <w:pPr>
        <w:spacing w:after="0" w:line="31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PSU grants. Any adverse economic effects of such termination, suspension or amendment on grants already made pursuant to a PSU Agreement shall be fairly compensated in cash, by adjustment of other terms of the grant, by replacement by other grants or benefits,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20.Severability</w:t>
      </w:r>
    </w:p>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21.Governing Law and Jurisdiction</w:t>
      </w:r>
    </w:p>
    <w:p>
      <w:pPr>
        <w:spacing w:after="0" w:line="319" w:lineRule="exact"/>
        <w:rPr>
          <w:sz w:val="20"/>
          <w:szCs w:val="20"/>
          <w:color w:val="auto"/>
        </w:rPr>
      </w:pPr>
    </w:p>
    <w:p>
      <w:pPr>
        <w:ind w:left="320" w:hanging="312"/>
        <w:spacing w:after="0"/>
        <w:tabs>
          <w:tab w:leader="none" w:pos="320" w:val="left"/>
        </w:tabs>
        <w:numPr>
          <w:ilvl w:val="0"/>
          <w:numId w:val="755"/>
        </w:numPr>
        <w:rPr>
          <w:rFonts w:ascii="Arial" w:cs="Arial" w:eastAsia="Arial" w:hAnsi="Arial"/>
          <w:sz w:val="18"/>
          <w:szCs w:val="18"/>
          <w:color w:val="auto"/>
        </w:rPr>
      </w:pPr>
      <w:r>
        <w:rPr>
          <w:rFonts w:ascii="Arial" w:cs="Arial" w:eastAsia="Arial" w:hAnsi="Arial"/>
          <w:sz w:val="18"/>
          <w:szCs w:val="18"/>
          <w:color w:val="auto"/>
        </w:rPr>
        <w:t>This Plan and any PSU Award Agreement shall be governed by, and construed in accordance with, the substantive laws of Switzerland.</w:t>
      </w:r>
    </w:p>
    <w:p>
      <w:pPr>
        <w:spacing w:after="0" w:line="292" w:lineRule="exact"/>
        <w:rPr>
          <w:rFonts w:ascii="Arial" w:cs="Arial" w:eastAsia="Arial" w:hAnsi="Arial"/>
          <w:sz w:val="18"/>
          <w:szCs w:val="18"/>
          <w:color w:val="auto"/>
        </w:rPr>
      </w:pPr>
    </w:p>
    <w:p>
      <w:pPr>
        <w:jc w:val="both"/>
        <w:ind w:left="340" w:hanging="332"/>
        <w:spacing w:after="0" w:line="287" w:lineRule="auto"/>
        <w:tabs>
          <w:tab w:leader="none" w:pos="330" w:val="left"/>
        </w:tabs>
        <w:numPr>
          <w:ilvl w:val="0"/>
          <w:numId w:val="755"/>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22.Entry into Force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per approval of the Board of Directors, this Plan shall enter into force as of March 13, 2019.</w:t>
      </w:r>
    </w:p>
    <w:p>
      <w:pPr>
        <w:sectPr>
          <w:pgSz w:w="11900" w:h="16838" w:orient="portrait"/>
          <w:cols w:equalWidth="0" w:num="1">
            <w:col w:w="11240"/>
          </w:cols>
          <w:pgMar w:left="320" w:top="180" w:right="339" w:bottom="1440" w:gutter="0" w:footer="0" w:header="0"/>
        </w:sectPr>
      </w:pPr>
    </w:p>
    <w:bookmarkStart w:id="765" w:name="page766"/>
    <w:bookmarkEnd w:id="765"/>
    <w:p>
      <w:pPr>
        <w:ind w:left="20"/>
        <w:spacing w:after="0"/>
        <w:rPr>
          <w:sz w:val="20"/>
          <w:szCs w:val="20"/>
          <w:color w:val="auto"/>
        </w:rPr>
      </w:pPr>
      <w:r>
        <w:rPr>
          <w:rFonts w:ascii="Arial" w:cs="Arial" w:eastAsia="Arial" w:hAnsi="Arial"/>
          <w:sz w:val="13"/>
          <w:szCs w:val="13"/>
          <w:color w:val="auto"/>
        </w:rPr>
        <w:t>Molecular Partners AG: Performance Share Plan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Goal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shall mean all Group Companies.</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LTI Score Card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Management Team </w:t>
      </w:r>
      <w:r>
        <w:rPr>
          <w:rFonts w:ascii="Arial" w:cs="Arial" w:eastAsia="Arial" w:hAnsi="Arial"/>
          <w:sz w:val="18"/>
          <w:szCs w:val="18"/>
          <w:color w:val="auto"/>
        </w:rPr>
        <w:t>shall mean the members of the top level executive management, i.e. those managers whose compensation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Ordinance.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PSUs through a PSU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Multiple </w:t>
      </w:r>
      <w:r>
        <w:rPr>
          <w:rFonts w:ascii="Arial" w:cs="Arial" w:eastAsia="Arial" w:hAnsi="Arial"/>
          <w:sz w:val="18"/>
          <w:szCs w:val="18"/>
          <w:color w:val="auto"/>
        </w:rPr>
        <w:t>shall be the multiple determined in accordance with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40"/>
          </w:cols>
          <w:pgMar w:left="320" w:top="180" w:right="339" w:bottom="1440" w:gutter="0" w:footer="0" w:header="0"/>
        </w:sectPr>
      </w:pPr>
    </w:p>
    <w:bookmarkStart w:id="766" w:name="page767"/>
    <w:bookmarkEnd w:id="766"/>
    <w:p>
      <w:pPr>
        <w:ind w:left="20"/>
        <w:spacing w:after="0"/>
        <w:rPr>
          <w:sz w:val="20"/>
          <w:szCs w:val="20"/>
          <w:color w:val="auto"/>
        </w:rPr>
      </w:pPr>
      <w:r>
        <w:rPr>
          <w:rFonts w:ascii="Arial" w:cs="Arial" w:eastAsia="Arial" w:hAnsi="Arial"/>
          <w:sz w:val="13"/>
          <w:szCs w:val="13"/>
          <w:color w:val="auto"/>
        </w:rPr>
        <w:t>Molecular Partners AG: Performance Share Plan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PSU Award Agreement 2019</w:t>
      </w:r>
    </w:p>
    <w:p>
      <w:pPr>
        <w:spacing w:after="0" w:line="25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Performance Share Plan 2019 (the </w:t>
      </w:r>
      <w:r>
        <w:rPr>
          <w:rFonts w:ascii="Arial" w:cs="Arial" w:eastAsia="Arial" w:hAnsi="Arial"/>
          <w:sz w:val="18"/>
          <w:szCs w:val="18"/>
          <w:b w:val="1"/>
          <w:bCs w:val="1"/>
          <w:color w:val="auto"/>
        </w:rPr>
        <w:t>PSU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PSU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PSU Plan, the Company hereby grants to you the following PSUs: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351"/>
        </w:trPr>
        <w:tc>
          <w:tcPr>
            <w:tcW w:w="3040" w:type="dxa"/>
            <w:vAlign w:val="bottom"/>
          </w:tcPr>
          <w:p>
            <w:pPr>
              <w:spacing w:after="0"/>
              <w:rPr>
                <w:sz w:val="20"/>
                <w:szCs w:val="20"/>
                <w:color w:val="auto"/>
              </w:rPr>
            </w:pPr>
            <w:r>
              <w:rPr>
                <w:rFonts w:ascii="Arial" w:cs="Arial" w:eastAsia="Arial" w:hAnsi="Arial"/>
                <w:sz w:val="18"/>
                <w:szCs w:val="18"/>
                <w:b w:val="1"/>
                <w:bCs w:val="1"/>
                <w:color w:val="auto"/>
              </w:rPr>
              <w:t>Number of PSUs</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135"/>
        </w:trPr>
        <w:tc>
          <w:tcPr>
            <w:tcW w:w="3040" w:type="dxa"/>
            <w:vAlign w:val="bottom"/>
          </w:tcPr>
          <w:p>
            <w:pPr>
              <w:spacing w:after="0"/>
              <w:rPr>
                <w:sz w:val="11"/>
                <w:szCs w:val="11"/>
                <w:color w:val="auto"/>
              </w:rPr>
            </w:pPr>
          </w:p>
        </w:tc>
        <w:tc>
          <w:tcPr>
            <w:tcW w:w="7440" w:type="dxa"/>
            <w:vAlign w:val="bottom"/>
            <w:shd w:val="clear" w:color="auto" w:fill="D9D9D9"/>
          </w:tcPr>
          <w:p>
            <w:pPr>
              <w:spacing w:after="0"/>
              <w:rPr>
                <w:sz w:val="11"/>
                <w:szCs w:val="11"/>
                <w:color w:val="auto"/>
              </w:rPr>
            </w:pPr>
          </w:p>
        </w:tc>
      </w:tr>
    </w:tbl>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corporate goals relevant for this award ([communicated to you separately] | [</w:t>
      </w:r>
      <w:r>
        <w:rPr>
          <w:rFonts w:ascii="Arial" w:cs="Arial" w:eastAsia="Arial" w:hAnsi="Arial"/>
          <w:sz w:val="18"/>
          <w:szCs w:val="18"/>
          <w:u w:val="single" w:color="auto"/>
          <w:color w:val="auto"/>
        </w:rPr>
        <w:t>attached hereto]</w:t>
      </w:r>
      <w:r>
        <w:rPr>
          <w:rFonts w:ascii="Arial" w:cs="Arial" w:eastAsia="Arial" w:hAnsi="Arial"/>
          <w:sz w:val="18"/>
          <w:szCs w:val="18"/>
          <w:color w:val="auto"/>
        </w:rPr>
        <w:t>). Please note that the PSU Plan includes a number of restrictions and conditions, which may lead to a complete loss of any entitlements hereunder. [Any grants made to members of the Management Team shall be subject to the approval of relevant compensation amounts for the Management Team by the shareholders' meeting for the year 2019.]</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PSUs in accordance with this Agreement and the PSU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Molecular Partners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366395</wp:posOffset>
            </wp:positionV>
            <wp:extent cx="15513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51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1534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 by the Participant on (Date,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534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3416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6350</wp:posOffset>
            </wp:positionV>
            <wp:extent cx="1423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767" w:name="page768"/>
    <w:bookmarkEnd w:id="767"/>
    <w:tbl>
      <w:tblPr>
        <w:tblLayout w:type="fixed"/>
        <w:tblInd w:w="20" w:type="dxa"/>
        <w:tblCellMar>
          <w:top w:w="0" w:type="dxa"/>
          <w:left w:w="0" w:type="dxa"/>
          <w:bottom w:w="0" w:type="dxa"/>
          <w:right w:w="0" w:type="dxa"/>
        </w:tblCellMar>
      </w:tblPr>
      <w:tr>
        <w:trPr>
          <w:trHeight w:val="162"/>
        </w:trPr>
        <w:tc>
          <w:tcPr>
            <w:tcW w:w="7100" w:type="dxa"/>
            <w:vAlign w:val="bottom"/>
          </w:tcPr>
          <w:p>
            <w:pPr>
              <w:spacing w:after="0"/>
              <w:rPr>
                <w:sz w:val="20"/>
                <w:szCs w:val="20"/>
                <w:color w:val="auto"/>
              </w:rPr>
            </w:pPr>
            <w:r>
              <w:rPr>
                <w:rFonts w:ascii="Arial" w:cs="Arial" w:eastAsia="Arial" w:hAnsi="Arial"/>
                <w:sz w:val="13"/>
                <w:szCs w:val="13"/>
                <w:color w:val="auto"/>
              </w:rPr>
              <w:t>Molecular Partners AG: Performance Share Plan 2019</w:t>
            </w:r>
          </w:p>
        </w:tc>
        <w:tc>
          <w:tcPr>
            <w:tcW w:w="4100" w:type="dxa"/>
            <w:vAlign w:val="bottom"/>
          </w:tcPr>
          <w:p>
            <w:pPr>
              <w:jc w:val="right"/>
              <w:spacing w:after="0"/>
              <w:rPr>
                <w:sz w:val="20"/>
                <w:szCs w:val="20"/>
                <w:color w:val="auto"/>
              </w:rPr>
            </w:pPr>
            <w:r>
              <w:rPr>
                <w:rFonts w:ascii="Arial" w:cs="Arial" w:eastAsia="Arial" w:hAnsi="Arial"/>
                <w:sz w:val="13"/>
                <w:szCs w:val="13"/>
                <w:color w:val="auto"/>
              </w:rPr>
              <w:t>2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to the PSU Award Agreement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 Plan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 Score Card [for [</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220"/>
          </w:cols>
          <w:pgMar w:left="320" w:top="180" w:right="359" w:bottom="1440" w:gutter="0" w:footer="0" w:header="0"/>
        </w:sectPr>
      </w:pPr>
    </w:p>
    <w:bookmarkStart w:id="768" w:name="page769"/>
    <w:bookmarkEnd w:id="768"/>
    <w:p>
      <w:pPr>
        <w:ind w:left="20"/>
        <w:spacing w:after="0"/>
        <w:tabs>
          <w:tab w:leader="none" w:pos="10160" w:val="left"/>
        </w:tabs>
        <w:rPr>
          <w:sz w:val="20"/>
          <w:szCs w:val="20"/>
          <w:color w:val="auto"/>
        </w:rPr>
      </w:pPr>
      <w:r>
        <w:rPr>
          <w:rFonts w:ascii="Arial" w:cs="Arial" w:eastAsia="Arial" w:hAnsi="Arial"/>
          <w:sz w:val="13"/>
          <w:szCs w:val="13"/>
          <w:color w:val="auto"/>
        </w:rPr>
        <w:t>Molecular Partners AG: Performance Share Plan 2020</w:t>
      </w:r>
      <w:r>
        <w:rPr>
          <w:sz w:val="20"/>
          <w:szCs w:val="20"/>
          <w:color w:val="auto"/>
        </w:rPr>
        <w:tab/>
      </w:r>
      <w:r>
        <w:rPr>
          <w:rFonts w:ascii="Arial" w:cs="Arial" w:eastAsia="Arial" w:hAnsi="Arial"/>
          <w:sz w:val="25"/>
          <w:szCs w:val="25"/>
          <w:b w:val="1"/>
          <w:bCs w:val="1"/>
          <w:color w:val="auto"/>
          <w:vertAlign w:val="subscript"/>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Plan 2020</w:t>
      </w:r>
    </w:p>
    <w:p>
      <w:pPr>
        <w:sectPr>
          <w:pgSz w:w="11900" w:h="16838" w:orient="portrait"/>
          <w:cols w:equalWidth="0" w:num="1">
            <w:col w:w="11200"/>
          </w:cols>
          <w:pgMar w:left="320" w:top="0" w:right="379" w:bottom="1440" w:gutter="0" w:footer="0" w:header="0"/>
        </w:sectPr>
      </w:pPr>
    </w:p>
    <w:bookmarkStart w:id="769" w:name="page770"/>
    <w:bookmarkEnd w:id="769"/>
    <w:tbl>
      <w:tblPr>
        <w:tblLayout w:type="fixed"/>
        <w:tblInd w:w="20"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20" w:type="dxa"/>
            <w:vAlign w:val="bottom"/>
          </w:tcPr>
          <w:p>
            <w:pPr>
              <w:jc w:val="right"/>
              <w:spacing w:after="0"/>
              <w:rPr>
                <w:sz w:val="20"/>
                <w:szCs w:val="20"/>
                <w:color w:val="auto"/>
              </w:rPr>
            </w:pPr>
            <w:r>
              <w:rPr>
                <w:rFonts w:ascii="Arial" w:cs="Arial" w:eastAsia="Arial" w:hAnsi="Arial"/>
                <w:sz w:val="13"/>
                <w:szCs w:val="13"/>
                <w:color w:val="auto"/>
              </w:rPr>
              <w:t>2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7040" w:type="dxa"/>
            <w:vAlign w:val="bottom"/>
            <w:gridSpan w:val="3"/>
          </w:tcPr>
          <w:p>
            <w:pPr>
              <w:spacing w:after="0"/>
              <w:rPr>
                <w:sz w:val="20"/>
                <w:szCs w:val="20"/>
                <w:color w:val="auto"/>
              </w:rPr>
            </w:pPr>
            <w:r>
              <w:rPr>
                <w:rFonts w:ascii="Arial" w:cs="Arial" w:eastAsia="Arial" w:hAnsi="Arial"/>
                <w:sz w:val="18"/>
                <w:szCs w:val="18"/>
                <w:color w:val="auto"/>
              </w:rPr>
              <w:t>Performance Share Plan 2020</w:t>
            </w:r>
          </w:p>
        </w:tc>
        <w:tc>
          <w:tcPr>
            <w:tcW w:w="3420" w:type="dxa"/>
            <w:vAlign w:val="bottom"/>
          </w:tcPr>
          <w:p>
            <w:pPr>
              <w:ind w:left="3220"/>
              <w:spacing w:after="0"/>
              <w:rPr>
                <w:sz w:val="20"/>
                <w:szCs w:val="20"/>
                <w:color w:val="auto"/>
              </w:rPr>
            </w:pPr>
            <w:r>
              <w:rPr>
                <w:rFonts w:ascii="Arial" w:cs="Arial" w:eastAsia="Arial" w:hAnsi="Arial"/>
                <w:sz w:val="18"/>
                <w:szCs w:val="18"/>
                <w:color w:val="auto"/>
              </w:rPr>
              <w:t>3</w:t>
            </w:r>
          </w:p>
        </w:tc>
      </w:tr>
      <w:tr>
        <w:trPr>
          <w:trHeight w:val="554"/>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Purpose</w:t>
            </w:r>
          </w:p>
        </w:tc>
        <w:tc>
          <w:tcPr>
            <w:tcW w:w="3420" w:type="dxa"/>
            <w:vAlign w:val="bottom"/>
          </w:tcPr>
          <w:p>
            <w:pPr>
              <w:ind w:left="3220"/>
              <w:spacing w:after="0"/>
              <w:rPr>
                <w:sz w:val="20"/>
                <w:szCs w:val="20"/>
                <w:color w:val="auto"/>
              </w:rPr>
            </w:pPr>
            <w:r>
              <w:rPr>
                <w:rFonts w:ascii="Arial" w:cs="Arial" w:eastAsia="Arial" w:hAnsi="Arial"/>
                <w:sz w:val="18"/>
                <w:szCs w:val="18"/>
                <w:color w:val="auto"/>
              </w:rPr>
              <w:t>3</w:t>
            </w:r>
          </w:p>
        </w:tc>
      </w:tr>
      <w:tr>
        <w:trPr>
          <w:trHeight w:val="553"/>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3420" w:type="dxa"/>
            <w:vAlign w:val="bottom"/>
          </w:tcPr>
          <w:p>
            <w:pPr>
              <w:ind w:left="3220"/>
              <w:spacing w:after="0"/>
              <w:rPr>
                <w:sz w:val="20"/>
                <w:szCs w:val="20"/>
                <w:color w:val="auto"/>
              </w:rPr>
            </w:pPr>
            <w:r>
              <w:rPr>
                <w:rFonts w:ascii="Arial" w:cs="Arial" w:eastAsia="Arial" w:hAnsi="Arial"/>
                <w:sz w:val="18"/>
                <w:szCs w:val="18"/>
                <w:color w:val="auto"/>
              </w:rPr>
              <w:t>3</w:t>
            </w:r>
          </w:p>
        </w:tc>
      </w:tr>
      <w:tr>
        <w:trPr>
          <w:trHeight w:val="553"/>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Responsibilities and Administration</w:t>
            </w:r>
          </w:p>
        </w:tc>
        <w:tc>
          <w:tcPr>
            <w:tcW w:w="3420" w:type="dxa"/>
            <w:vAlign w:val="bottom"/>
          </w:tcPr>
          <w:p>
            <w:pPr>
              <w:ind w:left="3220"/>
              <w:spacing w:after="0"/>
              <w:rPr>
                <w:sz w:val="20"/>
                <w:szCs w:val="20"/>
                <w:color w:val="auto"/>
              </w:rPr>
            </w:pPr>
            <w:r>
              <w:rPr>
                <w:rFonts w:ascii="Arial" w:cs="Arial" w:eastAsia="Arial" w:hAnsi="Arial"/>
                <w:sz w:val="18"/>
                <w:szCs w:val="18"/>
                <w:color w:val="auto"/>
              </w:rPr>
              <w:t>3</w:t>
            </w:r>
          </w:p>
        </w:tc>
      </w:tr>
      <w:tr>
        <w:trPr>
          <w:trHeight w:val="553"/>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Eligibility and Participation</w:t>
            </w:r>
          </w:p>
        </w:tc>
        <w:tc>
          <w:tcPr>
            <w:tcW w:w="3420" w:type="dxa"/>
            <w:vAlign w:val="bottom"/>
          </w:tcPr>
          <w:p>
            <w:pPr>
              <w:ind w:left="3220"/>
              <w:spacing w:after="0"/>
              <w:rPr>
                <w:sz w:val="20"/>
                <w:szCs w:val="20"/>
                <w:color w:val="auto"/>
              </w:rPr>
            </w:pPr>
            <w:r>
              <w:rPr>
                <w:rFonts w:ascii="Arial" w:cs="Arial" w:eastAsia="Arial" w:hAnsi="Arial"/>
                <w:sz w:val="18"/>
                <w:szCs w:val="18"/>
                <w:color w:val="auto"/>
              </w:rPr>
              <w:t>4</w:t>
            </w:r>
          </w:p>
        </w:tc>
      </w:tr>
      <w:tr>
        <w:trPr>
          <w:trHeight w:val="553"/>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Grant of PSUs</w:t>
            </w:r>
          </w:p>
        </w:tc>
        <w:tc>
          <w:tcPr>
            <w:tcW w:w="3420" w:type="dxa"/>
            <w:vAlign w:val="bottom"/>
          </w:tcPr>
          <w:p>
            <w:pPr>
              <w:ind w:left="3220"/>
              <w:spacing w:after="0"/>
              <w:rPr>
                <w:sz w:val="20"/>
                <w:szCs w:val="20"/>
                <w:color w:val="auto"/>
              </w:rPr>
            </w:pPr>
            <w:r>
              <w:rPr>
                <w:rFonts w:ascii="Arial" w:cs="Arial" w:eastAsia="Arial" w:hAnsi="Arial"/>
                <w:sz w:val="18"/>
                <w:szCs w:val="18"/>
                <w:color w:val="auto"/>
              </w:rPr>
              <w:t>4</w:t>
            </w:r>
          </w:p>
        </w:tc>
      </w:tr>
      <w:tr>
        <w:trPr>
          <w:trHeight w:val="553"/>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No Securities</w:t>
            </w:r>
          </w:p>
        </w:tc>
        <w:tc>
          <w:tcPr>
            <w:tcW w:w="3420" w:type="dxa"/>
            <w:vAlign w:val="bottom"/>
          </w:tcPr>
          <w:p>
            <w:pPr>
              <w:ind w:left="3220"/>
              <w:spacing w:after="0"/>
              <w:rPr>
                <w:sz w:val="20"/>
                <w:szCs w:val="20"/>
                <w:color w:val="auto"/>
              </w:rPr>
            </w:pPr>
            <w:r>
              <w:rPr>
                <w:rFonts w:ascii="Arial" w:cs="Arial" w:eastAsia="Arial" w:hAnsi="Arial"/>
                <w:sz w:val="18"/>
                <w:szCs w:val="18"/>
                <w:color w:val="auto"/>
              </w:rPr>
              <w:t>5</w:t>
            </w:r>
          </w:p>
        </w:tc>
      </w:tr>
      <w:tr>
        <w:trPr>
          <w:trHeight w:val="554"/>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No Transfer</w:t>
            </w:r>
          </w:p>
        </w:tc>
        <w:tc>
          <w:tcPr>
            <w:tcW w:w="3420" w:type="dxa"/>
            <w:vAlign w:val="bottom"/>
          </w:tcPr>
          <w:p>
            <w:pPr>
              <w:ind w:left="3220"/>
              <w:spacing w:after="0"/>
              <w:rPr>
                <w:sz w:val="20"/>
                <w:szCs w:val="20"/>
                <w:color w:val="auto"/>
              </w:rPr>
            </w:pPr>
            <w:r>
              <w:rPr>
                <w:rFonts w:ascii="Arial" w:cs="Arial" w:eastAsia="Arial" w:hAnsi="Arial"/>
                <w:sz w:val="18"/>
                <w:szCs w:val="18"/>
                <w:color w:val="auto"/>
              </w:rPr>
              <w:t>5</w:t>
            </w:r>
          </w:p>
        </w:tc>
      </w:tr>
      <w:tr>
        <w:trPr>
          <w:trHeight w:val="553"/>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6780" w:type="dxa"/>
            <w:vAlign w:val="bottom"/>
            <w:gridSpan w:val="2"/>
          </w:tcPr>
          <w:p>
            <w:pPr>
              <w:ind w:left="100"/>
              <w:spacing w:after="0"/>
              <w:rPr>
                <w:sz w:val="20"/>
                <w:szCs w:val="20"/>
                <w:color w:val="auto"/>
              </w:rPr>
            </w:pPr>
            <w:r>
              <w:rPr>
                <w:rFonts w:ascii="Arial" w:cs="Arial" w:eastAsia="Arial" w:hAnsi="Arial"/>
                <w:sz w:val="18"/>
                <w:szCs w:val="18"/>
                <w:color w:val="auto"/>
              </w:rPr>
              <w:t>Vesting and Delivery of Shares</w:t>
            </w:r>
          </w:p>
        </w:tc>
        <w:tc>
          <w:tcPr>
            <w:tcW w:w="3420" w:type="dxa"/>
            <w:vAlign w:val="bottom"/>
          </w:tcPr>
          <w:p>
            <w:pPr>
              <w:ind w:left="3220"/>
              <w:spacing w:after="0"/>
              <w:rPr>
                <w:sz w:val="20"/>
                <w:szCs w:val="20"/>
                <w:color w:val="auto"/>
              </w:rPr>
            </w:pPr>
            <w:r>
              <w:rPr>
                <w:rFonts w:ascii="Arial" w:cs="Arial" w:eastAsia="Arial" w:hAnsi="Arial"/>
                <w:sz w:val="18"/>
                <w:szCs w:val="18"/>
                <w:color w:val="auto"/>
              </w:rPr>
              <w:t>5</w:t>
            </w:r>
          </w:p>
        </w:tc>
      </w:tr>
      <w:tr>
        <w:trPr>
          <w:trHeight w:val="554"/>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Underlying Shares</w:t>
            </w:r>
          </w:p>
        </w:tc>
        <w:tc>
          <w:tcPr>
            <w:tcW w:w="3420" w:type="dxa"/>
            <w:vAlign w:val="bottom"/>
          </w:tcPr>
          <w:p>
            <w:pPr>
              <w:ind w:left="3220"/>
              <w:spacing w:after="0"/>
              <w:rPr>
                <w:sz w:val="20"/>
                <w:szCs w:val="20"/>
                <w:color w:val="auto"/>
              </w:rPr>
            </w:pPr>
            <w:r>
              <w:rPr>
                <w:rFonts w:ascii="Arial" w:cs="Arial" w:eastAsia="Arial" w:hAnsi="Arial"/>
                <w:sz w:val="18"/>
                <w:szCs w:val="18"/>
                <w:color w:val="auto"/>
              </w:rPr>
              <w:t>5</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10.</w:t>
            </w:r>
          </w:p>
        </w:tc>
        <w:tc>
          <w:tcPr>
            <w:tcW w:w="6740" w:type="dxa"/>
            <w:vAlign w:val="bottom"/>
          </w:tcPr>
          <w:p>
            <w:pPr>
              <w:ind w:left="160"/>
              <w:spacing w:after="0"/>
              <w:rPr>
                <w:sz w:val="20"/>
                <w:szCs w:val="20"/>
                <w:color w:val="auto"/>
              </w:rPr>
            </w:pPr>
            <w:r>
              <w:rPr>
                <w:rFonts w:ascii="Arial" w:cs="Arial" w:eastAsia="Arial" w:hAnsi="Arial"/>
                <w:sz w:val="18"/>
                <w:szCs w:val="18"/>
                <w:color w:val="auto"/>
              </w:rPr>
              <w:t>Vesting Multiple</w:t>
            </w:r>
          </w:p>
        </w:tc>
        <w:tc>
          <w:tcPr>
            <w:tcW w:w="3420" w:type="dxa"/>
            <w:vAlign w:val="bottom"/>
          </w:tcPr>
          <w:p>
            <w:pPr>
              <w:ind w:left="3220"/>
              <w:spacing w:after="0"/>
              <w:rPr>
                <w:sz w:val="20"/>
                <w:szCs w:val="20"/>
                <w:color w:val="auto"/>
              </w:rPr>
            </w:pPr>
            <w:r>
              <w:rPr>
                <w:rFonts w:ascii="Arial" w:cs="Arial" w:eastAsia="Arial" w:hAnsi="Arial"/>
                <w:sz w:val="18"/>
                <w:szCs w:val="18"/>
                <w:color w:val="auto"/>
              </w:rPr>
              <w:t>5</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11.</w:t>
            </w:r>
          </w:p>
        </w:tc>
        <w:tc>
          <w:tcPr>
            <w:tcW w:w="6740" w:type="dxa"/>
            <w:vAlign w:val="bottom"/>
          </w:tcPr>
          <w:p>
            <w:pPr>
              <w:ind w:left="160"/>
              <w:spacing w:after="0"/>
              <w:rPr>
                <w:sz w:val="20"/>
                <w:szCs w:val="20"/>
                <w:color w:val="auto"/>
              </w:rPr>
            </w:pPr>
            <w:r>
              <w:rPr>
                <w:rFonts w:ascii="Arial" w:cs="Arial" w:eastAsia="Arial" w:hAnsi="Arial"/>
                <w:sz w:val="18"/>
                <w:szCs w:val="18"/>
                <w:color w:val="auto"/>
              </w:rPr>
              <w:t>Taxes and Social Security Contributions</w:t>
            </w:r>
          </w:p>
        </w:tc>
        <w:tc>
          <w:tcPr>
            <w:tcW w:w="3420" w:type="dxa"/>
            <w:vAlign w:val="bottom"/>
          </w:tcPr>
          <w:p>
            <w:pPr>
              <w:ind w:left="3220"/>
              <w:spacing w:after="0"/>
              <w:rPr>
                <w:sz w:val="20"/>
                <w:szCs w:val="20"/>
                <w:color w:val="auto"/>
              </w:rPr>
            </w:pPr>
            <w:r>
              <w:rPr>
                <w:rFonts w:ascii="Arial" w:cs="Arial" w:eastAsia="Arial" w:hAnsi="Arial"/>
                <w:sz w:val="18"/>
                <w:szCs w:val="18"/>
                <w:color w:val="auto"/>
              </w:rPr>
              <w:t>6</w:t>
            </w:r>
          </w:p>
        </w:tc>
      </w:tr>
      <w:tr>
        <w:trPr>
          <w:trHeight w:val="554"/>
        </w:trPr>
        <w:tc>
          <w:tcPr>
            <w:tcW w:w="300" w:type="dxa"/>
            <w:vAlign w:val="bottom"/>
            <w:gridSpan w:val="2"/>
          </w:tcPr>
          <w:p>
            <w:pPr>
              <w:spacing w:after="0"/>
              <w:rPr>
                <w:sz w:val="20"/>
                <w:szCs w:val="20"/>
                <w:color w:val="auto"/>
              </w:rPr>
            </w:pPr>
            <w:r>
              <w:rPr>
                <w:rFonts w:ascii="Arial" w:cs="Arial" w:eastAsia="Arial" w:hAnsi="Arial"/>
                <w:sz w:val="18"/>
                <w:szCs w:val="18"/>
                <w:color w:val="auto"/>
              </w:rPr>
              <w:t>12.</w:t>
            </w:r>
          </w:p>
        </w:tc>
        <w:tc>
          <w:tcPr>
            <w:tcW w:w="6740" w:type="dxa"/>
            <w:vAlign w:val="bottom"/>
          </w:tcPr>
          <w:p>
            <w:pPr>
              <w:ind w:left="160"/>
              <w:spacing w:after="0"/>
              <w:rPr>
                <w:sz w:val="20"/>
                <w:szCs w:val="20"/>
                <w:color w:val="auto"/>
              </w:rPr>
            </w:pPr>
            <w:r>
              <w:rPr>
                <w:rFonts w:ascii="Arial" w:cs="Arial" w:eastAsia="Arial" w:hAnsi="Arial"/>
                <w:sz w:val="18"/>
                <w:szCs w:val="18"/>
                <w:color w:val="auto"/>
              </w:rPr>
              <w:t>Disclosure Requirements</w:t>
            </w:r>
          </w:p>
        </w:tc>
        <w:tc>
          <w:tcPr>
            <w:tcW w:w="3420" w:type="dxa"/>
            <w:vAlign w:val="bottom"/>
          </w:tcPr>
          <w:p>
            <w:pPr>
              <w:ind w:left="3220"/>
              <w:spacing w:after="0"/>
              <w:rPr>
                <w:sz w:val="20"/>
                <w:szCs w:val="20"/>
                <w:color w:val="auto"/>
              </w:rPr>
            </w:pPr>
            <w:r>
              <w:rPr>
                <w:rFonts w:ascii="Arial" w:cs="Arial" w:eastAsia="Arial" w:hAnsi="Arial"/>
                <w:sz w:val="18"/>
                <w:szCs w:val="18"/>
                <w:color w:val="auto"/>
              </w:rPr>
              <w:t>6</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13.</w:t>
            </w:r>
          </w:p>
        </w:tc>
        <w:tc>
          <w:tcPr>
            <w:tcW w:w="6740" w:type="dxa"/>
            <w:vAlign w:val="bottom"/>
          </w:tcPr>
          <w:p>
            <w:pPr>
              <w:ind w:left="160"/>
              <w:spacing w:after="0"/>
              <w:rPr>
                <w:sz w:val="20"/>
                <w:szCs w:val="20"/>
                <w:color w:val="auto"/>
              </w:rPr>
            </w:pPr>
            <w:r>
              <w:rPr>
                <w:rFonts w:ascii="Arial" w:cs="Arial" w:eastAsia="Arial" w:hAnsi="Arial"/>
                <w:sz w:val="18"/>
                <w:szCs w:val="18"/>
                <w:color w:val="auto"/>
              </w:rPr>
              <w:t>Other Obligations of the Participant</w:t>
            </w:r>
          </w:p>
        </w:tc>
        <w:tc>
          <w:tcPr>
            <w:tcW w:w="3420" w:type="dxa"/>
            <w:vAlign w:val="bottom"/>
          </w:tcPr>
          <w:p>
            <w:pPr>
              <w:ind w:left="3220"/>
              <w:spacing w:after="0"/>
              <w:rPr>
                <w:sz w:val="20"/>
                <w:szCs w:val="20"/>
                <w:color w:val="auto"/>
              </w:rPr>
            </w:pPr>
            <w:r>
              <w:rPr>
                <w:rFonts w:ascii="Arial" w:cs="Arial" w:eastAsia="Arial" w:hAnsi="Arial"/>
                <w:sz w:val="18"/>
                <w:szCs w:val="18"/>
                <w:color w:val="auto"/>
              </w:rPr>
              <w:t>6</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14.</w:t>
            </w:r>
          </w:p>
        </w:tc>
        <w:tc>
          <w:tcPr>
            <w:tcW w:w="6740" w:type="dxa"/>
            <w:vAlign w:val="bottom"/>
          </w:tcPr>
          <w:p>
            <w:pPr>
              <w:ind w:left="160"/>
              <w:spacing w:after="0"/>
              <w:rPr>
                <w:sz w:val="20"/>
                <w:szCs w:val="20"/>
                <w:color w:val="auto"/>
              </w:rPr>
            </w:pPr>
            <w:r>
              <w:rPr>
                <w:rFonts w:ascii="Arial" w:cs="Arial" w:eastAsia="Arial" w:hAnsi="Arial"/>
                <w:sz w:val="18"/>
                <w:szCs w:val="18"/>
                <w:color w:val="auto"/>
              </w:rPr>
              <w:t>Termination of Employment and Forfeiture</w:t>
            </w:r>
          </w:p>
        </w:tc>
        <w:tc>
          <w:tcPr>
            <w:tcW w:w="3420" w:type="dxa"/>
            <w:vAlign w:val="bottom"/>
          </w:tcPr>
          <w:p>
            <w:pPr>
              <w:ind w:left="3220"/>
              <w:spacing w:after="0"/>
              <w:rPr>
                <w:sz w:val="20"/>
                <w:szCs w:val="20"/>
                <w:color w:val="auto"/>
              </w:rPr>
            </w:pPr>
            <w:r>
              <w:rPr>
                <w:rFonts w:ascii="Arial" w:cs="Arial" w:eastAsia="Arial" w:hAnsi="Arial"/>
                <w:sz w:val="18"/>
                <w:szCs w:val="18"/>
                <w:color w:val="auto"/>
              </w:rPr>
              <w:t>7</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15.</w:t>
            </w:r>
          </w:p>
        </w:tc>
        <w:tc>
          <w:tcPr>
            <w:tcW w:w="6740" w:type="dxa"/>
            <w:vAlign w:val="bottom"/>
          </w:tcPr>
          <w:p>
            <w:pPr>
              <w:ind w:left="160"/>
              <w:spacing w:after="0"/>
              <w:rPr>
                <w:sz w:val="20"/>
                <w:szCs w:val="20"/>
                <w:color w:val="auto"/>
              </w:rPr>
            </w:pPr>
            <w:r>
              <w:rPr>
                <w:rFonts w:ascii="Arial" w:cs="Arial" w:eastAsia="Arial" w:hAnsi="Arial"/>
                <w:sz w:val="18"/>
                <w:szCs w:val="18"/>
                <w:color w:val="auto"/>
              </w:rPr>
              <w:t>Change of Control</w:t>
            </w:r>
          </w:p>
        </w:tc>
        <w:tc>
          <w:tcPr>
            <w:tcW w:w="3420" w:type="dxa"/>
            <w:vAlign w:val="bottom"/>
          </w:tcPr>
          <w:p>
            <w:pPr>
              <w:ind w:left="3220"/>
              <w:spacing w:after="0"/>
              <w:rPr>
                <w:sz w:val="20"/>
                <w:szCs w:val="20"/>
                <w:color w:val="auto"/>
              </w:rPr>
            </w:pPr>
            <w:r>
              <w:rPr>
                <w:rFonts w:ascii="Arial" w:cs="Arial" w:eastAsia="Arial" w:hAnsi="Arial"/>
                <w:sz w:val="18"/>
                <w:szCs w:val="18"/>
                <w:color w:val="auto"/>
              </w:rPr>
              <w:t>7</w:t>
            </w:r>
          </w:p>
        </w:tc>
      </w:tr>
      <w:tr>
        <w:trPr>
          <w:trHeight w:val="554"/>
        </w:trPr>
        <w:tc>
          <w:tcPr>
            <w:tcW w:w="300" w:type="dxa"/>
            <w:vAlign w:val="bottom"/>
            <w:gridSpan w:val="2"/>
          </w:tcPr>
          <w:p>
            <w:pPr>
              <w:spacing w:after="0"/>
              <w:rPr>
                <w:sz w:val="20"/>
                <w:szCs w:val="20"/>
                <w:color w:val="auto"/>
              </w:rPr>
            </w:pPr>
            <w:r>
              <w:rPr>
                <w:rFonts w:ascii="Arial" w:cs="Arial" w:eastAsia="Arial" w:hAnsi="Arial"/>
                <w:sz w:val="18"/>
                <w:szCs w:val="18"/>
                <w:color w:val="auto"/>
              </w:rPr>
              <w:t>16.</w:t>
            </w:r>
          </w:p>
        </w:tc>
        <w:tc>
          <w:tcPr>
            <w:tcW w:w="6740" w:type="dxa"/>
            <w:vAlign w:val="bottom"/>
          </w:tcPr>
          <w:p>
            <w:pPr>
              <w:ind w:left="160"/>
              <w:spacing w:after="0"/>
              <w:rPr>
                <w:sz w:val="20"/>
                <w:szCs w:val="20"/>
                <w:color w:val="auto"/>
              </w:rPr>
            </w:pPr>
            <w:r>
              <w:rPr>
                <w:rFonts w:ascii="Arial" w:cs="Arial" w:eastAsia="Arial" w:hAnsi="Arial"/>
                <w:sz w:val="18"/>
                <w:szCs w:val="18"/>
                <w:color w:val="auto"/>
              </w:rPr>
              <w:t>Corporate Events</w:t>
            </w:r>
          </w:p>
        </w:tc>
        <w:tc>
          <w:tcPr>
            <w:tcW w:w="3420" w:type="dxa"/>
            <w:vAlign w:val="bottom"/>
          </w:tcPr>
          <w:p>
            <w:pPr>
              <w:ind w:left="3220"/>
              <w:spacing w:after="0"/>
              <w:rPr>
                <w:sz w:val="20"/>
                <w:szCs w:val="20"/>
                <w:color w:val="auto"/>
              </w:rPr>
            </w:pPr>
            <w:r>
              <w:rPr>
                <w:rFonts w:ascii="Arial" w:cs="Arial" w:eastAsia="Arial" w:hAnsi="Arial"/>
                <w:sz w:val="18"/>
                <w:szCs w:val="18"/>
                <w:color w:val="auto"/>
              </w:rPr>
              <w:t>8</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17.</w:t>
            </w:r>
          </w:p>
        </w:tc>
        <w:tc>
          <w:tcPr>
            <w:tcW w:w="6740" w:type="dxa"/>
            <w:vAlign w:val="bottom"/>
          </w:tcPr>
          <w:p>
            <w:pPr>
              <w:ind w:left="160"/>
              <w:spacing w:after="0"/>
              <w:rPr>
                <w:sz w:val="20"/>
                <w:szCs w:val="20"/>
                <w:color w:val="auto"/>
              </w:rPr>
            </w:pPr>
            <w:r>
              <w:rPr>
                <w:rFonts w:ascii="Arial" w:cs="Arial" w:eastAsia="Arial" w:hAnsi="Arial"/>
                <w:sz w:val="18"/>
                <w:szCs w:val="18"/>
                <w:color w:val="auto"/>
              </w:rPr>
              <w:t>Data Protection</w:t>
            </w:r>
          </w:p>
        </w:tc>
        <w:tc>
          <w:tcPr>
            <w:tcW w:w="3420" w:type="dxa"/>
            <w:vAlign w:val="bottom"/>
          </w:tcPr>
          <w:p>
            <w:pPr>
              <w:ind w:left="3220"/>
              <w:spacing w:after="0"/>
              <w:rPr>
                <w:sz w:val="20"/>
                <w:szCs w:val="20"/>
                <w:color w:val="auto"/>
              </w:rPr>
            </w:pPr>
            <w:r>
              <w:rPr>
                <w:rFonts w:ascii="Arial" w:cs="Arial" w:eastAsia="Arial" w:hAnsi="Arial"/>
                <w:sz w:val="18"/>
                <w:szCs w:val="18"/>
                <w:color w:val="auto"/>
              </w:rPr>
              <w:t>9</w:t>
            </w:r>
          </w:p>
        </w:tc>
      </w:tr>
      <w:tr>
        <w:trPr>
          <w:trHeight w:val="554"/>
        </w:trPr>
        <w:tc>
          <w:tcPr>
            <w:tcW w:w="300" w:type="dxa"/>
            <w:vAlign w:val="bottom"/>
            <w:gridSpan w:val="2"/>
          </w:tcPr>
          <w:p>
            <w:pPr>
              <w:spacing w:after="0"/>
              <w:rPr>
                <w:sz w:val="20"/>
                <w:szCs w:val="20"/>
                <w:color w:val="auto"/>
              </w:rPr>
            </w:pPr>
            <w:r>
              <w:rPr>
                <w:rFonts w:ascii="Arial" w:cs="Arial" w:eastAsia="Arial" w:hAnsi="Arial"/>
                <w:sz w:val="18"/>
                <w:szCs w:val="18"/>
                <w:color w:val="auto"/>
              </w:rPr>
              <w:t>18.</w:t>
            </w:r>
          </w:p>
        </w:tc>
        <w:tc>
          <w:tcPr>
            <w:tcW w:w="6740" w:type="dxa"/>
            <w:vAlign w:val="bottom"/>
          </w:tcPr>
          <w:p>
            <w:pPr>
              <w:ind w:left="160"/>
              <w:spacing w:after="0"/>
              <w:rPr>
                <w:sz w:val="20"/>
                <w:szCs w:val="20"/>
                <w:color w:val="auto"/>
              </w:rPr>
            </w:pPr>
            <w:r>
              <w:rPr>
                <w:rFonts w:ascii="Arial" w:cs="Arial" w:eastAsia="Arial" w:hAnsi="Arial"/>
                <w:sz w:val="18"/>
                <w:szCs w:val="18"/>
                <w:color w:val="auto"/>
              </w:rPr>
              <w:t>Legal and regulatory restrictions</w:t>
            </w:r>
          </w:p>
        </w:tc>
        <w:tc>
          <w:tcPr>
            <w:tcW w:w="3420" w:type="dxa"/>
            <w:vAlign w:val="bottom"/>
          </w:tcPr>
          <w:p>
            <w:pPr>
              <w:ind w:left="3220"/>
              <w:spacing w:after="0"/>
              <w:rPr>
                <w:sz w:val="20"/>
                <w:szCs w:val="20"/>
                <w:color w:val="auto"/>
              </w:rPr>
            </w:pPr>
            <w:r>
              <w:rPr>
                <w:rFonts w:ascii="Arial" w:cs="Arial" w:eastAsia="Arial" w:hAnsi="Arial"/>
                <w:sz w:val="18"/>
                <w:szCs w:val="18"/>
                <w:color w:val="auto"/>
              </w:rPr>
              <w:t>9</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19.</w:t>
            </w:r>
          </w:p>
        </w:tc>
        <w:tc>
          <w:tcPr>
            <w:tcW w:w="6740" w:type="dxa"/>
            <w:vAlign w:val="bottom"/>
          </w:tcPr>
          <w:p>
            <w:pPr>
              <w:ind w:left="140"/>
              <w:spacing w:after="0"/>
              <w:rPr>
                <w:sz w:val="20"/>
                <w:szCs w:val="20"/>
                <w:color w:val="auto"/>
              </w:rPr>
            </w:pPr>
            <w:r>
              <w:rPr>
                <w:rFonts w:ascii="Arial" w:cs="Arial" w:eastAsia="Arial" w:hAnsi="Arial"/>
                <w:sz w:val="18"/>
                <w:szCs w:val="18"/>
                <w:color w:val="auto"/>
              </w:rPr>
              <w:t>Amendment and Termination</w:t>
            </w:r>
          </w:p>
        </w:tc>
        <w:tc>
          <w:tcPr>
            <w:tcW w:w="3420" w:type="dxa"/>
            <w:vAlign w:val="bottom"/>
          </w:tcPr>
          <w:p>
            <w:pPr>
              <w:ind w:left="3220"/>
              <w:spacing w:after="0"/>
              <w:rPr>
                <w:sz w:val="20"/>
                <w:szCs w:val="20"/>
                <w:color w:val="auto"/>
              </w:rPr>
            </w:pPr>
            <w:r>
              <w:rPr>
                <w:rFonts w:ascii="Arial" w:cs="Arial" w:eastAsia="Arial" w:hAnsi="Arial"/>
                <w:sz w:val="18"/>
                <w:szCs w:val="18"/>
                <w:color w:val="auto"/>
                <w:w w:val="89"/>
              </w:rPr>
              <w:t>10</w:t>
            </w:r>
          </w:p>
        </w:tc>
      </w:tr>
      <w:tr>
        <w:trPr>
          <w:trHeight w:val="554"/>
        </w:trPr>
        <w:tc>
          <w:tcPr>
            <w:tcW w:w="300" w:type="dxa"/>
            <w:vAlign w:val="bottom"/>
            <w:gridSpan w:val="2"/>
          </w:tcPr>
          <w:p>
            <w:pPr>
              <w:spacing w:after="0"/>
              <w:rPr>
                <w:sz w:val="20"/>
                <w:szCs w:val="20"/>
                <w:color w:val="auto"/>
              </w:rPr>
            </w:pPr>
            <w:r>
              <w:rPr>
                <w:rFonts w:ascii="Arial" w:cs="Arial" w:eastAsia="Arial" w:hAnsi="Arial"/>
                <w:sz w:val="18"/>
                <w:szCs w:val="18"/>
                <w:color w:val="auto"/>
              </w:rPr>
              <w:t>20.</w:t>
            </w:r>
          </w:p>
        </w:tc>
        <w:tc>
          <w:tcPr>
            <w:tcW w:w="674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3420" w:type="dxa"/>
            <w:vAlign w:val="bottom"/>
          </w:tcPr>
          <w:p>
            <w:pPr>
              <w:ind w:left="3220"/>
              <w:spacing w:after="0"/>
              <w:rPr>
                <w:sz w:val="20"/>
                <w:szCs w:val="20"/>
                <w:color w:val="auto"/>
              </w:rPr>
            </w:pPr>
            <w:r>
              <w:rPr>
                <w:rFonts w:ascii="Arial" w:cs="Arial" w:eastAsia="Arial" w:hAnsi="Arial"/>
                <w:sz w:val="18"/>
                <w:szCs w:val="18"/>
                <w:color w:val="auto"/>
                <w:w w:val="89"/>
              </w:rPr>
              <w:t>10</w:t>
            </w:r>
          </w:p>
        </w:tc>
      </w:tr>
      <w:tr>
        <w:trPr>
          <w:trHeight w:val="553"/>
        </w:trPr>
        <w:tc>
          <w:tcPr>
            <w:tcW w:w="300" w:type="dxa"/>
            <w:vAlign w:val="bottom"/>
            <w:gridSpan w:val="2"/>
          </w:tcPr>
          <w:p>
            <w:pPr>
              <w:spacing w:after="0"/>
              <w:rPr>
                <w:sz w:val="20"/>
                <w:szCs w:val="20"/>
                <w:color w:val="auto"/>
              </w:rPr>
            </w:pPr>
            <w:r>
              <w:rPr>
                <w:rFonts w:ascii="Arial" w:cs="Arial" w:eastAsia="Arial" w:hAnsi="Arial"/>
                <w:sz w:val="18"/>
                <w:szCs w:val="18"/>
                <w:color w:val="auto"/>
              </w:rPr>
              <w:t>21.</w:t>
            </w:r>
          </w:p>
        </w:tc>
        <w:tc>
          <w:tcPr>
            <w:tcW w:w="6740" w:type="dxa"/>
            <w:vAlign w:val="bottom"/>
          </w:tcPr>
          <w:p>
            <w:pPr>
              <w:ind w:left="160"/>
              <w:spacing w:after="0"/>
              <w:rPr>
                <w:sz w:val="20"/>
                <w:szCs w:val="20"/>
                <w:color w:val="auto"/>
              </w:rPr>
            </w:pPr>
            <w:r>
              <w:rPr>
                <w:rFonts w:ascii="Arial" w:cs="Arial" w:eastAsia="Arial" w:hAnsi="Arial"/>
                <w:sz w:val="18"/>
                <w:szCs w:val="18"/>
                <w:color w:val="auto"/>
              </w:rPr>
              <w:t>Governing Law and Jurisdiction</w:t>
            </w:r>
          </w:p>
        </w:tc>
        <w:tc>
          <w:tcPr>
            <w:tcW w:w="3420" w:type="dxa"/>
            <w:vAlign w:val="bottom"/>
          </w:tcPr>
          <w:p>
            <w:pPr>
              <w:ind w:left="3220"/>
              <w:spacing w:after="0"/>
              <w:rPr>
                <w:sz w:val="20"/>
                <w:szCs w:val="20"/>
                <w:color w:val="auto"/>
              </w:rPr>
            </w:pPr>
            <w:r>
              <w:rPr>
                <w:rFonts w:ascii="Arial" w:cs="Arial" w:eastAsia="Arial" w:hAnsi="Arial"/>
                <w:sz w:val="18"/>
                <w:szCs w:val="18"/>
                <w:color w:val="auto"/>
                <w:w w:val="89"/>
              </w:rPr>
              <w:t>10</w:t>
            </w:r>
          </w:p>
        </w:tc>
      </w:tr>
      <w:tr>
        <w:trPr>
          <w:trHeight w:val="554"/>
        </w:trPr>
        <w:tc>
          <w:tcPr>
            <w:tcW w:w="300" w:type="dxa"/>
            <w:vAlign w:val="bottom"/>
            <w:gridSpan w:val="2"/>
          </w:tcPr>
          <w:p>
            <w:pPr>
              <w:spacing w:after="0"/>
              <w:rPr>
                <w:sz w:val="20"/>
                <w:szCs w:val="20"/>
                <w:color w:val="auto"/>
              </w:rPr>
            </w:pPr>
            <w:r>
              <w:rPr>
                <w:rFonts w:ascii="Arial" w:cs="Arial" w:eastAsia="Arial" w:hAnsi="Arial"/>
                <w:sz w:val="18"/>
                <w:szCs w:val="18"/>
                <w:color w:val="auto"/>
              </w:rPr>
              <w:t>22.</w:t>
            </w:r>
          </w:p>
        </w:tc>
        <w:tc>
          <w:tcPr>
            <w:tcW w:w="6740" w:type="dxa"/>
            <w:vAlign w:val="bottom"/>
          </w:tcPr>
          <w:p>
            <w:pPr>
              <w:ind w:left="160"/>
              <w:spacing w:after="0"/>
              <w:rPr>
                <w:sz w:val="20"/>
                <w:szCs w:val="20"/>
                <w:color w:val="auto"/>
              </w:rPr>
            </w:pPr>
            <w:r>
              <w:rPr>
                <w:rFonts w:ascii="Arial" w:cs="Arial" w:eastAsia="Arial" w:hAnsi="Arial"/>
                <w:sz w:val="18"/>
                <w:szCs w:val="18"/>
                <w:color w:val="auto"/>
              </w:rPr>
              <w:t>Entry into Force</w:t>
            </w:r>
          </w:p>
        </w:tc>
        <w:tc>
          <w:tcPr>
            <w:tcW w:w="3420" w:type="dxa"/>
            <w:vAlign w:val="bottom"/>
          </w:tcPr>
          <w:p>
            <w:pPr>
              <w:ind w:left="3220"/>
              <w:spacing w:after="0"/>
              <w:rPr>
                <w:sz w:val="20"/>
                <w:szCs w:val="20"/>
                <w:color w:val="auto"/>
              </w:rPr>
            </w:pPr>
            <w:r>
              <w:rPr>
                <w:rFonts w:ascii="Arial" w:cs="Arial" w:eastAsia="Arial" w:hAnsi="Arial"/>
                <w:sz w:val="18"/>
                <w:szCs w:val="18"/>
                <w:color w:val="auto"/>
                <w:w w:val="89"/>
              </w:rPr>
              <w:t>10</w:t>
            </w:r>
          </w:p>
        </w:tc>
      </w:tr>
    </w:tbl>
    <w:p>
      <w:pPr>
        <w:spacing w:after="0" w:line="200" w:lineRule="exact"/>
        <w:rPr>
          <w:sz w:val="20"/>
          <w:szCs w:val="20"/>
          <w:color w:val="auto"/>
        </w:rPr>
      </w:pPr>
    </w:p>
    <w:p>
      <w:pPr>
        <w:sectPr>
          <w:pgSz w:w="11900" w:h="16838" w:orient="portrait"/>
          <w:cols w:equalWidth="0" w:num="1">
            <w:col w:w="11220"/>
          </w:cols>
          <w:pgMar w:left="320" w:top="180"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Annexes</w:t>
      </w:r>
    </w:p>
    <w:p>
      <w:pPr>
        <w:sectPr>
          <w:pgSz w:w="11900" w:h="16838" w:orient="portrait"/>
          <w:cols w:equalWidth="0" w:num="1">
            <w:col w:w="11220"/>
          </w:cols>
          <w:pgMar w:left="320" w:top="180" w:right="359" w:bottom="0" w:gutter="0" w:footer="0" w:header="0"/>
          <w:type w:val="continuous"/>
        </w:sectPr>
      </w:pPr>
    </w:p>
    <w:bookmarkStart w:id="770" w:name="page771"/>
    <w:bookmarkEnd w:id="770"/>
    <w:p>
      <w:pPr>
        <w:spacing w:after="0"/>
        <w:rPr>
          <w:sz w:val="20"/>
          <w:szCs w:val="20"/>
          <w:color w:val="auto"/>
        </w:rPr>
      </w:pPr>
      <w:r>
        <w:rPr>
          <w:rFonts w:ascii="Arial" w:cs="Arial" w:eastAsia="Arial" w:hAnsi="Arial"/>
          <w:sz w:val="18"/>
          <w:szCs w:val="18"/>
          <w:color w:val="auto"/>
        </w:rPr>
        <w:t>Annex 1: 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Annex 2: Form of PSU Award Agreement</w:t>
      </w:r>
    </w:p>
    <w:p>
      <w:pPr>
        <w:sectPr>
          <w:pgSz w:w="11900" w:h="16838" w:orient="portrait"/>
          <w:cols w:equalWidth="0" w:num="1">
            <w:col w:w="10139"/>
          </w:cols>
          <w:pgMar w:left="320" w:top="153" w:right="1440" w:bottom="1440" w:gutter="0" w:footer="0" w:header="0"/>
        </w:sectPr>
      </w:pPr>
    </w:p>
    <w:bookmarkStart w:id="771" w:name="page772"/>
    <w:bookmarkEnd w:id="771"/>
    <w:tbl>
      <w:tblPr>
        <w:tblLayout w:type="fixed"/>
        <w:tblInd w:w="12"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20" w:type="dxa"/>
            <w:vAlign w:val="bottom"/>
          </w:tcPr>
          <w:p>
            <w:pPr>
              <w:jc w:val="right"/>
              <w:spacing w:after="0"/>
              <w:rPr>
                <w:sz w:val="20"/>
                <w:szCs w:val="20"/>
                <w:color w:val="auto"/>
              </w:rPr>
            </w:pPr>
            <w:r>
              <w:rPr>
                <w:rFonts w:ascii="Arial" w:cs="Arial" w:eastAsia="Arial" w:hAnsi="Arial"/>
                <w:sz w:val="13"/>
                <w:szCs w:val="13"/>
                <w:color w:val="auto"/>
              </w:rPr>
              <w:t>3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32"/>
        <w:spacing w:after="0"/>
        <w:rPr>
          <w:sz w:val="20"/>
          <w:szCs w:val="20"/>
          <w:color w:val="auto"/>
        </w:rPr>
      </w:pPr>
      <w:r>
        <w:rPr>
          <w:rFonts w:ascii="Arial" w:cs="Arial" w:eastAsia="Arial" w:hAnsi="Arial"/>
          <w:sz w:val="25"/>
          <w:szCs w:val="25"/>
          <w:b w:val="1"/>
          <w:bCs w:val="1"/>
          <w:color w:val="auto"/>
        </w:rPr>
        <w:t>Performance Share Plan 2020</w:t>
      </w:r>
    </w:p>
    <w:p>
      <w:pPr>
        <w:spacing w:after="0" w:line="264" w:lineRule="exact"/>
        <w:rPr>
          <w:sz w:val="20"/>
          <w:szCs w:val="20"/>
          <w:color w:val="auto"/>
        </w:rPr>
      </w:pPr>
    </w:p>
    <w:p>
      <w:pPr>
        <w:ind w:left="412" w:hanging="412"/>
        <w:spacing w:after="0"/>
        <w:tabs>
          <w:tab w:leader="none" w:pos="412" w:val="left"/>
        </w:tabs>
        <w:numPr>
          <w:ilvl w:val="0"/>
          <w:numId w:val="756"/>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97" w:lineRule="exact"/>
        <w:rPr>
          <w:sz w:val="20"/>
          <w:szCs w:val="20"/>
          <w:color w:val="auto"/>
        </w:rPr>
      </w:pPr>
    </w:p>
    <w:p>
      <w:pPr>
        <w:jc w:val="both"/>
        <w:ind w:left="332"/>
        <w:spacing w:after="0" w:line="300" w:lineRule="auto"/>
        <w:rPr>
          <w:sz w:val="20"/>
          <w:szCs w:val="20"/>
          <w:color w:val="auto"/>
        </w:rPr>
      </w:pPr>
      <w:r>
        <w:rPr>
          <w:rFonts w:ascii="Arial" w:cs="Arial" w:eastAsia="Arial" w:hAnsi="Arial"/>
          <w:sz w:val="18"/>
          <w:szCs w:val="18"/>
          <w:color w:val="auto"/>
        </w:rPr>
        <w:t>The purpose of this performance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 w:cs="Arial" w:eastAsia="Arial" w:hAnsi="Arial"/>
          <w:sz w:val="18"/>
          <w:szCs w:val="18"/>
          <w:b w:val="1"/>
          <w:bCs w:val="1"/>
          <w:color w:val="auto"/>
        </w:rPr>
        <w:t>PSU</w:t>
      </w:r>
      <w:r>
        <w:rPr>
          <w:rFonts w:ascii="Arial" w:cs="Arial" w:eastAsia="Arial" w:hAnsi="Arial"/>
          <w:sz w:val="18"/>
          <w:szCs w:val="18"/>
          <w:color w:val="auto"/>
        </w:rPr>
        <w:t>) to them.</w:t>
      </w:r>
    </w:p>
    <w:p>
      <w:pPr>
        <w:spacing w:after="0" w:line="200" w:lineRule="exact"/>
        <w:rPr>
          <w:sz w:val="20"/>
          <w:szCs w:val="20"/>
          <w:color w:val="auto"/>
        </w:rPr>
      </w:pPr>
    </w:p>
    <w:p>
      <w:pPr>
        <w:ind w:left="412" w:hanging="412"/>
        <w:spacing w:after="0"/>
        <w:tabs>
          <w:tab w:leader="none" w:pos="412" w:val="left"/>
        </w:tabs>
        <w:numPr>
          <w:ilvl w:val="0"/>
          <w:numId w:val="757"/>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319" w:lineRule="exact"/>
        <w:rPr>
          <w:sz w:val="20"/>
          <w:szCs w:val="20"/>
          <w:color w:val="auto"/>
        </w:rPr>
      </w:pPr>
    </w:p>
    <w:p>
      <w:pPr>
        <w:ind w:left="412" w:hanging="412"/>
        <w:spacing w:after="0"/>
        <w:tabs>
          <w:tab w:leader="none" w:pos="412" w:val="left"/>
        </w:tabs>
        <w:numPr>
          <w:ilvl w:val="0"/>
          <w:numId w:val="758"/>
        </w:numPr>
        <w:rPr>
          <w:rFonts w:ascii="Arial" w:cs="Arial" w:eastAsia="Arial" w:hAnsi="Arial"/>
          <w:sz w:val="18"/>
          <w:szCs w:val="18"/>
          <w:color w:val="auto"/>
        </w:rPr>
      </w:pPr>
      <w:r>
        <w:rPr>
          <w:rFonts w:ascii="Arial" w:cs="Arial" w:eastAsia="Arial" w:hAnsi="Arial"/>
          <w:sz w:val="18"/>
          <w:szCs w:val="18"/>
          <w:color w:val="auto"/>
        </w:rPr>
        <w:t>Capitalized terms used in this Plan shall have the meaning set forth in Annex 1.</w:t>
      </w:r>
    </w:p>
    <w:p>
      <w:pPr>
        <w:spacing w:after="0" w:line="279" w:lineRule="exact"/>
        <w:rPr>
          <w:rFonts w:ascii="Arial" w:cs="Arial" w:eastAsia="Arial" w:hAnsi="Arial"/>
          <w:sz w:val="18"/>
          <w:szCs w:val="18"/>
          <w:color w:val="auto"/>
        </w:rPr>
      </w:pPr>
    </w:p>
    <w:p>
      <w:pPr>
        <w:jc w:val="both"/>
        <w:ind w:left="332" w:hanging="332"/>
        <w:spacing w:after="0" w:line="287" w:lineRule="auto"/>
        <w:tabs>
          <w:tab w:leader="none" w:pos="525" w:val="left"/>
        </w:tabs>
        <w:numPr>
          <w:ilvl w:val="0"/>
          <w:numId w:val="758"/>
        </w:numPr>
        <w:rPr>
          <w:rFonts w:ascii="Arial" w:cs="Arial" w:eastAsia="Arial" w:hAnsi="Arial"/>
          <w:sz w:val="18"/>
          <w:szCs w:val="18"/>
          <w:color w:val="auto"/>
        </w:rPr>
      </w:pPr>
      <w:r>
        <w:rPr>
          <w:rFonts w:ascii="Arial" w:cs="Arial" w:eastAsia="Arial" w:hAnsi="Arial"/>
          <w:sz w:val="18"/>
          <w:szCs w:val="18"/>
          <w:color w:val="auto"/>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spacing w:after="0" w:line="211" w:lineRule="exact"/>
        <w:rPr>
          <w:sz w:val="20"/>
          <w:szCs w:val="20"/>
          <w:color w:val="auto"/>
        </w:rPr>
      </w:pPr>
    </w:p>
    <w:p>
      <w:pPr>
        <w:ind w:left="412" w:hanging="412"/>
        <w:spacing w:after="0"/>
        <w:tabs>
          <w:tab w:leader="none" w:pos="412" w:val="left"/>
        </w:tabs>
        <w:numPr>
          <w:ilvl w:val="0"/>
          <w:numId w:val="759"/>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319" w:lineRule="exact"/>
        <w:rPr>
          <w:sz w:val="20"/>
          <w:szCs w:val="20"/>
          <w:color w:val="auto"/>
        </w:rPr>
      </w:pPr>
    </w:p>
    <w:p>
      <w:pPr>
        <w:ind w:left="452" w:hanging="452"/>
        <w:spacing w:after="0"/>
        <w:tabs>
          <w:tab w:leader="none" w:pos="452" w:val="left"/>
        </w:tabs>
        <w:numPr>
          <w:ilvl w:val="0"/>
          <w:numId w:val="760"/>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332"/>
        <w:spacing w:after="0" w:line="285"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 Committee</w:t>
      </w:r>
      <w:r>
        <w:rPr>
          <w:rFonts w:ascii="Arial" w:cs="Arial" w:eastAsia="Arial" w:hAnsi="Arial"/>
          <w:sz w:val="18"/>
          <w:szCs w:val="18"/>
          <w:color w:val="auto"/>
        </w:rPr>
        <w:t>), the maximum number of PSUs that may be granted under this Plan and of shares to be allocated from the Company's conditional capital or otherwise in connection with such PSUs.</w:t>
      </w:r>
    </w:p>
    <w:p>
      <w:pPr>
        <w:spacing w:after="0" w:line="245" w:lineRule="exact"/>
        <w:rPr>
          <w:rFonts w:ascii="Arial" w:cs="Arial" w:eastAsia="Arial" w:hAnsi="Arial"/>
          <w:sz w:val="18"/>
          <w:szCs w:val="18"/>
          <w:color w:val="auto"/>
        </w:rPr>
      </w:pPr>
    </w:p>
    <w:p>
      <w:pPr>
        <w:jc w:val="both"/>
        <w:ind w:left="332" w:hanging="332"/>
        <w:spacing w:after="0" w:line="281" w:lineRule="auto"/>
        <w:tabs>
          <w:tab w:leader="none" w:pos="499" w:val="left"/>
        </w:tabs>
        <w:numPr>
          <w:ilvl w:val="0"/>
          <w:numId w:val="760"/>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or renew or terminate the Plan or to replace it with new editions or other plans. It may delegate, under</w:t>
      </w:r>
    </w:p>
    <w:p>
      <w:pPr>
        <w:spacing w:after="0" w:line="1" w:lineRule="exact"/>
        <w:rPr>
          <w:rFonts w:ascii="Arial" w:cs="Arial" w:eastAsia="Arial" w:hAnsi="Arial"/>
          <w:sz w:val="18"/>
          <w:szCs w:val="18"/>
          <w:color w:val="auto"/>
        </w:rPr>
      </w:pPr>
    </w:p>
    <w:p>
      <w:pPr>
        <w:ind w:left="332"/>
        <w:spacing w:after="0" w:line="293" w:lineRule="auto"/>
        <w:rPr>
          <w:rFonts w:ascii="Arial" w:cs="Arial" w:eastAsia="Arial" w:hAnsi="Arial"/>
          <w:sz w:val="18"/>
          <w:szCs w:val="18"/>
          <w:color w:val="auto"/>
        </w:rPr>
      </w:pPr>
      <w:r>
        <w:rPr>
          <w:rFonts w:ascii="Arial" w:cs="Arial" w:eastAsia="Arial" w:hAnsi="Arial"/>
          <w:sz w:val="18"/>
          <w:szCs w:val="18"/>
          <w:color w:val="auto"/>
        </w:rPr>
        <w:t>its supervision, the implementation and administration, as well as grants of PSUs other than to members of the Management Team,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332" w:hanging="332"/>
        <w:spacing w:after="0" w:line="284" w:lineRule="auto"/>
        <w:tabs>
          <w:tab w:leader="none" w:pos="586" w:val="left"/>
        </w:tabs>
        <w:numPr>
          <w:ilvl w:val="0"/>
          <w:numId w:val="760"/>
        </w:numPr>
        <w:rPr>
          <w:rFonts w:ascii="Arial" w:cs="Arial" w:eastAsia="Arial" w:hAnsi="Arial"/>
          <w:sz w:val="18"/>
          <w:szCs w:val="18"/>
          <w:color w:val="auto"/>
        </w:rPr>
      </w:pPr>
      <w:r>
        <w:rPr>
          <w:rFonts w:ascii="Arial" w:cs="Arial" w:eastAsia="Arial" w:hAnsi="Arial"/>
          <w:sz w:val="18"/>
          <w:szCs w:val="18"/>
          <w:color w:val="auto"/>
        </w:rPr>
        <w:t>Any grants of PSUs to members of the Management Team shall be approved by the Board of Directors based on individual recommendations of the Nomination and Compensation Committee and will, as long as shareholder approval of variable compensation is outstanding, be conditional upon such shareholder approval. In case that the amount approved by the shareholders does not cover the full amount of contemplated aggregate variable compensation for the year of grant, the entitlements to short term and long-term variable compensation may be reduced by the Nomination and Compensation Committee in its sole discretion.</w:t>
      </w:r>
    </w:p>
    <w:p>
      <w:pPr>
        <w:spacing w:after="0" w:line="246" w:lineRule="exact"/>
        <w:rPr>
          <w:rFonts w:ascii="Arial" w:cs="Arial" w:eastAsia="Arial" w:hAnsi="Arial"/>
          <w:sz w:val="18"/>
          <w:szCs w:val="18"/>
          <w:color w:val="auto"/>
        </w:rPr>
      </w:pPr>
    </w:p>
    <w:p>
      <w:pPr>
        <w:jc w:val="both"/>
        <w:ind w:left="332" w:hanging="332"/>
        <w:spacing w:after="0" w:line="287" w:lineRule="auto"/>
        <w:tabs>
          <w:tab w:leader="none" w:pos="607" w:val="left"/>
        </w:tabs>
        <w:numPr>
          <w:ilvl w:val="0"/>
          <w:numId w:val="760"/>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ectPr>
          <w:pgSz w:w="11900" w:h="16838" w:orient="portrait"/>
          <w:cols w:equalWidth="0" w:num="1">
            <w:col w:w="11232"/>
          </w:cols>
          <w:pgMar w:left="328" w:top="180" w:right="339" w:bottom="1440" w:gutter="0" w:footer="0" w:header="0"/>
        </w:sectPr>
      </w:pPr>
    </w:p>
    <w:bookmarkStart w:id="772" w:name="page773"/>
    <w:bookmarkEnd w:id="772"/>
    <w:tbl>
      <w:tblPr>
        <w:tblLayout w:type="fixed"/>
        <w:tblInd w:w="12"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20" w:type="dxa"/>
            <w:vAlign w:val="bottom"/>
          </w:tcPr>
          <w:p>
            <w:pPr>
              <w:jc w:val="right"/>
              <w:spacing w:after="0"/>
              <w:rPr>
                <w:sz w:val="20"/>
                <w:szCs w:val="20"/>
                <w:color w:val="auto"/>
              </w:rPr>
            </w:pPr>
            <w:r>
              <w:rPr>
                <w:rFonts w:ascii="Arial" w:cs="Arial" w:eastAsia="Arial" w:hAnsi="Arial"/>
                <w:sz w:val="13"/>
                <w:szCs w:val="13"/>
                <w:color w:val="auto"/>
              </w:rPr>
              <w:t>4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32" w:hanging="332"/>
        <w:spacing w:after="0" w:line="287" w:lineRule="auto"/>
        <w:tabs>
          <w:tab w:leader="none" w:pos="425" w:val="left"/>
        </w:tabs>
        <w:numPr>
          <w:ilvl w:val="0"/>
          <w:numId w:val="761"/>
        </w:numPr>
        <w:rPr>
          <w:rFonts w:ascii="Arial" w:cs="Arial" w:eastAsia="Arial" w:hAnsi="Arial"/>
          <w:sz w:val="18"/>
          <w:szCs w:val="18"/>
          <w:color w:val="auto"/>
        </w:rPr>
      </w:pPr>
      <w:r>
        <w:rPr>
          <w:rFonts w:ascii="Arial" w:cs="Arial" w:eastAsia="Arial" w:hAnsi="Arial"/>
          <w:sz w:val="18"/>
          <w:szCs w:val="18"/>
          <w:color w:val="auto"/>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 Service</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w:t>
      </w:r>
    </w:p>
    <w:p>
      <w:pPr>
        <w:spacing w:after="0" w:line="211" w:lineRule="exact"/>
        <w:rPr>
          <w:sz w:val="20"/>
          <w:szCs w:val="20"/>
          <w:color w:val="auto"/>
        </w:rPr>
      </w:pPr>
    </w:p>
    <w:p>
      <w:pPr>
        <w:ind w:left="412" w:hanging="412"/>
        <w:spacing w:after="0"/>
        <w:tabs>
          <w:tab w:leader="none" w:pos="412" w:val="left"/>
        </w:tabs>
        <w:numPr>
          <w:ilvl w:val="0"/>
          <w:numId w:val="762"/>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319" w:lineRule="exact"/>
        <w:rPr>
          <w:sz w:val="20"/>
          <w:szCs w:val="20"/>
          <w:color w:val="auto"/>
        </w:rPr>
      </w:pPr>
    </w:p>
    <w:p>
      <w:pPr>
        <w:jc w:val="both"/>
        <w:ind w:left="332" w:hanging="332"/>
        <w:spacing w:after="0" w:line="287" w:lineRule="auto"/>
        <w:tabs>
          <w:tab w:leader="none" w:pos="439" w:val="left"/>
        </w:tabs>
        <w:numPr>
          <w:ilvl w:val="0"/>
          <w:numId w:val="763"/>
        </w:numPr>
        <w:rPr>
          <w:rFonts w:ascii="Arial" w:cs="Arial" w:eastAsia="Arial" w:hAnsi="Arial"/>
          <w:sz w:val="18"/>
          <w:szCs w:val="18"/>
          <w:color w:val="auto"/>
        </w:rPr>
      </w:pPr>
      <w:r>
        <w:rPr>
          <w:rFonts w:ascii="Arial" w:cs="Arial" w:eastAsia="Arial" w:hAnsi="Arial"/>
          <w:sz w:val="18"/>
          <w:szCs w:val="18"/>
          <w:color w:val="auto"/>
        </w:rPr>
        <w:t>As a rule, members of the executive management, other employees as well as selected consultants may become eligible to participate in this Plan. The decision on eligibility is reserved to the Nomination and Compensation Committee or, other than with respect to members of the Management Team, the relevant Administrator.</w:t>
      </w:r>
    </w:p>
    <w:p>
      <w:pPr>
        <w:spacing w:after="0" w:line="229" w:lineRule="exact"/>
        <w:rPr>
          <w:rFonts w:ascii="Arial" w:cs="Arial" w:eastAsia="Arial" w:hAnsi="Arial"/>
          <w:sz w:val="18"/>
          <w:szCs w:val="18"/>
          <w:color w:val="auto"/>
        </w:rPr>
      </w:pPr>
    </w:p>
    <w:p>
      <w:pPr>
        <w:jc w:val="both"/>
        <w:ind w:left="332" w:hanging="332"/>
        <w:spacing w:after="0" w:line="281" w:lineRule="auto"/>
        <w:tabs>
          <w:tab w:leader="none" w:pos="466" w:val="left"/>
        </w:tabs>
        <w:numPr>
          <w:ilvl w:val="0"/>
          <w:numId w:val="763"/>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 w:cs="Arial" w:eastAsia="Arial" w:hAnsi="Arial"/>
          <w:sz w:val="18"/>
          <w:szCs w:val="18"/>
          <w:b w:val="1"/>
          <w:bCs w:val="1"/>
          <w:color w:val="auto"/>
        </w:rPr>
        <w:t>PSU</w:t>
      </w:r>
      <w:r>
        <w:rPr>
          <w:rFonts w:ascii="Arial" w:cs="Arial" w:eastAsia="Arial" w:hAnsi="Arial"/>
          <w:sz w:val="18"/>
          <w:szCs w:val="18"/>
          <w:color w:val="auto"/>
        </w:rPr>
        <w:t xml:space="preserve"> </w:t>
      </w:r>
      <w:r>
        <w:rPr>
          <w:rFonts w:ascii="Arial" w:cs="Arial" w:eastAsia="Arial" w:hAnsi="Arial"/>
          <w:sz w:val="18"/>
          <w:szCs w:val="18"/>
          <w:b w:val="1"/>
          <w:bCs w:val="1"/>
          <w:color w:val="auto"/>
        </w:rPr>
        <w:t>Award Agreement</w:t>
      </w:r>
      <w:r>
        <w:rPr>
          <w:rFonts w:ascii="Arial" w:cs="Arial" w:eastAsia="Arial" w:hAnsi="Arial"/>
          <w:sz w:val="18"/>
          <w:szCs w:val="18"/>
          <w:color w:val="auto"/>
        </w:rPr>
        <w:t>) among the Company (or the employer Group Company) and the eligible person, substantially in the form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as Annex 2. The right to receive PSUs shall accrue exclusively to those eligible persons who have, in accordance with this Plan,</w:t>
      </w:r>
    </w:p>
    <w:p>
      <w:pPr>
        <w:spacing w:after="0" w:line="2" w:lineRule="exact"/>
        <w:rPr>
          <w:rFonts w:ascii="Arial" w:cs="Arial" w:eastAsia="Arial" w:hAnsi="Arial"/>
          <w:sz w:val="18"/>
          <w:szCs w:val="18"/>
          <w:color w:val="auto"/>
        </w:rPr>
      </w:pPr>
    </w:p>
    <w:p>
      <w:pPr>
        <w:ind w:left="332"/>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been duly and validly offered, and have signed and returned, their individual PSU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jc w:val="both"/>
        <w:ind w:left="332" w:hanging="332"/>
        <w:spacing w:after="0" w:line="287" w:lineRule="auto"/>
        <w:tabs>
          <w:tab w:leader="none" w:pos="499" w:val="left"/>
        </w:tabs>
        <w:numPr>
          <w:ilvl w:val="0"/>
          <w:numId w:val="763"/>
        </w:numPr>
        <w:rPr>
          <w:rFonts w:ascii="Arial" w:cs="Arial" w:eastAsia="Arial" w:hAnsi="Arial"/>
          <w:sz w:val="18"/>
          <w:szCs w:val="18"/>
          <w:color w:val="auto"/>
        </w:rPr>
      </w:pPr>
      <w:r>
        <w:rPr>
          <w:rFonts w:ascii="Arial" w:cs="Arial" w:eastAsia="Arial" w:hAnsi="Arial"/>
          <w:sz w:val="18"/>
          <w:szCs w:val="18"/>
          <w:color w:val="auto"/>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spacing w:after="0" w:line="242" w:lineRule="exact"/>
        <w:rPr>
          <w:rFonts w:ascii="Arial" w:cs="Arial" w:eastAsia="Arial" w:hAnsi="Arial"/>
          <w:sz w:val="18"/>
          <w:szCs w:val="18"/>
          <w:color w:val="auto"/>
        </w:rPr>
      </w:pPr>
    </w:p>
    <w:p>
      <w:pPr>
        <w:ind w:left="332" w:hanging="332"/>
        <w:spacing w:after="0" w:line="293" w:lineRule="auto"/>
        <w:tabs>
          <w:tab w:leader="none" w:pos="438" w:val="left"/>
        </w:tabs>
        <w:numPr>
          <w:ilvl w:val="0"/>
          <w:numId w:val="763"/>
        </w:numPr>
        <w:rPr>
          <w:rFonts w:ascii="Arial" w:cs="Arial" w:eastAsia="Arial" w:hAnsi="Arial"/>
          <w:sz w:val="18"/>
          <w:szCs w:val="18"/>
          <w:color w:val="auto"/>
        </w:rPr>
      </w:pPr>
      <w:r>
        <w:rPr>
          <w:rFonts w:ascii="Arial" w:cs="Arial" w:eastAsia="Arial" w:hAnsi="Arial"/>
          <w:sz w:val="18"/>
          <w:szCs w:val="18"/>
          <w:color w:val="auto"/>
        </w:rPr>
        <w:t>Neither the grant of PSUs, nor the transfer of Shares in connection with this Plan shall confer upon any Participant any right to continue to be employed by any Group Company.</w:t>
      </w:r>
    </w:p>
    <w:p>
      <w:pPr>
        <w:spacing w:after="0" w:line="192" w:lineRule="exact"/>
        <w:rPr>
          <w:sz w:val="20"/>
          <w:szCs w:val="20"/>
          <w:color w:val="auto"/>
        </w:rPr>
      </w:pPr>
    </w:p>
    <w:p>
      <w:pPr>
        <w:ind w:left="412" w:hanging="412"/>
        <w:spacing w:after="0"/>
        <w:tabs>
          <w:tab w:leader="none" w:pos="412" w:val="left"/>
        </w:tabs>
        <w:numPr>
          <w:ilvl w:val="0"/>
          <w:numId w:val="764"/>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PSUs</w:t>
      </w:r>
    </w:p>
    <w:p>
      <w:pPr>
        <w:spacing w:after="0" w:line="319" w:lineRule="exact"/>
        <w:rPr>
          <w:sz w:val="20"/>
          <w:szCs w:val="20"/>
          <w:color w:val="auto"/>
        </w:rPr>
      </w:pPr>
    </w:p>
    <w:p>
      <w:pPr>
        <w:jc w:val="both"/>
        <w:ind w:left="332" w:hanging="332"/>
        <w:spacing w:after="0" w:line="287" w:lineRule="auto"/>
        <w:tabs>
          <w:tab w:leader="none" w:pos="438" w:val="left"/>
        </w:tabs>
        <w:numPr>
          <w:ilvl w:val="0"/>
          <w:numId w:val="765"/>
        </w:numPr>
        <w:rPr>
          <w:rFonts w:ascii="Arial" w:cs="Arial" w:eastAsia="Arial" w:hAnsi="Arial"/>
          <w:sz w:val="18"/>
          <w:szCs w:val="18"/>
          <w:color w:val="auto"/>
        </w:rPr>
      </w:pPr>
      <w:r>
        <w:rPr>
          <w:rFonts w:ascii="Arial" w:cs="Arial" w:eastAsia="Arial" w:hAnsi="Arial"/>
          <w:sz w:val="18"/>
          <w:szCs w:val="18"/>
          <w:color w:val="auto"/>
        </w:rPr>
        <w:t>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w:t>
      </w:r>
    </w:p>
    <w:p>
      <w:pPr>
        <w:spacing w:after="0" w:line="242" w:lineRule="exact"/>
        <w:rPr>
          <w:rFonts w:ascii="Arial" w:cs="Arial" w:eastAsia="Arial" w:hAnsi="Arial"/>
          <w:sz w:val="18"/>
          <w:szCs w:val="18"/>
          <w:color w:val="auto"/>
        </w:rPr>
      </w:pPr>
    </w:p>
    <w:p>
      <w:pPr>
        <w:ind w:left="432" w:hanging="432"/>
        <w:spacing w:after="0"/>
        <w:tabs>
          <w:tab w:leader="none" w:pos="432" w:val="left"/>
        </w:tabs>
        <w:numPr>
          <w:ilvl w:val="0"/>
          <w:numId w:val="765"/>
        </w:numPr>
        <w:rPr>
          <w:rFonts w:ascii="Arial" w:cs="Arial" w:eastAsia="Arial" w:hAnsi="Arial"/>
          <w:sz w:val="18"/>
          <w:szCs w:val="18"/>
          <w:color w:val="auto"/>
        </w:rPr>
      </w:pPr>
      <w:r>
        <w:rPr>
          <w:rFonts w:ascii="Arial" w:cs="Arial" w:eastAsia="Arial" w:hAnsi="Arial"/>
          <w:sz w:val="18"/>
          <w:szCs w:val="18"/>
          <w:color w:val="auto"/>
        </w:rPr>
        <w:t>One PSU represents a conditional entitlement to purchase a number of Shares at the nominal value of a Share. The number of Shares</w:t>
      </w:r>
    </w:p>
    <w:p>
      <w:pPr>
        <w:spacing w:after="0" w:line="36" w:lineRule="exact"/>
        <w:rPr>
          <w:rFonts w:ascii="Arial" w:cs="Arial" w:eastAsia="Arial" w:hAnsi="Arial"/>
          <w:sz w:val="18"/>
          <w:szCs w:val="18"/>
          <w:color w:val="auto"/>
        </w:rPr>
      </w:pPr>
    </w:p>
    <w:p>
      <w:pPr>
        <w:ind w:left="332"/>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which shall be allocated to a Participant upon vesting shall be determined pursuant to a vesting multiple as described in Section 10 hereof (the </w:t>
      </w:r>
      <w:r>
        <w:rPr>
          <w:rFonts w:ascii="Arial" w:cs="Arial" w:eastAsia="Arial" w:hAnsi="Arial"/>
          <w:sz w:val="18"/>
          <w:szCs w:val="18"/>
          <w:b w:val="1"/>
          <w:bCs w:val="1"/>
          <w:color w:val="auto"/>
        </w:rPr>
        <w:t>Vesting Multiple</w:t>
      </w:r>
      <w:r>
        <w:rPr>
          <w:rFonts w:ascii="Arial" w:cs="Arial" w:eastAsia="Arial" w:hAnsi="Arial"/>
          <w:sz w:val="18"/>
          <w:szCs w:val="18"/>
          <w:color w:val="auto"/>
        </w:rPr>
        <w:t>), subject to, and in accordance with, the terms and conditions of this Plan and the PSU Award Agreement.</w:t>
      </w:r>
    </w:p>
    <w:p>
      <w:pPr>
        <w:spacing w:after="0" w:line="237" w:lineRule="exact"/>
        <w:rPr>
          <w:rFonts w:ascii="Arial" w:cs="Arial" w:eastAsia="Arial" w:hAnsi="Arial"/>
          <w:sz w:val="18"/>
          <w:szCs w:val="18"/>
          <w:color w:val="auto"/>
        </w:rPr>
      </w:pPr>
    </w:p>
    <w:p>
      <w:pPr>
        <w:ind w:left="332" w:right="20" w:hanging="332"/>
        <w:spacing w:after="0" w:line="293" w:lineRule="auto"/>
        <w:tabs>
          <w:tab w:leader="none" w:pos="417" w:val="left"/>
        </w:tabs>
        <w:numPr>
          <w:ilvl w:val="0"/>
          <w:numId w:val="765"/>
        </w:numPr>
        <w:rPr>
          <w:rFonts w:ascii="Arial" w:cs="Arial" w:eastAsia="Arial" w:hAnsi="Arial"/>
          <w:sz w:val="18"/>
          <w:szCs w:val="18"/>
          <w:color w:val="auto"/>
        </w:rPr>
      </w:pPr>
      <w:r>
        <w:rPr>
          <w:rFonts w:ascii="Arial" w:cs="Arial" w:eastAsia="Arial" w:hAnsi="Arial"/>
          <w:sz w:val="18"/>
          <w:szCs w:val="18"/>
          <w:color w:val="auto"/>
        </w:rPr>
        <w:t xml:space="preserve">The date of grants shall be determined by the Nomination and Compensation Committee or the relevant Administrator and set out in the PSU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jc w:val="both"/>
        <w:ind w:left="332" w:hanging="332"/>
        <w:spacing w:after="0" w:line="292" w:lineRule="auto"/>
        <w:tabs>
          <w:tab w:leader="none" w:pos="501" w:val="left"/>
        </w:tabs>
        <w:numPr>
          <w:ilvl w:val="0"/>
          <w:numId w:val="765"/>
        </w:numPr>
        <w:rPr>
          <w:rFonts w:ascii="Arial" w:cs="Arial" w:eastAsia="Arial" w:hAnsi="Arial"/>
          <w:sz w:val="18"/>
          <w:szCs w:val="18"/>
          <w:color w:val="auto"/>
        </w:rPr>
      </w:pPr>
      <w:r>
        <w:rPr>
          <w:rFonts w:ascii="Arial" w:cs="Arial" w:eastAsia="Arial" w:hAnsi="Arial"/>
          <w:sz w:val="18"/>
          <w:szCs w:val="18"/>
          <w:color w:val="auto"/>
        </w:rPr>
        <w:t>A change of the regular working quota (</w:t>
      </w:r>
      <w:r>
        <w:rPr>
          <w:rFonts w:ascii="Arial" w:cs="Arial" w:eastAsia="Arial" w:hAnsi="Arial"/>
          <w:sz w:val="18"/>
          <w:szCs w:val="18"/>
          <w:i w:val="1"/>
          <w:iCs w:val="1"/>
          <w:color w:val="auto"/>
        </w:rPr>
        <w:t>Arbeitspensum</w:t>
      </w:r>
      <w:r>
        <w:rPr>
          <w:rFonts w:ascii="Arial" w:cs="Arial" w:eastAsia="Arial" w:hAnsi="Arial"/>
          <w:sz w:val="18"/>
          <w:szCs w:val="18"/>
          <w:color w:val="auto"/>
        </w:rPr>
        <w:t>)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sectPr>
          <w:pgSz w:w="11900" w:h="16838" w:orient="portrait"/>
          <w:cols w:equalWidth="0" w:num="1">
            <w:col w:w="11232"/>
          </w:cols>
          <w:pgMar w:left="328" w:top="180" w:right="339" w:bottom="1440" w:gutter="0" w:footer="0" w:header="0"/>
        </w:sectPr>
      </w:pPr>
    </w:p>
    <w:bookmarkStart w:id="773" w:name="page774"/>
    <w:bookmarkEnd w:id="773"/>
    <w:tbl>
      <w:tblPr>
        <w:tblLayout w:type="fixed"/>
        <w:tblInd w:w="12"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20" w:type="dxa"/>
            <w:vAlign w:val="bottom"/>
          </w:tcPr>
          <w:p>
            <w:pPr>
              <w:jc w:val="right"/>
              <w:spacing w:after="0"/>
              <w:rPr>
                <w:sz w:val="20"/>
                <w:szCs w:val="20"/>
                <w:color w:val="auto"/>
              </w:rPr>
            </w:pPr>
            <w:r>
              <w:rPr>
                <w:rFonts w:ascii="Arial" w:cs="Arial" w:eastAsia="Arial" w:hAnsi="Arial"/>
                <w:sz w:val="13"/>
                <w:szCs w:val="13"/>
                <w:color w:val="auto"/>
              </w:rPr>
              <w:t>5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12" w:hanging="412"/>
        <w:spacing w:after="0"/>
        <w:tabs>
          <w:tab w:leader="none" w:pos="412" w:val="left"/>
        </w:tabs>
        <w:numPr>
          <w:ilvl w:val="0"/>
          <w:numId w:val="766"/>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319" w:lineRule="exact"/>
        <w:rPr>
          <w:sz w:val="20"/>
          <w:szCs w:val="20"/>
          <w:color w:val="auto"/>
        </w:rPr>
      </w:pPr>
    </w:p>
    <w:p>
      <w:pPr>
        <w:jc w:val="both"/>
        <w:ind w:left="332"/>
        <w:spacing w:after="0" w:line="285" w:lineRule="auto"/>
        <w:rPr>
          <w:sz w:val="20"/>
          <w:szCs w:val="20"/>
          <w:color w:val="auto"/>
        </w:rPr>
      </w:pPr>
      <w:r>
        <w:rPr>
          <w:rFonts w:ascii="Arial" w:cs="Arial" w:eastAsia="Arial" w:hAnsi="Arial"/>
          <w:sz w:val="18"/>
          <w:szCs w:val="18"/>
          <w:color w:val="auto"/>
        </w:rPr>
        <w:t>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 of the Plan and upon entry into the share register, subject to, and in accordance with, the restrictions and procedures set out in article 5 of the Company's articles of incorporation.</w:t>
      </w:r>
    </w:p>
    <w:p>
      <w:pPr>
        <w:spacing w:after="0" w:line="214" w:lineRule="exact"/>
        <w:rPr>
          <w:sz w:val="20"/>
          <w:szCs w:val="20"/>
          <w:color w:val="auto"/>
        </w:rPr>
      </w:pPr>
    </w:p>
    <w:p>
      <w:pPr>
        <w:ind w:left="412" w:hanging="412"/>
        <w:spacing w:after="0"/>
        <w:tabs>
          <w:tab w:leader="none" w:pos="412" w:val="left"/>
        </w:tabs>
        <w:numPr>
          <w:ilvl w:val="0"/>
          <w:numId w:val="767"/>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319" w:lineRule="exact"/>
        <w:rPr>
          <w:sz w:val="20"/>
          <w:szCs w:val="20"/>
          <w:color w:val="auto"/>
        </w:rPr>
      </w:pPr>
    </w:p>
    <w:p>
      <w:pPr>
        <w:jc w:val="both"/>
        <w:ind w:left="332"/>
        <w:spacing w:after="0" w:line="287" w:lineRule="auto"/>
        <w:rPr>
          <w:sz w:val="20"/>
          <w:szCs w:val="20"/>
          <w:color w:val="auto"/>
        </w:rPr>
      </w:pPr>
      <w:r>
        <w:rPr>
          <w:rFonts w:ascii="Arial" w:cs="Arial" w:eastAsia="Arial" w:hAnsi="Arial"/>
          <w:sz w:val="18"/>
          <w:szCs w:val="18"/>
          <w:color w:val="auto"/>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spacing w:after="0" w:line="198" w:lineRule="exact"/>
        <w:rPr>
          <w:sz w:val="20"/>
          <w:szCs w:val="20"/>
          <w:color w:val="auto"/>
        </w:rPr>
      </w:pPr>
    </w:p>
    <w:p>
      <w:pPr>
        <w:ind w:left="412" w:hanging="412"/>
        <w:spacing w:after="0"/>
        <w:tabs>
          <w:tab w:leader="none" w:pos="412" w:val="left"/>
        </w:tabs>
        <w:numPr>
          <w:ilvl w:val="0"/>
          <w:numId w:val="768"/>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319" w:lineRule="exact"/>
        <w:rPr>
          <w:sz w:val="20"/>
          <w:szCs w:val="20"/>
          <w:color w:val="auto"/>
        </w:rPr>
      </w:pPr>
    </w:p>
    <w:p>
      <w:pPr>
        <w:jc w:val="both"/>
        <w:ind w:left="332" w:hanging="332"/>
        <w:spacing w:after="0" w:line="287" w:lineRule="auto"/>
        <w:tabs>
          <w:tab w:leader="none" w:pos="548" w:val="left"/>
        </w:tabs>
        <w:numPr>
          <w:ilvl w:val="0"/>
          <w:numId w:val="769"/>
        </w:numPr>
        <w:rPr>
          <w:rFonts w:ascii="Arial" w:cs="Arial" w:eastAsia="Arial" w:hAnsi="Arial"/>
          <w:sz w:val="18"/>
          <w:szCs w:val="18"/>
          <w:color w:val="auto"/>
        </w:rPr>
      </w:pPr>
      <w:r>
        <w:rPr>
          <w:rFonts w:ascii="Arial" w:cs="Arial" w:eastAsia="Arial" w:hAnsi="Arial"/>
          <w:sz w:val="18"/>
          <w:szCs w:val="18"/>
          <w:color w:val="auto"/>
        </w:rPr>
        <w:t xml:space="preserve">Unless otherwise set out in this Plan (in particular in Section 14) or in the PSU Award Agreement, PSUs shall vest on the third anniversary of the Grant Date (the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period between the Grant Date and the Vesting Date shall be deemed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left="532" w:hanging="532"/>
        <w:spacing w:after="0"/>
        <w:tabs>
          <w:tab w:leader="none" w:pos="53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Subject to Section 14(b) and (c) below, no PSU shall vest if, during the Vesting Period, the relevant Participant's employment is</w:t>
      </w:r>
    </w:p>
    <w:p>
      <w:pPr>
        <w:spacing w:after="0" w:line="36" w:lineRule="exact"/>
        <w:rPr>
          <w:rFonts w:ascii="Arial" w:cs="Arial" w:eastAsia="Arial" w:hAnsi="Arial"/>
          <w:sz w:val="18"/>
          <w:szCs w:val="18"/>
          <w:color w:val="auto"/>
        </w:rPr>
      </w:pPr>
    </w:p>
    <w:p>
      <w:pPr>
        <w:ind w:left="332"/>
        <w:spacing w:after="0" w:line="293" w:lineRule="auto"/>
        <w:rPr>
          <w:rFonts w:ascii="Arial" w:cs="Arial" w:eastAsia="Arial" w:hAnsi="Arial"/>
          <w:sz w:val="18"/>
          <w:szCs w:val="18"/>
          <w:color w:val="auto"/>
        </w:rPr>
      </w:pPr>
      <w:r>
        <w:rPr>
          <w:rFonts w:ascii="Arial" w:cs="Arial" w:eastAsia="Arial" w:hAnsi="Arial"/>
          <w:sz w:val="18"/>
          <w:szCs w:val="18"/>
          <w:color w:val="auto"/>
        </w:rPr>
        <w:t>terminated (i.e. notice of termination is given (even if the notice period is still running) or another reason for termination occurs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set by a Group Company.</w:t>
      </w:r>
    </w:p>
    <w:p>
      <w:pPr>
        <w:spacing w:after="0" w:line="237" w:lineRule="exact"/>
        <w:rPr>
          <w:rFonts w:ascii="Arial" w:cs="Arial" w:eastAsia="Arial" w:hAnsi="Arial"/>
          <w:sz w:val="18"/>
          <w:szCs w:val="18"/>
          <w:color w:val="auto"/>
        </w:rPr>
      </w:pPr>
    </w:p>
    <w:p>
      <w:pPr>
        <w:jc w:val="both"/>
        <w:ind w:left="332" w:hanging="332"/>
        <w:spacing w:after="0" w:line="287" w:lineRule="auto"/>
        <w:tabs>
          <w:tab w:leader="none" w:pos="421"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Alternatively, the Company may provide for cash-less acquisition or vesting-sale arrangements through a Plan Service Provider or otherwise.</w:t>
      </w:r>
    </w:p>
    <w:p>
      <w:pPr>
        <w:spacing w:after="0" w:line="198" w:lineRule="exact"/>
        <w:rPr>
          <w:sz w:val="20"/>
          <w:szCs w:val="20"/>
          <w:color w:val="auto"/>
        </w:rPr>
      </w:pPr>
    </w:p>
    <w:p>
      <w:pPr>
        <w:ind w:left="412" w:hanging="412"/>
        <w:spacing w:after="0"/>
        <w:tabs>
          <w:tab w:leader="none" w:pos="412" w:val="left"/>
        </w:tabs>
        <w:numPr>
          <w:ilvl w:val="0"/>
          <w:numId w:val="770"/>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319" w:lineRule="exact"/>
        <w:rPr>
          <w:sz w:val="20"/>
          <w:szCs w:val="20"/>
          <w:color w:val="auto"/>
        </w:rPr>
      </w:pPr>
    </w:p>
    <w:p>
      <w:pPr>
        <w:jc w:val="both"/>
        <w:ind w:left="332"/>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16,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w:t>
      </w:r>
    </w:p>
    <w:p>
      <w:pPr>
        <w:spacing w:after="0" w:line="215" w:lineRule="exact"/>
        <w:rPr>
          <w:sz w:val="20"/>
          <w:szCs w:val="20"/>
          <w:color w:val="auto"/>
        </w:rPr>
      </w:pPr>
    </w:p>
    <w:p>
      <w:pPr>
        <w:ind w:left="532" w:hanging="532"/>
        <w:spacing w:after="0"/>
        <w:tabs>
          <w:tab w:leader="none" w:pos="532" w:val="left"/>
        </w:tabs>
        <w:numPr>
          <w:ilvl w:val="0"/>
          <w:numId w:val="771"/>
        </w:numPr>
        <w:rPr>
          <w:rFonts w:ascii="Arial" w:cs="Arial" w:eastAsia="Arial" w:hAnsi="Arial"/>
          <w:sz w:val="22"/>
          <w:szCs w:val="22"/>
          <w:b w:val="1"/>
          <w:bCs w:val="1"/>
          <w:color w:val="auto"/>
        </w:rPr>
      </w:pPr>
      <w:r>
        <w:rPr>
          <w:rFonts w:ascii="Arial" w:cs="Arial" w:eastAsia="Arial" w:hAnsi="Arial"/>
          <w:sz w:val="22"/>
          <w:szCs w:val="22"/>
          <w:b w:val="1"/>
          <w:bCs w:val="1"/>
          <w:color w:val="auto"/>
        </w:rPr>
        <w:t>Vesting Multiple</w:t>
      </w:r>
    </w:p>
    <w:p>
      <w:pPr>
        <w:spacing w:after="0" w:line="319" w:lineRule="exact"/>
        <w:rPr>
          <w:sz w:val="20"/>
          <w:szCs w:val="20"/>
          <w:color w:val="auto"/>
        </w:rPr>
      </w:pPr>
    </w:p>
    <w:p>
      <w:pPr>
        <w:ind w:left="492" w:hanging="492"/>
        <w:spacing w:after="0"/>
        <w:tabs>
          <w:tab w:leader="none" w:pos="492" w:val="left"/>
        </w:tabs>
        <w:numPr>
          <w:ilvl w:val="0"/>
          <w:numId w:val="772"/>
        </w:numPr>
        <w:rPr>
          <w:rFonts w:ascii="Arial" w:cs="Arial" w:eastAsia="Arial" w:hAnsi="Arial"/>
          <w:sz w:val="18"/>
          <w:szCs w:val="18"/>
          <w:color w:val="auto"/>
        </w:rPr>
      </w:pPr>
      <w:r>
        <w:rPr>
          <w:rFonts w:ascii="Arial" w:cs="Arial" w:eastAsia="Arial" w:hAnsi="Arial"/>
          <w:sz w:val="18"/>
          <w:szCs w:val="18"/>
          <w:color w:val="auto"/>
        </w:rPr>
        <w:t>The Vesting Multiple shall not be lower than 0 nor higher than 1.2 (one point two). Within such range, the Vesting Multiple shall be</w:t>
      </w:r>
    </w:p>
    <w:p>
      <w:pPr>
        <w:spacing w:after="0" w:line="36" w:lineRule="exact"/>
        <w:rPr>
          <w:rFonts w:ascii="Arial" w:cs="Arial" w:eastAsia="Arial" w:hAnsi="Arial"/>
          <w:sz w:val="18"/>
          <w:szCs w:val="18"/>
          <w:color w:val="auto"/>
        </w:rPr>
      </w:pPr>
    </w:p>
    <w:p>
      <w:pPr>
        <w:ind w:left="332"/>
        <w:spacing w:after="0" w:line="293" w:lineRule="auto"/>
        <w:rPr>
          <w:rFonts w:ascii="Arial" w:cs="Arial" w:eastAsia="Arial" w:hAnsi="Arial"/>
          <w:sz w:val="18"/>
          <w:szCs w:val="18"/>
          <w:color w:val="auto"/>
        </w:rPr>
      </w:pPr>
      <w:r>
        <w:rPr>
          <w:rFonts w:ascii="Arial" w:cs="Arial" w:eastAsia="Arial" w:hAnsi="Arial"/>
          <w:sz w:val="18"/>
          <w:szCs w:val="18"/>
          <w:color w:val="auto"/>
        </w:rPr>
        <w:t>determined by the Board of Directors upon proposal by the Nomination and Compensation Committee based on its assessment of the achievement of the goals set out in the score card (</w:t>
      </w:r>
      <w:r>
        <w:rPr>
          <w:rFonts w:ascii="Arial" w:cs="Arial" w:eastAsia="Arial" w:hAnsi="Arial"/>
          <w:sz w:val="18"/>
          <w:szCs w:val="18"/>
          <w:b w:val="1"/>
          <w:bCs w:val="1"/>
          <w:color w:val="auto"/>
        </w:rPr>
        <w:t>LTI Score Card</w:t>
      </w:r>
      <w:r>
        <w:rPr>
          <w:rFonts w:ascii="Arial" w:cs="Arial" w:eastAsia="Arial" w:hAnsi="Arial"/>
          <w:sz w:val="18"/>
          <w:szCs w:val="18"/>
          <w:color w:val="auto"/>
        </w:rPr>
        <w:t>) attached to the PSU</w:t>
      </w:r>
    </w:p>
    <w:p>
      <w:pPr>
        <w:sectPr>
          <w:pgSz w:w="11900" w:h="16838" w:orient="portrait"/>
          <w:cols w:equalWidth="0" w:num="1">
            <w:col w:w="11232"/>
          </w:cols>
          <w:pgMar w:left="328" w:top="180" w:right="339" w:bottom="1440" w:gutter="0" w:footer="0" w:header="0"/>
        </w:sectPr>
      </w:pPr>
    </w:p>
    <w:bookmarkStart w:id="774" w:name="page775"/>
    <w:bookmarkEnd w:id="774"/>
    <w:tbl>
      <w:tblPr>
        <w:tblLayout w:type="fixed"/>
        <w:tblInd w:w="12"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20" w:type="dxa"/>
            <w:vAlign w:val="bottom"/>
          </w:tcPr>
          <w:p>
            <w:pPr>
              <w:jc w:val="right"/>
              <w:spacing w:after="0"/>
              <w:rPr>
                <w:sz w:val="20"/>
                <w:szCs w:val="20"/>
                <w:color w:val="auto"/>
              </w:rPr>
            </w:pPr>
            <w:r>
              <w:rPr>
                <w:rFonts w:ascii="Arial" w:cs="Arial" w:eastAsia="Arial" w:hAnsi="Arial"/>
                <w:sz w:val="13"/>
                <w:szCs w:val="13"/>
                <w:color w:val="auto"/>
              </w:rPr>
              <w:t>6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332"/>
        <w:spacing w:after="0" w:line="291" w:lineRule="auto"/>
        <w:rPr>
          <w:sz w:val="20"/>
          <w:szCs w:val="20"/>
          <w:color w:val="auto"/>
        </w:rPr>
      </w:pPr>
      <w:r>
        <w:rPr>
          <w:rFonts w:ascii="Arial" w:cs="Arial" w:eastAsia="Arial" w:hAnsi="Arial"/>
          <w:sz w:val="18"/>
          <w:szCs w:val="18"/>
          <w:color w:val="auto"/>
        </w:rPr>
        <w:t>Award Agreement or otherwise communicated by the Company to the Participant in connection with the grant (</w:t>
      </w:r>
      <w:r>
        <w:rPr>
          <w:rFonts w:ascii="Arial" w:cs="Arial" w:eastAsia="Arial" w:hAnsi="Arial"/>
          <w:sz w:val="18"/>
          <w:szCs w:val="18"/>
          <w:b w:val="1"/>
          <w:bCs w:val="1"/>
          <w:color w:val="auto"/>
        </w:rPr>
        <w:t>Goals</w:t>
      </w:r>
      <w:r>
        <w:rPr>
          <w:rFonts w:ascii="Arial" w:cs="Arial" w:eastAsia="Arial" w:hAnsi="Arial"/>
          <w:sz w:val="18"/>
          <w:szCs w:val="18"/>
          <w:color w:val="auto"/>
        </w:rPr>
        <w:t>). The Goals may include any corporate goals, i.e. strategic, operating or financial goals of the Company or the Group, any personal goals and performance of the relevant Participant and/or any goals relating to the total shareholder return or share price development. The LTI Score Card may attach a percentage weighting to each Goal for purposes of deriving the Vesting Multiple or require a global assessment of the achievement of goals.</w:t>
      </w:r>
    </w:p>
    <w:p>
      <w:pPr>
        <w:spacing w:after="0" w:line="239" w:lineRule="exact"/>
        <w:rPr>
          <w:sz w:val="20"/>
          <w:szCs w:val="20"/>
          <w:color w:val="auto"/>
        </w:rPr>
      </w:pPr>
    </w:p>
    <w:p>
      <w:pPr>
        <w:jc w:val="both"/>
        <w:ind w:left="332" w:hanging="332"/>
        <w:spacing w:after="0" w:line="287" w:lineRule="auto"/>
        <w:tabs>
          <w:tab w:leader="none" w:pos="481"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The Vesting Multiple shall, unless the nature of the Goals demands otherwise, be determined in the year following the year of grant. Notwithstanding such determination, Vesting shall occur only at the time and subject to the conditions otherwise set out in this Plan or in the PSU Award Agreement.</w:t>
      </w:r>
    </w:p>
    <w:p>
      <w:pPr>
        <w:spacing w:after="0" w:line="229" w:lineRule="exact"/>
        <w:rPr>
          <w:rFonts w:ascii="Arial" w:cs="Arial" w:eastAsia="Arial" w:hAnsi="Arial"/>
          <w:sz w:val="18"/>
          <w:szCs w:val="18"/>
          <w:color w:val="auto"/>
        </w:rPr>
      </w:pPr>
    </w:p>
    <w:p>
      <w:pPr>
        <w:jc w:val="both"/>
        <w:ind w:left="332" w:hanging="332"/>
        <w:spacing w:after="0" w:line="287" w:lineRule="auto"/>
        <w:tabs>
          <w:tab w:leader="none" w:pos="436" w:val="left"/>
        </w:tabs>
        <w:numPr>
          <w:ilvl w:val="0"/>
          <w:numId w:val="773"/>
        </w:numPr>
        <w:rPr>
          <w:rFonts w:ascii="Arial" w:cs="Arial" w:eastAsia="Arial" w:hAnsi="Arial"/>
          <w:sz w:val="18"/>
          <w:szCs w:val="18"/>
          <w:color w:val="auto"/>
        </w:rPr>
      </w:pPr>
      <w:r>
        <w:rPr>
          <w:rFonts w:ascii="Arial" w:cs="Arial" w:eastAsia="Arial" w:hAnsi="Arial"/>
          <w:sz w:val="18"/>
          <w:szCs w:val="18"/>
          <w:color w:val="auto"/>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spacing w:after="0" w:line="211" w:lineRule="exact"/>
        <w:rPr>
          <w:sz w:val="20"/>
          <w:szCs w:val="20"/>
          <w:color w:val="auto"/>
        </w:rPr>
      </w:pPr>
    </w:p>
    <w:p>
      <w:pPr>
        <w:ind w:left="532" w:hanging="532"/>
        <w:spacing w:after="0"/>
        <w:tabs>
          <w:tab w:leader="none" w:pos="532" w:val="left"/>
        </w:tabs>
        <w:numPr>
          <w:ilvl w:val="0"/>
          <w:numId w:val="774"/>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Social Security Contributions</w:t>
      </w:r>
    </w:p>
    <w:p>
      <w:pPr>
        <w:spacing w:after="0" w:line="319" w:lineRule="exact"/>
        <w:rPr>
          <w:sz w:val="20"/>
          <w:szCs w:val="20"/>
          <w:color w:val="auto"/>
        </w:rPr>
      </w:pPr>
    </w:p>
    <w:p>
      <w:pPr>
        <w:jc w:val="both"/>
        <w:ind w:left="332" w:hanging="332"/>
        <w:spacing w:after="0" w:line="287" w:lineRule="auto"/>
        <w:tabs>
          <w:tab w:leader="none" w:pos="455" w:val="left"/>
        </w:tabs>
        <w:numPr>
          <w:ilvl w:val="0"/>
          <w:numId w:val="775"/>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spacing w:after="0" w:line="242" w:lineRule="exact"/>
        <w:rPr>
          <w:rFonts w:ascii="Arial" w:cs="Arial" w:eastAsia="Arial" w:hAnsi="Arial"/>
          <w:sz w:val="18"/>
          <w:szCs w:val="18"/>
          <w:color w:val="auto"/>
        </w:rPr>
      </w:pPr>
    </w:p>
    <w:p>
      <w:pPr>
        <w:jc w:val="both"/>
        <w:ind w:left="332" w:hanging="332"/>
        <w:spacing w:after="0" w:line="283" w:lineRule="auto"/>
        <w:tabs>
          <w:tab w:leader="none" w:pos="453" w:val="left"/>
        </w:tabs>
        <w:numPr>
          <w:ilvl w:val="0"/>
          <w:numId w:val="775"/>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w:t>
      </w:r>
    </w:p>
    <w:p>
      <w:pPr>
        <w:spacing w:after="0" w:line="235" w:lineRule="exact"/>
        <w:rPr>
          <w:rFonts w:ascii="Arial" w:cs="Arial" w:eastAsia="Arial" w:hAnsi="Arial"/>
          <w:sz w:val="18"/>
          <w:szCs w:val="18"/>
          <w:color w:val="auto"/>
        </w:rPr>
      </w:pPr>
    </w:p>
    <w:p>
      <w:pPr>
        <w:ind w:left="332" w:hanging="332"/>
        <w:spacing w:after="0" w:line="293" w:lineRule="auto"/>
        <w:tabs>
          <w:tab w:leader="none" w:pos="417" w:val="left"/>
        </w:tabs>
        <w:numPr>
          <w:ilvl w:val="0"/>
          <w:numId w:val="775"/>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PSU awards, Shares or related events.</w:t>
      </w:r>
    </w:p>
    <w:p>
      <w:pPr>
        <w:spacing w:after="0" w:line="205" w:lineRule="exact"/>
        <w:rPr>
          <w:sz w:val="20"/>
          <w:szCs w:val="20"/>
          <w:color w:val="auto"/>
        </w:rPr>
      </w:pPr>
    </w:p>
    <w:p>
      <w:pPr>
        <w:ind w:left="532" w:hanging="532"/>
        <w:spacing w:after="0"/>
        <w:tabs>
          <w:tab w:leader="none" w:pos="532" w:val="left"/>
        </w:tabs>
        <w:numPr>
          <w:ilvl w:val="0"/>
          <w:numId w:val="776"/>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Requirements</w:t>
      </w:r>
    </w:p>
    <w:p>
      <w:pPr>
        <w:spacing w:after="0" w:line="319" w:lineRule="exact"/>
        <w:rPr>
          <w:sz w:val="20"/>
          <w:szCs w:val="20"/>
          <w:color w:val="auto"/>
        </w:rPr>
      </w:pPr>
    </w:p>
    <w:p>
      <w:pPr>
        <w:jc w:val="both"/>
        <w:ind w:left="332"/>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ectPr>
          <w:pgSz w:w="11900" w:h="16838" w:orient="portrait"/>
          <w:cols w:equalWidth="0" w:num="1">
            <w:col w:w="11232"/>
          </w:cols>
          <w:pgMar w:left="328" w:top="180" w:right="339" w:bottom="1440" w:gutter="0" w:footer="0" w:header="0"/>
        </w:sectPr>
      </w:pPr>
    </w:p>
    <w:bookmarkStart w:id="775" w:name="page776"/>
    <w:bookmarkEnd w:id="775"/>
    <w:tbl>
      <w:tblPr>
        <w:tblLayout w:type="fixed"/>
        <w:tblInd w:w="12"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20" w:type="dxa"/>
            <w:vAlign w:val="bottom"/>
          </w:tcPr>
          <w:p>
            <w:pPr>
              <w:jc w:val="right"/>
              <w:spacing w:after="0"/>
              <w:rPr>
                <w:sz w:val="20"/>
                <w:szCs w:val="20"/>
                <w:color w:val="auto"/>
              </w:rPr>
            </w:pPr>
            <w:r>
              <w:rPr>
                <w:rFonts w:ascii="Arial" w:cs="Arial" w:eastAsia="Arial" w:hAnsi="Arial"/>
                <w:sz w:val="13"/>
                <w:szCs w:val="13"/>
                <w:color w:val="auto"/>
              </w:rPr>
              <w:t>7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2" w:hanging="532"/>
        <w:spacing w:after="0"/>
        <w:tabs>
          <w:tab w:leader="none" w:pos="532" w:val="left"/>
        </w:tabs>
        <w:numPr>
          <w:ilvl w:val="0"/>
          <w:numId w:val="777"/>
        </w:numPr>
        <w:rPr>
          <w:rFonts w:ascii="Arial" w:cs="Arial" w:eastAsia="Arial" w:hAnsi="Arial"/>
          <w:sz w:val="22"/>
          <w:szCs w:val="22"/>
          <w:b w:val="1"/>
          <w:bCs w:val="1"/>
          <w:color w:val="auto"/>
        </w:rPr>
      </w:pPr>
      <w:r>
        <w:rPr>
          <w:rFonts w:ascii="Arial" w:cs="Arial" w:eastAsia="Arial" w:hAnsi="Arial"/>
          <w:sz w:val="22"/>
          <w:szCs w:val="22"/>
          <w:b w:val="1"/>
          <w:bCs w:val="1"/>
          <w:color w:val="auto"/>
        </w:rPr>
        <w:t>Other Obligations of the Participant</w:t>
      </w:r>
    </w:p>
    <w:p>
      <w:pPr>
        <w:spacing w:after="0" w:line="319" w:lineRule="exact"/>
        <w:rPr>
          <w:sz w:val="20"/>
          <w:szCs w:val="20"/>
          <w:color w:val="auto"/>
        </w:rPr>
      </w:pPr>
    </w:p>
    <w:p>
      <w:pPr>
        <w:jc w:val="both"/>
        <w:ind w:left="332"/>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employment) to any Group Company, until the Participant has satisfied such outstanding obligations.</w:t>
      </w:r>
    </w:p>
    <w:p>
      <w:pPr>
        <w:spacing w:after="0" w:line="211" w:lineRule="exact"/>
        <w:rPr>
          <w:sz w:val="20"/>
          <w:szCs w:val="20"/>
          <w:color w:val="auto"/>
        </w:rPr>
      </w:pPr>
    </w:p>
    <w:p>
      <w:pPr>
        <w:ind w:left="532" w:hanging="532"/>
        <w:spacing w:after="0"/>
        <w:tabs>
          <w:tab w:leader="none" w:pos="532" w:val="left"/>
        </w:tabs>
        <w:numPr>
          <w:ilvl w:val="0"/>
          <w:numId w:val="778"/>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and Forfeiture</w:t>
      </w:r>
    </w:p>
    <w:p>
      <w:pPr>
        <w:spacing w:after="0" w:line="319" w:lineRule="exact"/>
        <w:rPr>
          <w:sz w:val="20"/>
          <w:szCs w:val="20"/>
          <w:color w:val="auto"/>
        </w:rPr>
      </w:pPr>
    </w:p>
    <w:p>
      <w:pPr>
        <w:jc w:val="both"/>
        <w:ind w:left="332" w:hanging="332"/>
        <w:spacing w:after="0" w:line="285" w:lineRule="auto"/>
        <w:tabs>
          <w:tab w:leader="none" w:pos="466" w:val="left"/>
        </w:tabs>
        <w:numPr>
          <w:ilvl w:val="0"/>
          <w:numId w:val="779"/>
        </w:numPr>
        <w:rPr>
          <w:rFonts w:ascii="Arial" w:cs="Arial" w:eastAsia="Arial" w:hAnsi="Arial"/>
          <w:sz w:val="18"/>
          <w:szCs w:val="18"/>
          <w:color w:val="auto"/>
        </w:rPr>
      </w:pPr>
      <w:r>
        <w:rPr>
          <w:rFonts w:ascii="Arial" w:cs="Arial" w:eastAsia="Arial" w:hAnsi="Arial"/>
          <w:sz w:val="18"/>
          <w:szCs w:val="18"/>
          <w:color w:val="auto"/>
        </w:rPr>
        <w:t>If (i) a Participant's employment is terminated (i.e. notice of termination is given even if the notice period is still running) or (ii) another reason for termination occurs during the Vesting period,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within the meaning of Article 337 CO and except as set out in Section 14(a) and (b) below, all PSUs shall immediately cease and be forfeited.</w:t>
      </w:r>
    </w:p>
    <w:p>
      <w:pPr>
        <w:spacing w:after="0" w:line="213" w:lineRule="exact"/>
        <w:rPr>
          <w:rFonts w:ascii="Arial" w:cs="Arial" w:eastAsia="Arial" w:hAnsi="Arial"/>
          <w:sz w:val="18"/>
          <w:szCs w:val="18"/>
          <w:color w:val="auto"/>
        </w:rPr>
      </w:pPr>
    </w:p>
    <w:p>
      <w:pPr>
        <w:jc w:val="both"/>
        <w:ind w:left="332" w:right="20" w:hanging="332"/>
        <w:spacing w:after="0" w:line="292" w:lineRule="auto"/>
        <w:tabs>
          <w:tab w:leader="none" w:pos="571" w:val="left"/>
        </w:tabs>
        <w:numPr>
          <w:ilvl w:val="0"/>
          <w:numId w:val="779"/>
        </w:numPr>
        <w:rPr>
          <w:rFonts w:ascii="Arial" w:cs="Arial" w:eastAsia="Arial" w:hAnsi="Arial"/>
          <w:sz w:val="18"/>
          <w:szCs w:val="18"/>
          <w:color w:val="auto"/>
        </w:rPr>
      </w:pPr>
      <w:r>
        <w:rPr>
          <w:rFonts w:ascii="Arial" w:cs="Arial" w:eastAsia="Arial" w:hAnsi="Arial"/>
          <w:sz w:val="18"/>
          <w:szCs w:val="18"/>
          <w:color w:val="auto"/>
        </w:rPr>
        <w:t xml:space="preserve">If a Participant’s employment agreement is terminated by the Company or a Group Company for reasons </w:t>
      </w:r>
      <w:r>
        <w:rPr>
          <w:rFonts w:ascii="Arial" w:cs="Arial" w:eastAsia="Arial" w:hAnsi="Arial"/>
          <w:sz w:val="18"/>
          <w:szCs w:val="18"/>
          <w:i w:val="1"/>
          <w:iCs w:val="1"/>
          <w:color w:val="auto"/>
        </w:rPr>
        <w:t>not</w:t>
      </w:r>
      <w:r>
        <w:rPr>
          <w:rFonts w:ascii="Arial" w:cs="Arial" w:eastAsia="Arial" w:hAnsi="Arial"/>
          <w:sz w:val="18"/>
          <w:szCs w:val="18"/>
          <w:color w:val="auto"/>
        </w:rPr>
        <w:t xml:space="preserve"> pertaining to the Participant,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PSUs granted to the Participant shall vest at the end of the Vesting Period with the remaining PSUs lapsing without further effect. For clarity, the pro rata calculation under this Section 14 shall be determined on a monthly basis (36/36), based on the complete months of employment worked during the Vesting Period.</w:t>
      </w:r>
    </w:p>
    <w:p>
      <w:pPr>
        <w:spacing w:after="0" w:line="221" w:lineRule="exact"/>
        <w:rPr>
          <w:rFonts w:ascii="Arial" w:cs="Arial" w:eastAsia="Arial" w:hAnsi="Arial"/>
          <w:sz w:val="18"/>
          <w:szCs w:val="18"/>
          <w:color w:val="auto"/>
        </w:rPr>
      </w:pPr>
    </w:p>
    <w:p>
      <w:pPr>
        <w:jc w:val="both"/>
        <w:ind w:left="332" w:hanging="332"/>
        <w:spacing w:after="0" w:line="292" w:lineRule="auto"/>
        <w:tabs>
          <w:tab w:leader="none" w:pos="442" w:val="left"/>
        </w:tabs>
        <w:numPr>
          <w:ilvl w:val="0"/>
          <w:numId w:val="779"/>
        </w:numPr>
        <w:rPr>
          <w:rFonts w:ascii="Arial" w:cs="Arial" w:eastAsia="Arial" w:hAnsi="Arial"/>
          <w:sz w:val="18"/>
          <w:szCs w:val="18"/>
          <w:color w:val="auto"/>
        </w:rPr>
      </w:pPr>
      <w:r>
        <w:rPr>
          <w:rFonts w:ascii="Arial" w:cs="Arial" w:eastAsia="Arial" w:hAnsi="Arial"/>
          <w:sz w:val="18"/>
          <w:szCs w:val="18"/>
          <w:color w:val="auto"/>
        </w:rPr>
        <w:t xml:space="preserve">If the employment agreement terminates by reason of (i) death, permanent illness or disability of the Participant or (ii) retirement,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number of PSUs granted to the Participant shall vest immediately with the remaining PSUs lapsing without further effect. In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(i) here before, the pro rata calculation will be made assuming that employment lasted one year longer (but in any case not longer than the end of the regular three-year Vesting Period).</w:t>
      </w:r>
    </w:p>
    <w:p>
      <w:pPr>
        <w:spacing w:after="0" w:line="239" w:lineRule="exact"/>
        <w:rPr>
          <w:rFonts w:ascii="Arial" w:cs="Arial" w:eastAsia="Arial" w:hAnsi="Arial"/>
          <w:sz w:val="18"/>
          <w:szCs w:val="18"/>
          <w:color w:val="auto"/>
        </w:rPr>
      </w:pPr>
    </w:p>
    <w:p>
      <w:pPr>
        <w:jc w:val="both"/>
        <w:ind w:left="332" w:hanging="332"/>
        <w:spacing w:after="0" w:line="284" w:lineRule="auto"/>
        <w:tabs>
          <w:tab w:leader="none" w:pos="466" w:val="left"/>
        </w:tabs>
        <w:numPr>
          <w:ilvl w:val="0"/>
          <w:numId w:val="779"/>
        </w:numPr>
        <w:rPr>
          <w:rFonts w:ascii="Arial" w:cs="Arial" w:eastAsia="Arial" w:hAnsi="Arial"/>
          <w:sz w:val="18"/>
          <w:szCs w:val="18"/>
          <w:color w:val="auto"/>
        </w:rPr>
      </w:pPr>
      <w:r>
        <w:rPr>
          <w:rFonts w:ascii="Arial" w:cs="Arial" w:eastAsia="Arial" w:hAnsi="Arial"/>
          <w:sz w:val="18"/>
          <w:szCs w:val="18"/>
          <w:color w:val="auto"/>
        </w:rPr>
        <w:t>The Management Board may, at its sole discretion and with final and binding effect and taking into consideration the objectives of the Plan, grant further exceptions from the forfeiture clause as per Section 14 (a) above and assess whether a Participant’s employment agreement was terminated for reasons not pertaining to the Participant pursuant to Section 14(b) above, provided, however, that the Board of Directors, based on a recommendation by the Nomination and Compensation Committee, shall be responsible to grant such an exception or perform such assessment if the Participant concerned is a member of the Management Board.</w:t>
      </w:r>
    </w:p>
    <w:p>
      <w:pPr>
        <w:spacing w:after="0" w:line="202" w:lineRule="exact"/>
        <w:rPr>
          <w:sz w:val="20"/>
          <w:szCs w:val="20"/>
          <w:color w:val="auto"/>
        </w:rPr>
      </w:pPr>
    </w:p>
    <w:p>
      <w:pPr>
        <w:ind w:left="532" w:hanging="532"/>
        <w:spacing w:after="0"/>
        <w:tabs>
          <w:tab w:leader="none" w:pos="532" w:val="left"/>
        </w:tabs>
        <w:numPr>
          <w:ilvl w:val="0"/>
          <w:numId w:val="780"/>
        </w:numPr>
        <w:rPr>
          <w:rFonts w:ascii="Arial" w:cs="Arial" w:eastAsia="Arial" w:hAnsi="Arial"/>
          <w:sz w:val="22"/>
          <w:szCs w:val="22"/>
          <w:b w:val="1"/>
          <w:bCs w:val="1"/>
          <w:color w:val="auto"/>
        </w:rPr>
      </w:pPr>
      <w:r>
        <w:rPr>
          <w:rFonts w:ascii="Arial" w:cs="Arial" w:eastAsia="Arial" w:hAnsi="Arial"/>
          <w:sz w:val="22"/>
          <w:szCs w:val="22"/>
          <w:b w:val="1"/>
          <w:bCs w:val="1"/>
          <w:color w:val="auto"/>
        </w:rPr>
        <w:t>Change of Control</w:t>
      </w:r>
    </w:p>
    <w:p>
      <w:pPr>
        <w:spacing w:after="0" w:line="297" w:lineRule="exact"/>
        <w:rPr>
          <w:sz w:val="20"/>
          <w:szCs w:val="20"/>
          <w:color w:val="auto"/>
        </w:rPr>
      </w:pPr>
    </w:p>
    <w:p>
      <w:pPr>
        <w:ind w:left="412" w:hanging="412"/>
        <w:spacing w:after="0"/>
        <w:tabs>
          <w:tab w:leader="none" w:pos="412" w:val="left"/>
        </w:tabs>
        <w:numPr>
          <w:ilvl w:val="0"/>
          <w:numId w:val="781"/>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314" w:lineRule="exact"/>
        <w:rPr>
          <w:rFonts w:ascii="Arial" w:cs="Arial" w:eastAsia="Arial" w:hAnsi="Arial"/>
          <w:sz w:val="18"/>
          <w:szCs w:val="18"/>
          <w:color w:val="auto"/>
        </w:rPr>
      </w:pPr>
    </w:p>
    <w:p>
      <w:pPr>
        <w:jc w:val="both"/>
        <w:ind w:left="652" w:hanging="328"/>
        <w:spacing w:after="0" w:line="287" w:lineRule="auto"/>
        <w:tabs>
          <w:tab w:leader="none" w:pos="704" w:val="left"/>
        </w:tabs>
        <w:numPr>
          <w:ilvl w:val="1"/>
          <w:numId w:val="781"/>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ectPr>
          <w:pgSz w:w="11900" w:h="16838" w:orient="portrait"/>
          <w:cols w:equalWidth="0" w:num="1">
            <w:col w:w="11232"/>
          </w:cols>
          <w:pgMar w:left="328" w:top="180" w:right="339" w:bottom="1440" w:gutter="0" w:footer="0" w:header="0"/>
        </w:sectPr>
      </w:pPr>
    </w:p>
    <w:bookmarkStart w:id="776" w:name="page777"/>
    <w:bookmarkEnd w:id="776"/>
    <w:tbl>
      <w:tblPr>
        <w:tblLayout w:type="fixed"/>
        <w:tblInd w:w="12"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20" w:type="dxa"/>
            <w:vAlign w:val="bottom"/>
          </w:tcPr>
          <w:p>
            <w:pPr>
              <w:jc w:val="right"/>
              <w:spacing w:after="0"/>
              <w:rPr>
                <w:sz w:val="20"/>
                <w:szCs w:val="20"/>
                <w:color w:val="auto"/>
              </w:rPr>
            </w:pPr>
            <w:r>
              <w:rPr>
                <w:rFonts w:ascii="Arial" w:cs="Arial" w:eastAsia="Arial" w:hAnsi="Arial"/>
                <w:sz w:val="13"/>
                <w:szCs w:val="13"/>
                <w:color w:val="auto"/>
              </w:rPr>
              <w:t>8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52" w:hanging="328"/>
        <w:spacing w:after="0" w:line="293" w:lineRule="auto"/>
        <w:tabs>
          <w:tab w:leader="none" w:pos="801" w:val="left"/>
        </w:tabs>
        <w:numPr>
          <w:ilvl w:val="1"/>
          <w:numId w:val="782"/>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237" w:lineRule="exact"/>
        <w:rPr>
          <w:rFonts w:ascii="Arial" w:cs="Arial" w:eastAsia="Arial" w:hAnsi="Arial"/>
          <w:sz w:val="18"/>
          <w:szCs w:val="18"/>
          <w:color w:val="auto"/>
        </w:rPr>
      </w:pPr>
    </w:p>
    <w:p>
      <w:pPr>
        <w:jc w:val="both"/>
        <w:ind w:left="652" w:hanging="328"/>
        <w:spacing w:after="0" w:line="285" w:lineRule="auto"/>
        <w:tabs>
          <w:tab w:leader="none" w:pos="846" w:val="left"/>
        </w:tabs>
        <w:numPr>
          <w:ilvl w:val="1"/>
          <w:numId w:val="782"/>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31" w:lineRule="exact"/>
        <w:rPr>
          <w:rFonts w:ascii="Arial" w:cs="Arial" w:eastAsia="Arial" w:hAnsi="Arial"/>
          <w:sz w:val="18"/>
          <w:szCs w:val="18"/>
          <w:color w:val="auto"/>
        </w:rPr>
      </w:pPr>
    </w:p>
    <w:p>
      <w:pPr>
        <w:jc w:val="both"/>
        <w:ind w:left="652" w:hanging="328"/>
        <w:spacing w:after="0" w:line="285" w:lineRule="auto"/>
        <w:tabs>
          <w:tab w:leader="none" w:pos="786" w:val="left"/>
        </w:tabs>
        <w:numPr>
          <w:ilvl w:val="1"/>
          <w:numId w:val="782"/>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45" w:lineRule="exact"/>
        <w:rPr>
          <w:rFonts w:ascii="Arial" w:cs="Arial" w:eastAsia="Arial" w:hAnsi="Arial"/>
          <w:sz w:val="18"/>
          <w:szCs w:val="18"/>
          <w:color w:val="auto"/>
        </w:rPr>
      </w:pPr>
    </w:p>
    <w:p>
      <w:pPr>
        <w:ind w:left="332" w:hanging="332"/>
        <w:spacing w:after="0" w:line="293" w:lineRule="auto"/>
        <w:tabs>
          <w:tab w:leader="none" w:pos="448" w:val="left"/>
        </w:tabs>
        <w:numPr>
          <w:ilvl w:val="0"/>
          <w:numId w:val="783"/>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PSUs in respect of which the Vesting Date has not occurred by the date of the Change of Control:</w:t>
      </w:r>
    </w:p>
    <w:p>
      <w:pPr>
        <w:spacing w:after="0" w:line="237" w:lineRule="exact"/>
        <w:rPr>
          <w:rFonts w:ascii="Arial" w:cs="Arial" w:eastAsia="Arial" w:hAnsi="Arial"/>
          <w:sz w:val="18"/>
          <w:szCs w:val="18"/>
          <w:color w:val="auto"/>
        </w:rPr>
      </w:pPr>
    </w:p>
    <w:p>
      <w:pPr>
        <w:ind w:left="692" w:hanging="368"/>
        <w:spacing w:after="0"/>
        <w:tabs>
          <w:tab w:leader="none" w:pos="692" w:val="left"/>
        </w:tabs>
        <w:numPr>
          <w:ilvl w:val="1"/>
          <w:numId w:val="783"/>
        </w:numPr>
        <w:rPr>
          <w:rFonts w:ascii="Arial" w:cs="Arial" w:eastAsia="Arial" w:hAnsi="Arial"/>
          <w:sz w:val="18"/>
          <w:szCs w:val="18"/>
          <w:color w:val="auto"/>
        </w:rPr>
      </w:pPr>
      <w:r>
        <w:rPr>
          <w:rFonts w:ascii="Arial" w:cs="Arial" w:eastAsia="Arial" w:hAnsi="Arial"/>
          <w:sz w:val="18"/>
          <w:szCs w:val="18"/>
          <w:color w:val="auto"/>
        </w:rPr>
        <w:t>all PSUs will vest immediately;</w:t>
      </w:r>
    </w:p>
    <w:p>
      <w:pPr>
        <w:spacing w:after="0" w:line="279" w:lineRule="exact"/>
        <w:rPr>
          <w:rFonts w:ascii="Arial" w:cs="Arial" w:eastAsia="Arial" w:hAnsi="Arial"/>
          <w:sz w:val="18"/>
          <w:szCs w:val="18"/>
          <w:color w:val="auto"/>
        </w:rPr>
      </w:pPr>
    </w:p>
    <w:p>
      <w:pPr>
        <w:ind w:left="652" w:hanging="328"/>
        <w:spacing w:after="0" w:line="293" w:lineRule="auto"/>
        <w:tabs>
          <w:tab w:leader="none" w:pos="742" w:val="left"/>
        </w:tabs>
        <w:numPr>
          <w:ilvl w:val="1"/>
          <w:numId w:val="783"/>
        </w:numPr>
        <w:rPr>
          <w:rFonts w:ascii="Arial" w:cs="Arial" w:eastAsia="Arial" w:hAnsi="Arial"/>
          <w:sz w:val="18"/>
          <w:szCs w:val="18"/>
          <w:color w:val="auto"/>
        </w:rPr>
      </w:pPr>
      <w:r>
        <w:rPr>
          <w:rFonts w:ascii="Arial" w:cs="Arial" w:eastAsia="Arial" w:hAnsi="Arial"/>
          <w:sz w:val="18"/>
          <w:szCs w:val="18"/>
          <w:color w:val="auto"/>
        </w:rPr>
        <w:t>the Vesting Multiple with respect to each PSU allocation will be determined by the Nomination and Compensation Committee at the time of the Change of Control unless the Vesting Multiple has already been determined prior to the Change of Control; and</w:t>
      </w:r>
    </w:p>
    <w:p>
      <w:pPr>
        <w:spacing w:after="0" w:line="237" w:lineRule="exact"/>
        <w:rPr>
          <w:rFonts w:ascii="Arial" w:cs="Arial" w:eastAsia="Arial" w:hAnsi="Arial"/>
          <w:sz w:val="18"/>
          <w:szCs w:val="18"/>
          <w:color w:val="auto"/>
        </w:rPr>
      </w:pPr>
    </w:p>
    <w:p>
      <w:pPr>
        <w:ind w:left="652" w:hanging="328"/>
        <w:spacing w:after="0" w:line="293" w:lineRule="auto"/>
        <w:tabs>
          <w:tab w:leader="none" w:pos="836" w:val="left"/>
        </w:tabs>
        <w:numPr>
          <w:ilvl w:val="1"/>
          <w:numId w:val="783"/>
        </w:numPr>
        <w:rPr>
          <w:rFonts w:ascii="Arial" w:cs="Arial" w:eastAsia="Arial" w:hAnsi="Arial"/>
          <w:sz w:val="18"/>
          <w:szCs w:val="18"/>
          <w:color w:val="auto"/>
        </w:rPr>
      </w:pPr>
      <w:r>
        <w:rPr>
          <w:rFonts w:ascii="Arial" w:cs="Arial" w:eastAsia="Arial" w:hAnsi="Arial"/>
          <w:sz w:val="18"/>
          <w:szCs w:val="18"/>
          <w:color w:val="auto"/>
        </w:rPr>
        <w:t>the PSUs will be paid out in Shares, unless the Nomination and Compensation Committee resolves to repurchase or exchange PSUs or decides upon another solution to provide the Participants with the vesting value of the PSUs.</w:t>
      </w:r>
    </w:p>
    <w:p>
      <w:pPr>
        <w:spacing w:after="0" w:line="237" w:lineRule="exact"/>
        <w:rPr>
          <w:rFonts w:ascii="Arial" w:cs="Arial" w:eastAsia="Arial" w:hAnsi="Arial"/>
          <w:sz w:val="18"/>
          <w:szCs w:val="18"/>
          <w:color w:val="auto"/>
        </w:rPr>
      </w:pPr>
    </w:p>
    <w:p>
      <w:pPr>
        <w:jc w:val="both"/>
        <w:ind w:left="332" w:hanging="332"/>
        <w:spacing w:after="0" w:line="285" w:lineRule="auto"/>
        <w:tabs>
          <w:tab w:leader="none" w:pos="442" w:val="left"/>
        </w:tabs>
        <w:numPr>
          <w:ilvl w:val="0"/>
          <w:numId w:val="783"/>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31" w:lineRule="exact"/>
        <w:rPr>
          <w:rFonts w:ascii="Arial" w:cs="Arial" w:eastAsia="Arial" w:hAnsi="Arial"/>
          <w:sz w:val="18"/>
          <w:szCs w:val="18"/>
          <w:color w:val="auto"/>
        </w:rPr>
      </w:pPr>
    </w:p>
    <w:p>
      <w:pPr>
        <w:jc w:val="both"/>
        <w:ind w:left="332" w:hanging="332"/>
        <w:spacing w:after="0" w:line="285" w:lineRule="auto"/>
        <w:tabs>
          <w:tab w:leader="none" w:pos="498" w:val="left"/>
        </w:tabs>
        <w:numPr>
          <w:ilvl w:val="0"/>
          <w:numId w:val="783"/>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pacing w:after="0" w:line="214" w:lineRule="exact"/>
        <w:rPr>
          <w:sz w:val="20"/>
          <w:szCs w:val="20"/>
          <w:color w:val="auto"/>
        </w:rPr>
      </w:pPr>
    </w:p>
    <w:p>
      <w:pPr>
        <w:ind w:left="532" w:hanging="532"/>
        <w:spacing w:after="0"/>
        <w:tabs>
          <w:tab w:leader="none" w:pos="532" w:val="left"/>
        </w:tabs>
        <w:numPr>
          <w:ilvl w:val="0"/>
          <w:numId w:val="784"/>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Events</w:t>
      </w:r>
    </w:p>
    <w:p>
      <w:pPr>
        <w:spacing w:after="0" w:line="319" w:lineRule="exact"/>
        <w:rPr>
          <w:sz w:val="20"/>
          <w:szCs w:val="20"/>
          <w:color w:val="auto"/>
        </w:rPr>
      </w:pPr>
    </w:p>
    <w:p>
      <w:pPr>
        <w:ind w:left="332"/>
        <w:spacing w:after="0" w:line="293"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w:t>
      </w:r>
    </w:p>
    <w:p>
      <w:pPr>
        <w:sectPr>
          <w:pgSz w:w="11900" w:h="16838" w:orient="portrait"/>
          <w:cols w:equalWidth="0" w:num="1">
            <w:col w:w="11232"/>
          </w:cols>
          <w:pgMar w:left="328" w:top="180" w:right="339" w:bottom="1440" w:gutter="0" w:footer="0" w:header="0"/>
        </w:sectPr>
      </w:pPr>
    </w:p>
    <w:bookmarkStart w:id="777" w:name="page778"/>
    <w:bookmarkEnd w:id="777"/>
    <w:tbl>
      <w:tblPr>
        <w:tblLayout w:type="fixed"/>
        <w:tblInd w:w="12" w:type="dxa"/>
        <w:tblCellMar>
          <w:top w:w="0" w:type="dxa"/>
          <w:left w:w="0" w:type="dxa"/>
          <w:bottom w:w="0" w:type="dxa"/>
          <w:right w:w="0" w:type="dxa"/>
        </w:tblCellMar>
      </w:tblPr>
      <w:tr>
        <w:trPr>
          <w:trHeight w:val="203"/>
        </w:trPr>
        <w:tc>
          <w:tcPr>
            <w:tcW w:w="708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20" w:type="dxa"/>
            <w:vAlign w:val="bottom"/>
          </w:tcPr>
          <w:p>
            <w:pPr>
              <w:jc w:val="right"/>
              <w:spacing w:after="0"/>
              <w:rPr>
                <w:sz w:val="20"/>
                <w:szCs w:val="20"/>
                <w:color w:val="auto"/>
              </w:rPr>
            </w:pPr>
            <w:r>
              <w:rPr>
                <w:rFonts w:ascii="Arial" w:cs="Arial" w:eastAsia="Arial" w:hAnsi="Arial"/>
                <w:sz w:val="13"/>
                <w:szCs w:val="13"/>
                <w:color w:val="auto"/>
              </w:rPr>
              <w:t>9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332"/>
        <w:spacing w:after="0" w:line="284" w:lineRule="auto"/>
        <w:rPr>
          <w:sz w:val="20"/>
          <w:szCs w:val="20"/>
          <w:color w:val="auto"/>
        </w:rPr>
      </w:pPr>
      <w:r>
        <w:rPr>
          <w:rFonts w:ascii="Arial" w:cs="Arial" w:eastAsia="Arial" w:hAnsi="Arial"/>
          <w:sz w:val="18"/>
          <w:szCs w:val="18"/>
          <w:color w:val="auto"/>
        </w:rPr>
        <w:t>market value, or other 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 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213" w:lineRule="exact"/>
        <w:rPr>
          <w:sz w:val="20"/>
          <w:szCs w:val="20"/>
          <w:color w:val="auto"/>
        </w:rPr>
      </w:pPr>
    </w:p>
    <w:p>
      <w:pPr>
        <w:ind w:left="532" w:hanging="532"/>
        <w:spacing w:after="0"/>
        <w:tabs>
          <w:tab w:leader="none" w:pos="532" w:val="left"/>
        </w:tabs>
        <w:numPr>
          <w:ilvl w:val="0"/>
          <w:numId w:val="785"/>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319" w:lineRule="exact"/>
        <w:rPr>
          <w:sz w:val="20"/>
          <w:szCs w:val="20"/>
          <w:color w:val="auto"/>
        </w:rPr>
      </w:pPr>
    </w:p>
    <w:p>
      <w:pPr>
        <w:jc w:val="both"/>
        <w:ind w:left="332" w:hanging="332"/>
        <w:spacing w:after="0" w:line="284" w:lineRule="auto"/>
        <w:tabs>
          <w:tab w:leader="none" w:pos="452" w:val="left"/>
        </w:tabs>
        <w:numPr>
          <w:ilvl w:val="0"/>
          <w:numId w:val="786"/>
        </w:numPr>
        <w:rPr>
          <w:rFonts w:ascii="Arial" w:cs="Arial" w:eastAsia="Arial" w:hAnsi="Arial"/>
          <w:sz w:val="18"/>
          <w:szCs w:val="18"/>
          <w:color w:val="auto"/>
        </w:rPr>
      </w:pPr>
      <w:r>
        <w:rPr>
          <w:rFonts w:ascii="Arial" w:cs="Arial" w:eastAsia="Arial" w:hAnsi="Arial"/>
          <w:sz w:val="18"/>
          <w:szCs w:val="18"/>
          <w:color w:val="auto"/>
        </w:rPr>
        <w:t>By accepting a grant of PSUs, each Participant consents to the collection and processing of personal data relating to the Participant in connection with such grant and the performance of this Plan and the PSU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spacing w:after="0" w:line="231" w:lineRule="exact"/>
        <w:rPr>
          <w:rFonts w:ascii="Arial" w:cs="Arial" w:eastAsia="Arial" w:hAnsi="Arial"/>
          <w:sz w:val="18"/>
          <w:szCs w:val="18"/>
          <w:color w:val="auto"/>
        </w:rPr>
      </w:pPr>
    </w:p>
    <w:p>
      <w:pPr>
        <w:jc w:val="both"/>
        <w:ind w:left="332" w:hanging="332"/>
        <w:spacing w:after="0" w:line="285" w:lineRule="auto"/>
        <w:tabs>
          <w:tab w:leader="none" w:pos="453" w:val="left"/>
        </w:tabs>
        <w:numPr>
          <w:ilvl w:val="0"/>
          <w:numId w:val="786"/>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spacing w:after="0" w:line="214" w:lineRule="exact"/>
        <w:rPr>
          <w:sz w:val="20"/>
          <w:szCs w:val="20"/>
          <w:color w:val="auto"/>
        </w:rPr>
      </w:pPr>
    </w:p>
    <w:p>
      <w:pPr>
        <w:ind w:left="532" w:hanging="532"/>
        <w:spacing w:after="0"/>
        <w:tabs>
          <w:tab w:leader="none" w:pos="532" w:val="left"/>
        </w:tabs>
        <w:numPr>
          <w:ilvl w:val="0"/>
          <w:numId w:val="787"/>
        </w:numPr>
        <w:rPr>
          <w:rFonts w:ascii="Arial" w:cs="Arial" w:eastAsia="Arial" w:hAnsi="Arial"/>
          <w:sz w:val="22"/>
          <w:szCs w:val="22"/>
          <w:b w:val="1"/>
          <w:bCs w:val="1"/>
          <w:color w:val="auto"/>
        </w:rPr>
      </w:pPr>
      <w:r>
        <w:rPr>
          <w:rFonts w:ascii="Arial" w:cs="Arial" w:eastAsia="Arial" w:hAnsi="Arial"/>
          <w:sz w:val="22"/>
          <w:szCs w:val="22"/>
          <w:b w:val="1"/>
          <w:bCs w:val="1"/>
          <w:color w:val="auto"/>
        </w:rPr>
        <w:t>Legal and regulatory restrictions</w:t>
      </w:r>
    </w:p>
    <w:p>
      <w:pPr>
        <w:spacing w:after="0" w:line="319" w:lineRule="exact"/>
        <w:rPr>
          <w:sz w:val="20"/>
          <w:szCs w:val="20"/>
          <w:color w:val="auto"/>
        </w:rPr>
      </w:pPr>
    </w:p>
    <w:p>
      <w:pPr>
        <w:ind w:left="332" w:right="20" w:hanging="332"/>
        <w:spacing w:after="0" w:line="293" w:lineRule="auto"/>
        <w:tabs>
          <w:tab w:leader="none" w:pos="493" w:val="left"/>
        </w:tabs>
        <w:numPr>
          <w:ilvl w:val="0"/>
          <w:numId w:val="788"/>
        </w:numPr>
        <w:rPr>
          <w:rFonts w:ascii="Arial" w:cs="Arial" w:eastAsia="Arial" w:hAnsi="Arial"/>
          <w:sz w:val="18"/>
          <w:szCs w:val="18"/>
          <w:color w:val="auto"/>
        </w:rPr>
      </w:pPr>
      <w:r>
        <w:rPr>
          <w:rFonts w:ascii="Arial" w:cs="Arial" w:eastAsia="Arial" w:hAnsi="Arial"/>
          <w:sz w:val="18"/>
          <w:szCs w:val="18"/>
          <w:color w:val="auto"/>
        </w:rPr>
        <w:t>Neither the Shares nor the PSU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332" w:hanging="332"/>
        <w:spacing w:after="0" w:line="281" w:lineRule="auto"/>
        <w:tabs>
          <w:tab w:leader="none" w:pos="498" w:val="left"/>
        </w:tabs>
        <w:numPr>
          <w:ilvl w:val="0"/>
          <w:numId w:val="788"/>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w:t>
      </w:r>
    </w:p>
    <w:p>
      <w:pPr>
        <w:spacing w:after="0" w:line="3" w:lineRule="exact"/>
        <w:rPr>
          <w:rFonts w:ascii="Arial" w:cs="Arial" w:eastAsia="Arial" w:hAnsi="Arial"/>
          <w:sz w:val="18"/>
          <w:szCs w:val="18"/>
          <w:color w:val="auto"/>
        </w:rPr>
      </w:pPr>
    </w:p>
    <w:p>
      <w:pPr>
        <w:jc w:val="both"/>
        <w:ind w:left="332"/>
        <w:spacing w:after="0" w:line="285" w:lineRule="auto"/>
        <w:rPr>
          <w:rFonts w:ascii="Arial" w:cs="Arial" w:eastAsia="Arial" w:hAnsi="Arial"/>
          <w:sz w:val="18"/>
          <w:szCs w:val="18"/>
          <w:color w:val="auto"/>
        </w:rPr>
      </w:pPr>
      <w:r>
        <w:rPr>
          <w:rFonts w:ascii="Arial" w:cs="Arial" w:eastAsia="Arial" w:hAnsi="Arial"/>
          <w:sz w:val="18"/>
          <w:szCs w:val="18"/>
          <w:color w:val="auto"/>
        </w:rPr>
        <w:t>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 its own discretion whether and how to compensate the relevant persons in lieu of such grant, delivery or extension.</w:t>
      </w:r>
    </w:p>
    <w:p>
      <w:pPr>
        <w:spacing w:after="0" w:line="231" w:lineRule="exact"/>
        <w:rPr>
          <w:rFonts w:ascii="Arial" w:cs="Arial" w:eastAsia="Arial" w:hAnsi="Arial"/>
          <w:sz w:val="18"/>
          <w:szCs w:val="18"/>
          <w:color w:val="auto"/>
        </w:rPr>
      </w:pPr>
    </w:p>
    <w:p>
      <w:pPr>
        <w:ind w:left="332" w:hanging="332"/>
        <w:spacing w:after="0" w:line="293" w:lineRule="auto"/>
        <w:tabs>
          <w:tab w:leader="none" w:pos="427" w:val="left"/>
        </w:tabs>
        <w:numPr>
          <w:ilvl w:val="0"/>
          <w:numId w:val="788"/>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PSUs and any shares granted thereunder.</w:t>
      </w:r>
    </w:p>
    <w:p>
      <w:pPr>
        <w:sectPr>
          <w:pgSz w:w="11900" w:h="16838" w:orient="portrait"/>
          <w:cols w:equalWidth="0" w:num="1">
            <w:col w:w="11232"/>
          </w:cols>
          <w:pgMar w:left="328" w:top="180" w:right="339" w:bottom="1440" w:gutter="0" w:footer="0" w:header="0"/>
        </w:sectPr>
      </w:pPr>
    </w:p>
    <w:bookmarkStart w:id="778" w:name="page779"/>
    <w:bookmarkEnd w:id="778"/>
    <w:tbl>
      <w:tblPr>
        <w:tblLayout w:type="fixed"/>
        <w:tblInd w:w="12" w:type="dxa"/>
        <w:tblCellMar>
          <w:top w:w="0" w:type="dxa"/>
          <w:left w:w="0" w:type="dxa"/>
          <w:bottom w:w="0" w:type="dxa"/>
          <w:right w:w="0" w:type="dxa"/>
        </w:tblCellMar>
      </w:tblPr>
      <w:tr>
        <w:trPr>
          <w:trHeight w:val="203"/>
        </w:trPr>
        <w:tc>
          <w:tcPr>
            <w:tcW w:w="704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160" w:type="dxa"/>
            <w:vAlign w:val="bottom"/>
          </w:tcPr>
          <w:p>
            <w:pPr>
              <w:jc w:val="right"/>
              <w:spacing w:after="0"/>
              <w:rPr>
                <w:sz w:val="20"/>
                <w:szCs w:val="20"/>
                <w:color w:val="auto"/>
              </w:rPr>
            </w:pPr>
            <w:r>
              <w:rPr>
                <w:rFonts w:ascii="Arial" w:cs="Arial" w:eastAsia="Arial" w:hAnsi="Arial"/>
                <w:sz w:val="13"/>
                <w:szCs w:val="13"/>
                <w:color w:val="auto"/>
              </w:rPr>
              <w:t>10 |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32" w:hanging="332"/>
        <w:spacing w:after="0" w:line="293" w:lineRule="auto"/>
        <w:tabs>
          <w:tab w:leader="none" w:pos="463" w:val="left"/>
        </w:tabs>
        <w:numPr>
          <w:ilvl w:val="0"/>
          <w:numId w:val="789"/>
        </w:numPr>
        <w:rPr>
          <w:rFonts w:ascii="Arial" w:cs="Arial" w:eastAsia="Arial" w:hAnsi="Arial"/>
          <w:sz w:val="18"/>
          <w:szCs w:val="18"/>
          <w:color w:val="auto"/>
        </w:rPr>
      </w:pPr>
      <w:r>
        <w:rPr>
          <w:rFonts w:ascii="Arial" w:cs="Arial" w:eastAsia="Arial" w:hAnsi="Arial"/>
          <w:sz w:val="18"/>
          <w:szCs w:val="18"/>
          <w:color w:val="auto"/>
        </w:rPr>
        <w:t>Any grant of PSUs to members of the Management Team that qualifies as prohibited payment under the Compensation Ordinance or otherwise, shall be null and void.</w:t>
      </w:r>
    </w:p>
    <w:p>
      <w:pPr>
        <w:spacing w:after="0" w:line="237" w:lineRule="exact"/>
        <w:rPr>
          <w:rFonts w:ascii="Arial" w:cs="Arial" w:eastAsia="Arial" w:hAnsi="Arial"/>
          <w:sz w:val="18"/>
          <w:szCs w:val="18"/>
          <w:color w:val="auto"/>
        </w:rPr>
      </w:pPr>
    </w:p>
    <w:p>
      <w:pPr>
        <w:jc w:val="both"/>
        <w:ind w:left="332" w:hanging="332"/>
        <w:spacing w:after="0" w:line="285" w:lineRule="auto"/>
        <w:tabs>
          <w:tab w:leader="none" w:pos="439" w:val="left"/>
        </w:tabs>
        <w:numPr>
          <w:ilvl w:val="0"/>
          <w:numId w:val="789"/>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case of termination of employment or Change of Control should, at the time of the relevant event, qualify as providing additional value to a member of the Management Team in a manner that would violate the Compensation Ordinance or other legal provisions, such additional value shall be otherwise compensated, e.g. by a relevant deduction from cash compensation or other proceeds.</w:t>
      </w:r>
    </w:p>
    <w:p>
      <w:pPr>
        <w:spacing w:after="0" w:line="200" w:lineRule="exact"/>
        <w:rPr>
          <w:sz w:val="20"/>
          <w:szCs w:val="20"/>
          <w:color w:val="auto"/>
        </w:rPr>
      </w:pPr>
    </w:p>
    <w:p>
      <w:pPr>
        <w:ind w:left="532" w:hanging="532"/>
        <w:spacing w:after="0"/>
        <w:tabs>
          <w:tab w:leader="none" w:pos="532" w:val="left"/>
        </w:tabs>
        <w:numPr>
          <w:ilvl w:val="0"/>
          <w:numId w:val="790"/>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319" w:lineRule="exact"/>
        <w:rPr>
          <w:sz w:val="20"/>
          <w:szCs w:val="20"/>
          <w:color w:val="auto"/>
        </w:rPr>
      </w:pPr>
    </w:p>
    <w:p>
      <w:pPr>
        <w:jc w:val="both"/>
        <w:ind w:left="332"/>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PSU grants. Any adverse economic effects of such termination, suspension or amendment on grants already made pursuant to a PSU Agreement shall be fairly compensated in cash, by adjustment of other terms of the grant, by replacement by other grants or benefits, or otherwise.</w:t>
      </w:r>
    </w:p>
    <w:p>
      <w:pPr>
        <w:spacing w:after="0" w:line="214" w:lineRule="exact"/>
        <w:rPr>
          <w:sz w:val="20"/>
          <w:szCs w:val="20"/>
          <w:color w:val="auto"/>
        </w:rPr>
      </w:pPr>
    </w:p>
    <w:p>
      <w:pPr>
        <w:ind w:left="532" w:hanging="532"/>
        <w:spacing w:after="0"/>
        <w:tabs>
          <w:tab w:leader="none" w:pos="532" w:val="left"/>
        </w:tabs>
        <w:numPr>
          <w:ilvl w:val="0"/>
          <w:numId w:val="791"/>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319" w:lineRule="exact"/>
        <w:rPr>
          <w:sz w:val="20"/>
          <w:szCs w:val="20"/>
          <w:color w:val="auto"/>
        </w:rPr>
      </w:pPr>
    </w:p>
    <w:p>
      <w:pPr>
        <w:jc w:val="both"/>
        <w:ind w:left="332"/>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ind w:left="532" w:hanging="532"/>
        <w:spacing w:after="0"/>
        <w:tabs>
          <w:tab w:leader="none" w:pos="532" w:val="left"/>
        </w:tabs>
        <w:numPr>
          <w:ilvl w:val="0"/>
          <w:numId w:val="792"/>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319" w:lineRule="exact"/>
        <w:rPr>
          <w:sz w:val="20"/>
          <w:szCs w:val="20"/>
          <w:color w:val="auto"/>
        </w:rPr>
      </w:pPr>
    </w:p>
    <w:p>
      <w:pPr>
        <w:ind w:left="412" w:hanging="412"/>
        <w:spacing w:after="0"/>
        <w:tabs>
          <w:tab w:leader="none" w:pos="412" w:val="left"/>
        </w:tabs>
        <w:numPr>
          <w:ilvl w:val="0"/>
          <w:numId w:val="793"/>
        </w:numPr>
        <w:rPr>
          <w:rFonts w:ascii="Arial" w:cs="Arial" w:eastAsia="Arial" w:hAnsi="Arial"/>
          <w:sz w:val="18"/>
          <w:szCs w:val="18"/>
          <w:color w:val="auto"/>
        </w:rPr>
      </w:pPr>
      <w:r>
        <w:rPr>
          <w:rFonts w:ascii="Arial" w:cs="Arial" w:eastAsia="Arial" w:hAnsi="Arial"/>
          <w:sz w:val="18"/>
          <w:szCs w:val="18"/>
          <w:color w:val="auto"/>
        </w:rPr>
        <w:t>This Plan and any PSU Award Agreement shall be governed by, and construed in accordance with, the substantive laws of Switzerland.</w:t>
      </w:r>
    </w:p>
    <w:p>
      <w:pPr>
        <w:spacing w:after="0" w:line="279" w:lineRule="exact"/>
        <w:rPr>
          <w:rFonts w:ascii="Arial" w:cs="Arial" w:eastAsia="Arial" w:hAnsi="Arial"/>
          <w:sz w:val="18"/>
          <w:szCs w:val="18"/>
          <w:color w:val="auto"/>
        </w:rPr>
      </w:pPr>
    </w:p>
    <w:p>
      <w:pPr>
        <w:jc w:val="both"/>
        <w:ind w:left="332" w:hanging="332"/>
        <w:spacing w:after="0" w:line="287" w:lineRule="auto"/>
        <w:tabs>
          <w:tab w:leader="none" w:pos="571" w:val="left"/>
        </w:tabs>
        <w:numPr>
          <w:ilvl w:val="0"/>
          <w:numId w:val="793"/>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spacing w:after="0" w:line="211" w:lineRule="exact"/>
        <w:rPr>
          <w:sz w:val="20"/>
          <w:szCs w:val="20"/>
          <w:color w:val="auto"/>
        </w:rPr>
      </w:pPr>
    </w:p>
    <w:p>
      <w:pPr>
        <w:ind w:left="532" w:hanging="532"/>
        <w:spacing w:after="0"/>
        <w:tabs>
          <w:tab w:leader="none" w:pos="532" w:val="left"/>
        </w:tabs>
        <w:numPr>
          <w:ilvl w:val="0"/>
          <w:numId w:val="794"/>
        </w:numPr>
        <w:rPr>
          <w:rFonts w:ascii="Arial" w:cs="Arial" w:eastAsia="Arial" w:hAnsi="Arial"/>
          <w:sz w:val="22"/>
          <w:szCs w:val="22"/>
          <w:b w:val="1"/>
          <w:bCs w:val="1"/>
          <w:color w:val="auto"/>
        </w:rPr>
      </w:pPr>
      <w:r>
        <w:rPr>
          <w:rFonts w:ascii="Arial" w:cs="Arial" w:eastAsia="Arial" w:hAnsi="Arial"/>
          <w:sz w:val="22"/>
          <w:szCs w:val="22"/>
          <w:b w:val="1"/>
          <w:bCs w:val="1"/>
          <w:color w:val="auto"/>
        </w:rPr>
        <w:t>Entry into Force</w:t>
      </w:r>
    </w:p>
    <w:p>
      <w:pPr>
        <w:spacing w:after="0" w:line="31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As per approval of the Board of Directors, this Plan shall enter into force as of March 18, 2020.</w:t>
      </w:r>
    </w:p>
    <w:p>
      <w:pPr>
        <w:sectPr>
          <w:pgSz w:w="11900" w:h="16838" w:orient="portrait"/>
          <w:cols w:equalWidth="0" w:num="1">
            <w:col w:w="11232"/>
          </w:cols>
          <w:pgMar w:left="328" w:top="180" w:right="339" w:bottom="1440" w:gutter="0" w:footer="0" w:header="0"/>
        </w:sectPr>
      </w:pPr>
    </w:p>
    <w:bookmarkStart w:id="779" w:name="page780"/>
    <w:bookmarkEnd w:id="779"/>
    <w:p>
      <w:pPr>
        <w:ind w:left="20"/>
        <w:spacing w:after="0"/>
        <w:rPr>
          <w:sz w:val="20"/>
          <w:szCs w:val="20"/>
          <w:color w:val="auto"/>
        </w:rPr>
      </w:pPr>
      <w:r>
        <w:rPr>
          <w:rFonts w:ascii="Arial" w:cs="Arial" w:eastAsia="Arial" w:hAnsi="Arial"/>
          <w:sz w:val="13"/>
          <w:szCs w:val="13"/>
          <w:color w:val="auto"/>
        </w:rPr>
        <w:t>Molecular Partners AG: Performance Share Plan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Goal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shall mean all Group Companies.</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LTI Score Card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Management Team </w:t>
      </w:r>
      <w:r>
        <w:rPr>
          <w:rFonts w:ascii="Arial" w:cs="Arial" w:eastAsia="Arial" w:hAnsi="Arial"/>
          <w:sz w:val="18"/>
          <w:szCs w:val="18"/>
          <w:color w:val="auto"/>
        </w:rPr>
        <w:t>shall mean the members of the top level executive management, i.e. those managers whose compensation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Ordinance.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PSUs through a PSU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Multiple </w:t>
      </w:r>
      <w:r>
        <w:rPr>
          <w:rFonts w:ascii="Arial" w:cs="Arial" w:eastAsia="Arial" w:hAnsi="Arial"/>
          <w:sz w:val="18"/>
          <w:szCs w:val="18"/>
          <w:color w:val="auto"/>
        </w:rPr>
        <w:t>shall be the multiple determined in accordance with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40"/>
          </w:cols>
          <w:pgMar w:left="320" w:top="180" w:right="339" w:bottom="1440" w:gutter="0" w:footer="0" w:header="0"/>
        </w:sectPr>
      </w:pPr>
    </w:p>
    <w:bookmarkStart w:id="780" w:name="page781"/>
    <w:bookmarkEnd w:id="780"/>
    <w:p>
      <w:pPr>
        <w:ind w:left="20"/>
        <w:spacing w:after="0"/>
        <w:rPr>
          <w:sz w:val="20"/>
          <w:szCs w:val="20"/>
          <w:color w:val="auto"/>
        </w:rPr>
      </w:pPr>
      <w:r>
        <w:rPr>
          <w:rFonts w:ascii="Arial" w:cs="Arial" w:eastAsia="Arial" w:hAnsi="Arial"/>
          <w:sz w:val="13"/>
          <w:szCs w:val="13"/>
          <w:color w:val="auto"/>
        </w:rPr>
        <w:t>Molecular Partners AG: Performance Share Plan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PSU Award Agreement 2020</w:t>
      </w:r>
    </w:p>
    <w:p>
      <w:pPr>
        <w:spacing w:after="0" w:line="25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Performance Share Plan 2020 (the </w:t>
      </w:r>
      <w:r>
        <w:rPr>
          <w:rFonts w:ascii="Arial" w:cs="Arial" w:eastAsia="Arial" w:hAnsi="Arial"/>
          <w:sz w:val="18"/>
          <w:szCs w:val="18"/>
          <w:b w:val="1"/>
          <w:bCs w:val="1"/>
          <w:color w:val="auto"/>
        </w:rPr>
        <w:t>PSU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PSU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PSU Plan, the Company hereby grants to you the following PSUs: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351"/>
        </w:trPr>
        <w:tc>
          <w:tcPr>
            <w:tcW w:w="3040" w:type="dxa"/>
            <w:vAlign w:val="bottom"/>
          </w:tcPr>
          <w:p>
            <w:pPr>
              <w:spacing w:after="0"/>
              <w:rPr>
                <w:sz w:val="20"/>
                <w:szCs w:val="20"/>
                <w:color w:val="auto"/>
              </w:rPr>
            </w:pPr>
            <w:r>
              <w:rPr>
                <w:rFonts w:ascii="Arial" w:cs="Arial" w:eastAsia="Arial" w:hAnsi="Arial"/>
                <w:sz w:val="18"/>
                <w:szCs w:val="18"/>
                <w:b w:val="1"/>
                <w:bCs w:val="1"/>
                <w:color w:val="auto"/>
              </w:rPr>
              <w:t>Number of PSUs</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135"/>
        </w:trPr>
        <w:tc>
          <w:tcPr>
            <w:tcW w:w="3040" w:type="dxa"/>
            <w:vAlign w:val="bottom"/>
          </w:tcPr>
          <w:p>
            <w:pPr>
              <w:spacing w:after="0"/>
              <w:rPr>
                <w:sz w:val="11"/>
                <w:szCs w:val="11"/>
                <w:color w:val="auto"/>
              </w:rPr>
            </w:pPr>
          </w:p>
        </w:tc>
        <w:tc>
          <w:tcPr>
            <w:tcW w:w="7440" w:type="dxa"/>
            <w:vAlign w:val="bottom"/>
            <w:shd w:val="clear" w:color="auto" w:fill="D9D9D9"/>
          </w:tcPr>
          <w:p>
            <w:pPr>
              <w:spacing w:after="0"/>
              <w:rPr>
                <w:sz w:val="11"/>
                <w:szCs w:val="11"/>
                <w:color w:val="auto"/>
              </w:rPr>
            </w:pPr>
          </w:p>
        </w:tc>
      </w:tr>
    </w:tbl>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corporate goals relevant for this award ([communicated to you separately] | [</w:t>
      </w:r>
      <w:r>
        <w:rPr>
          <w:rFonts w:ascii="Arial" w:cs="Arial" w:eastAsia="Arial" w:hAnsi="Arial"/>
          <w:sz w:val="18"/>
          <w:szCs w:val="18"/>
          <w:u w:val="single" w:color="auto"/>
          <w:color w:val="auto"/>
        </w:rPr>
        <w:t>attached hereto]</w:t>
      </w:r>
      <w:r>
        <w:rPr>
          <w:rFonts w:ascii="Arial" w:cs="Arial" w:eastAsia="Arial" w:hAnsi="Arial"/>
          <w:sz w:val="18"/>
          <w:szCs w:val="18"/>
          <w:color w:val="auto"/>
        </w:rPr>
        <w:t>). Please note that the PSU Plan includes a number of restrictions and conditions, which may lead to a complete loss of any entitlements hereunder. [Any grants made to members of the Management Team shall be subject to the approval of relevant compensation amounts for the Management Team by the shareholders' meeting for the year 2020.] [</w:t>
      </w:r>
      <w:r>
        <w:rPr>
          <w:rFonts w:ascii="Arial" w:cs="Arial" w:eastAsia="Arial" w:hAnsi="Arial"/>
          <w:sz w:val="18"/>
          <w:szCs w:val="18"/>
          <w:i w:val="1"/>
          <w:iCs w:val="1"/>
          <w:color w:val="auto"/>
        </w:rPr>
        <w:t>NB: PSU Awards Agreements with employees of Group companies may differ from this template</w:t>
      </w:r>
      <w:r>
        <w:rPr>
          <w:rFonts w:ascii="Arial" w:cs="Arial" w:eastAsia="Arial" w:hAnsi="Arial"/>
          <w:sz w:val="18"/>
          <w:szCs w:val="18"/>
          <w:color w:val="auto"/>
        </w:rPr>
        <w:t>]</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PSUs in accordance with this Agreement and the PSU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ectPr>
          <w:pgSz w:w="11900" w:h="16838" w:orient="portrait"/>
          <w:cols w:equalWidth="0" w:num="1">
            <w:col w:w="11240"/>
          </w:cols>
          <w:pgMar w:left="320" w:top="180"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20" w:lineRule="exact"/>
        <w:rPr>
          <w:sz w:val="20"/>
          <w:szCs w:val="20"/>
          <w:color w:val="auto"/>
        </w:rPr>
      </w:pPr>
    </w:p>
    <w:p>
      <w:pPr>
        <w:sectPr>
          <w:pgSz w:w="11900" w:h="16838" w:orient="portrait"/>
          <w:cols w:equalWidth="0" w:num="2">
            <w:col w:w="2540" w:space="720"/>
            <w:col w:w="7980"/>
          </w:cols>
          <w:pgMar w:left="320" w:top="1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w:t>
      </w:r>
    </w:p>
    <w:p>
      <w:pPr>
        <w:spacing w:after="0" w:line="200" w:lineRule="exact"/>
        <w:rPr>
          <w:sz w:val="20"/>
          <w:szCs w:val="20"/>
          <w:color w:val="auto"/>
        </w:rPr>
      </w:pPr>
    </w:p>
    <w:p>
      <w:pPr>
        <w:sectPr>
          <w:pgSz w:w="11900" w:h="16838" w:orient="portrait"/>
          <w:cols w:equalWidth="0" w:num="2">
            <w:col w:w="2540" w:space="720"/>
            <w:col w:w="7980"/>
          </w:cols>
          <w:pgMar w:left="320" w:top="180"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Accepted and agreed by the Participant on </w:t>
      </w:r>
      <w:r>
        <w:rPr>
          <w:rFonts w:ascii="Arial" w:cs="Arial" w:eastAsia="Arial" w:hAnsi="Arial"/>
          <w:sz w:val="16"/>
          <w:szCs w:val="16"/>
          <w:color w:val="auto"/>
        </w:rPr>
        <w:t>(Date, Signature):</w:t>
      </w:r>
      <w:r>
        <w:rPr>
          <w:rFonts w:ascii="Arial" w:cs="Arial" w:eastAsia="Arial" w:hAnsi="Arial"/>
          <w:sz w:val="18"/>
          <w:szCs w:val="18"/>
          <w:color w:val="auto"/>
        </w:rPr>
        <w:t xml:space="preserve"> ____________________</w:t>
      </w:r>
    </w:p>
    <w:p>
      <w:pPr>
        <w:sectPr>
          <w:pgSz w:w="11900" w:h="16838" w:orient="portrait"/>
          <w:cols w:equalWidth="0" w:num="1">
            <w:col w:w="11240"/>
          </w:cols>
          <w:pgMar w:left="320" w:top="180" w:right="339" w:bottom="1440" w:gutter="0" w:footer="0" w:header="0"/>
          <w:type w:val="continuous"/>
        </w:sectPr>
      </w:pPr>
    </w:p>
    <w:bookmarkStart w:id="781" w:name="page782"/>
    <w:bookmarkEnd w:id="781"/>
    <w:tbl>
      <w:tblPr>
        <w:tblLayout w:type="fixed"/>
        <w:tblInd w:w="20" w:type="dxa"/>
        <w:tblCellMar>
          <w:top w:w="0" w:type="dxa"/>
          <w:left w:w="0" w:type="dxa"/>
          <w:bottom w:w="0" w:type="dxa"/>
          <w:right w:w="0" w:type="dxa"/>
        </w:tblCellMar>
      </w:tblPr>
      <w:tr>
        <w:trPr>
          <w:trHeight w:val="187"/>
        </w:trPr>
        <w:tc>
          <w:tcPr>
            <w:tcW w:w="7120" w:type="dxa"/>
            <w:vAlign w:val="bottom"/>
          </w:tcPr>
          <w:p>
            <w:pPr>
              <w:spacing w:after="0"/>
              <w:rPr>
                <w:sz w:val="20"/>
                <w:szCs w:val="20"/>
                <w:color w:val="auto"/>
              </w:rPr>
            </w:pPr>
            <w:r>
              <w:rPr>
                <w:rFonts w:ascii="Arial" w:cs="Arial" w:eastAsia="Arial" w:hAnsi="Arial"/>
                <w:sz w:val="13"/>
                <w:szCs w:val="13"/>
                <w:color w:val="auto"/>
              </w:rPr>
              <w:t>Molecular Partners AG: Performance Share Plan 2020</w:t>
            </w:r>
          </w:p>
        </w:tc>
        <w:tc>
          <w:tcPr>
            <w:tcW w:w="4080" w:type="dxa"/>
            <w:vAlign w:val="bottom"/>
          </w:tcPr>
          <w:p>
            <w:pPr>
              <w:jc w:val="right"/>
              <w:spacing w:after="0"/>
              <w:rPr>
                <w:sz w:val="20"/>
                <w:szCs w:val="20"/>
                <w:color w:val="auto"/>
              </w:rPr>
            </w:pPr>
            <w:r>
              <w:rPr>
                <w:rFonts w:ascii="Arial" w:cs="Arial" w:eastAsia="Arial" w:hAnsi="Arial"/>
                <w:sz w:val="13"/>
                <w:szCs w:val="13"/>
                <w:color w:val="auto"/>
              </w:rPr>
              <w:t>2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rPr>
          <w:sz w:val="20"/>
          <w:szCs w:val="20"/>
          <w:color w:val="auto"/>
        </w:rPr>
      </w:pPr>
      <w:r>
        <w:rPr>
          <w:rFonts w:ascii="Arial" w:cs="Arial" w:eastAsia="Arial" w:hAnsi="Arial"/>
          <w:sz w:val="18"/>
          <w:szCs w:val="18"/>
          <w:b w:val="1"/>
          <w:bCs w:val="1"/>
          <w:color w:val="auto"/>
        </w:rPr>
        <w:t>[Annex to the PSU Award Agreement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 Plan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 Score Card [for [</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220"/>
          </w:cols>
          <w:pgMar w:left="320" w:top="180" w:right="359" w:bottom="1440" w:gutter="0" w:footer="0" w:header="0"/>
        </w:sectPr>
      </w:pPr>
    </w:p>
    <w:bookmarkStart w:id="782" w:name="page783"/>
    <w:bookmarkEnd w:id="782"/>
    <w:p>
      <w:pPr>
        <w:jc w:val="right"/>
        <w:spacing w:after="0"/>
        <w:rPr>
          <w:sz w:val="20"/>
          <w:szCs w:val="20"/>
          <w:color w:val="auto"/>
        </w:rPr>
      </w:pPr>
      <w:r>
        <w:rPr>
          <w:rFonts w:ascii="Arial" w:cs="Arial" w:eastAsia="Arial" w:hAnsi="Arial"/>
          <w:sz w:val="18"/>
          <w:szCs w:val="18"/>
          <w:b w:val="1"/>
          <w:bCs w:val="1"/>
          <w:color w:val="auto"/>
        </w:rPr>
        <w:t>Exhibit 10.11</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Molecular Partners AG: Performance Share Plan 2021 -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Plan 2021</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Employees</w:t>
      </w:r>
    </w:p>
    <w:p>
      <w:pPr>
        <w:sectPr>
          <w:pgSz w:w="11900" w:h="16838" w:orient="portrait"/>
          <w:cols w:equalWidth="0" w:num="1">
            <w:col w:w="11240"/>
          </w:cols>
          <w:pgMar w:left="320" w:top="122" w:right="339" w:bottom="1440" w:gutter="0" w:footer="0" w:header="0"/>
        </w:sectPr>
      </w:pPr>
    </w:p>
    <w:bookmarkStart w:id="783" w:name="page784"/>
    <w:bookmarkEnd w:id="783"/>
    <w:tbl>
      <w:tblPr>
        <w:tblLayout w:type="fixed"/>
        <w:tblInd w:w="20" w:type="dxa"/>
        <w:tblCellMar>
          <w:top w:w="0" w:type="dxa"/>
          <w:left w:w="0" w:type="dxa"/>
          <w:bottom w:w="0" w:type="dxa"/>
          <w:right w:w="0" w:type="dxa"/>
        </w:tblCellMar>
      </w:tblPr>
      <w:tr>
        <w:trPr>
          <w:trHeight w:val="187"/>
        </w:trPr>
        <w:tc>
          <w:tcPr>
            <w:tcW w:w="746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40" w:type="dxa"/>
            <w:vAlign w:val="bottom"/>
          </w:tcPr>
          <w:p>
            <w:pPr>
              <w:jc w:val="right"/>
              <w:spacing w:after="0"/>
              <w:rPr>
                <w:sz w:val="20"/>
                <w:szCs w:val="20"/>
                <w:color w:val="auto"/>
              </w:rPr>
            </w:pPr>
            <w:r>
              <w:rPr>
                <w:rFonts w:ascii="Arial" w:cs="Arial" w:eastAsia="Arial" w:hAnsi="Arial"/>
                <w:sz w:val="13"/>
                <w:szCs w:val="13"/>
                <w:color w:val="auto"/>
              </w:rPr>
              <w:t>2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7540" w:type="dxa"/>
            <w:vAlign w:val="bottom"/>
            <w:gridSpan w:val="2"/>
          </w:tcPr>
          <w:p>
            <w:pPr>
              <w:spacing w:after="0"/>
              <w:rPr>
                <w:sz w:val="20"/>
                <w:szCs w:val="20"/>
                <w:color w:val="auto"/>
              </w:rPr>
            </w:pPr>
            <w:r>
              <w:rPr>
                <w:rFonts w:ascii="Arial" w:cs="Arial" w:eastAsia="Arial" w:hAnsi="Arial"/>
                <w:sz w:val="20"/>
                <w:szCs w:val="20"/>
                <w:color w:val="auto"/>
              </w:rPr>
              <w:t>Performance Share Plan 2021</w:t>
            </w:r>
          </w:p>
        </w:tc>
        <w:tc>
          <w:tcPr>
            <w:tcW w:w="32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w:t>
            </w:r>
          </w:p>
        </w:tc>
        <w:tc>
          <w:tcPr>
            <w:tcW w:w="7040" w:type="dxa"/>
            <w:vAlign w:val="bottom"/>
          </w:tcPr>
          <w:p>
            <w:pPr>
              <w:ind w:left="220"/>
              <w:spacing w:after="0"/>
              <w:rPr>
                <w:sz w:val="20"/>
                <w:szCs w:val="20"/>
                <w:color w:val="auto"/>
              </w:rPr>
            </w:pPr>
            <w:r>
              <w:rPr>
                <w:rFonts w:ascii="Arial" w:cs="Arial" w:eastAsia="Arial" w:hAnsi="Arial"/>
                <w:sz w:val="20"/>
                <w:szCs w:val="20"/>
                <w:color w:val="auto"/>
              </w:rPr>
              <w:t>Purpose</w:t>
            </w:r>
          </w:p>
        </w:tc>
        <w:tc>
          <w:tcPr>
            <w:tcW w:w="32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2.</w:t>
            </w:r>
          </w:p>
        </w:tc>
        <w:tc>
          <w:tcPr>
            <w:tcW w:w="7040" w:type="dxa"/>
            <w:vAlign w:val="bottom"/>
          </w:tcPr>
          <w:p>
            <w:pPr>
              <w:ind w:left="220"/>
              <w:spacing w:after="0"/>
              <w:rPr>
                <w:sz w:val="20"/>
                <w:szCs w:val="20"/>
                <w:color w:val="auto"/>
              </w:rPr>
            </w:pPr>
            <w:r>
              <w:rPr>
                <w:rFonts w:ascii="Arial" w:cs="Arial" w:eastAsia="Arial" w:hAnsi="Arial"/>
                <w:sz w:val="20"/>
                <w:szCs w:val="20"/>
                <w:color w:val="auto"/>
              </w:rPr>
              <w:t>Definitions and Interpretation</w:t>
            </w:r>
          </w:p>
        </w:tc>
        <w:tc>
          <w:tcPr>
            <w:tcW w:w="32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3.</w:t>
            </w:r>
          </w:p>
        </w:tc>
        <w:tc>
          <w:tcPr>
            <w:tcW w:w="7040" w:type="dxa"/>
            <w:vAlign w:val="bottom"/>
          </w:tcPr>
          <w:p>
            <w:pPr>
              <w:ind w:left="220"/>
              <w:spacing w:after="0"/>
              <w:rPr>
                <w:sz w:val="20"/>
                <w:szCs w:val="20"/>
                <w:color w:val="auto"/>
              </w:rPr>
            </w:pPr>
            <w:r>
              <w:rPr>
                <w:rFonts w:ascii="Arial" w:cs="Arial" w:eastAsia="Arial" w:hAnsi="Arial"/>
                <w:sz w:val="20"/>
                <w:szCs w:val="20"/>
                <w:color w:val="auto"/>
              </w:rPr>
              <w:t>Responsibilities and Administration</w:t>
            </w:r>
          </w:p>
        </w:tc>
        <w:tc>
          <w:tcPr>
            <w:tcW w:w="32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4.</w:t>
            </w:r>
          </w:p>
        </w:tc>
        <w:tc>
          <w:tcPr>
            <w:tcW w:w="7040" w:type="dxa"/>
            <w:vAlign w:val="bottom"/>
          </w:tcPr>
          <w:p>
            <w:pPr>
              <w:ind w:left="220"/>
              <w:spacing w:after="0"/>
              <w:rPr>
                <w:sz w:val="20"/>
                <w:szCs w:val="20"/>
                <w:color w:val="auto"/>
              </w:rPr>
            </w:pPr>
            <w:r>
              <w:rPr>
                <w:rFonts w:ascii="Arial" w:cs="Arial" w:eastAsia="Arial" w:hAnsi="Arial"/>
                <w:sz w:val="20"/>
                <w:szCs w:val="20"/>
                <w:color w:val="auto"/>
              </w:rPr>
              <w:t>Eligibility and Participation</w:t>
            </w:r>
          </w:p>
        </w:tc>
        <w:tc>
          <w:tcPr>
            <w:tcW w:w="32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5.</w:t>
            </w:r>
          </w:p>
        </w:tc>
        <w:tc>
          <w:tcPr>
            <w:tcW w:w="7040" w:type="dxa"/>
            <w:vAlign w:val="bottom"/>
          </w:tcPr>
          <w:p>
            <w:pPr>
              <w:ind w:left="220"/>
              <w:spacing w:after="0"/>
              <w:rPr>
                <w:sz w:val="20"/>
                <w:szCs w:val="20"/>
                <w:color w:val="auto"/>
              </w:rPr>
            </w:pPr>
            <w:r>
              <w:rPr>
                <w:rFonts w:ascii="Arial" w:cs="Arial" w:eastAsia="Arial" w:hAnsi="Arial"/>
                <w:sz w:val="20"/>
                <w:szCs w:val="20"/>
                <w:color w:val="auto"/>
              </w:rPr>
              <w:t>Grant of PSUs</w:t>
            </w:r>
          </w:p>
        </w:tc>
        <w:tc>
          <w:tcPr>
            <w:tcW w:w="32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6.</w:t>
            </w:r>
          </w:p>
        </w:tc>
        <w:tc>
          <w:tcPr>
            <w:tcW w:w="7040" w:type="dxa"/>
            <w:vAlign w:val="bottom"/>
          </w:tcPr>
          <w:p>
            <w:pPr>
              <w:ind w:left="220"/>
              <w:spacing w:after="0"/>
              <w:rPr>
                <w:sz w:val="20"/>
                <w:szCs w:val="20"/>
                <w:color w:val="auto"/>
              </w:rPr>
            </w:pPr>
            <w:r>
              <w:rPr>
                <w:rFonts w:ascii="Arial" w:cs="Arial" w:eastAsia="Arial" w:hAnsi="Arial"/>
                <w:sz w:val="20"/>
                <w:szCs w:val="20"/>
                <w:color w:val="auto"/>
              </w:rPr>
              <w:t>No Securities</w:t>
            </w:r>
          </w:p>
        </w:tc>
        <w:tc>
          <w:tcPr>
            <w:tcW w:w="32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7.</w:t>
            </w:r>
          </w:p>
        </w:tc>
        <w:tc>
          <w:tcPr>
            <w:tcW w:w="7040" w:type="dxa"/>
            <w:vAlign w:val="bottom"/>
          </w:tcPr>
          <w:p>
            <w:pPr>
              <w:ind w:left="220"/>
              <w:spacing w:after="0"/>
              <w:rPr>
                <w:sz w:val="20"/>
                <w:szCs w:val="20"/>
                <w:color w:val="auto"/>
              </w:rPr>
            </w:pPr>
            <w:r>
              <w:rPr>
                <w:rFonts w:ascii="Arial" w:cs="Arial" w:eastAsia="Arial" w:hAnsi="Arial"/>
                <w:sz w:val="20"/>
                <w:szCs w:val="20"/>
                <w:color w:val="auto"/>
              </w:rPr>
              <w:t>No Transfer</w:t>
            </w:r>
          </w:p>
        </w:tc>
        <w:tc>
          <w:tcPr>
            <w:tcW w:w="32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8.</w:t>
            </w:r>
          </w:p>
        </w:tc>
        <w:tc>
          <w:tcPr>
            <w:tcW w:w="7040" w:type="dxa"/>
            <w:vAlign w:val="bottom"/>
          </w:tcPr>
          <w:p>
            <w:pPr>
              <w:ind w:left="220"/>
              <w:spacing w:after="0"/>
              <w:rPr>
                <w:sz w:val="20"/>
                <w:szCs w:val="20"/>
                <w:color w:val="auto"/>
              </w:rPr>
            </w:pPr>
            <w:r>
              <w:rPr>
                <w:rFonts w:ascii="Arial" w:cs="Arial" w:eastAsia="Arial" w:hAnsi="Arial"/>
                <w:sz w:val="20"/>
                <w:szCs w:val="20"/>
                <w:color w:val="auto"/>
              </w:rPr>
              <w:t>Vesting and Delivery of Shares</w:t>
            </w:r>
          </w:p>
        </w:tc>
        <w:tc>
          <w:tcPr>
            <w:tcW w:w="32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9.</w:t>
            </w:r>
          </w:p>
        </w:tc>
        <w:tc>
          <w:tcPr>
            <w:tcW w:w="7040" w:type="dxa"/>
            <w:vAlign w:val="bottom"/>
          </w:tcPr>
          <w:p>
            <w:pPr>
              <w:ind w:left="220"/>
              <w:spacing w:after="0"/>
              <w:rPr>
                <w:sz w:val="20"/>
                <w:szCs w:val="20"/>
                <w:color w:val="auto"/>
              </w:rPr>
            </w:pPr>
            <w:r>
              <w:rPr>
                <w:rFonts w:ascii="Arial" w:cs="Arial" w:eastAsia="Arial" w:hAnsi="Arial"/>
                <w:sz w:val="20"/>
                <w:szCs w:val="20"/>
                <w:color w:val="auto"/>
              </w:rPr>
              <w:t>Underlying Shares</w:t>
            </w:r>
          </w:p>
        </w:tc>
        <w:tc>
          <w:tcPr>
            <w:tcW w:w="32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10.</w:t>
            </w:r>
          </w:p>
        </w:tc>
        <w:tc>
          <w:tcPr>
            <w:tcW w:w="7040" w:type="dxa"/>
            <w:vAlign w:val="bottom"/>
          </w:tcPr>
          <w:p>
            <w:pPr>
              <w:ind w:left="220"/>
              <w:spacing w:after="0"/>
              <w:rPr>
                <w:sz w:val="20"/>
                <w:szCs w:val="20"/>
                <w:color w:val="auto"/>
              </w:rPr>
            </w:pPr>
            <w:r>
              <w:rPr>
                <w:rFonts w:ascii="Arial" w:cs="Arial" w:eastAsia="Arial" w:hAnsi="Arial"/>
                <w:sz w:val="20"/>
                <w:szCs w:val="20"/>
                <w:color w:val="auto"/>
              </w:rPr>
              <w:t>Vesting Multiple</w:t>
            </w:r>
          </w:p>
        </w:tc>
        <w:tc>
          <w:tcPr>
            <w:tcW w:w="32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11.</w:t>
            </w:r>
          </w:p>
        </w:tc>
        <w:tc>
          <w:tcPr>
            <w:tcW w:w="7040" w:type="dxa"/>
            <w:vAlign w:val="bottom"/>
          </w:tcPr>
          <w:p>
            <w:pPr>
              <w:ind w:left="220"/>
              <w:spacing w:after="0"/>
              <w:rPr>
                <w:sz w:val="20"/>
                <w:szCs w:val="20"/>
                <w:color w:val="auto"/>
              </w:rPr>
            </w:pPr>
            <w:r>
              <w:rPr>
                <w:rFonts w:ascii="Arial" w:cs="Arial" w:eastAsia="Arial" w:hAnsi="Arial"/>
                <w:sz w:val="20"/>
                <w:szCs w:val="20"/>
                <w:color w:val="auto"/>
              </w:rPr>
              <w:t>Taxes and Social Security Contributions</w:t>
            </w:r>
          </w:p>
        </w:tc>
        <w:tc>
          <w:tcPr>
            <w:tcW w:w="32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12.</w:t>
            </w:r>
          </w:p>
        </w:tc>
        <w:tc>
          <w:tcPr>
            <w:tcW w:w="7040" w:type="dxa"/>
            <w:vAlign w:val="bottom"/>
          </w:tcPr>
          <w:p>
            <w:pPr>
              <w:ind w:left="220"/>
              <w:spacing w:after="0"/>
              <w:rPr>
                <w:sz w:val="20"/>
                <w:szCs w:val="20"/>
                <w:color w:val="auto"/>
              </w:rPr>
            </w:pPr>
            <w:r>
              <w:rPr>
                <w:rFonts w:ascii="Arial" w:cs="Arial" w:eastAsia="Arial" w:hAnsi="Arial"/>
                <w:sz w:val="20"/>
                <w:szCs w:val="20"/>
                <w:color w:val="auto"/>
              </w:rPr>
              <w:t>Disclosure Requirements</w:t>
            </w:r>
          </w:p>
        </w:tc>
        <w:tc>
          <w:tcPr>
            <w:tcW w:w="32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13.</w:t>
            </w:r>
          </w:p>
        </w:tc>
        <w:tc>
          <w:tcPr>
            <w:tcW w:w="7040" w:type="dxa"/>
            <w:vAlign w:val="bottom"/>
          </w:tcPr>
          <w:p>
            <w:pPr>
              <w:ind w:left="220"/>
              <w:spacing w:after="0"/>
              <w:rPr>
                <w:sz w:val="20"/>
                <w:szCs w:val="20"/>
                <w:color w:val="auto"/>
              </w:rPr>
            </w:pPr>
            <w:r>
              <w:rPr>
                <w:rFonts w:ascii="Arial" w:cs="Arial" w:eastAsia="Arial" w:hAnsi="Arial"/>
                <w:sz w:val="20"/>
                <w:szCs w:val="20"/>
                <w:color w:val="auto"/>
              </w:rPr>
              <w:t>Other Obligations of the Participant</w:t>
            </w:r>
          </w:p>
        </w:tc>
        <w:tc>
          <w:tcPr>
            <w:tcW w:w="32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14.</w:t>
            </w:r>
          </w:p>
        </w:tc>
        <w:tc>
          <w:tcPr>
            <w:tcW w:w="7040" w:type="dxa"/>
            <w:vAlign w:val="bottom"/>
          </w:tcPr>
          <w:p>
            <w:pPr>
              <w:ind w:left="220"/>
              <w:spacing w:after="0"/>
              <w:rPr>
                <w:sz w:val="20"/>
                <w:szCs w:val="20"/>
                <w:color w:val="auto"/>
              </w:rPr>
            </w:pPr>
            <w:r>
              <w:rPr>
                <w:rFonts w:ascii="Arial" w:cs="Arial" w:eastAsia="Arial" w:hAnsi="Arial"/>
                <w:sz w:val="20"/>
                <w:szCs w:val="20"/>
                <w:color w:val="auto"/>
              </w:rPr>
              <w:t>Termination of Employment and Forfeiture</w:t>
            </w:r>
          </w:p>
        </w:tc>
        <w:tc>
          <w:tcPr>
            <w:tcW w:w="32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15.</w:t>
            </w:r>
          </w:p>
        </w:tc>
        <w:tc>
          <w:tcPr>
            <w:tcW w:w="7040" w:type="dxa"/>
            <w:vAlign w:val="bottom"/>
          </w:tcPr>
          <w:p>
            <w:pPr>
              <w:ind w:left="220"/>
              <w:spacing w:after="0"/>
              <w:rPr>
                <w:sz w:val="20"/>
                <w:szCs w:val="20"/>
                <w:color w:val="auto"/>
              </w:rPr>
            </w:pPr>
            <w:r>
              <w:rPr>
                <w:rFonts w:ascii="Arial" w:cs="Arial" w:eastAsia="Arial" w:hAnsi="Arial"/>
                <w:sz w:val="20"/>
                <w:szCs w:val="20"/>
                <w:color w:val="auto"/>
              </w:rPr>
              <w:t>Change of Control</w:t>
            </w:r>
          </w:p>
        </w:tc>
        <w:tc>
          <w:tcPr>
            <w:tcW w:w="32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16.</w:t>
            </w:r>
          </w:p>
        </w:tc>
        <w:tc>
          <w:tcPr>
            <w:tcW w:w="7040" w:type="dxa"/>
            <w:vAlign w:val="bottom"/>
          </w:tcPr>
          <w:p>
            <w:pPr>
              <w:ind w:left="220"/>
              <w:spacing w:after="0"/>
              <w:rPr>
                <w:sz w:val="20"/>
                <w:szCs w:val="20"/>
                <w:color w:val="auto"/>
              </w:rPr>
            </w:pPr>
            <w:r>
              <w:rPr>
                <w:rFonts w:ascii="Arial" w:cs="Arial" w:eastAsia="Arial" w:hAnsi="Arial"/>
                <w:sz w:val="20"/>
                <w:szCs w:val="20"/>
                <w:color w:val="auto"/>
              </w:rPr>
              <w:t>Corporate Events</w:t>
            </w:r>
          </w:p>
        </w:tc>
        <w:tc>
          <w:tcPr>
            <w:tcW w:w="32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17.</w:t>
            </w:r>
          </w:p>
        </w:tc>
        <w:tc>
          <w:tcPr>
            <w:tcW w:w="7040" w:type="dxa"/>
            <w:vAlign w:val="bottom"/>
          </w:tcPr>
          <w:p>
            <w:pPr>
              <w:ind w:left="220"/>
              <w:spacing w:after="0"/>
              <w:rPr>
                <w:sz w:val="20"/>
                <w:szCs w:val="20"/>
                <w:color w:val="auto"/>
              </w:rPr>
            </w:pPr>
            <w:r>
              <w:rPr>
                <w:rFonts w:ascii="Arial" w:cs="Arial" w:eastAsia="Arial" w:hAnsi="Arial"/>
                <w:sz w:val="20"/>
                <w:szCs w:val="20"/>
                <w:color w:val="auto"/>
              </w:rPr>
              <w:t>Data Protection</w:t>
            </w:r>
          </w:p>
        </w:tc>
        <w:tc>
          <w:tcPr>
            <w:tcW w:w="32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18.</w:t>
            </w:r>
          </w:p>
        </w:tc>
        <w:tc>
          <w:tcPr>
            <w:tcW w:w="7040" w:type="dxa"/>
            <w:vAlign w:val="bottom"/>
          </w:tcPr>
          <w:p>
            <w:pPr>
              <w:ind w:left="220"/>
              <w:spacing w:after="0"/>
              <w:rPr>
                <w:sz w:val="20"/>
                <w:szCs w:val="20"/>
                <w:color w:val="auto"/>
              </w:rPr>
            </w:pPr>
            <w:r>
              <w:rPr>
                <w:rFonts w:ascii="Arial" w:cs="Arial" w:eastAsia="Arial" w:hAnsi="Arial"/>
                <w:sz w:val="20"/>
                <w:szCs w:val="20"/>
                <w:color w:val="auto"/>
              </w:rPr>
              <w:t>Legal and regulatory restrictions</w:t>
            </w:r>
          </w:p>
        </w:tc>
        <w:tc>
          <w:tcPr>
            <w:tcW w:w="32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19.</w:t>
            </w:r>
          </w:p>
        </w:tc>
        <w:tc>
          <w:tcPr>
            <w:tcW w:w="7040" w:type="dxa"/>
            <w:vAlign w:val="bottom"/>
          </w:tcPr>
          <w:p>
            <w:pPr>
              <w:ind w:left="220"/>
              <w:spacing w:after="0"/>
              <w:rPr>
                <w:sz w:val="20"/>
                <w:szCs w:val="20"/>
                <w:color w:val="auto"/>
              </w:rPr>
            </w:pPr>
            <w:r>
              <w:rPr>
                <w:rFonts w:ascii="Arial" w:cs="Arial" w:eastAsia="Arial" w:hAnsi="Arial"/>
                <w:sz w:val="20"/>
                <w:szCs w:val="20"/>
                <w:color w:val="auto"/>
              </w:rPr>
              <w:t>Amendment and Termination</w:t>
            </w:r>
          </w:p>
        </w:tc>
        <w:tc>
          <w:tcPr>
            <w:tcW w:w="32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20.</w:t>
            </w:r>
          </w:p>
        </w:tc>
        <w:tc>
          <w:tcPr>
            <w:tcW w:w="7040" w:type="dxa"/>
            <w:vAlign w:val="bottom"/>
          </w:tcPr>
          <w:p>
            <w:pPr>
              <w:ind w:left="220"/>
              <w:spacing w:after="0"/>
              <w:rPr>
                <w:sz w:val="20"/>
                <w:szCs w:val="20"/>
                <w:color w:val="auto"/>
              </w:rPr>
            </w:pPr>
            <w:r>
              <w:rPr>
                <w:rFonts w:ascii="Arial" w:cs="Arial" w:eastAsia="Arial" w:hAnsi="Arial"/>
                <w:sz w:val="20"/>
                <w:szCs w:val="20"/>
                <w:color w:val="auto"/>
              </w:rPr>
              <w:t>Severability</w:t>
            </w:r>
          </w:p>
        </w:tc>
        <w:tc>
          <w:tcPr>
            <w:tcW w:w="32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21.</w:t>
            </w:r>
          </w:p>
        </w:tc>
        <w:tc>
          <w:tcPr>
            <w:tcW w:w="7040" w:type="dxa"/>
            <w:vAlign w:val="bottom"/>
          </w:tcPr>
          <w:p>
            <w:pPr>
              <w:ind w:left="220"/>
              <w:spacing w:after="0"/>
              <w:rPr>
                <w:sz w:val="20"/>
                <w:szCs w:val="20"/>
                <w:color w:val="auto"/>
              </w:rPr>
            </w:pPr>
            <w:r>
              <w:rPr>
                <w:rFonts w:ascii="Arial" w:cs="Arial" w:eastAsia="Arial" w:hAnsi="Arial"/>
                <w:sz w:val="20"/>
                <w:szCs w:val="20"/>
                <w:color w:val="auto"/>
              </w:rPr>
              <w:t>Governing Law and Jurisdiction</w:t>
            </w:r>
          </w:p>
        </w:tc>
        <w:tc>
          <w:tcPr>
            <w:tcW w:w="32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500" w:type="dxa"/>
            <w:vAlign w:val="bottom"/>
          </w:tcPr>
          <w:p>
            <w:pPr>
              <w:spacing w:after="0"/>
              <w:rPr>
                <w:sz w:val="20"/>
                <w:szCs w:val="20"/>
                <w:color w:val="auto"/>
              </w:rPr>
            </w:pPr>
            <w:r>
              <w:rPr>
                <w:rFonts w:ascii="Arial" w:cs="Arial" w:eastAsia="Arial" w:hAnsi="Arial"/>
                <w:sz w:val="20"/>
                <w:szCs w:val="20"/>
                <w:color w:val="auto"/>
              </w:rPr>
              <w:t>22.</w:t>
            </w:r>
          </w:p>
        </w:tc>
        <w:tc>
          <w:tcPr>
            <w:tcW w:w="7040" w:type="dxa"/>
            <w:vAlign w:val="bottom"/>
          </w:tcPr>
          <w:p>
            <w:pPr>
              <w:ind w:left="220"/>
              <w:spacing w:after="0"/>
              <w:rPr>
                <w:sz w:val="20"/>
                <w:szCs w:val="20"/>
                <w:color w:val="auto"/>
              </w:rPr>
            </w:pPr>
            <w:r>
              <w:rPr>
                <w:rFonts w:ascii="Arial" w:cs="Arial" w:eastAsia="Arial" w:hAnsi="Arial"/>
                <w:sz w:val="20"/>
                <w:szCs w:val="20"/>
                <w:color w:val="auto"/>
              </w:rPr>
              <w:t>Entry into Force</w:t>
            </w:r>
          </w:p>
        </w:tc>
        <w:tc>
          <w:tcPr>
            <w:tcW w:w="3240" w:type="dxa"/>
            <w:vAlign w:val="bottom"/>
          </w:tcPr>
          <w:p>
            <w:pPr>
              <w:jc w:val="right"/>
              <w:spacing w:after="0"/>
              <w:rPr>
                <w:sz w:val="20"/>
                <w:szCs w:val="20"/>
                <w:color w:val="auto"/>
              </w:rPr>
            </w:pPr>
            <w:r>
              <w:rPr>
                <w:rFonts w:ascii="Arial" w:cs="Arial" w:eastAsia="Arial" w:hAnsi="Arial"/>
                <w:sz w:val="20"/>
                <w:szCs w:val="20"/>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Annex 1: 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Annex 2: Form of PSU Award Agreement</w:t>
      </w:r>
    </w:p>
    <w:p>
      <w:pPr>
        <w:sectPr>
          <w:pgSz w:w="11900" w:h="16838" w:orient="portrait"/>
          <w:cols w:equalWidth="0" w:num="1">
            <w:col w:w="11220"/>
          </w:cols>
          <w:pgMar w:left="320" w:top="180" w:right="359" w:bottom="1440" w:gutter="0" w:footer="0" w:header="0"/>
        </w:sectPr>
      </w:pPr>
    </w:p>
    <w:bookmarkStart w:id="784" w:name="page785"/>
    <w:bookmarkEnd w:id="784"/>
    <w:tbl>
      <w:tblPr>
        <w:tblLayout w:type="fixed"/>
        <w:tblInd w:w="20" w:type="dxa"/>
        <w:tblCellMar>
          <w:top w:w="0" w:type="dxa"/>
          <w:left w:w="0" w:type="dxa"/>
          <w:bottom w:w="0" w:type="dxa"/>
          <w:right w:w="0" w:type="dxa"/>
        </w:tblCellMar>
      </w:tblPr>
      <w:tr>
        <w:trPr>
          <w:trHeight w:val="187"/>
        </w:trPr>
        <w:tc>
          <w:tcPr>
            <w:tcW w:w="746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40" w:type="dxa"/>
            <w:vAlign w:val="bottom"/>
          </w:tcPr>
          <w:p>
            <w:pPr>
              <w:jc w:val="right"/>
              <w:spacing w:after="0"/>
              <w:rPr>
                <w:sz w:val="20"/>
                <w:szCs w:val="20"/>
                <w:color w:val="auto"/>
              </w:rPr>
            </w:pPr>
            <w:r>
              <w:rPr>
                <w:rFonts w:ascii="Arial" w:cs="Arial" w:eastAsia="Arial" w:hAnsi="Arial"/>
                <w:sz w:val="13"/>
                <w:szCs w:val="13"/>
                <w:color w:val="auto"/>
              </w:rPr>
              <w:t>3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Share Plan 2021</w:t>
      </w:r>
    </w:p>
    <w:p>
      <w:pPr>
        <w:spacing w:after="0" w:line="264" w:lineRule="exact"/>
        <w:rPr>
          <w:sz w:val="20"/>
          <w:szCs w:val="20"/>
          <w:color w:val="auto"/>
        </w:rPr>
      </w:pPr>
    </w:p>
    <w:p>
      <w:pPr>
        <w:ind w:left="480" w:hanging="472"/>
        <w:spacing w:after="0"/>
        <w:tabs>
          <w:tab w:leader="none" w:pos="480" w:val="left"/>
        </w:tabs>
        <w:numPr>
          <w:ilvl w:val="0"/>
          <w:numId w:val="795"/>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38"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purpose of this performance share plan (Plan)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PSU) to them.</w:t>
      </w:r>
    </w:p>
    <w:p>
      <w:pPr>
        <w:spacing w:after="0" w:line="184" w:lineRule="exact"/>
        <w:rPr>
          <w:sz w:val="20"/>
          <w:szCs w:val="20"/>
          <w:color w:val="auto"/>
        </w:rPr>
      </w:pPr>
    </w:p>
    <w:p>
      <w:pPr>
        <w:ind w:left="480" w:hanging="472"/>
        <w:spacing w:after="0"/>
        <w:tabs>
          <w:tab w:leader="none" w:pos="480" w:val="left"/>
        </w:tabs>
        <w:numPr>
          <w:ilvl w:val="0"/>
          <w:numId w:val="79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38" w:lineRule="exact"/>
        <w:rPr>
          <w:sz w:val="20"/>
          <w:szCs w:val="20"/>
          <w:color w:val="auto"/>
        </w:rPr>
      </w:pPr>
    </w:p>
    <w:p>
      <w:pPr>
        <w:ind w:left="480" w:hanging="472"/>
        <w:spacing w:after="0"/>
        <w:tabs>
          <w:tab w:leader="none" w:pos="48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Capitalized terms used in this Plan shall have the meaning set forth in Annex 1.</w:t>
      </w:r>
    </w:p>
    <w:p>
      <w:pPr>
        <w:spacing w:after="0" w:line="225" w:lineRule="exact"/>
        <w:rPr>
          <w:rFonts w:ascii="Arial" w:cs="Arial" w:eastAsia="Arial" w:hAnsi="Arial"/>
          <w:sz w:val="18"/>
          <w:szCs w:val="18"/>
          <w:color w:val="auto"/>
        </w:rPr>
      </w:pPr>
    </w:p>
    <w:p>
      <w:pPr>
        <w:jc w:val="both"/>
        <w:ind w:left="500" w:right="20" w:hanging="492"/>
        <w:spacing w:after="0" w:line="256" w:lineRule="auto"/>
        <w:tabs>
          <w:tab w:leader="none" w:pos="490" w:val="left"/>
        </w:tabs>
        <w:numPr>
          <w:ilvl w:val="0"/>
          <w:numId w:val="797"/>
        </w:numPr>
        <w:rPr>
          <w:rFonts w:ascii="Arial" w:cs="Arial" w:eastAsia="Arial" w:hAnsi="Arial"/>
          <w:sz w:val="18"/>
          <w:szCs w:val="18"/>
          <w:color w:val="auto"/>
        </w:rPr>
      </w:pPr>
      <w:r>
        <w:rPr>
          <w:rFonts w:ascii="Arial" w:cs="Arial" w:eastAsia="Arial" w:hAnsi="Arial"/>
          <w:sz w:val="18"/>
          <w:szCs w:val="18"/>
          <w:color w:val="auto"/>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spacing w:after="0" w:line="184" w:lineRule="exact"/>
        <w:rPr>
          <w:sz w:val="20"/>
          <w:szCs w:val="20"/>
          <w:color w:val="auto"/>
        </w:rPr>
      </w:pPr>
    </w:p>
    <w:p>
      <w:pPr>
        <w:ind w:left="480" w:hanging="472"/>
        <w:spacing w:after="0"/>
        <w:tabs>
          <w:tab w:leader="none" w:pos="480" w:val="left"/>
        </w:tabs>
        <w:numPr>
          <w:ilvl w:val="0"/>
          <w:numId w:val="798"/>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238" w:lineRule="exact"/>
        <w:rPr>
          <w:sz w:val="20"/>
          <w:szCs w:val="20"/>
          <w:color w:val="auto"/>
        </w:rPr>
      </w:pPr>
    </w:p>
    <w:p>
      <w:pPr>
        <w:jc w:val="both"/>
        <w:ind w:left="500" w:hanging="492"/>
        <w:spacing w:after="0" w:line="253" w:lineRule="auto"/>
        <w:tabs>
          <w:tab w:leader="none" w:pos="49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 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the maximum number of PSUs that may be granted under this Plan and of shares to be allocated from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conditional capital or otherwise in connection with such PSUs.</w:t>
      </w:r>
    </w:p>
    <w:p>
      <w:pPr>
        <w:spacing w:after="0" w:line="205" w:lineRule="exact"/>
        <w:rPr>
          <w:rFonts w:ascii="Arial" w:cs="Arial" w:eastAsia="Arial" w:hAnsi="Arial"/>
          <w:sz w:val="18"/>
          <w:szCs w:val="18"/>
          <w:color w:val="auto"/>
        </w:rPr>
      </w:pPr>
    </w:p>
    <w:p>
      <w:pPr>
        <w:jc w:val="both"/>
        <w:ind w:left="500" w:hanging="492"/>
        <w:spacing w:after="0" w:line="254" w:lineRule="auto"/>
        <w:tabs>
          <w:tab w:leader="none" w:pos="49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or renew or terminate the Plan or to replace it with new editions or other plans. It may delegate, under its supervision, the implementation and administration, as well as grants of PSUs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left="500" w:hanging="492"/>
        <w:spacing w:after="0" w:line="256" w:lineRule="auto"/>
        <w:tabs>
          <w:tab w:leader="none" w:pos="494" w:val="left"/>
        </w:tabs>
        <w:numPr>
          <w:ilvl w:val="0"/>
          <w:numId w:val="799"/>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pacing w:after="0" w:line="201" w:lineRule="exact"/>
        <w:rPr>
          <w:rFonts w:ascii="Arial" w:cs="Arial" w:eastAsia="Arial" w:hAnsi="Arial"/>
          <w:sz w:val="18"/>
          <w:szCs w:val="18"/>
          <w:color w:val="auto"/>
        </w:rPr>
      </w:pPr>
    </w:p>
    <w:p>
      <w:pPr>
        <w:jc w:val="both"/>
        <w:ind w:left="500" w:hanging="492"/>
        <w:spacing w:after="0" w:line="256" w:lineRule="auto"/>
        <w:tabs>
          <w:tab w:leader="none" w:pos="490" w:val="left"/>
        </w:tabs>
        <w:numPr>
          <w:ilvl w:val="0"/>
          <w:numId w:val="799"/>
        </w:numPr>
        <w:rPr>
          <w:rFonts w:ascii="Arial" w:cs="Arial" w:eastAsia="Arial" w:hAnsi="Arial"/>
          <w:sz w:val="18"/>
          <w:szCs w:val="18"/>
          <w:color w:val="auto"/>
        </w:rPr>
      </w:pPr>
      <w:r>
        <w:rPr>
          <w:rFonts w:ascii="Arial" w:cs="Arial" w:eastAsia="Arial" w:hAnsi="Arial"/>
          <w:sz w:val="18"/>
          <w:szCs w:val="18"/>
          <w:color w:val="auto"/>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w:t>
      </w:r>
      <w:r>
        <w:rPr>
          <w:rFonts w:ascii="Arial" w:cs="Arial" w:eastAsia="Arial" w:hAnsi="Arial"/>
          <w:sz w:val="18"/>
          <w:szCs w:val="18"/>
          <w:color w:val="auto"/>
        </w:rPr>
        <w:t xml:space="preserve"> </w:t>
      </w:r>
      <w:r>
        <w:rPr>
          <w:rFonts w:ascii="Arial" w:cs="Arial" w:eastAsia="Arial" w:hAnsi="Arial"/>
          <w:sz w:val="18"/>
          <w:szCs w:val="18"/>
          <w:b w:val="1"/>
          <w:bCs w:val="1"/>
          <w:color w:val="auto"/>
        </w:rPr>
        <w:t>Service Provider</w:t>
      </w:r>
      <w:r>
        <w:rPr>
          <w:rFonts w:ascii="Arial" w:cs="Arial" w:eastAsia="Arial" w:hAnsi="Arial"/>
          <w:sz w:val="18"/>
          <w:szCs w:val="18"/>
          <w:color w:val="auto"/>
        </w:rPr>
        <w:t>).</w:t>
      </w:r>
    </w:p>
    <w:p>
      <w:pPr>
        <w:spacing w:after="0" w:line="184" w:lineRule="exact"/>
        <w:rPr>
          <w:sz w:val="20"/>
          <w:szCs w:val="20"/>
          <w:color w:val="auto"/>
        </w:rPr>
      </w:pPr>
    </w:p>
    <w:p>
      <w:pPr>
        <w:ind w:left="480" w:hanging="472"/>
        <w:spacing w:after="0"/>
        <w:tabs>
          <w:tab w:leader="none" w:pos="480" w:val="left"/>
        </w:tabs>
        <w:numPr>
          <w:ilvl w:val="0"/>
          <w:numId w:val="800"/>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238" w:lineRule="exact"/>
        <w:rPr>
          <w:sz w:val="20"/>
          <w:szCs w:val="20"/>
          <w:color w:val="auto"/>
        </w:rPr>
      </w:pPr>
    </w:p>
    <w:p>
      <w:pPr>
        <w:jc w:val="both"/>
        <w:ind w:left="500" w:hanging="492"/>
        <w:spacing w:after="0" w:line="256" w:lineRule="auto"/>
        <w:tabs>
          <w:tab w:leader="none" w:pos="49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As a rule, employees (other than members of the Management Board) as well as selected consultants may become eligible to participate in this Plan. The decision on eligibility is reserved to the Nomination and Compensation Committee or the relevant Administrator.</w:t>
      </w:r>
    </w:p>
    <w:p>
      <w:pPr>
        <w:spacing w:after="0" w:line="201" w:lineRule="exact"/>
        <w:rPr>
          <w:rFonts w:ascii="Arial" w:cs="Arial" w:eastAsia="Arial" w:hAnsi="Arial"/>
          <w:sz w:val="18"/>
          <w:szCs w:val="18"/>
          <w:color w:val="auto"/>
        </w:rPr>
      </w:pPr>
    </w:p>
    <w:p>
      <w:pPr>
        <w:jc w:val="both"/>
        <w:ind w:left="500" w:hanging="492"/>
        <w:spacing w:after="0" w:line="256" w:lineRule="auto"/>
        <w:tabs>
          <w:tab w:leader="none" w:pos="490" w:val="left"/>
        </w:tabs>
        <w:numPr>
          <w:ilvl w:val="0"/>
          <w:numId w:val="801"/>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PSUs based on this Plan or otherwise. This Plan is only applicable in connection with a mutually signed PSU award agreement (</w:t>
      </w:r>
      <w:r>
        <w:rPr>
          <w:rFonts w:ascii="Arial" w:cs="Arial" w:eastAsia="Arial" w:hAnsi="Arial"/>
          <w:sz w:val="18"/>
          <w:szCs w:val="18"/>
          <w:b w:val="1"/>
          <w:bCs w:val="1"/>
          <w:color w:val="auto"/>
        </w:rPr>
        <w:t>PSU</w:t>
      </w:r>
      <w:r>
        <w:rPr>
          <w:rFonts w:ascii="Arial" w:cs="Arial" w:eastAsia="Arial" w:hAnsi="Arial"/>
          <w:sz w:val="18"/>
          <w:szCs w:val="18"/>
          <w:color w:val="auto"/>
        </w:rPr>
        <w:t xml:space="preserve"> </w:t>
      </w:r>
      <w:r>
        <w:rPr>
          <w:rFonts w:ascii="Arial" w:cs="Arial" w:eastAsia="Arial" w:hAnsi="Arial"/>
          <w:sz w:val="18"/>
          <w:szCs w:val="18"/>
          <w:b w:val="1"/>
          <w:bCs w:val="1"/>
          <w:color w:val="auto"/>
        </w:rPr>
        <w:t>Award Agreement</w:t>
      </w:r>
      <w:r>
        <w:rPr>
          <w:rFonts w:ascii="Arial" w:cs="Arial" w:eastAsia="Arial" w:hAnsi="Arial"/>
          <w:sz w:val="18"/>
          <w:szCs w:val="18"/>
          <w:color w:val="auto"/>
        </w:rPr>
        <w:t>) among the Company (or the employer Group Company) and the eligible person, substantially in the</w:t>
      </w:r>
    </w:p>
    <w:p>
      <w:pPr>
        <w:sectPr>
          <w:pgSz w:w="11900" w:h="16838" w:orient="portrait"/>
          <w:cols w:equalWidth="0" w:num="1">
            <w:col w:w="11240"/>
          </w:cols>
          <w:pgMar w:left="320" w:top="180" w:right="339" w:bottom="1440" w:gutter="0" w:footer="0" w:header="0"/>
        </w:sectPr>
      </w:pPr>
    </w:p>
    <w:bookmarkStart w:id="785" w:name="page786"/>
    <w:bookmarkEnd w:id="785"/>
    <w:tbl>
      <w:tblPr>
        <w:tblLayout w:type="fixed"/>
        <w:tblInd w:w="12" w:type="dxa"/>
        <w:tblCellMar>
          <w:top w:w="0" w:type="dxa"/>
          <w:left w:w="0" w:type="dxa"/>
          <w:bottom w:w="0" w:type="dxa"/>
          <w:right w:w="0" w:type="dxa"/>
        </w:tblCellMar>
      </w:tblPr>
      <w:tr>
        <w:trPr>
          <w:trHeight w:val="187"/>
        </w:trPr>
        <w:tc>
          <w:tcPr>
            <w:tcW w:w="746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40" w:type="dxa"/>
            <w:vAlign w:val="bottom"/>
          </w:tcPr>
          <w:p>
            <w:pPr>
              <w:jc w:val="right"/>
              <w:spacing w:after="0"/>
              <w:rPr>
                <w:sz w:val="20"/>
                <w:szCs w:val="20"/>
                <w:color w:val="auto"/>
              </w:rPr>
            </w:pPr>
            <w:r>
              <w:rPr>
                <w:rFonts w:ascii="Arial" w:cs="Arial" w:eastAsia="Arial" w:hAnsi="Arial"/>
                <w:sz w:val="13"/>
                <w:szCs w:val="13"/>
                <w:color w:val="auto"/>
              </w:rPr>
              <w:t>4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492"/>
        <w:spacing w:after="0" w:line="256" w:lineRule="auto"/>
        <w:rPr>
          <w:sz w:val="20"/>
          <w:szCs w:val="20"/>
          <w:color w:val="auto"/>
        </w:rPr>
      </w:pPr>
      <w:r>
        <w:rPr>
          <w:rFonts w:ascii="Arial" w:cs="Arial" w:eastAsia="Arial" w:hAnsi="Arial"/>
          <w:sz w:val="18"/>
          <w:szCs w:val="18"/>
          <w:color w:val="auto"/>
        </w:rPr>
        <w:t xml:space="preserve">form attached hereto as Annex 2. The right to receive PSUs shall accrue exclusively to those eligible persons who have, in accordance with this Plan, been duly and validly offered, and have signed and returned, their individual PSU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2" w:lineRule="exact"/>
        <w:rPr>
          <w:sz w:val="20"/>
          <w:szCs w:val="20"/>
          <w:color w:val="auto"/>
        </w:rPr>
      </w:pPr>
    </w:p>
    <w:p>
      <w:pPr>
        <w:jc w:val="both"/>
        <w:ind w:left="492" w:hanging="492"/>
        <w:spacing w:after="0" w:line="256" w:lineRule="auto"/>
        <w:tabs>
          <w:tab w:leader="none" w:pos="486" w:val="left"/>
        </w:tabs>
        <w:numPr>
          <w:ilvl w:val="0"/>
          <w:numId w:val="802"/>
        </w:numPr>
        <w:rPr>
          <w:rFonts w:ascii="Arial" w:cs="Arial" w:eastAsia="Arial" w:hAnsi="Arial"/>
          <w:sz w:val="18"/>
          <w:szCs w:val="18"/>
          <w:color w:val="auto"/>
        </w:rPr>
      </w:pPr>
      <w:r>
        <w:rPr>
          <w:rFonts w:ascii="Arial" w:cs="Arial" w:eastAsia="Arial" w:hAnsi="Arial"/>
          <w:sz w:val="18"/>
          <w:szCs w:val="18"/>
          <w:color w:val="auto"/>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spacing w:after="0" w:line="201" w:lineRule="exact"/>
        <w:rPr>
          <w:rFonts w:ascii="Arial" w:cs="Arial" w:eastAsia="Arial" w:hAnsi="Arial"/>
          <w:sz w:val="18"/>
          <w:szCs w:val="18"/>
          <w:color w:val="auto"/>
        </w:rPr>
      </w:pPr>
    </w:p>
    <w:p>
      <w:pPr>
        <w:ind w:left="492" w:hanging="492"/>
        <w:spacing w:after="0" w:line="261" w:lineRule="auto"/>
        <w:tabs>
          <w:tab w:leader="none" w:pos="482" w:val="left"/>
        </w:tabs>
        <w:numPr>
          <w:ilvl w:val="0"/>
          <w:numId w:val="802"/>
        </w:numPr>
        <w:rPr>
          <w:rFonts w:ascii="Arial" w:cs="Arial" w:eastAsia="Arial" w:hAnsi="Arial"/>
          <w:sz w:val="18"/>
          <w:szCs w:val="18"/>
          <w:color w:val="auto"/>
        </w:rPr>
      </w:pPr>
      <w:r>
        <w:rPr>
          <w:rFonts w:ascii="Arial" w:cs="Arial" w:eastAsia="Arial" w:hAnsi="Arial"/>
          <w:sz w:val="18"/>
          <w:szCs w:val="18"/>
          <w:color w:val="auto"/>
        </w:rPr>
        <w:t>Neither the grant of PSUs, nor the transfer of Shares in connection with this Plan shall confer upon any Participant any right to continue to be employed by any Group Company.</w:t>
      </w:r>
    </w:p>
    <w:p>
      <w:pPr>
        <w:spacing w:after="0" w:line="180" w:lineRule="exact"/>
        <w:rPr>
          <w:sz w:val="20"/>
          <w:szCs w:val="20"/>
          <w:color w:val="auto"/>
        </w:rPr>
      </w:pPr>
    </w:p>
    <w:p>
      <w:pPr>
        <w:ind w:left="472" w:hanging="472"/>
        <w:spacing w:after="0"/>
        <w:tabs>
          <w:tab w:leader="none" w:pos="472" w:val="left"/>
        </w:tabs>
        <w:numPr>
          <w:ilvl w:val="0"/>
          <w:numId w:val="803"/>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PSUs</w:t>
      </w:r>
    </w:p>
    <w:p>
      <w:pPr>
        <w:spacing w:after="0" w:line="238" w:lineRule="exact"/>
        <w:rPr>
          <w:sz w:val="20"/>
          <w:szCs w:val="20"/>
          <w:color w:val="auto"/>
        </w:rPr>
      </w:pPr>
    </w:p>
    <w:p>
      <w:pPr>
        <w:jc w:val="both"/>
        <w:ind w:left="492" w:hanging="492"/>
        <w:spacing w:after="0" w:line="256" w:lineRule="auto"/>
        <w:tabs>
          <w:tab w:leader="none" w:pos="482" w:val="left"/>
        </w:tabs>
        <w:numPr>
          <w:ilvl w:val="0"/>
          <w:numId w:val="804"/>
        </w:numPr>
        <w:rPr>
          <w:rFonts w:ascii="Arial" w:cs="Arial" w:eastAsia="Arial" w:hAnsi="Arial"/>
          <w:sz w:val="18"/>
          <w:szCs w:val="18"/>
          <w:color w:val="auto"/>
        </w:rPr>
      </w:pPr>
      <w:r>
        <w:rPr>
          <w:rFonts w:ascii="Arial" w:cs="Arial" w:eastAsia="Arial" w:hAnsi="Arial"/>
          <w:sz w:val="18"/>
          <w:szCs w:val="18"/>
          <w:color w:val="auto"/>
        </w:rPr>
        <w:t>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w:t>
      </w:r>
    </w:p>
    <w:p>
      <w:pPr>
        <w:spacing w:after="0" w:line="201" w:lineRule="exact"/>
        <w:rPr>
          <w:rFonts w:ascii="Arial" w:cs="Arial" w:eastAsia="Arial" w:hAnsi="Arial"/>
          <w:sz w:val="18"/>
          <w:szCs w:val="18"/>
          <w:color w:val="auto"/>
        </w:rPr>
      </w:pPr>
    </w:p>
    <w:p>
      <w:pPr>
        <w:jc w:val="both"/>
        <w:ind w:left="492" w:hanging="492"/>
        <w:spacing w:after="0" w:line="254" w:lineRule="auto"/>
        <w:tabs>
          <w:tab w:leader="none" w:pos="482" w:val="left"/>
        </w:tabs>
        <w:numPr>
          <w:ilvl w:val="0"/>
          <w:numId w:val="804"/>
        </w:numPr>
        <w:rPr>
          <w:rFonts w:ascii="Arial" w:cs="Arial" w:eastAsia="Arial" w:hAnsi="Arial"/>
          <w:sz w:val="18"/>
          <w:szCs w:val="18"/>
          <w:color w:val="auto"/>
        </w:rPr>
      </w:pPr>
      <w:r>
        <w:rPr>
          <w:rFonts w:ascii="Arial" w:cs="Arial" w:eastAsia="Arial" w:hAnsi="Arial"/>
          <w:sz w:val="18"/>
          <w:szCs w:val="18"/>
          <w:color w:val="auto"/>
        </w:rPr>
        <w:t xml:space="preserve">One PSU represents a conditional entitlement to purchase a number of Shares at the nominal value of a Share. The number of Shares which shall be allocated to a Participant upon vesting shall be determined pursuant to a vesting multiple as described in Section 10 hereof (the </w:t>
      </w:r>
      <w:r>
        <w:rPr>
          <w:rFonts w:ascii="Arial" w:cs="Arial" w:eastAsia="Arial" w:hAnsi="Arial"/>
          <w:sz w:val="18"/>
          <w:szCs w:val="18"/>
          <w:b w:val="1"/>
          <w:bCs w:val="1"/>
          <w:color w:val="auto"/>
        </w:rPr>
        <w:t>Vesting Multiple</w:t>
      </w:r>
      <w:r>
        <w:rPr>
          <w:rFonts w:ascii="Arial" w:cs="Arial" w:eastAsia="Arial" w:hAnsi="Arial"/>
          <w:sz w:val="18"/>
          <w:szCs w:val="18"/>
          <w:color w:val="auto"/>
        </w:rPr>
        <w:t>), subject to, and in accordance with, the terms and conditions of this Plan and the PSU Award Agreement.</w:t>
      </w:r>
    </w:p>
    <w:p>
      <w:pPr>
        <w:spacing w:after="0" w:line="203" w:lineRule="exact"/>
        <w:rPr>
          <w:rFonts w:ascii="Arial" w:cs="Arial" w:eastAsia="Arial" w:hAnsi="Arial"/>
          <w:sz w:val="18"/>
          <w:szCs w:val="18"/>
          <w:color w:val="auto"/>
        </w:rPr>
      </w:pPr>
    </w:p>
    <w:p>
      <w:pPr>
        <w:ind w:left="492" w:hanging="492"/>
        <w:spacing w:after="0" w:line="261" w:lineRule="auto"/>
        <w:tabs>
          <w:tab w:leader="none" w:pos="486" w:val="left"/>
        </w:tabs>
        <w:numPr>
          <w:ilvl w:val="0"/>
          <w:numId w:val="804"/>
        </w:numPr>
        <w:rPr>
          <w:rFonts w:ascii="Arial" w:cs="Arial" w:eastAsia="Arial" w:hAnsi="Arial"/>
          <w:sz w:val="18"/>
          <w:szCs w:val="18"/>
          <w:color w:val="auto"/>
        </w:rPr>
      </w:pPr>
      <w:r>
        <w:rPr>
          <w:rFonts w:ascii="Arial" w:cs="Arial" w:eastAsia="Arial" w:hAnsi="Arial"/>
          <w:sz w:val="18"/>
          <w:szCs w:val="18"/>
          <w:color w:val="auto"/>
        </w:rPr>
        <w:t xml:space="preserve">The date of grants shall be determined by the Nomination and Compensation Committee or the relevant Administrator and set out in the PSU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left="492" w:hanging="492"/>
        <w:spacing w:after="0" w:line="261" w:lineRule="auto"/>
        <w:tabs>
          <w:tab w:leader="none" w:pos="482" w:val="left"/>
        </w:tabs>
        <w:numPr>
          <w:ilvl w:val="0"/>
          <w:numId w:val="804"/>
        </w:numPr>
        <w:rPr>
          <w:rFonts w:ascii="Arial" w:cs="Arial" w:eastAsia="Arial" w:hAnsi="Arial"/>
          <w:sz w:val="18"/>
          <w:szCs w:val="18"/>
          <w:color w:val="auto"/>
        </w:rPr>
      </w:pPr>
      <w:r>
        <w:rPr>
          <w:rFonts w:ascii="Arial" w:cs="Arial" w:eastAsia="Arial" w:hAnsi="Arial"/>
          <w:sz w:val="18"/>
          <w:szCs w:val="18"/>
          <w:color w:val="auto"/>
        </w:rPr>
        <w:t>A change of the regular working quota (</w:t>
      </w:r>
      <w:r>
        <w:rPr>
          <w:rFonts w:ascii="Arial" w:cs="Arial" w:eastAsia="Arial" w:hAnsi="Arial"/>
          <w:sz w:val="18"/>
          <w:szCs w:val="18"/>
          <w:i w:val="1"/>
          <w:iCs w:val="1"/>
          <w:color w:val="auto"/>
        </w:rPr>
        <w:t>Arbeitspensum</w:t>
      </w:r>
      <w:r>
        <w:rPr>
          <w:rFonts w:ascii="Arial" w:cs="Arial" w:eastAsia="Arial" w:hAnsi="Arial"/>
          <w:sz w:val="18"/>
          <w:szCs w:val="18"/>
          <w:color w:val="auto"/>
        </w:rPr>
        <w:t>)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spacing w:after="0" w:line="179" w:lineRule="exact"/>
        <w:rPr>
          <w:sz w:val="20"/>
          <w:szCs w:val="20"/>
          <w:color w:val="auto"/>
        </w:rPr>
      </w:pPr>
    </w:p>
    <w:p>
      <w:pPr>
        <w:ind w:left="472" w:hanging="472"/>
        <w:spacing w:after="0"/>
        <w:tabs>
          <w:tab w:leader="none" w:pos="472" w:val="left"/>
        </w:tabs>
        <w:numPr>
          <w:ilvl w:val="0"/>
          <w:numId w:val="805"/>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238" w:lineRule="exact"/>
        <w:rPr>
          <w:sz w:val="20"/>
          <w:szCs w:val="20"/>
          <w:color w:val="auto"/>
        </w:rPr>
      </w:pPr>
    </w:p>
    <w:p>
      <w:pPr>
        <w:jc w:val="both"/>
        <w:ind w:left="492"/>
        <w:spacing w:after="0" w:line="254" w:lineRule="auto"/>
        <w:rPr>
          <w:sz w:val="20"/>
          <w:szCs w:val="20"/>
          <w:color w:val="auto"/>
        </w:rPr>
      </w:pPr>
      <w:r>
        <w:rPr>
          <w:rFonts w:ascii="Arial" w:cs="Arial" w:eastAsia="Arial" w:hAnsi="Arial"/>
          <w:sz w:val="18"/>
          <w:szCs w:val="18"/>
          <w:color w:val="auto"/>
        </w:rPr>
        <w:t>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 of the Plan and upon entry into the share register, subject to, and in accordance with, the restrictions and procedures set out in article 5 of the Company's articles of incorporation.</w:t>
      </w:r>
    </w:p>
    <w:p>
      <w:pPr>
        <w:spacing w:after="0" w:line="186" w:lineRule="exact"/>
        <w:rPr>
          <w:sz w:val="20"/>
          <w:szCs w:val="20"/>
          <w:color w:val="auto"/>
        </w:rPr>
      </w:pPr>
    </w:p>
    <w:p>
      <w:pPr>
        <w:ind w:left="472" w:hanging="472"/>
        <w:spacing w:after="0"/>
        <w:tabs>
          <w:tab w:leader="none" w:pos="472" w:val="left"/>
        </w:tabs>
        <w:numPr>
          <w:ilvl w:val="0"/>
          <w:numId w:val="806"/>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238" w:lineRule="exact"/>
        <w:rPr>
          <w:sz w:val="20"/>
          <w:szCs w:val="20"/>
          <w:color w:val="auto"/>
        </w:rPr>
      </w:pPr>
    </w:p>
    <w:p>
      <w:pPr>
        <w:jc w:val="both"/>
        <w:ind w:left="492"/>
        <w:spacing w:after="0" w:line="256" w:lineRule="auto"/>
        <w:rPr>
          <w:sz w:val="20"/>
          <w:szCs w:val="20"/>
          <w:color w:val="auto"/>
        </w:rPr>
      </w:pPr>
      <w:r>
        <w:rPr>
          <w:rFonts w:ascii="Arial" w:cs="Arial" w:eastAsia="Arial" w:hAnsi="Arial"/>
          <w:sz w:val="18"/>
          <w:szCs w:val="18"/>
          <w:color w:val="auto"/>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sectPr>
          <w:pgSz w:w="11900" w:h="16838" w:orient="portrait"/>
          <w:cols w:equalWidth="0" w:num="1">
            <w:col w:w="11232"/>
          </w:cols>
          <w:pgMar w:left="328" w:top="180" w:right="339" w:bottom="1440" w:gutter="0" w:footer="0" w:header="0"/>
        </w:sectPr>
      </w:pPr>
    </w:p>
    <w:bookmarkStart w:id="786" w:name="page787"/>
    <w:bookmarkEnd w:id="786"/>
    <w:tbl>
      <w:tblPr>
        <w:tblLayout w:type="fixed"/>
        <w:tblInd w:w="20" w:type="dxa"/>
        <w:tblCellMar>
          <w:top w:w="0" w:type="dxa"/>
          <w:left w:w="0" w:type="dxa"/>
          <w:bottom w:w="0" w:type="dxa"/>
          <w:right w:w="0" w:type="dxa"/>
        </w:tblCellMar>
      </w:tblPr>
      <w:tr>
        <w:trPr>
          <w:trHeight w:val="187"/>
        </w:trPr>
        <w:tc>
          <w:tcPr>
            <w:tcW w:w="746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40" w:type="dxa"/>
            <w:vAlign w:val="bottom"/>
          </w:tcPr>
          <w:p>
            <w:pPr>
              <w:jc w:val="right"/>
              <w:spacing w:after="0"/>
              <w:rPr>
                <w:sz w:val="20"/>
                <w:szCs w:val="20"/>
                <w:color w:val="auto"/>
              </w:rPr>
            </w:pPr>
            <w:r>
              <w:rPr>
                <w:rFonts w:ascii="Arial" w:cs="Arial" w:eastAsia="Arial" w:hAnsi="Arial"/>
                <w:sz w:val="13"/>
                <w:szCs w:val="13"/>
                <w:color w:val="auto"/>
              </w:rPr>
              <w:t>5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hanging="472"/>
        <w:spacing w:after="0"/>
        <w:tabs>
          <w:tab w:leader="none" w:pos="480" w:val="left"/>
        </w:tabs>
        <w:numPr>
          <w:ilvl w:val="0"/>
          <w:numId w:val="807"/>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238" w:lineRule="exact"/>
        <w:rPr>
          <w:sz w:val="20"/>
          <w:szCs w:val="20"/>
          <w:color w:val="auto"/>
        </w:rPr>
      </w:pPr>
    </w:p>
    <w:p>
      <w:pPr>
        <w:jc w:val="both"/>
        <w:ind w:left="500" w:hanging="492"/>
        <w:spacing w:after="0" w:line="253" w:lineRule="auto"/>
        <w:tabs>
          <w:tab w:leader="none" w:pos="49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Unless otherwise set out in this Plan (in particular in Section 14) or in the PSU Award Agreement, the PSUs granted by a PSU Award Agreement shall vest in three tranches of one third each. If the number of PSUs granted by a PSU Award Agreement cannot be divided by three, the two tranches vesting first shall be rounded up to the next integer and the tranche vesting last shall be rounded down and, if necessary, reduced in order to get to integers that add up to the total number of PSUs granted by the PSU Award Agreement.</w:t>
      </w:r>
    </w:p>
    <w:p>
      <w:pPr>
        <w:spacing w:after="0" w:line="205" w:lineRule="exact"/>
        <w:rPr>
          <w:rFonts w:ascii="Arial" w:cs="Arial" w:eastAsia="Arial" w:hAnsi="Arial"/>
          <w:sz w:val="18"/>
          <w:szCs w:val="18"/>
          <w:color w:val="auto"/>
        </w:rPr>
      </w:pPr>
    </w:p>
    <w:p>
      <w:pPr>
        <w:jc w:val="both"/>
        <w:ind w:left="500" w:hanging="492"/>
        <w:spacing w:after="0" w:line="254" w:lineRule="auto"/>
        <w:tabs>
          <w:tab w:leader="none" w:pos="49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 xml:space="preserve">The first tranche of the PSUs shall vest on the first anniversary of the Grant Date, the second tranche on the second anniversary of the Grant Date and the third tranche on the third anniversary of the Grant Date (each, with respect to the relevant tranche, the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period between the Grant Date and the Vesting Date shall, with respect to the relevant tranche, be deemed the</w:t>
      </w:r>
      <w:r>
        <w:rPr>
          <w:rFonts w:ascii="Arial" w:cs="Arial" w:eastAsia="Arial" w:hAnsi="Arial"/>
          <w:sz w:val="18"/>
          <w:szCs w:val="18"/>
          <w:b w:val="1"/>
          <w:bCs w:val="1"/>
          <w:color w:val="auto"/>
        </w:rPr>
        <w:t xml:space="preserve"> Vesting Period</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left="500" w:hanging="492"/>
        <w:spacing w:after="0" w:line="256" w:lineRule="auto"/>
        <w:tabs>
          <w:tab w:leader="none" w:pos="494" w:val="left"/>
        </w:tabs>
        <w:numPr>
          <w:ilvl w:val="0"/>
          <w:numId w:val="808"/>
        </w:numPr>
        <w:rPr>
          <w:rFonts w:ascii="Arial" w:cs="Arial" w:eastAsia="Arial" w:hAnsi="Arial"/>
          <w:sz w:val="18"/>
          <w:szCs w:val="18"/>
          <w:color w:val="auto"/>
        </w:rPr>
      </w:pPr>
      <w:r>
        <w:rPr>
          <w:rFonts w:ascii="Arial" w:cs="Arial" w:eastAsia="Arial" w:hAnsi="Arial"/>
          <w:sz w:val="18"/>
          <w:szCs w:val="18"/>
          <w:color w:val="auto"/>
        </w:rPr>
        <w:t>Subject to Section 14(b) and (c) below, no PSU shall vest if, during the relevant Vesting Period, the relevant Participant's employment is terminated (i.e. notice of termination is given (even if the notice period is still running) or another reason for termination occurs other than through termination by the Participant for cause (wichtige Gründe), set by a Group Company.</w:t>
      </w:r>
    </w:p>
    <w:p>
      <w:pPr>
        <w:spacing w:after="0" w:line="201" w:lineRule="exact"/>
        <w:rPr>
          <w:rFonts w:ascii="Arial" w:cs="Arial" w:eastAsia="Arial" w:hAnsi="Arial"/>
          <w:sz w:val="18"/>
          <w:szCs w:val="18"/>
          <w:color w:val="auto"/>
        </w:rPr>
      </w:pPr>
    </w:p>
    <w:p>
      <w:pPr>
        <w:jc w:val="both"/>
        <w:ind w:left="500" w:hanging="492"/>
        <w:spacing w:after="0" w:line="253" w:lineRule="auto"/>
        <w:tabs>
          <w:tab w:leader="none" w:pos="490"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relevant number of Shares shall be delivered by or on behalf of the Company to the Participant upon and subject to signing an acquisition declaration and payment of the nominal value of the Shares by the Participant. Alternatively, the Company may provide for cash-less acquisition or vesting-sale arrangements through a Plan Service Provider or otherwise. Delivery of Shares or other consideration shall, subject to the further conditions of delivery being met, occur no later than three months following the Vesting Date of the relevant PSUs.</w:t>
      </w:r>
    </w:p>
    <w:p>
      <w:pPr>
        <w:spacing w:after="0" w:line="187" w:lineRule="exact"/>
        <w:rPr>
          <w:sz w:val="20"/>
          <w:szCs w:val="20"/>
          <w:color w:val="auto"/>
        </w:rPr>
      </w:pPr>
    </w:p>
    <w:p>
      <w:pPr>
        <w:ind w:left="480" w:hanging="472"/>
        <w:spacing w:after="0"/>
        <w:tabs>
          <w:tab w:leader="none" w:pos="480" w:val="left"/>
        </w:tabs>
        <w:numPr>
          <w:ilvl w:val="0"/>
          <w:numId w:val="809"/>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238"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Shares to be delivered to Participants shall, subject to adjustment, if any, pursuant to Section 16, be registered shares of the Company with a nominal value of CHF 0.10 each (each a Share).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Vesting Multiple</w:t>
      </w:r>
    </w:p>
    <w:p>
      <w:pPr>
        <w:spacing w:after="0" w:line="238" w:lineRule="exact"/>
        <w:rPr>
          <w:sz w:val="20"/>
          <w:szCs w:val="20"/>
          <w:color w:val="auto"/>
        </w:rPr>
      </w:pPr>
    </w:p>
    <w:p>
      <w:pPr>
        <w:jc w:val="both"/>
        <w:ind w:left="500" w:hanging="492"/>
        <w:spacing w:after="0" w:line="252" w:lineRule="auto"/>
        <w:tabs>
          <w:tab w:leader="none" w:pos="49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The Vesting Multiple shall not be lower than 0 nor higher than 1.2 (one point two). Within such range, the Vesting Multiple shall be determined by the Board of Directors upon proposal by the Nomination and Compensation Committee based on its assessment of the achievement of the goals set out in the score card (</w:t>
      </w:r>
      <w:r>
        <w:rPr>
          <w:rFonts w:ascii="Arial" w:cs="Arial" w:eastAsia="Arial" w:hAnsi="Arial"/>
          <w:sz w:val="18"/>
          <w:szCs w:val="18"/>
          <w:b w:val="1"/>
          <w:bCs w:val="1"/>
          <w:color w:val="auto"/>
        </w:rPr>
        <w:t>LTI Score Card</w:t>
      </w:r>
      <w:r>
        <w:rPr>
          <w:rFonts w:ascii="Arial" w:cs="Arial" w:eastAsia="Arial" w:hAnsi="Arial"/>
          <w:sz w:val="18"/>
          <w:szCs w:val="18"/>
          <w:color w:val="auto"/>
        </w:rPr>
        <w:t>) attached to the PSU Award Agreement or otherwise communicated by the Company to the Participant in connection with the grant (</w:t>
      </w:r>
      <w:r>
        <w:rPr>
          <w:rFonts w:ascii="Arial" w:cs="Arial" w:eastAsia="Arial" w:hAnsi="Arial"/>
          <w:sz w:val="18"/>
          <w:szCs w:val="18"/>
          <w:b w:val="1"/>
          <w:bCs w:val="1"/>
          <w:color w:val="auto"/>
        </w:rPr>
        <w:t>Goals</w:t>
      </w:r>
      <w:r>
        <w:rPr>
          <w:rFonts w:ascii="Arial" w:cs="Arial" w:eastAsia="Arial" w:hAnsi="Arial"/>
          <w:sz w:val="18"/>
          <w:szCs w:val="18"/>
          <w:color w:val="auto"/>
        </w:rPr>
        <w:t>). The Goals may include any corporate goals, i.e. strategic, operating or financial goals of the Company or the Group, any personal goals and performance of the relevant Participant and/or any goals relating to the total shareholder return or share price development. The LTI Score Card may attach a percentage weighting to each Goal for purposes of deriving the Vesting Multiple or require a global assessment of the achievement of goals.</w:t>
      </w:r>
    </w:p>
    <w:p>
      <w:pPr>
        <w:spacing w:after="0" w:line="206" w:lineRule="exact"/>
        <w:rPr>
          <w:rFonts w:ascii="Arial" w:cs="Arial" w:eastAsia="Arial" w:hAnsi="Arial"/>
          <w:sz w:val="18"/>
          <w:szCs w:val="18"/>
          <w:color w:val="auto"/>
        </w:rPr>
      </w:pPr>
    </w:p>
    <w:p>
      <w:pPr>
        <w:ind w:left="500" w:hanging="492"/>
        <w:spacing w:after="0" w:line="261" w:lineRule="auto"/>
        <w:tabs>
          <w:tab w:leader="none" w:pos="490" w:val="left"/>
        </w:tabs>
        <w:numPr>
          <w:ilvl w:val="0"/>
          <w:numId w:val="810"/>
        </w:numPr>
        <w:rPr>
          <w:rFonts w:ascii="Arial" w:cs="Arial" w:eastAsia="Arial" w:hAnsi="Arial"/>
          <w:sz w:val="18"/>
          <w:szCs w:val="18"/>
          <w:color w:val="auto"/>
        </w:rPr>
      </w:pPr>
      <w:r>
        <w:rPr>
          <w:rFonts w:ascii="Arial" w:cs="Arial" w:eastAsia="Arial" w:hAnsi="Arial"/>
          <w:sz w:val="18"/>
          <w:szCs w:val="18"/>
          <w:color w:val="auto"/>
        </w:rPr>
        <w:t>The Vesting Multiple shall, unless the nature of the Goals demands otherwise, be determined for all tranches of the PSUs granted by a PSU Award Agreement in the year following the year of grant.</w:t>
      </w:r>
    </w:p>
    <w:p>
      <w:pPr>
        <w:sectPr>
          <w:pgSz w:w="11900" w:h="16838" w:orient="portrait"/>
          <w:cols w:equalWidth="0" w:num="1">
            <w:col w:w="11240"/>
          </w:cols>
          <w:pgMar w:left="320" w:top="180" w:right="339" w:bottom="1440" w:gutter="0" w:footer="0" w:header="0"/>
        </w:sectPr>
      </w:pPr>
    </w:p>
    <w:bookmarkStart w:id="787" w:name="page788"/>
    <w:bookmarkEnd w:id="787"/>
    <w:tbl>
      <w:tblPr>
        <w:tblLayout w:type="fixed"/>
        <w:tblInd w:w="20" w:type="dxa"/>
        <w:tblCellMar>
          <w:top w:w="0" w:type="dxa"/>
          <w:left w:w="0" w:type="dxa"/>
          <w:bottom w:w="0" w:type="dxa"/>
          <w:right w:w="0" w:type="dxa"/>
        </w:tblCellMar>
      </w:tblPr>
      <w:tr>
        <w:trPr>
          <w:trHeight w:val="187"/>
        </w:trPr>
        <w:tc>
          <w:tcPr>
            <w:tcW w:w="746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40" w:type="dxa"/>
            <w:vAlign w:val="bottom"/>
          </w:tcPr>
          <w:p>
            <w:pPr>
              <w:jc w:val="right"/>
              <w:spacing w:after="0"/>
              <w:rPr>
                <w:sz w:val="20"/>
                <w:szCs w:val="20"/>
                <w:color w:val="auto"/>
              </w:rPr>
            </w:pPr>
            <w:r>
              <w:rPr>
                <w:rFonts w:ascii="Arial" w:cs="Arial" w:eastAsia="Arial" w:hAnsi="Arial"/>
                <w:sz w:val="13"/>
                <w:szCs w:val="13"/>
                <w:color w:val="auto"/>
              </w:rPr>
              <w:t>6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Notwithstanding such determination, Vesting shall occur only at the time and subject to the conditions otherwise set out in this Plan or in the PSU Award Agreement.</w:t>
      </w:r>
    </w:p>
    <w:p>
      <w:pPr>
        <w:spacing w:after="0" w:line="198" w:lineRule="exact"/>
        <w:rPr>
          <w:sz w:val="20"/>
          <w:szCs w:val="20"/>
          <w:color w:val="auto"/>
        </w:rPr>
      </w:pPr>
    </w:p>
    <w:p>
      <w:pPr>
        <w:jc w:val="both"/>
        <w:ind w:left="500" w:hanging="492"/>
        <w:spacing w:after="0" w:line="256" w:lineRule="auto"/>
        <w:tabs>
          <w:tab w:leader="none" w:pos="494" w:val="left"/>
        </w:tabs>
        <w:numPr>
          <w:ilvl w:val="0"/>
          <w:numId w:val="811"/>
        </w:numPr>
        <w:rPr>
          <w:rFonts w:ascii="Arial" w:cs="Arial" w:eastAsia="Arial" w:hAnsi="Arial"/>
          <w:sz w:val="18"/>
          <w:szCs w:val="18"/>
          <w:color w:val="auto"/>
        </w:rPr>
      </w:pPr>
      <w:r>
        <w:rPr>
          <w:rFonts w:ascii="Arial" w:cs="Arial" w:eastAsia="Arial" w:hAnsi="Arial"/>
          <w:sz w:val="18"/>
          <w:szCs w:val="18"/>
          <w:color w:val="auto"/>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Taxes and Social Security Contributions</w:t>
      </w:r>
    </w:p>
    <w:p>
      <w:pPr>
        <w:spacing w:after="0" w:line="238" w:lineRule="exact"/>
        <w:rPr>
          <w:sz w:val="20"/>
          <w:szCs w:val="20"/>
          <w:color w:val="auto"/>
        </w:rPr>
      </w:pPr>
    </w:p>
    <w:p>
      <w:pPr>
        <w:jc w:val="both"/>
        <w:ind w:left="500" w:hanging="492"/>
        <w:spacing w:after="0" w:line="256" w:lineRule="auto"/>
        <w:tabs>
          <w:tab w:leader="none" w:pos="49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spacing w:after="0" w:line="201" w:lineRule="exact"/>
        <w:rPr>
          <w:rFonts w:ascii="Arial" w:cs="Arial" w:eastAsia="Arial" w:hAnsi="Arial"/>
          <w:sz w:val="18"/>
          <w:szCs w:val="18"/>
          <w:color w:val="auto"/>
        </w:rPr>
      </w:pPr>
    </w:p>
    <w:p>
      <w:pPr>
        <w:jc w:val="both"/>
        <w:ind w:left="500" w:hanging="492"/>
        <w:spacing w:after="0" w:line="252" w:lineRule="auto"/>
        <w:tabs>
          <w:tab w:leader="none" w:pos="49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w:t>
      </w:r>
    </w:p>
    <w:p>
      <w:pPr>
        <w:spacing w:after="0" w:line="206" w:lineRule="exact"/>
        <w:rPr>
          <w:rFonts w:ascii="Arial" w:cs="Arial" w:eastAsia="Arial" w:hAnsi="Arial"/>
          <w:sz w:val="18"/>
          <w:szCs w:val="18"/>
          <w:color w:val="auto"/>
        </w:rPr>
      </w:pPr>
    </w:p>
    <w:p>
      <w:pPr>
        <w:ind w:left="500" w:hanging="492"/>
        <w:spacing w:after="0" w:line="261" w:lineRule="auto"/>
        <w:tabs>
          <w:tab w:leader="none" w:pos="494"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PSU awards, Shares or related events.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Disclosure Requirements</w:t>
      </w:r>
    </w:p>
    <w:p>
      <w:pPr>
        <w:spacing w:after="0" w:line="238"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Other Obligations of the Participant</w:t>
      </w:r>
    </w:p>
    <w:p>
      <w:pPr>
        <w:spacing w:after="0" w:line="238"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employment) to any Group Company, until the Participant has satisfied such outstanding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Termination of Employment and Forfeiture</w:t>
      </w:r>
    </w:p>
    <w:p>
      <w:pPr>
        <w:spacing w:after="0" w:line="238" w:lineRule="exact"/>
        <w:rPr>
          <w:sz w:val="20"/>
          <w:szCs w:val="20"/>
          <w:color w:val="auto"/>
        </w:rPr>
      </w:pPr>
    </w:p>
    <w:p>
      <w:pPr>
        <w:jc w:val="both"/>
        <w:ind w:left="500" w:hanging="492"/>
        <w:spacing w:after="0" w:line="254" w:lineRule="auto"/>
        <w:tabs>
          <w:tab w:leader="none" w:pos="490" w:val="left"/>
        </w:tabs>
        <w:numPr>
          <w:ilvl w:val="0"/>
          <w:numId w:val="813"/>
        </w:numPr>
        <w:rPr>
          <w:rFonts w:ascii="Arial" w:cs="Arial" w:eastAsia="Arial" w:hAnsi="Arial"/>
          <w:sz w:val="18"/>
          <w:szCs w:val="18"/>
          <w:color w:val="auto"/>
        </w:rPr>
      </w:pPr>
      <w:r>
        <w:rPr>
          <w:rFonts w:ascii="Arial" w:cs="Arial" w:eastAsia="Arial" w:hAnsi="Arial"/>
          <w:sz w:val="18"/>
          <w:szCs w:val="18"/>
          <w:color w:val="auto"/>
        </w:rPr>
        <w:t>If (i) a Participant's employment is terminated (i.e. notice of termination is given even if the notice period is still running) or (ii) another reason for termination occurs during the Vesting period,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within the meaning of Article 337 CO and except as set out in Section 14(b) and (c) below, all remaining unvested PSUs shall immediately cease and be forfeited.</w:t>
      </w:r>
    </w:p>
    <w:p>
      <w:pPr>
        <w:sectPr>
          <w:pgSz w:w="11900" w:h="16838" w:orient="portrait"/>
          <w:cols w:equalWidth="0" w:num="1">
            <w:col w:w="11240"/>
          </w:cols>
          <w:pgMar w:left="320" w:top="180" w:right="339" w:bottom="1440" w:gutter="0" w:footer="0" w:header="0"/>
        </w:sectPr>
      </w:pPr>
    </w:p>
    <w:bookmarkStart w:id="788" w:name="page789"/>
    <w:bookmarkEnd w:id="788"/>
    <w:tbl>
      <w:tblPr>
        <w:tblLayout w:type="fixed"/>
        <w:tblInd w:w="20" w:type="dxa"/>
        <w:tblCellMar>
          <w:top w:w="0" w:type="dxa"/>
          <w:left w:w="0" w:type="dxa"/>
          <w:bottom w:w="0" w:type="dxa"/>
          <w:right w:w="0" w:type="dxa"/>
        </w:tblCellMar>
      </w:tblPr>
      <w:tr>
        <w:trPr>
          <w:trHeight w:val="187"/>
        </w:trPr>
        <w:tc>
          <w:tcPr>
            <w:tcW w:w="746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40" w:type="dxa"/>
            <w:vAlign w:val="bottom"/>
          </w:tcPr>
          <w:p>
            <w:pPr>
              <w:jc w:val="right"/>
              <w:spacing w:after="0"/>
              <w:rPr>
                <w:sz w:val="20"/>
                <w:szCs w:val="20"/>
                <w:color w:val="auto"/>
              </w:rPr>
            </w:pPr>
            <w:r>
              <w:rPr>
                <w:rFonts w:ascii="Arial" w:cs="Arial" w:eastAsia="Arial" w:hAnsi="Arial"/>
                <w:sz w:val="13"/>
                <w:szCs w:val="13"/>
                <w:color w:val="auto"/>
              </w:rPr>
              <w:t>7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00" w:hanging="492"/>
        <w:spacing w:after="0" w:line="253" w:lineRule="auto"/>
        <w:tabs>
          <w:tab w:leader="none" w:pos="49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If a Participant’s employment agreement is terminated by the Company or a Group Company for reasons not pertaining to the Participant, under each unvested tranche of PSUs granted, a pro rata number of PSUs granted to the Participant shall vest at the end of the relevant Vesting Period with the remaining PSUs lapsing without further effect. For clarity, the pro rata calculation under this Section 14 shall be determined on a monthly basis (12/12, 24/24 and 36/36, respectively), based on the complete months of employment worked during the relevant Vesting Period.</w:t>
      </w:r>
    </w:p>
    <w:p>
      <w:pPr>
        <w:spacing w:after="0" w:line="205" w:lineRule="exact"/>
        <w:rPr>
          <w:rFonts w:ascii="Arial" w:cs="Arial" w:eastAsia="Arial" w:hAnsi="Arial"/>
          <w:sz w:val="18"/>
          <w:szCs w:val="18"/>
          <w:color w:val="auto"/>
        </w:rPr>
      </w:pPr>
    </w:p>
    <w:p>
      <w:pPr>
        <w:jc w:val="both"/>
        <w:ind w:left="500" w:hanging="492"/>
        <w:spacing w:after="0" w:line="254" w:lineRule="auto"/>
        <w:tabs>
          <w:tab w:leader="none" w:pos="494" w:val="left"/>
        </w:tabs>
        <w:numPr>
          <w:ilvl w:val="0"/>
          <w:numId w:val="814"/>
        </w:numPr>
        <w:rPr>
          <w:rFonts w:ascii="Arial" w:cs="Arial" w:eastAsia="Arial" w:hAnsi="Arial"/>
          <w:sz w:val="18"/>
          <w:szCs w:val="18"/>
          <w:color w:val="auto"/>
        </w:rPr>
      </w:pPr>
      <w:r>
        <w:rPr>
          <w:rFonts w:ascii="Arial" w:cs="Arial" w:eastAsia="Arial" w:hAnsi="Arial"/>
          <w:sz w:val="18"/>
          <w:szCs w:val="18"/>
          <w:color w:val="auto"/>
        </w:rPr>
        <w:t>If the employment agreement terminates by reason of (i) death, permanent illness or disability of the Participant or (ii) retirement, a pro rata number of PSUs granted to the Participant shall vest immediately with the remaining PSUs lapsing without further effect. In the case of (i) here before, the pro rata calculation will be made assuming that employment lasted one year longer (but in any case not longer than the end of the regular three-year Vesting Period).</w:t>
      </w:r>
    </w:p>
    <w:p>
      <w:pPr>
        <w:spacing w:after="0" w:line="203" w:lineRule="exact"/>
        <w:rPr>
          <w:rFonts w:ascii="Arial" w:cs="Arial" w:eastAsia="Arial" w:hAnsi="Arial"/>
          <w:sz w:val="18"/>
          <w:szCs w:val="18"/>
          <w:color w:val="auto"/>
        </w:rPr>
      </w:pPr>
    </w:p>
    <w:p>
      <w:pPr>
        <w:jc w:val="both"/>
        <w:ind w:left="500" w:hanging="492"/>
        <w:spacing w:after="0" w:line="256" w:lineRule="auto"/>
        <w:tabs>
          <w:tab w:leader="none" w:pos="490" w:val="left"/>
        </w:tabs>
        <w:numPr>
          <w:ilvl w:val="0"/>
          <w:numId w:val="814"/>
        </w:numPr>
        <w:rPr>
          <w:rFonts w:ascii="Arial" w:cs="Arial" w:eastAsia="Arial" w:hAnsi="Arial"/>
          <w:sz w:val="18"/>
          <w:szCs w:val="18"/>
          <w:color w:val="auto"/>
        </w:rPr>
      </w:pPr>
      <w:r>
        <w:rPr>
          <w:rFonts w:ascii="Arial" w:cs="Arial" w:eastAsia="Arial" w:hAnsi="Arial"/>
          <w:sz w:val="18"/>
          <w:szCs w:val="18"/>
          <w:color w:val="auto"/>
        </w:rPr>
        <w:t>The Management Board may, taking into consideration the objectives of the Plan, at its sole discretion and with final and binding effectgrant further exceptions from the forfeiture clause as per Section 14 (a) above and assess whether a Participant’s employment agreement was terminated for reasons not pertaining to the Participant pursuant to Section 14(b) above.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Change of Control</w:t>
      </w:r>
    </w:p>
    <w:p>
      <w:pPr>
        <w:spacing w:after="0" w:line="216" w:lineRule="exact"/>
        <w:rPr>
          <w:sz w:val="20"/>
          <w:szCs w:val="20"/>
          <w:color w:val="auto"/>
        </w:rPr>
      </w:pPr>
    </w:p>
    <w:p>
      <w:pPr>
        <w:ind w:left="480" w:hanging="472"/>
        <w:spacing w:after="0"/>
        <w:tabs>
          <w:tab w:leader="none" w:pos="48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jc w:val="both"/>
        <w:ind w:left="980" w:hanging="486"/>
        <w:spacing w:after="0" w:line="256" w:lineRule="auto"/>
        <w:tabs>
          <w:tab w:leader="none" w:pos="978" w:val="left"/>
        </w:tabs>
        <w:numPr>
          <w:ilvl w:val="1"/>
          <w:numId w:val="815"/>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01" w:lineRule="exact"/>
        <w:rPr>
          <w:rFonts w:ascii="Arial" w:cs="Arial" w:eastAsia="Arial" w:hAnsi="Arial"/>
          <w:sz w:val="18"/>
          <w:szCs w:val="18"/>
          <w:color w:val="auto"/>
        </w:rPr>
      </w:pPr>
    </w:p>
    <w:p>
      <w:pPr>
        <w:ind w:left="980" w:right="20" w:hanging="486"/>
        <w:spacing w:after="0" w:line="261" w:lineRule="auto"/>
        <w:tabs>
          <w:tab w:leader="none" w:pos="977" w:val="left"/>
        </w:tabs>
        <w:numPr>
          <w:ilvl w:val="1"/>
          <w:numId w:val="815"/>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197" w:lineRule="exact"/>
        <w:rPr>
          <w:rFonts w:ascii="Arial" w:cs="Arial" w:eastAsia="Arial" w:hAnsi="Arial"/>
          <w:sz w:val="18"/>
          <w:szCs w:val="18"/>
          <w:color w:val="auto"/>
        </w:rPr>
      </w:pPr>
    </w:p>
    <w:p>
      <w:pPr>
        <w:jc w:val="both"/>
        <w:ind w:left="980" w:hanging="486"/>
        <w:spacing w:after="0" w:line="254" w:lineRule="auto"/>
        <w:tabs>
          <w:tab w:leader="none" w:pos="977" w:val="left"/>
        </w:tabs>
        <w:numPr>
          <w:ilvl w:val="1"/>
          <w:numId w:val="815"/>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03" w:lineRule="exact"/>
        <w:rPr>
          <w:rFonts w:ascii="Arial" w:cs="Arial" w:eastAsia="Arial" w:hAnsi="Arial"/>
          <w:sz w:val="18"/>
          <w:szCs w:val="18"/>
          <w:color w:val="auto"/>
        </w:rPr>
      </w:pPr>
    </w:p>
    <w:p>
      <w:pPr>
        <w:jc w:val="both"/>
        <w:ind w:left="980" w:hanging="486"/>
        <w:spacing w:after="0" w:line="253" w:lineRule="auto"/>
        <w:tabs>
          <w:tab w:leader="none" w:pos="973" w:val="left"/>
        </w:tabs>
        <w:numPr>
          <w:ilvl w:val="1"/>
          <w:numId w:val="815"/>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05" w:lineRule="exact"/>
        <w:rPr>
          <w:rFonts w:ascii="Arial" w:cs="Arial" w:eastAsia="Arial" w:hAnsi="Arial"/>
          <w:sz w:val="18"/>
          <w:szCs w:val="18"/>
          <w:color w:val="auto"/>
        </w:rPr>
      </w:pPr>
    </w:p>
    <w:p>
      <w:pPr>
        <w:ind w:left="500" w:hanging="492"/>
        <w:spacing w:after="0" w:line="261" w:lineRule="auto"/>
        <w:tabs>
          <w:tab w:leader="none" w:pos="490" w:val="left"/>
        </w:tabs>
        <w:numPr>
          <w:ilvl w:val="0"/>
          <w:numId w:val="815"/>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PSUs in respect of which the Vesting Date has not occurred by the date of the Change of Control:</w:t>
      </w:r>
    </w:p>
    <w:p>
      <w:pPr>
        <w:spacing w:after="0" w:line="197" w:lineRule="exact"/>
        <w:rPr>
          <w:rFonts w:ascii="Arial" w:cs="Arial" w:eastAsia="Arial" w:hAnsi="Arial"/>
          <w:sz w:val="18"/>
          <w:szCs w:val="18"/>
          <w:color w:val="auto"/>
        </w:rPr>
      </w:pPr>
    </w:p>
    <w:p>
      <w:pPr>
        <w:ind w:left="980" w:hanging="486"/>
        <w:spacing w:after="0"/>
        <w:tabs>
          <w:tab w:leader="none" w:pos="980" w:val="left"/>
        </w:tabs>
        <w:numPr>
          <w:ilvl w:val="1"/>
          <w:numId w:val="815"/>
        </w:numPr>
        <w:rPr>
          <w:rFonts w:ascii="Arial" w:cs="Arial" w:eastAsia="Arial" w:hAnsi="Arial"/>
          <w:sz w:val="18"/>
          <w:szCs w:val="18"/>
          <w:color w:val="auto"/>
        </w:rPr>
      </w:pPr>
      <w:r>
        <w:rPr>
          <w:rFonts w:ascii="Arial" w:cs="Arial" w:eastAsia="Arial" w:hAnsi="Arial"/>
          <w:sz w:val="18"/>
          <w:szCs w:val="18"/>
          <w:color w:val="auto"/>
        </w:rPr>
        <w:t>all PSUs will vest immediately;</w:t>
      </w:r>
    </w:p>
    <w:p>
      <w:pPr>
        <w:spacing w:after="0" w:line="225" w:lineRule="exact"/>
        <w:rPr>
          <w:rFonts w:ascii="Arial" w:cs="Arial" w:eastAsia="Arial" w:hAnsi="Arial"/>
          <w:sz w:val="18"/>
          <w:szCs w:val="18"/>
          <w:color w:val="auto"/>
        </w:rPr>
      </w:pPr>
    </w:p>
    <w:p>
      <w:pPr>
        <w:ind w:left="980" w:hanging="486"/>
        <w:spacing w:after="0" w:line="261" w:lineRule="auto"/>
        <w:tabs>
          <w:tab w:leader="none" w:pos="977" w:val="left"/>
        </w:tabs>
        <w:numPr>
          <w:ilvl w:val="1"/>
          <w:numId w:val="815"/>
        </w:numPr>
        <w:rPr>
          <w:rFonts w:ascii="Arial" w:cs="Arial" w:eastAsia="Arial" w:hAnsi="Arial"/>
          <w:sz w:val="18"/>
          <w:szCs w:val="18"/>
          <w:color w:val="auto"/>
        </w:rPr>
      </w:pPr>
      <w:r>
        <w:rPr>
          <w:rFonts w:ascii="Arial" w:cs="Arial" w:eastAsia="Arial" w:hAnsi="Arial"/>
          <w:sz w:val="18"/>
          <w:szCs w:val="18"/>
          <w:color w:val="auto"/>
        </w:rPr>
        <w:t>the Vesting Multiple with respect to each PSU allocation will be determined by the Nomination and Compensation Committee at the time of the Change of Control unless the Vesting Multiple has already been determined prior to the Change of Control; and</w:t>
      </w:r>
    </w:p>
    <w:p>
      <w:pPr>
        <w:sectPr>
          <w:pgSz w:w="11900" w:h="16838" w:orient="portrait"/>
          <w:cols w:equalWidth="0" w:num="1">
            <w:col w:w="11240"/>
          </w:cols>
          <w:pgMar w:left="320" w:top="180" w:right="339" w:bottom="1440" w:gutter="0" w:footer="0" w:header="0"/>
        </w:sectPr>
      </w:pPr>
    </w:p>
    <w:bookmarkStart w:id="789" w:name="page790"/>
    <w:bookmarkEnd w:id="789"/>
    <w:tbl>
      <w:tblPr>
        <w:tblLayout w:type="fixed"/>
        <w:tblInd w:w="20" w:type="dxa"/>
        <w:tblCellMar>
          <w:top w:w="0" w:type="dxa"/>
          <w:left w:w="0" w:type="dxa"/>
          <w:bottom w:w="0" w:type="dxa"/>
          <w:right w:w="0" w:type="dxa"/>
        </w:tblCellMar>
      </w:tblPr>
      <w:tr>
        <w:trPr>
          <w:trHeight w:val="187"/>
        </w:trPr>
        <w:tc>
          <w:tcPr>
            <w:tcW w:w="746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40" w:type="dxa"/>
            <w:vAlign w:val="bottom"/>
          </w:tcPr>
          <w:p>
            <w:pPr>
              <w:jc w:val="right"/>
              <w:spacing w:after="0"/>
              <w:rPr>
                <w:sz w:val="20"/>
                <w:szCs w:val="20"/>
                <w:color w:val="auto"/>
              </w:rPr>
            </w:pPr>
            <w:r>
              <w:rPr>
                <w:rFonts w:ascii="Arial" w:cs="Arial" w:eastAsia="Arial" w:hAnsi="Arial"/>
                <w:sz w:val="13"/>
                <w:szCs w:val="13"/>
                <w:color w:val="auto"/>
              </w:rPr>
              <w:t>8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hanging="486"/>
        <w:spacing w:after="0" w:line="261" w:lineRule="auto"/>
        <w:tabs>
          <w:tab w:leader="none" w:pos="977" w:val="left"/>
        </w:tabs>
        <w:numPr>
          <w:ilvl w:val="1"/>
          <w:numId w:val="816"/>
        </w:numPr>
        <w:rPr>
          <w:rFonts w:ascii="Arial" w:cs="Arial" w:eastAsia="Arial" w:hAnsi="Arial"/>
          <w:sz w:val="18"/>
          <w:szCs w:val="18"/>
          <w:color w:val="auto"/>
        </w:rPr>
      </w:pPr>
      <w:r>
        <w:rPr>
          <w:rFonts w:ascii="Arial" w:cs="Arial" w:eastAsia="Arial" w:hAnsi="Arial"/>
          <w:sz w:val="18"/>
          <w:szCs w:val="18"/>
          <w:color w:val="auto"/>
        </w:rPr>
        <w:t>the PSUs will be paid out in Shares, unless the Nomination and Compensation Committee resolves to repurchase or exchange PSUs or decides upon another solution to provide the Participants with the vesting value of the PSUs.</w:t>
      </w:r>
    </w:p>
    <w:p>
      <w:pPr>
        <w:spacing w:after="0" w:line="197" w:lineRule="exact"/>
        <w:rPr>
          <w:rFonts w:ascii="Arial" w:cs="Arial" w:eastAsia="Arial" w:hAnsi="Arial"/>
          <w:sz w:val="18"/>
          <w:szCs w:val="18"/>
          <w:color w:val="auto"/>
        </w:rPr>
      </w:pPr>
    </w:p>
    <w:p>
      <w:pPr>
        <w:jc w:val="both"/>
        <w:ind w:left="500" w:hanging="492"/>
        <w:spacing w:after="0" w:line="253" w:lineRule="auto"/>
        <w:tabs>
          <w:tab w:leader="none" w:pos="494" w:val="left"/>
        </w:tabs>
        <w:numPr>
          <w:ilvl w:val="0"/>
          <w:numId w:val="817"/>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05" w:lineRule="exact"/>
        <w:rPr>
          <w:rFonts w:ascii="Arial" w:cs="Arial" w:eastAsia="Arial" w:hAnsi="Arial"/>
          <w:sz w:val="18"/>
          <w:szCs w:val="18"/>
          <w:color w:val="auto"/>
        </w:rPr>
      </w:pPr>
    </w:p>
    <w:p>
      <w:pPr>
        <w:jc w:val="both"/>
        <w:ind w:left="500" w:hanging="492"/>
        <w:spacing w:after="0" w:line="254" w:lineRule="auto"/>
        <w:tabs>
          <w:tab w:leader="none" w:pos="490" w:val="left"/>
        </w:tabs>
        <w:numPr>
          <w:ilvl w:val="0"/>
          <w:numId w:val="817"/>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Corporate Events</w:t>
      </w:r>
    </w:p>
    <w:p>
      <w:pPr>
        <w:spacing w:after="0" w:line="238"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 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Data Protection</w:t>
      </w:r>
    </w:p>
    <w:p>
      <w:pPr>
        <w:spacing w:after="0" w:line="238" w:lineRule="exact"/>
        <w:rPr>
          <w:sz w:val="20"/>
          <w:szCs w:val="20"/>
          <w:color w:val="auto"/>
        </w:rPr>
      </w:pPr>
    </w:p>
    <w:p>
      <w:pPr>
        <w:jc w:val="both"/>
        <w:ind w:left="500" w:hanging="492"/>
        <w:spacing w:after="0" w:line="252" w:lineRule="auto"/>
        <w:tabs>
          <w:tab w:leader="none" w:pos="49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By accepting a grant of PSUs, each Participant consents to the collection and processing of personal data relating to the Participant in connection with such grant and the performance of this Plan and the PSU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spacing w:after="0" w:line="207" w:lineRule="exact"/>
        <w:rPr>
          <w:rFonts w:ascii="Arial" w:cs="Arial" w:eastAsia="Arial" w:hAnsi="Arial"/>
          <w:sz w:val="18"/>
          <w:szCs w:val="18"/>
          <w:color w:val="auto"/>
        </w:rPr>
      </w:pPr>
    </w:p>
    <w:p>
      <w:pPr>
        <w:jc w:val="both"/>
        <w:ind w:left="500" w:hanging="492"/>
        <w:spacing w:after="0" w:line="254" w:lineRule="auto"/>
        <w:tabs>
          <w:tab w:leader="none" w:pos="490" w:val="left"/>
        </w:tabs>
        <w:numPr>
          <w:ilvl w:val="0"/>
          <w:numId w:val="818"/>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Legal and regulatory restrictions</w:t>
      </w:r>
    </w:p>
    <w:p>
      <w:pPr>
        <w:spacing w:after="0" w:line="238" w:lineRule="exact"/>
        <w:rPr>
          <w:sz w:val="20"/>
          <w:szCs w:val="20"/>
          <w:color w:val="auto"/>
        </w:rPr>
      </w:pPr>
    </w:p>
    <w:p>
      <w:pPr>
        <w:ind w:left="500" w:hanging="492"/>
        <w:spacing w:after="0" w:line="261" w:lineRule="auto"/>
        <w:tabs>
          <w:tab w:leader="none" w:pos="490" w:val="left"/>
        </w:tabs>
        <w:numPr>
          <w:ilvl w:val="0"/>
          <w:numId w:val="819"/>
        </w:numPr>
        <w:rPr>
          <w:rFonts w:ascii="Arial" w:cs="Arial" w:eastAsia="Arial" w:hAnsi="Arial"/>
          <w:sz w:val="18"/>
          <w:szCs w:val="18"/>
          <w:color w:val="auto"/>
        </w:rPr>
      </w:pPr>
      <w:r>
        <w:rPr>
          <w:rFonts w:ascii="Arial" w:cs="Arial" w:eastAsia="Arial" w:hAnsi="Arial"/>
          <w:sz w:val="18"/>
          <w:szCs w:val="18"/>
          <w:color w:val="auto"/>
        </w:rPr>
        <w:t>Neither the Shares nor the PSU have been or will be registered or listed in any jurisdiction other than, if and to the extent required, Switzerland.</w:t>
      </w:r>
    </w:p>
    <w:p>
      <w:pPr>
        <w:sectPr>
          <w:pgSz w:w="11900" w:h="16838" w:orient="portrait"/>
          <w:cols w:equalWidth="0" w:num="1">
            <w:col w:w="11240"/>
          </w:cols>
          <w:pgMar w:left="320" w:top="180" w:right="339" w:bottom="1440" w:gutter="0" w:footer="0" w:header="0"/>
        </w:sectPr>
      </w:pPr>
    </w:p>
    <w:bookmarkStart w:id="790" w:name="page791"/>
    <w:bookmarkEnd w:id="790"/>
    <w:tbl>
      <w:tblPr>
        <w:tblLayout w:type="fixed"/>
        <w:tblInd w:w="20" w:type="dxa"/>
        <w:tblCellMar>
          <w:top w:w="0" w:type="dxa"/>
          <w:left w:w="0" w:type="dxa"/>
          <w:bottom w:w="0" w:type="dxa"/>
          <w:right w:w="0" w:type="dxa"/>
        </w:tblCellMar>
      </w:tblPr>
      <w:tr>
        <w:trPr>
          <w:trHeight w:val="187"/>
        </w:trPr>
        <w:tc>
          <w:tcPr>
            <w:tcW w:w="746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40" w:type="dxa"/>
            <w:vAlign w:val="bottom"/>
          </w:tcPr>
          <w:p>
            <w:pPr>
              <w:jc w:val="right"/>
              <w:spacing w:after="0"/>
              <w:rPr>
                <w:sz w:val="20"/>
                <w:szCs w:val="20"/>
                <w:color w:val="auto"/>
              </w:rPr>
            </w:pPr>
            <w:r>
              <w:rPr>
                <w:rFonts w:ascii="Arial" w:cs="Arial" w:eastAsia="Arial" w:hAnsi="Arial"/>
                <w:sz w:val="13"/>
                <w:szCs w:val="13"/>
                <w:color w:val="auto"/>
              </w:rPr>
              <w:t>9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500" w:hanging="492"/>
        <w:spacing w:after="0" w:line="251" w:lineRule="auto"/>
        <w:tabs>
          <w:tab w:leader="none" w:pos="490" w:val="left"/>
        </w:tabs>
        <w:numPr>
          <w:ilvl w:val="0"/>
          <w:numId w:val="820"/>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 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 its own discretion whether and how to compensate the relevant persons in lieu of such grant, delivery or extension.</w:t>
      </w:r>
    </w:p>
    <w:p>
      <w:pPr>
        <w:spacing w:after="0" w:line="211" w:lineRule="exact"/>
        <w:rPr>
          <w:rFonts w:ascii="Arial" w:cs="Arial" w:eastAsia="Arial" w:hAnsi="Arial"/>
          <w:sz w:val="18"/>
          <w:szCs w:val="18"/>
          <w:color w:val="auto"/>
        </w:rPr>
      </w:pPr>
    </w:p>
    <w:p>
      <w:pPr>
        <w:ind w:left="500" w:hanging="492"/>
        <w:spacing w:after="0" w:line="261" w:lineRule="auto"/>
        <w:tabs>
          <w:tab w:leader="none" w:pos="494" w:val="left"/>
        </w:tabs>
        <w:numPr>
          <w:ilvl w:val="0"/>
          <w:numId w:val="820"/>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PSUs and any shares granted thereunder.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Amendment and Termination</w:t>
      </w:r>
    </w:p>
    <w:p>
      <w:pPr>
        <w:spacing w:after="0" w:line="238"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PSU grants. Any adverse economic effects of such termination, suspension or amendment on grants already made pursuant to a PSU Agreement shall be fairly compensated in cash, by adjustment of other terms of the grant, by replacement by other grants or benefits,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Severability</w:t>
      </w:r>
    </w:p>
    <w:p>
      <w:pPr>
        <w:spacing w:after="0" w:line="238"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Governing Law and Jurisdiction</w:t>
      </w:r>
    </w:p>
    <w:p>
      <w:pPr>
        <w:spacing w:after="0" w:line="238" w:lineRule="exact"/>
        <w:rPr>
          <w:sz w:val="20"/>
          <w:szCs w:val="20"/>
          <w:color w:val="auto"/>
        </w:rPr>
      </w:pPr>
    </w:p>
    <w:p>
      <w:pPr>
        <w:ind w:left="500" w:right="20" w:hanging="492"/>
        <w:spacing w:after="0" w:line="261" w:lineRule="auto"/>
        <w:tabs>
          <w:tab w:leader="none" w:pos="49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This Plan and any PSU Award Agreement shall be governed by, and construed in accordance with, the substantive laws of Switzerland.</w:t>
      </w:r>
    </w:p>
    <w:p>
      <w:pPr>
        <w:spacing w:after="0" w:line="197" w:lineRule="exact"/>
        <w:rPr>
          <w:rFonts w:ascii="Arial" w:cs="Arial" w:eastAsia="Arial" w:hAnsi="Arial"/>
          <w:sz w:val="18"/>
          <w:szCs w:val="18"/>
          <w:color w:val="auto"/>
        </w:rPr>
      </w:pPr>
    </w:p>
    <w:p>
      <w:pPr>
        <w:jc w:val="both"/>
        <w:ind w:left="500" w:hanging="492"/>
        <w:spacing w:after="0" w:line="256" w:lineRule="auto"/>
        <w:tabs>
          <w:tab w:leader="none" w:pos="490" w:val="left"/>
        </w:tabs>
        <w:numPr>
          <w:ilvl w:val="0"/>
          <w:numId w:val="821"/>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  Entry into Force</w:t>
      </w:r>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per approval of the Board of Directors, this Plan shall enter into force as of March 14, 2021.</w:t>
      </w:r>
    </w:p>
    <w:p>
      <w:pPr>
        <w:sectPr>
          <w:pgSz w:w="11900" w:h="16838" w:orient="portrait"/>
          <w:cols w:equalWidth="0" w:num="1">
            <w:col w:w="11240"/>
          </w:cols>
          <w:pgMar w:left="320" w:top="180" w:right="339" w:bottom="1440" w:gutter="0" w:footer="0" w:header="0"/>
        </w:sectPr>
      </w:pPr>
    </w:p>
    <w:bookmarkStart w:id="791" w:name="page792"/>
    <w:bookmarkEnd w:id="791"/>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60" w:type="dxa"/>
            <w:vAlign w:val="bottom"/>
          </w:tcPr>
          <w:p>
            <w:pPr>
              <w:jc w:val="right"/>
              <w:spacing w:after="0"/>
              <w:rPr>
                <w:sz w:val="20"/>
                <w:szCs w:val="20"/>
                <w:color w:val="auto"/>
              </w:rPr>
            </w:pPr>
            <w:r>
              <w:rPr>
                <w:rFonts w:ascii="Arial" w:cs="Arial" w:eastAsia="Arial" w:hAnsi="Arial"/>
                <w:sz w:val="13"/>
                <w:szCs w:val="13"/>
                <w:color w:val="auto"/>
              </w:rPr>
              <w:t>10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272"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Definitions</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15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left="48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Board of Directors in the future.</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ind w:left="480"/>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w:t>
      </w:r>
      <w:r>
        <w:rPr>
          <w:rFonts w:ascii="Arial" w:cs="Arial" w:eastAsia="Arial" w:hAnsi="Arial"/>
          <w:sz w:val="18"/>
          <w:szCs w:val="18"/>
          <w:b w:val="1"/>
          <w:bCs w:val="1"/>
          <w:color w:val="auto"/>
        </w:rPr>
        <w:t xml:space="preserve"> </w:t>
      </w:r>
      <w:r>
        <w:rPr>
          <w:rFonts w:ascii="Arial" w:cs="Arial" w:eastAsia="Arial" w:hAnsi="Arial"/>
          <w:sz w:val="18"/>
          <w:szCs w:val="18"/>
          <w:color w:val="auto"/>
        </w:rPr>
        <w:t>2013, as may be amended or replaced</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Goal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shall mean all Group Companies.</w:t>
      </w:r>
    </w:p>
    <w:p>
      <w:pPr>
        <w:spacing w:after="0" w:line="144" w:lineRule="exact"/>
        <w:rPr>
          <w:sz w:val="20"/>
          <w:szCs w:val="20"/>
          <w:color w:val="auto"/>
        </w:rPr>
      </w:pPr>
    </w:p>
    <w:p>
      <w:pPr>
        <w:ind w:left="480"/>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owned or otherwise controlled by the Company.</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LTI Score Card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ind w:left="480"/>
        <w:spacing w:after="0" w:line="318" w:lineRule="auto"/>
        <w:rPr>
          <w:sz w:val="20"/>
          <w:szCs w:val="20"/>
          <w:color w:val="auto"/>
        </w:rPr>
      </w:pPr>
      <w:r>
        <w:rPr>
          <w:rFonts w:ascii="Arial" w:cs="Arial" w:eastAsia="Arial" w:hAnsi="Arial"/>
          <w:sz w:val="18"/>
          <w:szCs w:val="18"/>
          <w:b w:val="1"/>
          <w:bCs w:val="1"/>
          <w:color w:val="auto"/>
        </w:rPr>
        <w:t xml:space="preserve">Management Board </w:t>
      </w:r>
      <w:r>
        <w:rPr>
          <w:rFonts w:ascii="Arial" w:cs="Arial" w:eastAsia="Arial" w:hAnsi="Arial"/>
          <w:sz w:val="18"/>
          <w:szCs w:val="18"/>
          <w:color w:val="auto"/>
        </w:rPr>
        <w:t>shall mean the members of the top level executive management, i.e. those managers whose compensation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Compensation Ordinance.</w:t>
      </w:r>
    </w:p>
    <w:p>
      <w:pPr>
        <w:spacing w:after="0" w:line="45" w:lineRule="exact"/>
        <w:rPr>
          <w:sz w:val="20"/>
          <w:szCs w:val="20"/>
          <w:color w:val="auto"/>
        </w:rPr>
      </w:pPr>
    </w:p>
    <w:p>
      <w:pPr>
        <w:ind w:left="480" w:right="20"/>
        <w:spacing w:after="0" w:line="318" w:lineRule="auto"/>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PSUs through a PSU Award Agreement based on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PSU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Vesting Multiple </w:t>
      </w:r>
      <w:r>
        <w:rPr>
          <w:rFonts w:ascii="Arial" w:cs="Arial" w:eastAsia="Arial" w:hAnsi="Arial"/>
          <w:sz w:val="18"/>
          <w:szCs w:val="18"/>
          <w:color w:val="auto"/>
        </w:rPr>
        <w:t>shall be the multiple determined in accordance with Section 10 above.</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20"/>
          </w:cols>
          <w:pgMar w:left="340" w:top="180" w:right="339" w:bottom="1440" w:gutter="0" w:footer="0" w:header="0"/>
        </w:sectPr>
      </w:pPr>
    </w:p>
    <w:bookmarkStart w:id="792" w:name="page793"/>
    <w:bookmarkEnd w:id="792"/>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20"/>
                <w:szCs w:val="20"/>
                <w:color w:val="auto"/>
              </w:rPr>
            </w:pPr>
            <w:r>
              <w:rPr>
                <w:rFonts w:ascii="Arial" w:cs="Arial" w:eastAsia="Arial" w:hAnsi="Arial"/>
                <w:sz w:val="13"/>
                <w:szCs w:val="13"/>
                <w:color w:val="auto"/>
              </w:rPr>
              <w:t>Molecular Partners AG: Performance Share Plan 2021 - Employees</w:t>
            </w:r>
          </w:p>
        </w:tc>
        <w:tc>
          <w:tcPr>
            <w:tcW w:w="3760" w:type="dxa"/>
            <w:vAlign w:val="bottom"/>
          </w:tcPr>
          <w:p>
            <w:pPr>
              <w:jc w:val="right"/>
              <w:spacing w:after="0"/>
              <w:rPr>
                <w:sz w:val="20"/>
                <w:szCs w:val="20"/>
                <w:color w:val="auto"/>
              </w:rPr>
            </w:pPr>
            <w:r>
              <w:rPr>
                <w:rFonts w:ascii="Arial" w:cs="Arial" w:eastAsia="Arial" w:hAnsi="Arial"/>
                <w:sz w:val="13"/>
                <w:szCs w:val="13"/>
                <w:color w:val="auto"/>
              </w:rPr>
              <w:t>11 | 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Annex 2</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Employee PSU Award Agreement 2021</w:t>
      </w:r>
    </w:p>
    <w:p>
      <w:pPr>
        <w:spacing w:after="0" w:line="270" w:lineRule="exact"/>
        <w:rPr>
          <w:sz w:val="20"/>
          <w:szCs w:val="20"/>
          <w:color w:val="auto"/>
        </w:rPr>
      </w:pPr>
    </w:p>
    <w:p>
      <w:pPr>
        <w:jc w:val="both"/>
        <w:ind w:left="480"/>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Performance Share Plan 2021 (the </w:t>
      </w:r>
      <w:r>
        <w:rPr>
          <w:rFonts w:ascii="Arial" w:cs="Arial" w:eastAsia="Arial" w:hAnsi="Arial"/>
          <w:sz w:val="18"/>
          <w:szCs w:val="18"/>
          <w:b w:val="1"/>
          <w:bCs w:val="1"/>
          <w:color w:val="auto"/>
        </w:rPr>
        <w:t>PSU Plan</w:t>
      </w:r>
      <w:r>
        <w:rPr>
          <w:rFonts w:ascii="Arial" w:cs="Arial" w:eastAsia="Arial" w:hAnsi="Arial"/>
          <w:sz w:val="18"/>
          <w:szCs w:val="18"/>
          <w:color w:val="auto"/>
        </w:rPr>
        <w:t>), issued by the Company.</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Capitalized terms used, but not defined herein, shall have the meaning assigned to them in the PSU Plan.</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Subject to the terms and conditions of the PSU Plan, the Company hereby grants to you the following PSUs: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351"/>
        </w:trPr>
        <w:tc>
          <w:tcPr>
            <w:tcW w:w="3580" w:type="dxa"/>
            <w:vAlign w:val="bottom"/>
          </w:tcPr>
          <w:p>
            <w:pPr>
              <w:spacing w:after="0"/>
              <w:rPr>
                <w:sz w:val="20"/>
                <w:szCs w:val="20"/>
                <w:color w:val="auto"/>
              </w:rPr>
            </w:pPr>
            <w:r>
              <w:rPr>
                <w:rFonts w:ascii="Arial" w:cs="Arial" w:eastAsia="Arial" w:hAnsi="Arial"/>
                <w:sz w:val="18"/>
                <w:szCs w:val="18"/>
                <w:b w:val="1"/>
                <w:bCs w:val="1"/>
                <w:color w:val="auto"/>
              </w:rPr>
              <w:t>Number of PSUs</w:t>
            </w:r>
          </w:p>
        </w:tc>
        <w:tc>
          <w:tcPr>
            <w:tcW w:w="55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743"/>
        </w:trPr>
        <w:tc>
          <w:tcPr>
            <w:tcW w:w="358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55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743"/>
        </w:trPr>
        <w:tc>
          <w:tcPr>
            <w:tcW w:w="3580" w:type="dxa"/>
            <w:vAlign w:val="bottom"/>
          </w:tcPr>
          <w:p>
            <w:pPr>
              <w:spacing w:after="0"/>
              <w:rPr>
                <w:sz w:val="20"/>
                <w:szCs w:val="20"/>
                <w:color w:val="auto"/>
              </w:rPr>
            </w:pPr>
            <w:r>
              <w:rPr>
                <w:rFonts w:ascii="Arial" w:cs="Arial" w:eastAsia="Arial" w:hAnsi="Arial"/>
                <w:sz w:val="18"/>
                <w:szCs w:val="18"/>
                <w:b w:val="1"/>
                <w:bCs w:val="1"/>
                <w:color w:val="auto"/>
              </w:rPr>
              <w:t>Schedule of regular Vesting</w:t>
            </w:r>
          </w:p>
        </w:tc>
        <w:tc>
          <w:tcPr>
            <w:tcW w:w="5540" w:type="dxa"/>
            <w:vAlign w:val="bottom"/>
            <w:shd w:val="clear" w:color="auto" w:fill="D9D9D9"/>
          </w:tcPr>
          <w:p>
            <w:pPr>
              <w:ind w:left="40"/>
              <w:spacing w:after="0"/>
              <w:rPr>
                <w:sz w:val="20"/>
                <w:szCs w:val="20"/>
                <w:color w:val="auto"/>
              </w:rPr>
            </w:pPr>
            <w:r>
              <w:rPr>
                <w:rFonts w:ascii="Arial" w:cs="Arial" w:eastAsia="Arial" w:hAnsi="Arial"/>
                <w:sz w:val="18"/>
                <w:szCs w:val="18"/>
                <w:color w:val="auto"/>
              </w:rPr>
              <w:t>[■] PSUs on [■], [■] PSUs on [■] and [■] PSUs on [■].</w:t>
            </w:r>
          </w:p>
        </w:tc>
      </w:tr>
      <w:tr>
        <w:trPr>
          <w:trHeight w:val="135"/>
        </w:trPr>
        <w:tc>
          <w:tcPr>
            <w:tcW w:w="3580" w:type="dxa"/>
            <w:vAlign w:val="bottom"/>
          </w:tcPr>
          <w:p>
            <w:pPr>
              <w:spacing w:after="0"/>
              <w:rPr>
                <w:sz w:val="11"/>
                <w:szCs w:val="11"/>
                <w:color w:val="auto"/>
              </w:rPr>
            </w:pPr>
          </w:p>
        </w:tc>
        <w:tc>
          <w:tcPr>
            <w:tcW w:w="5540" w:type="dxa"/>
            <w:vAlign w:val="bottom"/>
            <w:shd w:val="clear" w:color="auto" w:fill="D9D9D9"/>
          </w:tcPr>
          <w:p>
            <w:pPr>
              <w:spacing w:after="0"/>
              <w:rPr>
                <w:sz w:val="11"/>
                <w:szCs w:val="11"/>
                <w:color w:val="auto"/>
              </w:rPr>
            </w:pPr>
          </w:p>
        </w:tc>
      </w:tr>
    </w:tbl>
    <w:p>
      <w:pPr>
        <w:spacing w:after="0" w:line="323" w:lineRule="exact"/>
        <w:rPr>
          <w:sz w:val="20"/>
          <w:szCs w:val="20"/>
          <w:color w:val="auto"/>
        </w:rPr>
      </w:pPr>
    </w:p>
    <w:p>
      <w:pPr>
        <w:jc w:val="both"/>
        <w:ind w:left="480"/>
        <w:spacing w:after="0" w:line="284" w:lineRule="auto"/>
        <w:rPr>
          <w:sz w:val="20"/>
          <w:szCs w:val="20"/>
          <w:color w:val="auto"/>
        </w:rPr>
      </w:pPr>
      <w:r>
        <w:rPr>
          <w:rFonts w:ascii="Arial" w:cs="Arial" w:eastAsia="Arial" w:hAnsi="Arial"/>
          <w:sz w:val="18"/>
          <w:szCs w:val="18"/>
          <w:color w:val="auto"/>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Goals relevant for this award ([communicated to you separately] | [</w:t>
      </w:r>
      <w:r>
        <w:rPr>
          <w:rFonts w:ascii="Arial" w:cs="Arial" w:eastAsia="Arial" w:hAnsi="Arial"/>
          <w:sz w:val="18"/>
          <w:szCs w:val="18"/>
          <w:u w:val="single" w:color="auto"/>
          <w:color w:val="auto"/>
        </w:rPr>
        <w:t>attached hereto]</w:t>
      </w:r>
      <w:r>
        <w:rPr>
          <w:rFonts w:ascii="Arial" w:cs="Arial" w:eastAsia="Arial" w:hAnsi="Arial"/>
          <w:sz w:val="18"/>
          <w:szCs w:val="18"/>
          <w:color w:val="auto"/>
        </w:rPr>
        <w:t>). Please note that the PSU Plan includes a number of restrictions and conditions, which may lead to a complete loss of any entitlements hereunder. [</w:t>
      </w:r>
      <w:r>
        <w:rPr>
          <w:rFonts w:ascii="Arial" w:cs="Arial" w:eastAsia="Arial" w:hAnsi="Arial"/>
          <w:sz w:val="18"/>
          <w:szCs w:val="18"/>
          <w:i w:val="1"/>
          <w:iCs w:val="1"/>
          <w:color w:val="auto"/>
        </w:rPr>
        <w:t>NB: PSU Awards Agreements with employees of Group companies may differ from this template</w:t>
      </w:r>
      <w:r>
        <w:rPr>
          <w:rFonts w:ascii="Arial" w:cs="Arial" w:eastAsia="Arial" w:hAnsi="Arial"/>
          <w:sz w:val="18"/>
          <w:szCs w:val="18"/>
          <w:color w:val="auto"/>
        </w:rPr>
        <w:t>]</w:t>
      </w:r>
    </w:p>
    <w:p>
      <w:pPr>
        <w:spacing w:after="0" w:line="233" w:lineRule="exact"/>
        <w:rPr>
          <w:sz w:val="20"/>
          <w:szCs w:val="20"/>
          <w:color w:val="auto"/>
        </w:rPr>
      </w:pPr>
    </w:p>
    <w:p>
      <w:pPr>
        <w:jc w:val="both"/>
        <w:ind w:left="480" w:right="20"/>
        <w:spacing w:after="0" w:line="293" w:lineRule="auto"/>
        <w:rPr>
          <w:sz w:val="20"/>
          <w:szCs w:val="20"/>
          <w:color w:val="auto"/>
        </w:rPr>
      </w:pPr>
      <w:r>
        <w:rPr>
          <w:rFonts w:ascii="Arial" w:cs="Arial" w:eastAsia="Arial" w:hAnsi="Arial"/>
          <w:sz w:val="18"/>
          <w:szCs w:val="18"/>
          <w:color w:val="auto"/>
        </w:rPr>
        <w:t>By entering this Agreement, you accept the grant of the PSUs in accordance with this Agreement and the PSU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37" w:lineRule="exact"/>
        <w:rPr>
          <w:sz w:val="20"/>
          <w:szCs w:val="20"/>
          <w:color w:val="auto"/>
        </w:rPr>
      </w:pPr>
    </w:p>
    <w:p>
      <w:pPr>
        <w:jc w:val="both"/>
        <w:ind w:left="480"/>
        <w:spacing w:after="0" w:line="287" w:lineRule="auto"/>
        <w:rPr>
          <w:sz w:val="20"/>
          <w:szCs w:val="20"/>
          <w:color w:val="auto"/>
        </w:rPr>
      </w:pPr>
      <w:r>
        <w:rPr>
          <w:rFonts w:ascii="Arial" w:cs="Arial" w:eastAsia="Arial" w:hAnsi="Arial"/>
          <w:sz w:val="18"/>
          <w:szCs w:val="18"/>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243" w:lineRule="exact"/>
        <w:rPr>
          <w:sz w:val="20"/>
          <w:szCs w:val="20"/>
          <w:color w:val="auto"/>
        </w:rPr>
      </w:pPr>
    </w:p>
    <w:p>
      <w:pPr>
        <w:jc w:val="both"/>
        <w:ind w:left="480"/>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ectPr>
          <w:pgSz w:w="11900" w:h="16838" w:orient="portrait"/>
          <w:cols w:equalWidth="0" w:num="1">
            <w:col w:w="11220"/>
          </w:cols>
          <w:pgMar w:left="340" w:top="180" w:right="339" w:bottom="1440" w:gutter="0" w:footer="0" w:header="0"/>
        </w:sectPr>
      </w:pPr>
    </w:p>
    <w:bookmarkStart w:id="793" w:name="page794"/>
    <w:bookmarkEnd w:id="793"/>
    <w:p>
      <w:pPr>
        <w:spacing w:after="0"/>
        <w:tabs>
          <w:tab w:leader="none" w:pos="10800" w:val="left"/>
        </w:tabs>
        <w:rPr>
          <w:sz w:val="20"/>
          <w:szCs w:val="20"/>
          <w:color w:val="auto"/>
        </w:rPr>
      </w:pPr>
      <w:r>
        <w:rPr>
          <w:rFonts w:ascii="Arial" w:cs="Arial" w:eastAsia="Arial" w:hAnsi="Arial"/>
          <w:sz w:val="13"/>
          <w:szCs w:val="13"/>
          <w:color w:val="auto"/>
        </w:rPr>
        <w:t>Molecular Partners AG: Performance Share Plan 2021 - Employees</w:t>
      </w:r>
      <w:r>
        <w:rPr>
          <w:sz w:val="20"/>
          <w:szCs w:val="20"/>
          <w:color w:val="auto"/>
        </w:rPr>
        <w:tab/>
      </w:r>
      <w:r>
        <w:rPr>
          <w:rFonts w:ascii="Arial" w:cs="Arial" w:eastAsia="Arial" w:hAnsi="Arial"/>
          <w:sz w:val="18"/>
          <w:szCs w:val="18"/>
          <w:color w:val="auto"/>
          <w:vertAlign w:val="subscript"/>
        </w:rPr>
        <w:t>12 | 12</w:t>
      </w:r>
    </w:p>
    <w:p>
      <w:pPr>
        <w:sectPr>
          <w:pgSz w:w="11900" w:h="16838" w:orient="portrait"/>
          <w:cols w:equalWidth="0" w:num="1">
            <w:col w:w="11200"/>
          </w:cols>
          <w:pgMar w:left="340" w:top="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Molecular Partners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349250</wp:posOffset>
            </wp:positionV>
            <wp:extent cx="4603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500"/>
        <w:spacing w:after="0"/>
        <w:tabs>
          <w:tab w:leader="none" w:pos="4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pacing w:after="0" w:line="29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Accepted and agreed by the Participant on (Date, Signature):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[Annex to the PSU Award Agreement 2021]</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Employee PSU Plan 2021</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LTI Score Card [for [</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200"/>
          </w:cols>
          <w:pgMar w:left="340" w:top="44" w:right="359" w:bottom="1440" w:gutter="0" w:footer="0" w:header="0"/>
          <w:type w:val="continuous"/>
        </w:sectPr>
      </w:pPr>
    </w:p>
    <w:bookmarkStart w:id="794" w:name="page795"/>
    <w:bookmarkEnd w:id="794"/>
    <w:p>
      <w:pPr>
        <w:jc w:val="right"/>
        <w:spacing w:after="0"/>
        <w:rPr>
          <w:sz w:val="20"/>
          <w:szCs w:val="20"/>
          <w:color w:val="auto"/>
        </w:rPr>
      </w:pPr>
      <w:r>
        <w:rPr>
          <w:rFonts w:ascii="Arial" w:cs="Arial" w:eastAsia="Arial" w:hAnsi="Arial"/>
          <w:sz w:val="18"/>
          <w:szCs w:val="18"/>
          <w:b w:val="1"/>
          <w:bCs w:val="1"/>
          <w:color w:val="auto"/>
        </w:rPr>
        <w:t>Exhibit 10.12</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Molecular Partners AG: Performance Share Plan 2021 – 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Plan 2021</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 Board</w:t>
      </w:r>
    </w:p>
    <w:p>
      <w:pPr>
        <w:sectPr>
          <w:pgSz w:w="11900" w:h="16838" w:orient="portrait"/>
          <w:cols w:equalWidth="0" w:num="1">
            <w:col w:w="11240"/>
          </w:cols>
          <w:pgMar w:left="320" w:top="135" w:right="339" w:bottom="1440" w:gutter="0" w:footer="0" w:header="0"/>
        </w:sectPr>
      </w:pPr>
    </w:p>
    <w:bookmarkStart w:id="795" w:name="page796"/>
    <w:bookmarkEnd w:id="795"/>
    <w:tbl>
      <w:tblPr>
        <w:tblLayout w:type="fixed"/>
        <w:tblInd w:w="680" w:type="dxa"/>
        <w:tblCellMar>
          <w:top w:w="0" w:type="dxa"/>
          <w:left w:w="0" w:type="dxa"/>
          <w:bottom w:w="0" w:type="dxa"/>
          <w:right w:w="0" w:type="dxa"/>
        </w:tblCellMar>
      </w:tblPr>
      <w:tr>
        <w:trPr>
          <w:trHeight w:val="187"/>
        </w:trPr>
        <w:tc>
          <w:tcPr>
            <w:tcW w:w="71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780" w:type="dxa"/>
            <w:vAlign w:val="bottom"/>
          </w:tcPr>
          <w:p>
            <w:pPr>
              <w:jc w:val="right"/>
              <w:spacing w:after="0"/>
              <w:rPr>
                <w:sz w:val="20"/>
                <w:szCs w:val="20"/>
                <w:color w:val="auto"/>
              </w:rPr>
            </w:pPr>
            <w:r>
              <w:rPr>
                <w:rFonts w:ascii="Arial" w:cs="Arial" w:eastAsia="Arial" w:hAnsi="Arial"/>
                <w:sz w:val="13"/>
                <w:szCs w:val="13"/>
                <w:color w:val="auto"/>
              </w:rPr>
              <w:t>2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20" w:type="dxa"/>
            <w:vAlign w:val="bottom"/>
            <w:gridSpan w:val="2"/>
          </w:tcPr>
          <w:p>
            <w:pPr>
              <w:spacing w:after="0"/>
              <w:rPr>
                <w:sz w:val="20"/>
                <w:szCs w:val="20"/>
                <w:color w:val="auto"/>
              </w:rPr>
            </w:pPr>
            <w:r>
              <w:rPr>
                <w:rFonts w:ascii="Arial" w:cs="Arial" w:eastAsia="Arial" w:hAnsi="Arial"/>
                <w:sz w:val="18"/>
                <w:szCs w:val="18"/>
                <w:color w:val="auto"/>
              </w:rPr>
              <w:t>Performance Share Plan 2021</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3</w:t>
              </w:r>
            </w:hyperlink>
          </w:p>
        </w:tc>
      </w:tr>
      <w:tr>
        <w:trPr>
          <w:trHeight w:val="553"/>
        </w:trPr>
        <w:tc>
          <w:tcPr>
            <w:tcW w:w="380" w:type="dxa"/>
            <w:vAlign w:val="bottom"/>
          </w:tcPr>
          <w:p>
            <w:pPr>
              <w:spacing w:after="0"/>
              <w:rPr>
                <w:sz w:val="24"/>
                <w:szCs w:val="24"/>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Purpose</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3</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Definitions and Interpretation</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3</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Responsibilities and Administration</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3</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Eligibility and Participation</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4</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Grant of PSUs</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4</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No Securities</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5</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No Transfer</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5</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Vesting and Delivery of Shares</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5</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Underlying Shares</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5</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Vesting Multiple</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6</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Taxes and Social Security Contributions</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6</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Disclosure Requirements</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7</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Other Obligations of the Participant</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7</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Termination of Employment and Forfeiture</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7</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Change of Control</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8</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Corporate Events</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9</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Data Protection</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9</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Legal and regulatory restrictions</w:t>
            </w:r>
          </w:p>
        </w:tc>
        <w:tc>
          <w:tcPr>
            <w:tcW w:w="3580" w:type="dxa"/>
            <w:vAlign w:val="bottom"/>
          </w:tcPr>
          <w:p>
            <w:pPr>
              <w:ind w:left="3380"/>
              <w:spacing w:after="0"/>
              <w:rPr>
                <w:rFonts w:ascii="Arial" w:cs="Arial" w:eastAsia="Arial" w:hAnsi="Arial"/>
                <w:sz w:val="18"/>
                <w:szCs w:val="18"/>
                <w:color w:val="auto"/>
              </w:rPr>
            </w:pPr>
            <w:hyperlink w:anchor="page795">
              <w:r>
                <w:rPr>
                  <w:rFonts w:ascii="Arial" w:cs="Arial" w:eastAsia="Arial" w:hAnsi="Arial"/>
                  <w:sz w:val="18"/>
                  <w:szCs w:val="18"/>
                  <w:color w:val="auto"/>
                </w:rPr>
                <w:t>9</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Amendment and Termination</w:t>
            </w:r>
          </w:p>
        </w:tc>
        <w:tc>
          <w:tcPr>
            <w:tcW w:w="3580" w:type="dxa"/>
            <w:vAlign w:val="bottom"/>
          </w:tcPr>
          <w:p>
            <w:pPr>
              <w:ind w:left="3380"/>
              <w:spacing w:after="0"/>
              <w:rPr>
                <w:rFonts w:ascii="Arial" w:cs="Arial" w:eastAsia="Arial" w:hAnsi="Arial"/>
                <w:sz w:val="18"/>
                <w:szCs w:val="18"/>
                <w:color w:val="auto"/>
                <w:w w:val="89"/>
              </w:rPr>
            </w:pPr>
            <w:hyperlink w:anchor="page795">
              <w:r>
                <w:rPr>
                  <w:rFonts w:ascii="Arial" w:cs="Arial" w:eastAsia="Arial" w:hAnsi="Arial"/>
                  <w:sz w:val="18"/>
                  <w:szCs w:val="18"/>
                  <w:color w:val="auto"/>
                  <w:w w:val="89"/>
                </w:rPr>
                <w:t>10</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580" w:type="dxa"/>
            <w:vAlign w:val="bottom"/>
          </w:tcPr>
          <w:p>
            <w:pPr>
              <w:ind w:left="3380"/>
              <w:spacing w:after="0"/>
              <w:rPr>
                <w:rFonts w:ascii="Arial" w:cs="Arial" w:eastAsia="Arial" w:hAnsi="Arial"/>
                <w:sz w:val="18"/>
                <w:szCs w:val="18"/>
                <w:color w:val="auto"/>
                <w:w w:val="89"/>
              </w:rPr>
            </w:pPr>
            <w:hyperlink w:anchor="page795">
              <w:r>
                <w:rPr>
                  <w:rFonts w:ascii="Arial" w:cs="Arial" w:eastAsia="Arial" w:hAnsi="Arial"/>
                  <w:sz w:val="18"/>
                  <w:szCs w:val="18"/>
                  <w:color w:val="auto"/>
                  <w:w w:val="89"/>
                </w:rPr>
                <w:t>10</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3580" w:type="dxa"/>
            <w:vAlign w:val="bottom"/>
          </w:tcPr>
          <w:p>
            <w:pPr>
              <w:ind w:left="3380"/>
              <w:spacing w:after="0"/>
              <w:rPr>
                <w:rFonts w:ascii="Arial" w:cs="Arial" w:eastAsia="Arial" w:hAnsi="Arial"/>
                <w:sz w:val="18"/>
                <w:szCs w:val="18"/>
                <w:color w:val="auto"/>
                <w:w w:val="89"/>
              </w:rPr>
            </w:pPr>
            <w:hyperlink w:anchor="page795">
              <w:r>
                <w:rPr>
                  <w:rFonts w:ascii="Arial" w:cs="Arial" w:eastAsia="Arial" w:hAnsi="Arial"/>
                  <w:sz w:val="18"/>
                  <w:szCs w:val="18"/>
                  <w:color w:val="auto"/>
                  <w:w w:val="89"/>
                </w:rPr>
                <w:t>10</w:t>
              </w:r>
            </w:hyperlink>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68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57"/>
        </w:trPr>
        <w:tc>
          <w:tcPr>
            <w:tcW w:w="380" w:type="dxa"/>
            <w:vAlign w:val="bottom"/>
          </w:tcPr>
          <w:p>
            <w:pPr>
              <w:spacing w:after="0"/>
              <w:rPr>
                <w:sz w:val="20"/>
                <w:szCs w:val="20"/>
                <w:color w:val="auto"/>
              </w:rPr>
            </w:pPr>
            <w:r>
              <w:rPr>
                <w:rFonts w:ascii="Arial" w:cs="Arial" w:eastAsia="Arial" w:hAnsi="Arial"/>
                <w:sz w:val="18"/>
                <w:szCs w:val="18"/>
                <w:color w:val="auto"/>
              </w:rPr>
              <w:t>22.</w:t>
            </w:r>
          </w:p>
        </w:tc>
        <w:tc>
          <w:tcPr>
            <w:tcW w:w="6840" w:type="dxa"/>
            <w:vAlign w:val="bottom"/>
          </w:tcPr>
          <w:p>
            <w:pPr>
              <w:ind w:left="120"/>
              <w:spacing w:after="0"/>
              <w:rPr>
                <w:sz w:val="20"/>
                <w:szCs w:val="20"/>
                <w:color w:val="auto"/>
              </w:rPr>
            </w:pPr>
            <w:r>
              <w:rPr>
                <w:rFonts w:ascii="Arial" w:cs="Arial" w:eastAsia="Arial" w:hAnsi="Arial"/>
                <w:sz w:val="18"/>
                <w:szCs w:val="18"/>
                <w:color w:val="auto"/>
              </w:rPr>
              <w:t>Entry into Force</w:t>
            </w:r>
          </w:p>
        </w:tc>
        <w:tc>
          <w:tcPr>
            <w:tcW w:w="3580" w:type="dxa"/>
            <w:vAlign w:val="bottom"/>
          </w:tcPr>
          <w:p>
            <w:pPr>
              <w:ind w:left="3380"/>
              <w:spacing w:after="0"/>
              <w:rPr>
                <w:rFonts w:ascii="Arial" w:cs="Arial" w:eastAsia="Arial" w:hAnsi="Arial"/>
                <w:sz w:val="18"/>
                <w:szCs w:val="18"/>
                <w:color w:val="auto"/>
                <w:w w:val="89"/>
              </w:rPr>
            </w:pPr>
            <w:hyperlink w:anchor="page795">
              <w:r>
                <w:rPr>
                  <w:rFonts w:ascii="Arial" w:cs="Arial" w:eastAsia="Arial" w:hAnsi="Arial"/>
                  <w:sz w:val="18"/>
                  <w:szCs w:val="18"/>
                  <w:color w:val="auto"/>
                  <w:w w:val="89"/>
                </w:rPr>
                <w:t>11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ectPr>
          <w:pgSz w:w="11900" w:h="16838" w:orient="portrait"/>
          <w:cols w:equalWidth="0" w:num="1">
            <w:col w:w="10820"/>
          </w:cols>
          <w:pgMar w:left="320" w:top="180" w:right="759" w:bottom="0"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Annex 1: Definitions</w:t>
      </w:r>
    </w:p>
    <w:p>
      <w:pPr>
        <w:sectPr>
          <w:pgSz w:w="11900" w:h="16838" w:orient="portrait"/>
          <w:cols w:equalWidth="0" w:num="1">
            <w:col w:w="10820"/>
          </w:cols>
          <w:pgMar w:left="320" w:top="180" w:right="759" w:bottom="0" w:gutter="0" w:footer="0" w:header="0"/>
          <w:type w:val="continuous"/>
        </w:sectPr>
      </w:pPr>
    </w:p>
    <w:bookmarkStart w:id="796" w:name="page797"/>
    <w:bookmarkEnd w:id="796"/>
    <w:p>
      <w:pPr>
        <w:spacing w:after="0"/>
        <w:rPr>
          <w:sz w:val="20"/>
          <w:szCs w:val="20"/>
          <w:color w:val="auto"/>
        </w:rPr>
      </w:pPr>
      <w:r>
        <w:rPr>
          <w:rFonts w:ascii="Arial" w:cs="Arial" w:eastAsia="Arial" w:hAnsi="Arial"/>
          <w:sz w:val="18"/>
          <w:szCs w:val="18"/>
          <w:color w:val="auto"/>
        </w:rPr>
        <w:t>Annex 2: Form of PSU Award Agreement</w:t>
      </w:r>
    </w:p>
    <w:p>
      <w:pPr>
        <w:sectPr>
          <w:pgSz w:w="11900" w:h="16838" w:orient="portrait"/>
          <w:cols w:equalWidth="0" w:num="1">
            <w:col w:w="10139"/>
          </w:cols>
          <w:pgMar w:left="320" w:top="153" w:right="1440" w:bottom="1440" w:gutter="0" w:footer="0" w:header="0"/>
        </w:sectPr>
      </w:pPr>
    </w:p>
    <w:bookmarkStart w:id="797" w:name="page798"/>
    <w:bookmarkEnd w:id="797"/>
    <w:tbl>
      <w:tblPr>
        <w:tblLayout w:type="fixed"/>
        <w:tblInd w:w="680" w:type="dxa"/>
        <w:tblCellMar>
          <w:top w:w="0" w:type="dxa"/>
          <w:left w:w="0" w:type="dxa"/>
          <w:bottom w:w="0" w:type="dxa"/>
          <w:right w:w="0" w:type="dxa"/>
        </w:tblCellMar>
      </w:tblPr>
      <w:tr>
        <w:trPr>
          <w:trHeight w:val="187"/>
        </w:trPr>
        <w:tc>
          <w:tcPr>
            <w:tcW w:w="71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780" w:type="dxa"/>
            <w:vAlign w:val="bottom"/>
          </w:tcPr>
          <w:p>
            <w:pPr>
              <w:jc w:val="right"/>
              <w:spacing w:after="0"/>
              <w:rPr>
                <w:sz w:val="20"/>
                <w:szCs w:val="20"/>
                <w:color w:val="auto"/>
              </w:rPr>
            </w:pPr>
            <w:r>
              <w:rPr>
                <w:rFonts w:ascii="Arial" w:cs="Arial" w:eastAsia="Arial" w:hAnsi="Arial"/>
                <w:sz w:val="13"/>
                <w:szCs w:val="13"/>
                <w:color w:val="auto"/>
              </w:rPr>
              <w:t>3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Share Plan 2021</w:t>
      </w:r>
    </w:p>
    <w:p>
      <w:pPr>
        <w:spacing w:after="0" w:line="264" w:lineRule="exact"/>
        <w:rPr>
          <w:sz w:val="20"/>
          <w:szCs w:val="20"/>
          <w:color w:val="auto"/>
        </w:rPr>
      </w:pPr>
    </w:p>
    <w:p>
      <w:pPr>
        <w:ind w:left="640" w:hanging="632"/>
        <w:spacing w:after="0"/>
        <w:tabs>
          <w:tab w:leader="none" w:pos="640" w:val="left"/>
        </w:tabs>
        <w:numPr>
          <w:ilvl w:val="0"/>
          <w:numId w:val="822"/>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97"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The purpose of this performance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Performance Share Units (each a </w:t>
      </w:r>
      <w:r>
        <w:rPr>
          <w:rFonts w:ascii="Arial" w:cs="Arial" w:eastAsia="Arial" w:hAnsi="Arial"/>
          <w:sz w:val="18"/>
          <w:szCs w:val="18"/>
          <w:b w:val="1"/>
          <w:bCs w:val="1"/>
          <w:color w:val="auto"/>
        </w:rPr>
        <w:t>PSU</w:t>
      </w:r>
      <w:r>
        <w:rPr>
          <w:rFonts w:ascii="Arial" w:cs="Arial" w:eastAsia="Arial" w:hAnsi="Arial"/>
          <w:sz w:val="18"/>
          <w:szCs w:val="18"/>
          <w:color w:val="auto"/>
        </w:rPr>
        <w:t>) to them.</w:t>
      </w:r>
    </w:p>
    <w:p>
      <w:pPr>
        <w:spacing w:after="0" w:line="200" w:lineRule="exact"/>
        <w:rPr>
          <w:sz w:val="20"/>
          <w:szCs w:val="20"/>
          <w:color w:val="auto"/>
        </w:rPr>
      </w:pPr>
    </w:p>
    <w:p>
      <w:pPr>
        <w:ind w:left="640" w:hanging="632"/>
        <w:spacing w:after="0"/>
        <w:tabs>
          <w:tab w:leader="none" w:pos="640" w:val="left"/>
        </w:tabs>
        <w:numPr>
          <w:ilvl w:val="0"/>
          <w:numId w:val="82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318" w:lineRule="exact"/>
        <w:rPr>
          <w:rFonts w:ascii="Arial" w:cs="Arial" w:eastAsia="Arial" w:hAnsi="Arial"/>
          <w:sz w:val="22"/>
          <w:szCs w:val="22"/>
          <w:b w:val="1"/>
          <w:bCs w:val="1"/>
          <w:color w:val="auto"/>
        </w:rPr>
      </w:pPr>
    </w:p>
    <w:p>
      <w:pPr>
        <w:ind w:left="640" w:hanging="470"/>
        <w:spacing w:after="0"/>
        <w:tabs>
          <w:tab w:leader="none" w:pos="64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Capitalized terms used in this Plan shall have the meaning set forth in Annex 1.</w:t>
      </w:r>
    </w:p>
    <w:p>
      <w:pPr>
        <w:spacing w:after="0" w:line="279" w:lineRule="exact"/>
        <w:rPr>
          <w:rFonts w:ascii="Arial" w:cs="Arial" w:eastAsia="Arial" w:hAnsi="Arial"/>
          <w:sz w:val="18"/>
          <w:szCs w:val="18"/>
          <w:color w:val="auto"/>
        </w:rPr>
      </w:pPr>
    </w:p>
    <w:p>
      <w:pPr>
        <w:jc w:val="both"/>
        <w:ind w:left="660" w:hanging="490"/>
        <w:spacing w:after="0" w:line="287" w:lineRule="auto"/>
        <w:tabs>
          <w:tab w:leader="none" w:pos="65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Where this Plan refers to employer, employee or employment, such terms shall apply by analogy if the relevant eligible person or Participant is not engaged as an employee, but under a different type of contract or in a different capacity, e.g. as a consultant under a mandate agreement or as a member of a corporate body (e.g. member of a board of directors or advisory board).</w:t>
      </w:r>
    </w:p>
    <w:p>
      <w:pPr>
        <w:spacing w:after="0" w:line="211" w:lineRule="exact"/>
        <w:rPr>
          <w:rFonts w:ascii="Arial" w:cs="Arial" w:eastAsia="Arial" w:hAnsi="Arial"/>
          <w:sz w:val="18"/>
          <w:szCs w:val="18"/>
          <w:color w:val="auto"/>
        </w:rPr>
      </w:pPr>
    </w:p>
    <w:p>
      <w:pPr>
        <w:ind w:left="640" w:hanging="632"/>
        <w:spacing w:after="0"/>
        <w:tabs>
          <w:tab w:leader="none" w:pos="640" w:val="left"/>
        </w:tabs>
        <w:numPr>
          <w:ilvl w:val="0"/>
          <w:numId w:val="823"/>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318" w:lineRule="exact"/>
        <w:rPr>
          <w:rFonts w:ascii="Arial" w:cs="Arial" w:eastAsia="Arial" w:hAnsi="Arial"/>
          <w:sz w:val="22"/>
          <w:szCs w:val="22"/>
          <w:b w:val="1"/>
          <w:bCs w:val="1"/>
          <w:color w:val="auto"/>
        </w:rPr>
      </w:pPr>
    </w:p>
    <w:p>
      <w:pPr>
        <w:ind w:left="640" w:hanging="470"/>
        <w:spacing w:after="0"/>
        <w:tabs>
          <w:tab w:leader="none" w:pos="64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660"/>
        <w:spacing w:after="0" w:line="285"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the maximum number of PSUs that may be granted under this Plan and of shares to be allocated from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conditional capital or otherwise in connection with such PSUs.</w:t>
      </w:r>
    </w:p>
    <w:p>
      <w:pPr>
        <w:spacing w:after="0" w:line="245" w:lineRule="exact"/>
        <w:rPr>
          <w:rFonts w:ascii="Arial" w:cs="Arial" w:eastAsia="Arial" w:hAnsi="Arial"/>
          <w:sz w:val="18"/>
          <w:szCs w:val="18"/>
          <w:color w:val="auto"/>
        </w:rPr>
      </w:pPr>
    </w:p>
    <w:p>
      <w:pPr>
        <w:ind w:left="660" w:hanging="490"/>
        <w:spacing w:after="0" w:line="293" w:lineRule="auto"/>
        <w:tabs>
          <w:tab w:leader="none" w:pos="65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or renew or terminate the Plan or to replace it with new editions or other plans.</w:t>
      </w:r>
    </w:p>
    <w:p>
      <w:pPr>
        <w:spacing w:after="0" w:line="223" w:lineRule="exact"/>
        <w:rPr>
          <w:rFonts w:ascii="Arial" w:cs="Arial" w:eastAsia="Arial" w:hAnsi="Arial"/>
          <w:sz w:val="18"/>
          <w:szCs w:val="18"/>
          <w:color w:val="auto"/>
        </w:rPr>
      </w:pPr>
    </w:p>
    <w:p>
      <w:pPr>
        <w:jc w:val="both"/>
        <w:ind w:left="660" w:hanging="490"/>
        <w:spacing w:after="0" w:line="284" w:lineRule="auto"/>
        <w:tabs>
          <w:tab w:leader="none" w:pos="654" w:val="left"/>
        </w:tabs>
        <w:numPr>
          <w:ilvl w:val="1"/>
          <w:numId w:val="823"/>
        </w:numPr>
        <w:rPr>
          <w:rFonts w:ascii="Arial" w:cs="Arial" w:eastAsia="Arial" w:hAnsi="Arial"/>
          <w:sz w:val="18"/>
          <w:szCs w:val="18"/>
          <w:color w:val="auto"/>
        </w:rPr>
      </w:pPr>
      <w:r>
        <w:rPr>
          <w:rFonts w:ascii="Arial" w:cs="Arial" w:eastAsia="Arial" w:hAnsi="Arial"/>
          <w:sz w:val="18"/>
          <w:szCs w:val="18"/>
          <w:color w:val="auto"/>
        </w:rPr>
        <w:t>Any grants of PSUs to members of the Management Board shall be approved by the Board of Directors based on individual recommendations of the Nomination and Compensation Committee and will, as long as shareholder approval of variable compensation is outstanding, be conditional upon such shareholder approval. In case that the amount approved by the shareholders does not cover the full amount of contemplated aggregate variable compensation for the year of grant, the entitlements to short term and long-term variable compensation may be reduced by the Nomination and Compensation Committee in its sole discretion.</w:t>
      </w:r>
    </w:p>
    <w:p>
      <w:pPr>
        <w:spacing w:after="0" w:line="246" w:lineRule="exact"/>
        <w:rPr>
          <w:rFonts w:ascii="Arial" w:cs="Arial" w:eastAsia="Arial" w:hAnsi="Arial"/>
          <w:sz w:val="18"/>
          <w:szCs w:val="18"/>
          <w:color w:val="auto"/>
        </w:rPr>
      </w:pPr>
    </w:p>
    <w:p>
      <w:pPr>
        <w:jc w:val="both"/>
        <w:ind w:left="660" w:hanging="490"/>
        <w:spacing w:after="0" w:line="287" w:lineRule="auto"/>
        <w:tabs>
          <w:tab w:leader="none" w:pos="650" w:val="left"/>
        </w:tabs>
        <w:numPr>
          <w:ilvl w:val="1"/>
          <w:numId w:val="823"/>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including any amendments or withdrawals of grants, are final and binding, unless approval by the Board of Directors or the shareholders' meeting is required.</w:t>
      </w:r>
    </w:p>
    <w:p>
      <w:pPr>
        <w:sectPr>
          <w:pgSz w:w="11900" w:h="16838" w:orient="portrait"/>
          <w:cols w:equalWidth="0" w:num="1">
            <w:col w:w="11240"/>
          </w:cols>
          <w:pgMar w:left="320" w:top="180" w:right="339" w:bottom="1440" w:gutter="0" w:footer="0" w:header="0"/>
        </w:sectPr>
      </w:pPr>
    </w:p>
    <w:bookmarkStart w:id="798" w:name="page799"/>
    <w:bookmarkEnd w:id="798"/>
    <w:tbl>
      <w:tblPr>
        <w:tblLayout w:type="fixed"/>
        <w:tblInd w:w="672" w:type="dxa"/>
        <w:tblCellMar>
          <w:top w:w="0" w:type="dxa"/>
          <w:left w:w="0" w:type="dxa"/>
          <w:bottom w:w="0" w:type="dxa"/>
          <w:right w:w="0" w:type="dxa"/>
        </w:tblCellMar>
      </w:tblPr>
      <w:tr>
        <w:trPr>
          <w:trHeight w:val="187"/>
        </w:trPr>
        <w:tc>
          <w:tcPr>
            <w:tcW w:w="71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780" w:type="dxa"/>
            <w:vAlign w:val="bottom"/>
          </w:tcPr>
          <w:p>
            <w:pPr>
              <w:jc w:val="right"/>
              <w:spacing w:after="0"/>
              <w:rPr>
                <w:sz w:val="20"/>
                <w:szCs w:val="20"/>
                <w:color w:val="auto"/>
              </w:rPr>
            </w:pPr>
            <w:r>
              <w:rPr>
                <w:rFonts w:ascii="Arial" w:cs="Arial" w:eastAsia="Arial" w:hAnsi="Arial"/>
                <w:sz w:val="13"/>
                <w:szCs w:val="13"/>
                <w:color w:val="auto"/>
              </w:rPr>
              <w:t>4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52" w:hanging="490"/>
        <w:spacing w:after="0" w:line="293" w:lineRule="auto"/>
        <w:tabs>
          <w:tab w:leader="none" w:pos="642" w:val="left"/>
        </w:tabs>
        <w:numPr>
          <w:ilvl w:val="1"/>
          <w:numId w:val="824"/>
        </w:numPr>
        <w:rPr>
          <w:rFonts w:ascii="Arial" w:cs="Arial" w:eastAsia="Arial" w:hAnsi="Arial"/>
          <w:sz w:val="18"/>
          <w:szCs w:val="18"/>
          <w:color w:val="auto"/>
        </w:rPr>
      </w:pPr>
      <w:r>
        <w:rPr>
          <w:rFonts w:ascii="Arial" w:cs="Arial" w:eastAsia="Arial" w:hAnsi="Arial"/>
          <w:sz w:val="18"/>
          <w:szCs w:val="18"/>
          <w:color w:val="auto"/>
        </w:rPr>
        <w:t>Any technical or administrative task in connection with the Plan may be outsourced by the Nomination and Compensation Committee to a third party service provider, e.g. the bank in charge with the creation of the Shares (each a Plan Service Provider).</w:t>
      </w:r>
    </w:p>
    <w:p>
      <w:pPr>
        <w:spacing w:after="0" w:line="205" w:lineRule="exact"/>
        <w:rPr>
          <w:rFonts w:ascii="Arial" w:cs="Arial" w:eastAsia="Arial" w:hAnsi="Arial"/>
          <w:sz w:val="18"/>
          <w:szCs w:val="18"/>
          <w:color w:val="auto"/>
        </w:rPr>
      </w:pPr>
    </w:p>
    <w:p>
      <w:pPr>
        <w:ind w:left="632" w:hanging="632"/>
        <w:spacing w:after="0"/>
        <w:tabs>
          <w:tab w:leader="none" w:pos="632" w:val="left"/>
        </w:tabs>
        <w:numPr>
          <w:ilvl w:val="0"/>
          <w:numId w:val="825"/>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318" w:lineRule="exact"/>
        <w:rPr>
          <w:rFonts w:ascii="Arial" w:cs="Arial" w:eastAsia="Arial" w:hAnsi="Arial"/>
          <w:sz w:val="22"/>
          <w:szCs w:val="22"/>
          <w:b w:val="1"/>
          <w:bCs w:val="1"/>
          <w:color w:val="auto"/>
        </w:rPr>
      </w:pPr>
    </w:p>
    <w:p>
      <w:pPr>
        <w:ind w:left="652" w:hanging="490"/>
        <w:spacing w:after="0" w:line="293" w:lineRule="auto"/>
        <w:tabs>
          <w:tab w:leader="none" w:pos="642" w:val="left"/>
        </w:tabs>
        <w:numPr>
          <w:ilvl w:val="1"/>
          <w:numId w:val="825"/>
        </w:numPr>
        <w:rPr>
          <w:rFonts w:ascii="Arial" w:cs="Arial" w:eastAsia="Arial" w:hAnsi="Arial"/>
          <w:sz w:val="18"/>
          <w:szCs w:val="18"/>
          <w:color w:val="auto"/>
        </w:rPr>
      </w:pPr>
      <w:r>
        <w:rPr>
          <w:rFonts w:ascii="Arial" w:cs="Arial" w:eastAsia="Arial" w:hAnsi="Arial"/>
          <w:sz w:val="18"/>
          <w:szCs w:val="18"/>
          <w:color w:val="auto"/>
        </w:rPr>
        <w:t>As a rule, only members of the Management Board may become eligible to participate in this Plan. The decision on eligibility is reserved to the Nomination and Compensation Committee.</w:t>
      </w:r>
    </w:p>
    <w:p>
      <w:pPr>
        <w:spacing w:after="0" w:line="223" w:lineRule="exact"/>
        <w:rPr>
          <w:rFonts w:ascii="Arial" w:cs="Arial" w:eastAsia="Arial" w:hAnsi="Arial"/>
          <w:sz w:val="18"/>
          <w:szCs w:val="18"/>
          <w:color w:val="auto"/>
        </w:rPr>
      </w:pPr>
    </w:p>
    <w:p>
      <w:pPr>
        <w:jc w:val="both"/>
        <w:ind w:left="652" w:hanging="490"/>
        <w:spacing w:after="0" w:line="284" w:lineRule="auto"/>
        <w:tabs>
          <w:tab w:leader="none" w:pos="642" w:val="left"/>
        </w:tabs>
        <w:numPr>
          <w:ilvl w:val="1"/>
          <w:numId w:val="825"/>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PSUs based on this Plan or otherwise. This Plan is only applicable in connection with a mutually signed PSU award agreement (PSU Award Agreement) among the Company (or the employer Group Company) and the eligible person, substantially in the form attached hereto as Annex 2. The right to receive PSUs shall accrue exclusively to those eligible persons who have, in accordance with this Plan, been duly and validly offered, and have signed and returned, their individual PSU Award Agreement by the relevant due date (each a Participant).</w:t>
      </w:r>
    </w:p>
    <w:p>
      <w:pPr>
        <w:spacing w:after="0" w:line="244" w:lineRule="exact"/>
        <w:rPr>
          <w:rFonts w:ascii="Arial" w:cs="Arial" w:eastAsia="Arial" w:hAnsi="Arial"/>
          <w:sz w:val="18"/>
          <w:szCs w:val="18"/>
          <w:color w:val="auto"/>
        </w:rPr>
      </w:pPr>
    </w:p>
    <w:p>
      <w:pPr>
        <w:jc w:val="both"/>
        <w:ind w:left="652" w:hanging="490"/>
        <w:spacing w:after="0" w:line="287" w:lineRule="auto"/>
        <w:tabs>
          <w:tab w:leader="none" w:pos="646" w:val="left"/>
        </w:tabs>
        <w:numPr>
          <w:ilvl w:val="1"/>
          <w:numId w:val="825"/>
        </w:numPr>
        <w:rPr>
          <w:rFonts w:ascii="Arial" w:cs="Arial" w:eastAsia="Arial" w:hAnsi="Arial"/>
          <w:sz w:val="18"/>
          <w:szCs w:val="18"/>
          <w:color w:val="auto"/>
        </w:rPr>
      </w:pPr>
      <w:r>
        <w:rPr>
          <w:rFonts w:ascii="Arial" w:cs="Arial" w:eastAsia="Arial" w:hAnsi="Arial"/>
          <w:sz w:val="18"/>
          <w:szCs w:val="18"/>
          <w:color w:val="auto"/>
        </w:rPr>
        <w:t>Grants of PSUs based on this Plan are discretionary and shall not create any entitlement to participate in future grants or in future participation, incentive or benefit plans, including future performance share plans, regardless of the length of time a person has previously been allocated PSUs or other entitlements under this Plan or other plans.</w:t>
      </w:r>
    </w:p>
    <w:p>
      <w:pPr>
        <w:spacing w:after="0" w:line="242" w:lineRule="exact"/>
        <w:rPr>
          <w:rFonts w:ascii="Arial" w:cs="Arial" w:eastAsia="Arial" w:hAnsi="Arial"/>
          <w:sz w:val="18"/>
          <w:szCs w:val="18"/>
          <w:color w:val="auto"/>
        </w:rPr>
      </w:pPr>
    </w:p>
    <w:p>
      <w:pPr>
        <w:ind w:left="652" w:hanging="490"/>
        <w:spacing w:after="0" w:line="293" w:lineRule="auto"/>
        <w:tabs>
          <w:tab w:leader="none" w:pos="642" w:val="left"/>
        </w:tabs>
        <w:numPr>
          <w:ilvl w:val="1"/>
          <w:numId w:val="825"/>
        </w:numPr>
        <w:rPr>
          <w:rFonts w:ascii="Arial" w:cs="Arial" w:eastAsia="Arial" w:hAnsi="Arial"/>
          <w:sz w:val="18"/>
          <w:szCs w:val="18"/>
          <w:color w:val="auto"/>
        </w:rPr>
      </w:pPr>
      <w:r>
        <w:rPr>
          <w:rFonts w:ascii="Arial" w:cs="Arial" w:eastAsia="Arial" w:hAnsi="Arial"/>
          <w:sz w:val="18"/>
          <w:szCs w:val="18"/>
          <w:color w:val="auto"/>
        </w:rPr>
        <w:t>Neither the grant of PSUs, nor the transfer of Shares in connection with this Plan shall confer upon any Participant any right to continue to be employed by any Group Company.</w:t>
      </w:r>
    </w:p>
    <w:p>
      <w:pPr>
        <w:spacing w:after="0" w:line="191" w:lineRule="exact"/>
        <w:rPr>
          <w:rFonts w:ascii="Arial" w:cs="Arial" w:eastAsia="Arial" w:hAnsi="Arial"/>
          <w:sz w:val="18"/>
          <w:szCs w:val="18"/>
          <w:color w:val="auto"/>
        </w:rPr>
      </w:pPr>
    </w:p>
    <w:p>
      <w:pPr>
        <w:ind w:left="632" w:hanging="632"/>
        <w:spacing w:after="0"/>
        <w:tabs>
          <w:tab w:leader="none" w:pos="632" w:val="left"/>
        </w:tabs>
        <w:numPr>
          <w:ilvl w:val="0"/>
          <w:numId w:val="825"/>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PSUs</w:t>
      </w:r>
    </w:p>
    <w:p>
      <w:pPr>
        <w:spacing w:after="0" w:line="318" w:lineRule="exact"/>
        <w:rPr>
          <w:rFonts w:ascii="Arial" w:cs="Arial" w:eastAsia="Arial" w:hAnsi="Arial"/>
          <w:sz w:val="22"/>
          <w:szCs w:val="22"/>
          <w:b w:val="1"/>
          <w:bCs w:val="1"/>
          <w:color w:val="auto"/>
        </w:rPr>
      </w:pPr>
    </w:p>
    <w:p>
      <w:pPr>
        <w:jc w:val="both"/>
        <w:ind w:left="652" w:hanging="490"/>
        <w:spacing w:after="0" w:line="287" w:lineRule="auto"/>
        <w:tabs>
          <w:tab w:leader="none" w:pos="642" w:val="left"/>
        </w:tabs>
        <w:numPr>
          <w:ilvl w:val="1"/>
          <w:numId w:val="825"/>
        </w:numPr>
        <w:rPr>
          <w:rFonts w:ascii="Arial" w:cs="Arial" w:eastAsia="Arial" w:hAnsi="Arial"/>
          <w:sz w:val="18"/>
          <w:szCs w:val="18"/>
          <w:color w:val="auto"/>
        </w:rPr>
      </w:pPr>
      <w:r>
        <w:rPr>
          <w:rFonts w:ascii="Arial" w:cs="Arial" w:eastAsia="Arial" w:hAnsi="Arial"/>
          <w:sz w:val="18"/>
          <w:szCs w:val="18"/>
          <w:color w:val="auto"/>
        </w:rPr>
        <w:t>Grants of PSUs shall be exclusively made by way of PSU Award Agreements. The PSU Award Agreement shall set forth the number of PSUs and certain other terms and conditions of such grant. Except as otherwise determined in a PSU Award Agreement, PSUs shall be granted to the Participants free of charge.</w:t>
      </w:r>
    </w:p>
    <w:p>
      <w:pPr>
        <w:spacing w:after="0" w:line="242" w:lineRule="exact"/>
        <w:rPr>
          <w:rFonts w:ascii="Arial" w:cs="Arial" w:eastAsia="Arial" w:hAnsi="Arial"/>
          <w:sz w:val="18"/>
          <w:szCs w:val="18"/>
          <w:color w:val="auto"/>
        </w:rPr>
      </w:pPr>
    </w:p>
    <w:p>
      <w:pPr>
        <w:jc w:val="both"/>
        <w:ind w:left="652" w:hanging="490"/>
        <w:spacing w:after="0" w:line="285" w:lineRule="auto"/>
        <w:tabs>
          <w:tab w:leader="none" w:pos="642" w:val="left"/>
        </w:tabs>
        <w:numPr>
          <w:ilvl w:val="1"/>
          <w:numId w:val="825"/>
        </w:numPr>
        <w:rPr>
          <w:rFonts w:ascii="Arial" w:cs="Arial" w:eastAsia="Arial" w:hAnsi="Arial"/>
          <w:sz w:val="18"/>
          <w:szCs w:val="18"/>
          <w:color w:val="auto"/>
        </w:rPr>
      </w:pPr>
      <w:r>
        <w:rPr>
          <w:rFonts w:ascii="Arial" w:cs="Arial" w:eastAsia="Arial" w:hAnsi="Arial"/>
          <w:sz w:val="18"/>
          <w:szCs w:val="18"/>
          <w:color w:val="auto"/>
        </w:rPr>
        <w:t>One PSU represents a conditional entitlement to purchase a number of Shares at the nominal value of a Share. The number of Shares which shall be allocated to a Participant upon vesting shall be determined pursuant to a vesting multiple as described in Section 10 hereof (the Vesting Multiple), subject to, and in accordance with, the terms and conditions of this Plan and the PSU Award Agreement.</w:t>
      </w:r>
    </w:p>
    <w:p>
      <w:pPr>
        <w:spacing w:after="0" w:line="245" w:lineRule="exact"/>
        <w:rPr>
          <w:rFonts w:ascii="Arial" w:cs="Arial" w:eastAsia="Arial" w:hAnsi="Arial"/>
          <w:sz w:val="18"/>
          <w:szCs w:val="18"/>
          <w:color w:val="auto"/>
        </w:rPr>
      </w:pPr>
    </w:p>
    <w:p>
      <w:pPr>
        <w:ind w:left="652" w:hanging="490"/>
        <w:spacing w:after="0" w:line="293" w:lineRule="auto"/>
        <w:tabs>
          <w:tab w:leader="none" w:pos="646" w:val="left"/>
        </w:tabs>
        <w:numPr>
          <w:ilvl w:val="1"/>
          <w:numId w:val="825"/>
        </w:numPr>
        <w:rPr>
          <w:rFonts w:ascii="Arial" w:cs="Arial" w:eastAsia="Arial" w:hAnsi="Arial"/>
          <w:sz w:val="18"/>
          <w:szCs w:val="18"/>
          <w:color w:val="auto"/>
        </w:rPr>
      </w:pPr>
      <w:r>
        <w:rPr>
          <w:rFonts w:ascii="Arial" w:cs="Arial" w:eastAsia="Arial" w:hAnsi="Arial"/>
          <w:sz w:val="18"/>
          <w:szCs w:val="18"/>
          <w:color w:val="auto"/>
        </w:rPr>
        <w:t>The date of grants shall be determined by the Nomination and Compensation Committee and set out in the PSU Award Agreement (the Grant Date).</w:t>
      </w:r>
    </w:p>
    <w:p>
      <w:pPr>
        <w:spacing w:after="0" w:line="223" w:lineRule="exact"/>
        <w:rPr>
          <w:rFonts w:ascii="Arial" w:cs="Arial" w:eastAsia="Arial" w:hAnsi="Arial"/>
          <w:sz w:val="18"/>
          <w:szCs w:val="18"/>
          <w:color w:val="auto"/>
        </w:rPr>
      </w:pPr>
    </w:p>
    <w:p>
      <w:pPr>
        <w:jc w:val="both"/>
        <w:ind w:left="652" w:hanging="490"/>
        <w:spacing w:after="0" w:line="285" w:lineRule="auto"/>
        <w:tabs>
          <w:tab w:leader="none" w:pos="642" w:val="left"/>
        </w:tabs>
        <w:numPr>
          <w:ilvl w:val="1"/>
          <w:numId w:val="825"/>
        </w:numPr>
        <w:rPr>
          <w:rFonts w:ascii="Arial" w:cs="Arial" w:eastAsia="Arial" w:hAnsi="Arial"/>
          <w:sz w:val="18"/>
          <w:szCs w:val="18"/>
          <w:color w:val="auto"/>
        </w:rPr>
      </w:pPr>
      <w:r>
        <w:rPr>
          <w:rFonts w:ascii="Arial" w:cs="Arial" w:eastAsia="Arial" w:hAnsi="Arial"/>
          <w:sz w:val="18"/>
          <w:szCs w:val="18"/>
          <w:color w:val="auto"/>
        </w:rPr>
        <w:t>A change of the regular working quota (Arbeitspensum) during the Vesting Period shall not lead to an adjustment of PSUs already granted. New Participants admitted to the Plan after the Grant Date may, if any, be granted a pro rata number of PSUs for that year, i.e. for the period between the beginning of their employment and the next regular Grant Date, as an interim grant or as additional PSUs on the next regular Grant Date.</w:t>
      </w:r>
    </w:p>
    <w:p>
      <w:pPr>
        <w:sectPr>
          <w:pgSz w:w="11900" w:h="16838" w:orient="portrait"/>
          <w:cols w:equalWidth="0" w:num="1">
            <w:col w:w="11232"/>
          </w:cols>
          <w:pgMar w:left="328" w:top="180" w:right="339" w:bottom="1440" w:gutter="0" w:footer="0" w:header="0"/>
        </w:sectPr>
      </w:pPr>
    </w:p>
    <w:bookmarkStart w:id="799" w:name="page800"/>
    <w:bookmarkEnd w:id="799"/>
    <w:tbl>
      <w:tblPr>
        <w:tblLayout w:type="fixed"/>
        <w:tblInd w:w="672" w:type="dxa"/>
        <w:tblCellMar>
          <w:top w:w="0" w:type="dxa"/>
          <w:left w:w="0" w:type="dxa"/>
          <w:bottom w:w="0" w:type="dxa"/>
          <w:right w:w="0" w:type="dxa"/>
        </w:tblCellMar>
      </w:tblPr>
      <w:tr>
        <w:trPr>
          <w:trHeight w:val="187"/>
        </w:trPr>
        <w:tc>
          <w:tcPr>
            <w:tcW w:w="71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780" w:type="dxa"/>
            <w:vAlign w:val="bottom"/>
          </w:tcPr>
          <w:p>
            <w:pPr>
              <w:jc w:val="right"/>
              <w:spacing w:after="0"/>
              <w:rPr>
                <w:sz w:val="20"/>
                <w:szCs w:val="20"/>
                <w:color w:val="auto"/>
              </w:rPr>
            </w:pPr>
            <w:r>
              <w:rPr>
                <w:rFonts w:ascii="Arial" w:cs="Arial" w:eastAsia="Arial" w:hAnsi="Arial"/>
                <w:sz w:val="13"/>
                <w:szCs w:val="13"/>
                <w:color w:val="auto"/>
              </w:rPr>
              <w:t>5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26"/>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PSUs are neither Shares nor securities of any kind and no shareholder rights or similar rights are attached to the PSUs. The Participants will only obtain shareholder rights (including voting and dividend rights) upon actual transfer of Shares, if any, according to the terms and conditions of the Plan and upon entry into the share register, subject to, and in accordance with, the restrictions and procedures set out in article 5 of the Company's articles of incorporation.</w:t>
      </w:r>
    </w:p>
    <w:p>
      <w:pPr>
        <w:spacing w:after="0" w:line="214" w:lineRule="exact"/>
        <w:rPr>
          <w:sz w:val="20"/>
          <w:szCs w:val="20"/>
          <w:color w:val="auto"/>
        </w:rPr>
      </w:pPr>
    </w:p>
    <w:p>
      <w:pPr>
        <w:ind w:left="632" w:hanging="632"/>
        <w:spacing w:after="0"/>
        <w:tabs>
          <w:tab w:leader="none" w:pos="632" w:val="left"/>
        </w:tabs>
        <w:numPr>
          <w:ilvl w:val="0"/>
          <w:numId w:val="827"/>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305" w:lineRule="exact"/>
        <w:rPr>
          <w:sz w:val="20"/>
          <w:szCs w:val="20"/>
          <w:color w:val="auto"/>
        </w:rPr>
      </w:pPr>
    </w:p>
    <w:p>
      <w:pPr>
        <w:jc w:val="both"/>
        <w:ind w:left="652"/>
        <w:spacing w:after="0" w:line="256" w:lineRule="auto"/>
        <w:rPr>
          <w:sz w:val="20"/>
          <w:szCs w:val="20"/>
          <w:color w:val="auto"/>
        </w:rPr>
      </w:pPr>
      <w:r>
        <w:rPr>
          <w:rFonts w:ascii="Arial" w:cs="Arial" w:eastAsia="Arial" w:hAnsi="Arial"/>
          <w:sz w:val="18"/>
          <w:szCs w:val="18"/>
          <w:color w:val="auto"/>
        </w:rPr>
        <w:t>PSUs granted under this Plan and the PSU Award Agreement are personal and non-transferable. Participants shall not be permitted to sell, donate, pledge, assign or otherwise dispose of the PSUs to third parties other than as provided for in the Plan. In case of death of a Participant, Section 14 hereof shall apply.</w:t>
      </w:r>
    </w:p>
    <w:p>
      <w:pPr>
        <w:spacing w:after="0" w:line="238" w:lineRule="exact"/>
        <w:rPr>
          <w:sz w:val="20"/>
          <w:szCs w:val="20"/>
          <w:color w:val="auto"/>
        </w:rPr>
      </w:pPr>
    </w:p>
    <w:p>
      <w:pPr>
        <w:ind w:left="632" w:hanging="632"/>
        <w:spacing w:after="0"/>
        <w:tabs>
          <w:tab w:leader="none" w:pos="632" w:val="left"/>
        </w:tabs>
        <w:numPr>
          <w:ilvl w:val="0"/>
          <w:numId w:val="828"/>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318" w:lineRule="exact"/>
        <w:rPr>
          <w:rFonts w:ascii="Arial" w:cs="Arial" w:eastAsia="Arial" w:hAnsi="Arial"/>
          <w:sz w:val="22"/>
          <w:szCs w:val="22"/>
          <w:b w:val="1"/>
          <w:bCs w:val="1"/>
          <w:color w:val="auto"/>
        </w:rPr>
      </w:pPr>
    </w:p>
    <w:p>
      <w:pPr>
        <w:jc w:val="both"/>
        <w:ind w:left="652" w:hanging="490"/>
        <w:spacing w:after="0" w:line="287" w:lineRule="auto"/>
        <w:tabs>
          <w:tab w:leader="none" w:pos="642" w:val="left"/>
        </w:tabs>
        <w:numPr>
          <w:ilvl w:val="1"/>
          <w:numId w:val="828"/>
        </w:numPr>
        <w:rPr>
          <w:rFonts w:ascii="Arial" w:cs="Arial" w:eastAsia="Arial" w:hAnsi="Arial"/>
          <w:sz w:val="18"/>
          <w:szCs w:val="18"/>
          <w:color w:val="auto"/>
        </w:rPr>
      </w:pPr>
      <w:r>
        <w:rPr>
          <w:rFonts w:ascii="Arial" w:cs="Arial" w:eastAsia="Arial" w:hAnsi="Arial"/>
          <w:sz w:val="18"/>
          <w:szCs w:val="18"/>
          <w:color w:val="auto"/>
        </w:rPr>
        <w:t>Unless otherwise set out in this Plan (in particular in Section 14) or in the PSU Award Agreement, PSUs shall vest on the third anniversary of the Grant Date (the Vesting Date). The period between the Grant Date and the Vesting Date shall be deemed the Vesting Period.</w:t>
      </w:r>
    </w:p>
    <w:p>
      <w:pPr>
        <w:spacing w:after="0" w:line="229" w:lineRule="exact"/>
        <w:rPr>
          <w:rFonts w:ascii="Arial" w:cs="Arial" w:eastAsia="Arial" w:hAnsi="Arial"/>
          <w:sz w:val="18"/>
          <w:szCs w:val="18"/>
          <w:color w:val="auto"/>
        </w:rPr>
      </w:pPr>
    </w:p>
    <w:p>
      <w:pPr>
        <w:jc w:val="both"/>
        <w:ind w:left="652" w:hanging="490"/>
        <w:spacing w:after="0" w:line="287" w:lineRule="auto"/>
        <w:tabs>
          <w:tab w:leader="none" w:pos="642" w:val="left"/>
        </w:tabs>
        <w:numPr>
          <w:ilvl w:val="1"/>
          <w:numId w:val="828"/>
        </w:numPr>
        <w:rPr>
          <w:rFonts w:ascii="Arial" w:cs="Arial" w:eastAsia="Arial" w:hAnsi="Arial"/>
          <w:sz w:val="18"/>
          <w:szCs w:val="18"/>
          <w:color w:val="auto"/>
        </w:rPr>
      </w:pPr>
      <w:r>
        <w:rPr>
          <w:rFonts w:ascii="Arial" w:cs="Arial" w:eastAsia="Arial" w:hAnsi="Arial"/>
          <w:sz w:val="18"/>
          <w:szCs w:val="18"/>
          <w:color w:val="auto"/>
        </w:rPr>
        <w:t>Subject to Section 14(b) and (c) below, no PSU shall vest if, during the Vesting Period, the relevant Participant's employment is terminated (i.e. notice of termination is given (even if the notice period is still running) or another reason for termination occurs other than through termination by the Participant for cause (wichtige Gründe), set by a Group Company.</w:t>
      </w:r>
    </w:p>
    <w:p>
      <w:pPr>
        <w:spacing w:after="0" w:line="242" w:lineRule="exact"/>
        <w:rPr>
          <w:rFonts w:ascii="Arial" w:cs="Arial" w:eastAsia="Arial" w:hAnsi="Arial"/>
          <w:sz w:val="18"/>
          <w:szCs w:val="18"/>
          <w:color w:val="auto"/>
        </w:rPr>
      </w:pPr>
    </w:p>
    <w:p>
      <w:pPr>
        <w:jc w:val="both"/>
        <w:ind w:left="652" w:hanging="490"/>
        <w:spacing w:after="0" w:line="284" w:lineRule="auto"/>
        <w:tabs>
          <w:tab w:leader="none" w:pos="646" w:val="left"/>
        </w:tabs>
        <w:numPr>
          <w:ilvl w:val="1"/>
          <w:numId w:val="828"/>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and subject to signing an acquisition declaration and payment of the nominal value of the Shares by the Participant. Alternatively, the Company may provide for cash-less acquisition or vesting-sale arrangements through a Plan Service Provider or otherwise. Delivery of Shares or other consideration shall, subject to the further conditions of delivery being met, occur no later than three months following the Vesting Date of the relevant PSUs.</w:t>
      </w:r>
    </w:p>
    <w:p>
      <w:pPr>
        <w:spacing w:after="0" w:line="215" w:lineRule="exact"/>
        <w:rPr>
          <w:rFonts w:ascii="Arial" w:cs="Arial" w:eastAsia="Arial" w:hAnsi="Arial"/>
          <w:sz w:val="18"/>
          <w:szCs w:val="18"/>
          <w:color w:val="auto"/>
        </w:rPr>
      </w:pPr>
    </w:p>
    <w:p>
      <w:pPr>
        <w:ind w:left="632" w:hanging="632"/>
        <w:spacing w:after="0"/>
        <w:tabs>
          <w:tab w:leader="none" w:pos="632" w:val="left"/>
        </w:tabs>
        <w:numPr>
          <w:ilvl w:val="0"/>
          <w:numId w:val="828"/>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319" w:lineRule="exact"/>
        <w:rPr>
          <w:sz w:val="20"/>
          <w:szCs w:val="20"/>
          <w:color w:val="auto"/>
        </w:rPr>
      </w:pPr>
    </w:p>
    <w:p>
      <w:pPr>
        <w:jc w:val="both"/>
        <w:ind w:left="652"/>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16,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Company, be sourced from conditional share capital, from treasury shares or from other sources. Unless otherwise determined by the Board of Directors or the Nomination and Compensation Committee, Shares shall be sourced from the Company's conditional share capital and a respective maximum number of Shares out of conditional capital shall be deemed reserved, accordingly.</w:t>
      </w:r>
    </w:p>
    <w:p>
      <w:pPr>
        <w:spacing w:after="0" w:line="202" w:lineRule="exact"/>
        <w:rPr>
          <w:sz w:val="20"/>
          <w:szCs w:val="20"/>
          <w:color w:val="auto"/>
        </w:rPr>
      </w:pPr>
    </w:p>
    <w:p>
      <w:pPr>
        <w:ind w:left="632" w:hanging="632"/>
        <w:spacing w:after="0"/>
        <w:tabs>
          <w:tab w:leader="none" w:pos="632" w:val="left"/>
        </w:tabs>
        <w:numPr>
          <w:ilvl w:val="0"/>
          <w:numId w:val="829"/>
        </w:numPr>
        <w:rPr>
          <w:rFonts w:ascii="Arial" w:cs="Arial" w:eastAsia="Arial" w:hAnsi="Arial"/>
          <w:sz w:val="22"/>
          <w:szCs w:val="22"/>
          <w:b w:val="1"/>
          <w:bCs w:val="1"/>
          <w:color w:val="auto"/>
        </w:rPr>
      </w:pPr>
      <w:r>
        <w:rPr>
          <w:rFonts w:ascii="Arial" w:cs="Arial" w:eastAsia="Arial" w:hAnsi="Arial"/>
          <w:sz w:val="22"/>
          <w:szCs w:val="22"/>
          <w:b w:val="1"/>
          <w:bCs w:val="1"/>
          <w:color w:val="auto"/>
        </w:rPr>
        <w:t>Vesting Multiple</w:t>
      </w:r>
    </w:p>
    <w:p>
      <w:pPr>
        <w:spacing w:after="0" w:line="318" w:lineRule="exact"/>
        <w:rPr>
          <w:rFonts w:ascii="Arial" w:cs="Arial" w:eastAsia="Arial" w:hAnsi="Arial"/>
          <w:sz w:val="22"/>
          <w:szCs w:val="22"/>
          <w:b w:val="1"/>
          <w:bCs w:val="1"/>
          <w:color w:val="auto"/>
        </w:rPr>
      </w:pPr>
    </w:p>
    <w:p>
      <w:pPr>
        <w:jc w:val="both"/>
        <w:ind w:left="652" w:hanging="490"/>
        <w:spacing w:after="0" w:line="287" w:lineRule="auto"/>
        <w:tabs>
          <w:tab w:leader="none" w:pos="642" w:val="left"/>
        </w:tabs>
        <w:numPr>
          <w:ilvl w:val="1"/>
          <w:numId w:val="829"/>
        </w:numPr>
        <w:rPr>
          <w:rFonts w:ascii="Arial" w:cs="Arial" w:eastAsia="Arial" w:hAnsi="Arial"/>
          <w:sz w:val="18"/>
          <w:szCs w:val="18"/>
          <w:color w:val="auto"/>
        </w:rPr>
      </w:pPr>
      <w:r>
        <w:rPr>
          <w:rFonts w:ascii="Arial" w:cs="Arial" w:eastAsia="Arial" w:hAnsi="Arial"/>
          <w:sz w:val="18"/>
          <w:szCs w:val="18"/>
          <w:color w:val="auto"/>
        </w:rPr>
        <w:t>The Vesting Multiple shall not be lower than 0 nor higher than 1.2 (one point two). Within such range, the Vesting Multiple shall be determined by the Board of Directors upon proposal by the Nomination and Compensation Committee based on its assessment of the achievement</w:t>
      </w:r>
    </w:p>
    <w:p>
      <w:pPr>
        <w:sectPr>
          <w:pgSz w:w="11900" w:h="16838" w:orient="portrait"/>
          <w:cols w:equalWidth="0" w:num="1">
            <w:col w:w="11232"/>
          </w:cols>
          <w:pgMar w:left="328" w:top="180" w:right="339" w:bottom="1440" w:gutter="0" w:footer="0" w:header="0"/>
        </w:sectPr>
      </w:pPr>
    </w:p>
    <w:bookmarkStart w:id="800" w:name="page801"/>
    <w:bookmarkEnd w:id="800"/>
    <w:tbl>
      <w:tblPr>
        <w:tblLayout w:type="fixed"/>
        <w:tblInd w:w="672" w:type="dxa"/>
        <w:tblCellMar>
          <w:top w:w="0" w:type="dxa"/>
          <w:left w:w="0" w:type="dxa"/>
          <w:bottom w:w="0" w:type="dxa"/>
          <w:right w:w="0" w:type="dxa"/>
        </w:tblCellMar>
      </w:tblPr>
      <w:tr>
        <w:trPr>
          <w:trHeight w:val="187"/>
        </w:trPr>
        <w:tc>
          <w:tcPr>
            <w:tcW w:w="71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780" w:type="dxa"/>
            <w:vAlign w:val="bottom"/>
          </w:tcPr>
          <w:p>
            <w:pPr>
              <w:jc w:val="right"/>
              <w:spacing w:after="0"/>
              <w:rPr>
                <w:sz w:val="20"/>
                <w:szCs w:val="20"/>
                <w:color w:val="auto"/>
              </w:rPr>
            </w:pPr>
            <w:r>
              <w:rPr>
                <w:rFonts w:ascii="Arial" w:cs="Arial" w:eastAsia="Arial" w:hAnsi="Arial"/>
                <w:sz w:val="13"/>
                <w:szCs w:val="13"/>
                <w:color w:val="auto"/>
              </w:rPr>
              <w:t>6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52"/>
        <w:spacing w:after="0" w:line="284" w:lineRule="auto"/>
        <w:rPr>
          <w:sz w:val="20"/>
          <w:szCs w:val="20"/>
          <w:color w:val="auto"/>
        </w:rPr>
      </w:pPr>
      <w:r>
        <w:rPr>
          <w:rFonts w:ascii="Arial" w:cs="Arial" w:eastAsia="Arial" w:hAnsi="Arial"/>
          <w:sz w:val="18"/>
          <w:szCs w:val="18"/>
          <w:color w:val="auto"/>
        </w:rPr>
        <w:t>of the goals set out in the score card (LTI Score Card) attached to the PSU Award Agreement or otherwise communicated by the Company to the Participant in connection with the grant (Goals). The Goals may include any corporate goals, i.e. strategic, operating or financial goals of the Company or the Group, any personal goals and performance of the relevant Participant and/or any goals relating to the total shareholder return or share price development. The LTI Score Card may attach a percentage weighting to each Goal for purposes of deriving the Vesting Multiple or require a global assessment of the achievement of goals.</w:t>
      </w:r>
    </w:p>
    <w:p>
      <w:pPr>
        <w:spacing w:after="0" w:line="247" w:lineRule="exact"/>
        <w:rPr>
          <w:sz w:val="20"/>
          <w:szCs w:val="20"/>
          <w:color w:val="auto"/>
        </w:rPr>
      </w:pPr>
    </w:p>
    <w:p>
      <w:pPr>
        <w:jc w:val="both"/>
        <w:ind w:left="652" w:hanging="490"/>
        <w:spacing w:after="0" w:line="287" w:lineRule="auto"/>
        <w:tabs>
          <w:tab w:leader="none" w:pos="642" w:val="left"/>
        </w:tabs>
        <w:numPr>
          <w:ilvl w:val="1"/>
          <w:numId w:val="830"/>
        </w:numPr>
        <w:rPr>
          <w:rFonts w:ascii="Arial" w:cs="Arial" w:eastAsia="Arial" w:hAnsi="Arial"/>
          <w:sz w:val="18"/>
          <w:szCs w:val="18"/>
          <w:color w:val="auto"/>
        </w:rPr>
      </w:pPr>
      <w:r>
        <w:rPr>
          <w:rFonts w:ascii="Arial" w:cs="Arial" w:eastAsia="Arial" w:hAnsi="Arial"/>
          <w:sz w:val="18"/>
          <w:szCs w:val="18"/>
          <w:color w:val="auto"/>
        </w:rPr>
        <w:t>The Vesting Multiple shall, unless the nature of the Goals demands otherwise, be determined in the year following the year of grant. Notwithstanding such determination, Vesting shall occur only at the time and subject to the conditions otherwise set out in this Plan or in the PSU Award Agreement.</w:t>
      </w:r>
    </w:p>
    <w:p>
      <w:pPr>
        <w:spacing w:after="0" w:line="229" w:lineRule="exact"/>
        <w:rPr>
          <w:rFonts w:ascii="Arial" w:cs="Arial" w:eastAsia="Arial" w:hAnsi="Arial"/>
          <w:sz w:val="18"/>
          <w:szCs w:val="18"/>
          <w:color w:val="auto"/>
        </w:rPr>
      </w:pPr>
    </w:p>
    <w:p>
      <w:pPr>
        <w:jc w:val="both"/>
        <w:ind w:left="652" w:hanging="490"/>
        <w:spacing w:after="0" w:line="287" w:lineRule="auto"/>
        <w:tabs>
          <w:tab w:leader="none" w:pos="646" w:val="left"/>
        </w:tabs>
        <w:numPr>
          <w:ilvl w:val="1"/>
          <w:numId w:val="830"/>
        </w:numPr>
        <w:rPr>
          <w:rFonts w:ascii="Arial" w:cs="Arial" w:eastAsia="Arial" w:hAnsi="Arial"/>
          <w:sz w:val="18"/>
          <w:szCs w:val="18"/>
          <w:color w:val="auto"/>
        </w:rPr>
      </w:pPr>
      <w:r>
        <w:rPr>
          <w:rFonts w:ascii="Arial" w:cs="Arial" w:eastAsia="Arial" w:hAnsi="Arial"/>
          <w:sz w:val="18"/>
          <w:szCs w:val="18"/>
          <w:color w:val="auto"/>
        </w:rPr>
        <w:t>Depending on the corporate goals set out in the LTI Score Card, the Vesting Multiple may be fixed (if all elements of Goal achievement are known at the time of determination) or variable (e.g. depending on further stock price development throughout the remainder of the Vesting Period).</w:t>
      </w:r>
    </w:p>
    <w:p>
      <w:pPr>
        <w:spacing w:after="0" w:line="211" w:lineRule="exact"/>
        <w:rPr>
          <w:rFonts w:ascii="Arial" w:cs="Arial" w:eastAsia="Arial" w:hAnsi="Arial"/>
          <w:sz w:val="18"/>
          <w:szCs w:val="18"/>
          <w:color w:val="auto"/>
        </w:rPr>
      </w:pPr>
    </w:p>
    <w:p>
      <w:pPr>
        <w:ind w:left="632" w:hanging="632"/>
        <w:spacing w:after="0"/>
        <w:tabs>
          <w:tab w:leader="none" w:pos="632" w:val="left"/>
        </w:tabs>
        <w:numPr>
          <w:ilvl w:val="0"/>
          <w:numId w:val="831"/>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Social Security Contributions</w:t>
      </w:r>
    </w:p>
    <w:p>
      <w:pPr>
        <w:spacing w:after="0" w:line="318" w:lineRule="exact"/>
        <w:rPr>
          <w:rFonts w:ascii="Arial" w:cs="Arial" w:eastAsia="Arial" w:hAnsi="Arial"/>
          <w:sz w:val="22"/>
          <w:szCs w:val="22"/>
          <w:b w:val="1"/>
          <w:bCs w:val="1"/>
          <w:color w:val="auto"/>
        </w:rPr>
      </w:pPr>
    </w:p>
    <w:p>
      <w:pPr>
        <w:jc w:val="both"/>
        <w:ind w:left="652" w:hanging="490"/>
        <w:spacing w:after="0" w:line="287" w:lineRule="auto"/>
        <w:tabs>
          <w:tab w:leader="none" w:pos="642" w:val="left"/>
        </w:tabs>
        <w:numPr>
          <w:ilvl w:val="1"/>
          <w:numId w:val="831"/>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PSUs, on the allocation of Shares and the subsequent sale of Shares or on a respective cash equivalent are in the sole responsibility of the Participant.</w:t>
      </w:r>
    </w:p>
    <w:p>
      <w:pPr>
        <w:spacing w:after="0" w:line="242" w:lineRule="exact"/>
        <w:rPr>
          <w:rFonts w:ascii="Arial" w:cs="Arial" w:eastAsia="Arial" w:hAnsi="Arial"/>
          <w:sz w:val="18"/>
          <w:szCs w:val="18"/>
          <w:color w:val="auto"/>
        </w:rPr>
      </w:pPr>
    </w:p>
    <w:p>
      <w:pPr>
        <w:jc w:val="both"/>
        <w:ind w:left="652" w:hanging="490"/>
        <w:spacing w:after="0" w:line="283" w:lineRule="auto"/>
        <w:tabs>
          <w:tab w:leader="none" w:pos="642" w:val="left"/>
        </w:tabs>
        <w:numPr>
          <w:ilvl w:val="1"/>
          <w:numId w:val="831"/>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PSUs may be subject to the withholding of tax and social security contributions by the Company or, if different, the employer Group Company. The Company and the relevant employer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PSU awards on behalf of a Participant and withholding of proceeds or deductions from salary or bonus payments, or require a payment from the Participant to the Company or the employer Group Company before settlement of the PSU awards.</w:t>
      </w:r>
    </w:p>
    <w:p>
      <w:pPr>
        <w:spacing w:after="0" w:line="235" w:lineRule="exact"/>
        <w:rPr>
          <w:rFonts w:ascii="Arial" w:cs="Arial" w:eastAsia="Arial" w:hAnsi="Arial"/>
          <w:sz w:val="18"/>
          <w:szCs w:val="18"/>
          <w:color w:val="auto"/>
        </w:rPr>
      </w:pPr>
    </w:p>
    <w:p>
      <w:pPr>
        <w:ind w:left="652" w:hanging="490"/>
        <w:spacing w:after="0" w:line="293" w:lineRule="auto"/>
        <w:tabs>
          <w:tab w:leader="none" w:pos="646" w:val="left"/>
        </w:tabs>
        <w:numPr>
          <w:ilvl w:val="1"/>
          <w:numId w:val="831"/>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PSU awards, Shares or related events.</w:t>
      </w:r>
    </w:p>
    <w:p>
      <w:pPr>
        <w:spacing w:after="0" w:line="205" w:lineRule="exact"/>
        <w:rPr>
          <w:rFonts w:ascii="Arial" w:cs="Arial" w:eastAsia="Arial" w:hAnsi="Arial"/>
          <w:sz w:val="18"/>
          <w:szCs w:val="18"/>
          <w:color w:val="auto"/>
        </w:rPr>
      </w:pPr>
    </w:p>
    <w:p>
      <w:pPr>
        <w:ind w:left="632" w:hanging="632"/>
        <w:spacing w:after="0"/>
        <w:tabs>
          <w:tab w:leader="none" w:pos="632" w:val="left"/>
        </w:tabs>
        <w:numPr>
          <w:ilvl w:val="0"/>
          <w:numId w:val="831"/>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Requirements</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PSUs or Shares or upon the sale of Shares, including any disclosure requirements triggered by the thresholds for the ownership of shares and|or rights to obtain shares under Article 120 Financial Market Infrastructure Act and any management transaction</w:t>
      </w:r>
    </w:p>
    <w:p>
      <w:pPr>
        <w:sectPr>
          <w:pgSz w:w="11900" w:h="16838" w:orient="portrait"/>
          <w:cols w:equalWidth="0" w:num="1">
            <w:col w:w="11232"/>
          </w:cols>
          <w:pgMar w:left="328" w:top="180" w:right="339" w:bottom="1440" w:gutter="0" w:footer="0" w:header="0"/>
        </w:sectPr>
      </w:pPr>
    </w:p>
    <w:bookmarkStart w:id="801" w:name="page802"/>
    <w:bookmarkEnd w:id="801"/>
    <w:tbl>
      <w:tblPr>
        <w:tblLayout w:type="fixed"/>
        <w:tblInd w:w="672" w:type="dxa"/>
        <w:tblCellMar>
          <w:top w:w="0" w:type="dxa"/>
          <w:left w:w="0" w:type="dxa"/>
          <w:bottom w:w="0" w:type="dxa"/>
          <w:right w:w="0" w:type="dxa"/>
        </w:tblCellMar>
      </w:tblPr>
      <w:tr>
        <w:trPr>
          <w:trHeight w:val="187"/>
        </w:trPr>
        <w:tc>
          <w:tcPr>
            <w:tcW w:w="71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780" w:type="dxa"/>
            <w:vAlign w:val="bottom"/>
          </w:tcPr>
          <w:p>
            <w:pPr>
              <w:jc w:val="right"/>
              <w:spacing w:after="0"/>
              <w:rPr>
                <w:sz w:val="20"/>
                <w:szCs w:val="20"/>
                <w:color w:val="auto"/>
              </w:rPr>
            </w:pPr>
            <w:r>
              <w:rPr>
                <w:rFonts w:ascii="Arial" w:cs="Arial" w:eastAsia="Arial" w:hAnsi="Arial"/>
                <w:sz w:val="13"/>
                <w:szCs w:val="13"/>
                <w:color w:val="auto"/>
              </w:rPr>
              <w:t>7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52" w:right="20"/>
        <w:spacing w:after="0" w:line="293" w:lineRule="auto"/>
        <w:rPr>
          <w:sz w:val="20"/>
          <w:szCs w:val="20"/>
          <w:color w:val="auto"/>
        </w:rPr>
      </w:pPr>
      <w:r>
        <w:rPr>
          <w:rFonts w:ascii="Arial" w:cs="Arial" w:eastAsia="Arial" w:hAnsi="Arial"/>
          <w:sz w:val="18"/>
          <w:szCs w:val="18"/>
          <w:color w:val="auto"/>
        </w:rPr>
        <w:t>notifications under Article 56 of the SIX Swiss Exchange listing rules. See also the Company's public disclosure, reporting and securities trading policy.</w:t>
      </w:r>
    </w:p>
    <w:p>
      <w:pPr>
        <w:spacing w:after="0" w:line="205" w:lineRule="exact"/>
        <w:rPr>
          <w:sz w:val="20"/>
          <w:szCs w:val="20"/>
          <w:color w:val="auto"/>
        </w:rPr>
      </w:pPr>
    </w:p>
    <w:p>
      <w:pPr>
        <w:ind w:left="632" w:hanging="632"/>
        <w:spacing w:after="0"/>
        <w:tabs>
          <w:tab w:leader="none" w:pos="632" w:val="left"/>
        </w:tabs>
        <w:numPr>
          <w:ilvl w:val="0"/>
          <w:numId w:val="832"/>
        </w:numPr>
        <w:rPr>
          <w:rFonts w:ascii="Arial" w:cs="Arial" w:eastAsia="Arial" w:hAnsi="Arial"/>
          <w:sz w:val="22"/>
          <w:szCs w:val="22"/>
          <w:b w:val="1"/>
          <w:bCs w:val="1"/>
          <w:color w:val="auto"/>
        </w:rPr>
      </w:pPr>
      <w:r>
        <w:rPr>
          <w:rFonts w:ascii="Arial" w:cs="Arial" w:eastAsia="Arial" w:hAnsi="Arial"/>
          <w:sz w:val="22"/>
          <w:szCs w:val="22"/>
          <w:b w:val="1"/>
          <w:bCs w:val="1"/>
          <w:color w:val="auto"/>
        </w:rPr>
        <w:t>Other Obligations of the Participant</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employment) to any Group Company, until the Participant has satisfied such outstanding obligations.</w:t>
      </w:r>
    </w:p>
    <w:p>
      <w:pPr>
        <w:spacing w:after="0" w:line="198" w:lineRule="exact"/>
        <w:rPr>
          <w:sz w:val="20"/>
          <w:szCs w:val="20"/>
          <w:color w:val="auto"/>
        </w:rPr>
      </w:pPr>
    </w:p>
    <w:p>
      <w:pPr>
        <w:ind w:left="632" w:hanging="632"/>
        <w:spacing w:after="0"/>
        <w:tabs>
          <w:tab w:leader="none" w:pos="632" w:val="left"/>
        </w:tabs>
        <w:numPr>
          <w:ilvl w:val="0"/>
          <w:numId w:val="833"/>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and Forfeiture</w:t>
      </w:r>
    </w:p>
    <w:p>
      <w:pPr>
        <w:spacing w:after="0" w:line="318" w:lineRule="exact"/>
        <w:rPr>
          <w:rFonts w:ascii="Arial" w:cs="Arial" w:eastAsia="Arial" w:hAnsi="Arial"/>
          <w:sz w:val="22"/>
          <w:szCs w:val="22"/>
          <w:b w:val="1"/>
          <w:bCs w:val="1"/>
          <w:color w:val="auto"/>
        </w:rPr>
      </w:pPr>
    </w:p>
    <w:p>
      <w:pPr>
        <w:jc w:val="both"/>
        <w:ind w:left="652" w:hanging="490"/>
        <w:spacing w:after="0" w:line="285" w:lineRule="auto"/>
        <w:tabs>
          <w:tab w:leader="none" w:pos="642" w:val="left"/>
        </w:tabs>
        <w:numPr>
          <w:ilvl w:val="1"/>
          <w:numId w:val="833"/>
        </w:numPr>
        <w:rPr>
          <w:rFonts w:ascii="Arial" w:cs="Arial" w:eastAsia="Arial" w:hAnsi="Arial"/>
          <w:sz w:val="18"/>
          <w:szCs w:val="18"/>
          <w:color w:val="auto"/>
        </w:rPr>
      </w:pPr>
      <w:r>
        <w:rPr>
          <w:rFonts w:ascii="Arial" w:cs="Arial" w:eastAsia="Arial" w:hAnsi="Arial"/>
          <w:sz w:val="18"/>
          <w:szCs w:val="18"/>
          <w:color w:val="auto"/>
        </w:rPr>
        <w:t>If (i) a Participant's employment is terminated (i.e. notice of termination is given even if the notice period is still running) or (ii) another reason for termination occurs during the Vesting period, other than through termination by the Participant for cause (wichtige Gründe) within the meaning of Article 337 CO and except as set out in Section 14(b) and (c) below, all PSUs shall immediately cease and be forfeited.</w:t>
      </w:r>
    </w:p>
    <w:p>
      <w:pPr>
        <w:spacing w:after="0" w:line="245" w:lineRule="exact"/>
        <w:rPr>
          <w:sz w:val="20"/>
          <w:szCs w:val="20"/>
          <w:color w:val="auto"/>
        </w:rPr>
      </w:pPr>
    </w:p>
    <w:p>
      <w:pPr>
        <w:jc w:val="both"/>
        <w:ind w:left="652" w:hanging="490"/>
        <w:spacing w:after="0" w:line="285" w:lineRule="auto"/>
        <w:tabs>
          <w:tab w:leader="none" w:pos="642" w:val="left"/>
        </w:tabs>
        <w:numPr>
          <w:ilvl w:val="1"/>
          <w:numId w:val="834"/>
        </w:numPr>
        <w:rPr>
          <w:rFonts w:ascii="Arial" w:cs="Arial" w:eastAsia="Arial" w:hAnsi="Arial"/>
          <w:sz w:val="18"/>
          <w:szCs w:val="18"/>
          <w:color w:val="auto"/>
        </w:rPr>
      </w:pPr>
      <w:r>
        <w:rPr>
          <w:rFonts w:ascii="Arial" w:cs="Arial" w:eastAsia="Arial" w:hAnsi="Arial"/>
          <w:sz w:val="18"/>
          <w:szCs w:val="18"/>
          <w:color w:val="auto"/>
        </w:rPr>
        <w:t>If a Participant’s employment agreement is terminated by the Company or a Group Company for reasons not pertaining to the Participant, a pro rata number of PSUs granted to the Participant shall vest at the end of the Vesting Period with the remaining PSUs lapsing without further effect. For clarity, the pro rata calculation under this Section 14 shall be determined on a monthly basis (36/36), based on the complete months of employment worked during the Vesting Period.</w:t>
      </w:r>
    </w:p>
    <w:p>
      <w:pPr>
        <w:spacing w:after="0" w:line="245" w:lineRule="exact"/>
        <w:rPr>
          <w:rFonts w:ascii="Arial" w:cs="Arial" w:eastAsia="Arial" w:hAnsi="Arial"/>
          <w:sz w:val="18"/>
          <w:szCs w:val="18"/>
          <w:color w:val="auto"/>
        </w:rPr>
      </w:pPr>
    </w:p>
    <w:p>
      <w:pPr>
        <w:jc w:val="both"/>
        <w:ind w:left="652" w:hanging="490"/>
        <w:spacing w:after="0" w:line="285" w:lineRule="auto"/>
        <w:tabs>
          <w:tab w:leader="none" w:pos="642" w:val="left"/>
        </w:tabs>
        <w:numPr>
          <w:ilvl w:val="1"/>
          <w:numId w:val="834"/>
        </w:numPr>
        <w:rPr>
          <w:rFonts w:ascii="Arial" w:cs="Arial" w:eastAsia="Arial" w:hAnsi="Arial"/>
          <w:sz w:val="18"/>
          <w:szCs w:val="18"/>
          <w:color w:val="auto"/>
        </w:rPr>
      </w:pPr>
      <w:r>
        <w:rPr>
          <w:rFonts w:ascii="Arial" w:cs="Arial" w:eastAsia="Arial" w:hAnsi="Arial"/>
          <w:sz w:val="18"/>
          <w:szCs w:val="18"/>
          <w:color w:val="auto"/>
        </w:rPr>
        <w:t>If the employment agreement terminates by reason of (i) death, permanent illness or disability of the Participant or (ii) retirement, a pro rata number of PSUs granted to the Participant shall vest immediately with the remaining PSUs lapsing without further effect. In the case of (i) here before, the pro rata calculation will be made assuming that employment lasted one year longer (but in any case not longer than the end of the regular three-year Vesting Period).</w:t>
      </w:r>
    </w:p>
    <w:p>
      <w:pPr>
        <w:spacing w:after="0" w:line="231" w:lineRule="exact"/>
        <w:rPr>
          <w:rFonts w:ascii="Arial" w:cs="Arial" w:eastAsia="Arial" w:hAnsi="Arial"/>
          <w:sz w:val="18"/>
          <w:szCs w:val="18"/>
          <w:color w:val="auto"/>
        </w:rPr>
      </w:pPr>
    </w:p>
    <w:p>
      <w:pPr>
        <w:jc w:val="both"/>
        <w:ind w:left="652" w:hanging="490"/>
        <w:spacing w:after="0" w:line="285" w:lineRule="auto"/>
        <w:tabs>
          <w:tab w:leader="none" w:pos="646" w:val="left"/>
        </w:tabs>
        <w:numPr>
          <w:ilvl w:val="1"/>
          <w:numId w:val="834"/>
        </w:numPr>
        <w:rPr>
          <w:rFonts w:ascii="Arial" w:cs="Arial" w:eastAsia="Arial" w:hAnsi="Arial"/>
          <w:sz w:val="18"/>
          <w:szCs w:val="18"/>
          <w:color w:val="auto"/>
        </w:rPr>
      </w:pPr>
      <w:r>
        <w:rPr>
          <w:rFonts w:ascii="Arial" w:cs="Arial" w:eastAsia="Arial" w:hAnsi="Arial"/>
          <w:sz w:val="18"/>
          <w:szCs w:val="18"/>
          <w:color w:val="auto"/>
        </w:rPr>
        <w:t>The Board of Directors, based on a recommendation by the Nomination and Compensation Committee, may, taking into consideration the objectives of the Plan, at its sole discretion and with final and binding effect grant further exceptions from the forfeiture clause as per Section 14 (a) above and assess whether a Participant’s employment agreement was terminated for reasons not pertaining to the Participant pursuant to Section 14(b) above.</w:t>
      </w:r>
    </w:p>
    <w:p>
      <w:pPr>
        <w:spacing w:after="0" w:line="213" w:lineRule="exact"/>
        <w:rPr>
          <w:rFonts w:ascii="Arial" w:cs="Arial" w:eastAsia="Arial" w:hAnsi="Arial"/>
          <w:sz w:val="18"/>
          <w:szCs w:val="18"/>
          <w:color w:val="auto"/>
        </w:rPr>
      </w:pPr>
    </w:p>
    <w:p>
      <w:pPr>
        <w:ind w:left="632" w:hanging="632"/>
        <w:spacing w:after="0"/>
        <w:tabs>
          <w:tab w:leader="none" w:pos="632" w:val="left"/>
        </w:tabs>
        <w:numPr>
          <w:ilvl w:val="0"/>
          <w:numId w:val="835"/>
        </w:numPr>
        <w:rPr>
          <w:rFonts w:ascii="Arial" w:cs="Arial" w:eastAsia="Arial" w:hAnsi="Arial"/>
          <w:sz w:val="22"/>
          <w:szCs w:val="22"/>
          <w:b w:val="1"/>
          <w:bCs w:val="1"/>
          <w:color w:val="auto"/>
        </w:rPr>
      </w:pPr>
      <w:r>
        <w:rPr>
          <w:rFonts w:ascii="Arial" w:cs="Arial" w:eastAsia="Arial" w:hAnsi="Arial"/>
          <w:sz w:val="22"/>
          <w:szCs w:val="22"/>
          <w:b w:val="1"/>
          <w:bCs w:val="1"/>
          <w:color w:val="auto"/>
        </w:rPr>
        <w:t>Change of Control</w:t>
      </w:r>
    </w:p>
    <w:p>
      <w:pPr>
        <w:spacing w:after="0" w:line="296" w:lineRule="exact"/>
        <w:rPr>
          <w:rFonts w:ascii="Arial" w:cs="Arial" w:eastAsia="Arial" w:hAnsi="Arial"/>
          <w:sz w:val="22"/>
          <w:szCs w:val="22"/>
          <w:b w:val="1"/>
          <w:bCs w:val="1"/>
          <w:color w:val="auto"/>
        </w:rPr>
      </w:pPr>
    </w:p>
    <w:p>
      <w:pPr>
        <w:ind w:left="632" w:hanging="470"/>
        <w:spacing w:after="0"/>
        <w:tabs>
          <w:tab w:leader="none" w:pos="632" w:val="left"/>
        </w:tabs>
        <w:numPr>
          <w:ilvl w:val="1"/>
          <w:numId w:val="835"/>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314" w:lineRule="exact"/>
        <w:rPr>
          <w:rFonts w:ascii="Arial" w:cs="Arial" w:eastAsia="Arial" w:hAnsi="Arial"/>
          <w:sz w:val="18"/>
          <w:szCs w:val="18"/>
          <w:color w:val="auto"/>
        </w:rPr>
      </w:pPr>
    </w:p>
    <w:p>
      <w:pPr>
        <w:jc w:val="both"/>
        <w:ind w:left="1292" w:hanging="644"/>
        <w:spacing w:after="0" w:line="287" w:lineRule="auto"/>
        <w:tabs>
          <w:tab w:leader="none" w:pos="1290" w:val="left"/>
        </w:tabs>
        <w:numPr>
          <w:ilvl w:val="2"/>
          <w:numId w:val="835"/>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ectPr>
          <w:pgSz w:w="11900" w:h="16838" w:orient="portrait"/>
          <w:cols w:equalWidth="0" w:num="1">
            <w:col w:w="11232"/>
          </w:cols>
          <w:pgMar w:left="328" w:top="180" w:right="339" w:bottom="1440" w:gutter="0" w:footer="0" w:header="0"/>
        </w:sectPr>
      </w:pPr>
    </w:p>
    <w:bookmarkStart w:id="802" w:name="page803"/>
    <w:bookmarkEnd w:id="802"/>
    <w:tbl>
      <w:tblPr>
        <w:tblLayout w:type="fixed"/>
        <w:tblInd w:w="510" w:type="dxa"/>
        <w:tblCellMar>
          <w:top w:w="0" w:type="dxa"/>
          <w:left w:w="0" w:type="dxa"/>
          <w:bottom w:w="0" w:type="dxa"/>
          <w:right w:w="0" w:type="dxa"/>
        </w:tblCellMar>
      </w:tblPr>
      <w:tr>
        <w:trPr>
          <w:trHeight w:val="187"/>
        </w:trPr>
        <w:tc>
          <w:tcPr>
            <w:tcW w:w="71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780" w:type="dxa"/>
            <w:vAlign w:val="bottom"/>
          </w:tcPr>
          <w:p>
            <w:pPr>
              <w:jc w:val="right"/>
              <w:spacing w:after="0"/>
              <w:rPr>
                <w:sz w:val="20"/>
                <w:szCs w:val="20"/>
                <w:color w:val="auto"/>
              </w:rPr>
            </w:pPr>
            <w:r>
              <w:rPr>
                <w:rFonts w:ascii="Arial" w:cs="Arial" w:eastAsia="Arial" w:hAnsi="Arial"/>
                <w:sz w:val="13"/>
                <w:szCs w:val="13"/>
                <w:color w:val="auto"/>
              </w:rPr>
              <w:t>8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30" w:hanging="644"/>
        <w:spacing w:after="0" w:line="293" w:lineRule="auto"/>
        <w:tabs>
          <w:tab w:leader="none" w:pos="1127" w:val="left"/>
        </w:tabs>
        <w:numPr>
          <w:ilvl w:val="1"/>
          <w:numId w:val="836"/>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237" w:lineRule="exact"/>
        <w:rPr>
          <w:rFonts w:ascii="Arial" w:cs="Arial" w:eastAsia="Arial" w:hAnsi="Arial"/>
          <w:sz w:val="18"/>
          <w:szCs w:val="18"/>
          <w:color w:val="auto"/>
        </w:rPr>
      </w:pPr>
    </w:p>
    <w:p>
      <w:pPr>
        <w:jc w:val="both"/>
        <w:ind w:left="1130" w:hanging="644"/>
        <w:spacing w:after="0" w:line="285" w:lineRule="auto"/>
        <w:tabs>
          <w:tab w:leader="none" w:pos="1127" w:val="left"/>
        </w:tabs>
        <w:numPr>
          <w:ilvl w:val="1"/>
          <w:numId w:val="836"/>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31" w:lineRule="exact"/>
        <w:rPr>
          <w:rFonts w:ascii="Arial" w:cs="Arial" w:eastAsia="Arial" w:hAnsi="Arial"/>
          <w:sz w:val="18"/>
          <w:szCs w:val="18"/>
          <w:color w:val="auto"/>
        </w:rPr>
      </w:pPr>
    </w:p>
    <w:p>
      <w:pPr>
        <w:jc w:val="both"/>
        <w:ind w:left="1130" w:hanging="644"/>
        <w:spacing w:after="0" w:line="284" w:lineRule="auto"/>
        <w:tabs>
          <w:tab w:leader="none" w:pos="1123" w:val="left"/>
        </w:tabs>
        <w:numPr>
          <w:ilvl w:val="1"/>
          <w:numId w:val="836"/>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46" w:lineRule="exact"/>
        <w:rPr>
          <w:rFonts w:ascii="Arial" w:cs="Arial" w:eastAsia="Arial" w:hAnsi="Arial"/>
          <w:sz w:val="18"/>
          <w:szCs w:val="18"/>
          <w:color w:val="auto"/>
        </w:rPr>
      </w:pPr>
    </w:p>
    <w:p>
      <w:pPr>
        <w:ind w:left="490" w:hanging="490"/>
        <w:spacing w:after="0" w:line="293" w:lineRule="auto"/>
        <w:tabs>
          <w:tab w:leader="none" w:pos="48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PSUs in respect of which the Vesting Date has not occurred by the date of the Change of Control:</w:t>
      </w:r>
    </w:p>
    <w:p>
      <w:pPr>
        <w:spacing w:after="0" w:line="237" w:lineRule="exact"/>
        <w:rPr>
          <w:rFonts w:ascii="Arial" w:cs="Arial" w:eastAsia="Arial" w:hAnsi="Arial"/>
          <w:sz w:val="18"/>
          <w:szCs w:val="18"/>
          <w:color w:val="auto"/>
        </w:rPr>
      </w:pPr>
    </w:p>
    <w:p>
      <w:pPr>
        <w:ind w:left="1130" w:hanging="644"/>
        <w:spacing w:after="0"/>
        <w:tabs>
          <w:tab w:leader="none" w:pos="1130" w:val="left"/>
        </w:tabs>
        <w:numPr>
          <w:ilvl w:val="1"/>
          <w:numId w:val="837"/>
        </w:numPr>
        <w:rPr>
          <w:rFonts w:ascii="Arial" w:cs="Arial" w:eastAsia="Arial" w:hAnsi="Arial"/>
          <w:sz w:val="18"/>
          <w:szCs w:val="18"/>
          <w:color w:val="auto"/>
        </w:rPr>
      </w:pPr>
      <w:r>
        <w:rPr>
          <w:rFonts w:ascii="Arial" w:cs="Arial" w:eastAsia="Arial" w:hAnsi="Arial"/>
          <w:sz w:val="18"/>
          <w:szCs w:val="18"/>
          <w:color w:val="auto"/>
        </w:rPr>
        <w:t>all PSUs will vest immediately;</w:t>
      </w:r>
    </w:p>
    <w:p>
      <w:pPr>
        <w:spacing w:after="0" w:line="279" w:lineRule="exact"/>
        <w:rPr>
          <w:rFonts w:ascii="Arial" w:cs="Arial" w:eastAsia="Arial" w:hAnsi="Arial"/>
          <w:sz w:val="18"/>
          <w:szCs w:val="18"/>
          <w:color w:val="auto"/>
        </w:rPr>
      </w:pPr>
    </w:p>
    <w:p>
      <w:pPr>
        <w:jc w:val="both"/>
        <w:ind w:left="1130" w:hanging="644"/>
        <w:spacing w:after="0" w:line="287" w:lineRule="auto"/>
        <w:tabs>
          <w:tab w:leader="none" w:pos="1127" w:val="left"/>
        </w:tabs>
        <w:numPr>
          <w:ilvl w:val="1"/>
          <w:numId w:val="837"/>
        </w:numPr>
        <w:rPr>
          <w:rFonts w:ascii="Arial" w:cs="Arial" w:eastAsia="Arial" w:hAnsi="Arial"/>
          <w:sz w:val="18"/>
          <w:szCs w:val="18"/>
          <w:color w:val="auto"/>
        </w:rPr>
      </w:pPr>
      <w:r>
        <w:rPr>
          <w:rFonts w:ascii="Arial" w:cs="Arial" w:eastAsia="Arial" w:hAnsi="Arial"/>
          <w:sz w:val="18"/>
          <w:szCs w:val="18"/>
          <w:color w:val="auto"/>
        </w:rPr>
        <w:t>the Vesting Multiple with respect to each PSU allocation will be determined by the Nomination and Compensation Committee at the time of the Change of Control unless the Vesting Multiple has already been determined prior to the Change of Control; and</w:t>
      </w:r>
    </w:p>
    <w:p>
      <w:pPr>
        <w:spacing w:after="0" w:line="242" w:lineRule="exact"/>
        <w:rPr>
          <w:rFonts w:ascii="Arial" w:cs="Arial" w:eastAsia="Arial" w:hAnsi="Arial"/>
          <w:sz w:val="18"/>
          <w:szCs w:val="18"/>
          <w:color w:val="auto"/>
        </w:rPr>
      </w:pPr>
    </w:p>
    <w:p>
      <w:pPr>
        <w:ind w:left="1130" w:right="20" w:hanging="644"/>
        <w:spacing w:after="0" w:line="293" w:lineRule="auto"/>
        <w:tabs>
          <w:tab w:leader="none" w:pos="1127" w:val="left"/>
        </w:tabs>
        <w:numPr>
          <w:ilvl w:val="1"/>
          <w:numId w:val="837"/>
        </w:numPr>
        <w:rPr>
          <w:rFonts w:ascii="Arial" w:cs="Arial" w:eastAsia="Arial" w:hAnsi="Arial"/>
          <w:sz w:val="18"/>
          <w:szCs w:val="18"/>
          <w:color w:val="auto"/>
        </w:rPr>
      </w:pPr>
      <w:r>
        <w:rPr>
          <w:rFonts w:ascii="Arial" w:cs="Arial" w:eastAsia="Arial" w:hAnsi="Arial"/>
          <w:sz w:val="18"/>
          <w:szCs w:val="18"/>
          <w:color w:val="auto"/>
        </w:rPr>
        <w:t>the PSUs will be paid out in Shares, unless the Nomination and Compensation Committee resolves to repurchase or exchange PSUs or decides upon another solution to provide the Participants with the vesting value of the PSUs.</w:t>
      </w:r>
    </w:p>
    <w:p>
      <w:pPr>
        <w:spacing w:after="0" w:line="237" w:lineRule="exact"/>
        <w:rPr>
          <w:rFonts w:ascii="Arial" w:cs="Arial" w:eastAsia="Arial" w:hAnsi="Arial"/>
          <w:sz w:val="18"/>
          <w:szCs w:val="18"/>
          <w:color w:val="auto"/>
        </w:rPr>
      </w:pPr>
    </w:p>
    <w:p>
      <w:pPr>
        <w:jc w:val="both"/>
        <w:ind w:left="490" w:hanging="490"/>
        <w:spacing w:after="0" w:line="284" w:lineRule="auto"/>
        <w:tabs>
          <w:tab w:leader="none" w:pos="484"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33" w:lineRule="exact"/>
        <w:rPr>
          <w:rFonts w:ascii="Arial" w:cs="Arial" w:eastAsia="Arial" w:hAnsi="Arial"/>
          <w:sz w:val="18"/>
          <w:szCs w:val="18"/>
          <w:color w:val="auto"/>
        </w:rPr>
      </w:pPr>
    </w:p>
    <w:p>
      <w:pPr>
        <w:jc w:val="both"/>
        <w:ind w:left="490" w:hanging="490"/>
        <w:spacing w:after="0" w:line="285" w:lineRule="auto"/>
        <w:tabs>
          <w:tab w:leader="none" w:pos="48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ectPr>
          <w:pgSz w:w="11900" w:h="16838" w:orient="portrait"/>
          <w:cols w:equalWidth="0" w:num="1">
            <w:col w:w="11070"/>
          </w:cols>
          <w:pgMar w:left="490" w:top="180" w:right="339" w:bottom="1440" w:gutter="0" w:footer="0" w:header="0"/>
        </w:sectPr>
      </w:pPr>
    </w:p>
    <w:bookmarkStart w:id="803" w:name="page804"/>
    <w:bookmarkEnd w:id="803"/>
    <w:tbl>
      <w:tblPr>
        <w:tblLayout w:type="fixed"/>
        <w:tblInd w:w="672" w:type="dxa"/>
        <w:tblCellMar>
          <w:top w:w="0" w:type="dxa"/>
          <w:left w:w="0" w:type="dxa"/>
          <w:bottom w:w="0" w:type="dxa"/>
          <w:right w:w="0" w:type="dxa"/>
        </w:tblCellMar>
      </w:tblPr>
      <w:tr>
        <w:trPr>
          <w:trHeight w:val="187"/>
        </w:trPr>
        <w:tc>
          <w:tcPr>
            <w:tcW w:w="71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780" w:type="dxa"/>
            <w:vAlign w:val="bottom"/>
          </w:tcPr>
          <w:p>
            <w:pPr>
              <w:jc w:val="right"/>
              <w:spacing w:after="0"/>
              <w:rPr>
                <w:sz w:val="20"/>
                <w:szCs w:val="20"/>
                <w:color w:val="auto"/>
              </w:rPr>
            </w:pPr>
            <w:r>
              <w:rPr>
                <w:rFonts w:ascii="Arial" w:cs="Arial" w:eastAsia="Arial" w:hAnsi="Arial"/>
                <w:sz w:val="13"/>
                <w:szCs w:val="13"/>
                <w:color w:val="auto"/>
              </w:rPr>
              <w:t>9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38"/>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Events</w:t>
      </w:r>
    </w:p>
    <w:p>
      <w:pPr>
        <w:spacing w:after="0" w:line="319" w:lineRule="exact"/>
        <w:rPr>
          <w:sz w:val="20"/>
          <w:szCs w:val="20"/>
          <w:color w:val="auto"/>
        </w:rPr>
      </w:pPr>
    </w:p>
    <w:p>
      <w:pPr>
        <w:jc w:val="both"/>
        <w:ind w:left="652"/>
        <w:spacing w:after="0" w:line="283"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PSUs such that an adjustment is required in order to preserve the benefits intended to be made available under this Plan, then the PSUs and related terms shall be adjusted and/or, if deemed appropriate, a cash payment to Participants or persons having outstanding PSUs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216" w:lineRule="exact"/>
        <w:rPr>
          <w:sz w:val="20"/>
          <w:szCs w:val="20"/>
          <w:color w:val="auto"/>
        </w:rPr>
      </w:pPr>
    </w:p>
    <w:p>
      <w:pPr>
        <w:ind w:left="632" w:hanging="632"/>
        <w:spacing w:after="0"/>
        <w:tabs>
          <w:tab w:leader="none" w:pos="632" w:val="left"/>
        </w:tabs>
        <w:numPr>
          <w:ilvl w:val="0"/>
          <w:numId w:val="839"/>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318" w:lineRule="exact"/>
        <w:rPr>
          <w:rFonts w:ascii="Arial" w:cs="Arial" w:eastAsia="Arial" w:hAnsi="Arial"/>
          <w:sz w:val="22"/>
          <w:szCs w:val="22"/>
          <w:b w:val="1"/>
          <w:bCs w:val="1"/>
          <w:color w:val="auto"/>
        </w:rPr>
      </w:pPr>
    </w:p>
    <w:p>
      <w:pPr>
        <w:jc w:val="both"/>
        <w:ind w:left="652" w:hanging="490"/>
        <w:spacing w:after="0" w:line="284" w:lineRule="auto"/>
        <w:tabs>
          <w:tab w:leader="none" w:pos="642" w:val="left"/>
        </w:tabs>
        <w:numPr>
          <w:ilvl w:val="1"/>
          <w:numId w:val="839"/>
        </w:numPr>
        <w:rPr>
          <w:rFonts w:ascii="Arial" w:cs="Arial" w:eastAsia="Arial" w:hAnsi="Arial"/>
          <w:sz w:val="18"/>
          <w:szCs w:val="18"/>
          <w:color w:val="auto"/>
        </w:rPr>
      </w:pPr>
      <w:r>
        <w:rPr>
          <w:rFonts w:ascii="Arial" w:cs="Arial" w:eastAsia="Arial" w:hAnsi="Arial"/>
          <w:sz w:val="18"/>
          <w:szCs w:val="18"/>
          <w:color w:val="auto"/>
        </w:rPr>
        <w:t>By accepting a grant of PSUs, each Participant consents to the collection and processing of personal data relating to the Participant in connection with such grant and the performance of this Plan and the PSU Award Agreement by the Company, the Board of Directors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PSUs, to provide for cash-less grants or sale mechanics and to generally administer and manage the Plan or keep records of participation levels.</w:t>
      </w:r>
    </w:p>
    <w:p>
      <w:pPr>
        <w:spacing w:after="0" w:line="231" w:lineRule="exact"/>
        <w:rPr>
          <w:rFonts w:ascii="Arial" w:cs="Arial" w:eastAsia="Arial" w:hAnsi="Arial"/>
          <w:sz w:val="18"/>
          <w:szCs w:val="18"/>
          <w:color w:val="auto"/>
        </w:rPr>
      </w:pPr>
    </w:p>
    <w:p>
      <w:pPr>
        <w:jc w:val="both"/>
        <w:ind w:left="652" w:hanging="490"/>
        <w:spacing w:after="0" w:line="285" w:lineRule="auto"/>
        <w:tabs>
          <w:tab w:leader="none" w:pos="642" w:val="left"/>
        </w:tabs>
        <w:numPr>
          <w:ilvl w:val="1"/>
          <w:numId w:val="839"/>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employer Group Company.</w:t>
      </w:r>
    </w:p>
    <w:p>
      <w:pPr>
        <w:spacing w:after="0" w:line="213" w:lineRule="exact"/>
        <w:rPr>
          <w:rFonts w:ascii="Arial" w:cs="Arial" w:eastAsia="Arial" w:hAnsi="Arial"/>
          <w:sz w:val="18"/>
          <w:szCs w:val="18"/>
          <w:color w:val="auto"/>
        </w:rPr>
      </w:pPr>
    </w:p>
    <w:p>
      <w:pPr>
        <w:ind w:left="632" w:hanging="632"/>
        <w:spacing w:after="0"/>
        <w:tabs>
          <w:tab w:leader="none" w:pos="632" w:val="left"/>
        </w:tabs>
        <w:numPr>
          <w:ilvl w:val="0"/>
          <w:numId w:val="839"/>
        </w:numPr>
        <w:rPr>
          <w:rFonts w:ascii="Arial" w:cs="Arial" w:eastAsia="Arial" w:hAnsi="Arial"/>
          <w:sz w:val="22"/>
          <w:szCs w:val="22"/>
          <w:b w:val="1"/>
          <w:bCs w:val="1"/>
          <w:color w:val="auto"/>
        </w:rPr>
      </w:pPr>
      <w:r>
        <w:rPr>
          <w:rFonts w:ascii="Arial" w:cs="Arial" w:eastAsia="Arial" w:hAnsi="Arial"/>
          <w:sz w:val="22"/>
          <w:szCs w:val="22"/>
          <w:b w:val="1"/>
          <w:bCs w:val="1"/>
          <w:color w:val="auto"/>
        </w:rPr>
        <w:t>Legal and regulatory restrictions</w:t>
      </w:r>
    </w:p>
    <w:p>
      <w:pPr>
        <w:spacing w:after="0" w:line="318" w:lineRule="exact"/>
        <w:rPr>
          <w:rFonts w:ascii="Arial" w:cs="Arial" w:eastAsia="Arial" w:hAnsi="Arial"/>
          <w:sz w:val="22"/>
          <w:szCs w:val="22"/>
          <w:b w:val="1"/>
          <w:bCs w:val="1"/>
          <w:color w:val="auto"/>
        </w:rPr>
      </w:pPr>
    </w:p>
    <w:p>
      <w:pPr>
        <w:ind w:left="652" w:hanging="490"/>
        <w:spacing w:after="0" w:line="293" w:lineRule="auto"/>
        <w:tabs>
          <w:tab w:leader="none" w:pos="642" w:val="left"/>
        </w:tabs>
        <w:numPr>
          <w:ilvl w:val="1"/>
          <w:numId w:val="839"/>
        </w:numPr>
        <w:rPr>
          <w:rFonts w:ascii="Arial" w:cs="Arial" w:eastAsia="Arial" w:hAnsi="Arial"/>
          <w:sz w:val="18"/>
          <w:szCs w:val="18"/>
          <w:color w:val="auto"/>
        </w:rPr>
      </w:pPr>
      <w:r>
        <w:rPr>
          <w:rFonts w:ascii="Arial" w:cs="Arial" w:eastAsia="Arial" w:hAnsi="Arial"/>
          <w:sz w:val="18"/>
          <w:szCs w:val="18"/>
          <w:color w:val="auto"/>
        </w:rPr>
        <w:t>Neither the Shares nor the PSU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652" w:hanging="490"/>
        <w:spacing w:after="0" w:line="283" w:lineRule="auto"/>
        <w:tabs>
          <w:tab w:leader="none" w:pos="642" w:val="left"/>
        </w:tabs>
        <w:numPr>
          <w:ilvl w:val="1"/>
          <w:numId w:val="839"/>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PSUs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 requirement (other than the regular listing of the Shares at SIX Swiss Exchange and their registration in the commercial register and in the book entry system to create intermediated securities (Bucheffekten)), such grant, delivery or extension shall be deemed null and void. In such case, the Company may (without obligation) decide in</w:t>
      </w:r>
    </w:p>
    <w:p>
      <w:pPr>
        <w:sectPr>
          <w:pgSz w:w="11900" w:h="16838" w:orient="portrait"/>
          <w:cols w:equalWidth="0" w:num="1">
            <w:col w:w="11232"/>
          </w:cols>
          <w:pgMar w:left="328" w:top="180" w:right="339" w:bottom="1440" w:gutter="0" w:footer="0" w:header="0"/>
        </w:sectPr>
      </w:pPr>
    </w:p>
    <w:bookmarkStart w:id="804" w:name="page805"/>
    <w:bookmarkEnd w:id="804"/>
    <w:tbl>
      <w:tblPr>
        <w:tblLayout w:type="fixed"/>
        <w:tblInd w:w="672" w:type="dxa"/>
        <w:tblCellMar>
          <w:top w:w="0" w:type="dxa"/>
          <w:left w:w="0" w:type="dxa"/>
          <w:bottom w:w="0" w:type="dxa"/>
          <w:right w:w="0" w:type="dxa"/>
        </w:tblCellMar>
      </w:tblPr>
      <w:tr>
        <w:trPr>
          <w:trHeight w:val="187"/>
        </w:trPr>
        <w:tc>
          <w:tcPr>
            <w:tcW w:w="710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2820" w:type="dxa"/>
            <w:vAlign w:val="bottom"/>
          </w:tcPr>
          <w:p>
            <w:pPr>
              <w:jc w:val="right"/>
              <w:spacing w:after="0"/>
              <w:rPr>
                <w:sz w:val="20"/>
                <w:szCs w:val="20"/>
                <w:color w:val="auto"/>
              </w:rPr>
            </w:pPr>
            <w:r>
              <w:rPr>
                <w:rFonts w:ascii="Arial" w:cs="Arial" w:eastAsia="Arial" w:hAnsi="Arial"/>
                <w:sz w:val="13"/>
                <w:szCs w:val="13"/>
                <w:color w:val="auto"/>
              </w:rPr>
              <w:t>10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its own discretion whether and how to compensate the relevant persons in lieu of such grant, delivery or extension.</w:t>
      </w:r>
    </w:p>
    <w:p>
      <w:pPr>
        <w:spacing w:after="0" w:line="293" w:lineRule="exact"/>
        <w:rPr>
          <w:sz w:val="20"/>
          <w:szCs w:val="20"/>
          <w:color w:val="auto"/>
        </w:rPr>
      </w:pPr>
    </w:p>
    <w:p>
      <w:pPr>
        <w:ind w:left="652" w:hanging="490"/>
        <w:spacing w:after="0" w:line="293" w:lineRule="auto"/>
        <w:tabs>
          <w:tab w:leader="none" w:pos="646" w:val="left"/>
        </w:tabs>
        <w:numPr>
          <w:ilvl w:val="0"/>
          <w:numId w:val="840"/>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PSUs and any shares granted thereunder.</w:t>
      </w:r>
    </w:p>
    <w:p>
      <w:pPr>
        <w:spacing w:after="0" w:line="223" w:lineRule="exact"/>
        <w:rPr>
          <w:rFonts w:ascii="Arial" w:cs="Arial" w:eastAsia="Arial" w:hAnsi="Arial"/>
          <w:sz w:val="18"/>
          <w:szCs w:val="18"/>
          <w:color w:val="auto"/>
        </w:rPr>
      </w:pPr>
    </w:p>
    <w:p>
      <w:pPr>
        <w:ind w:left="652" w:right="20" w:hanging="490"/>
        <w:spacing w:after="0" w:line="293" w:lineRule="auto"/>
        <w:tabs>
          <w:tab w:leader="none" w:pos="642" w:val="left"/>
        </w:tabs>
        <w:numPr>
          <w:ilvl w:val="0"/>
          <w:numId w:val="840"/>
        </w:numPr>
        <w:rPr>
          <w:rFonts w:ascii="Arial" w:cs="Arial" w:eastAsia="Arial" w:hAnsi="Arial"/>
          <w:sz w:val="18"/>
          <w:szCs w:val="18"/>
          <w:color w:val="auto"/>
        </w:rPr>
      </w:pPr>
      <w:r>
        <w:rPr>
          <w:rFonts w:ascii="Arial" w:cs="Arial" w:eastAsia="Arial" w:hAnsi="Arial"/>
          <w:sz w:val="18"/>
          <w:szCs w:val="18"/>
          <w:color w:val="auto"/>
        </w:rPr>
        <w:t>Any grant of PSUs to members of the Management Board that qualifies as prohibited payment under the Compensation Ordinance or otherwise, shall be null and void.</w:t>
      </w:r>
    </w:p>
    <w:p>
      <w:pPr>
        <w:spacing w:after="0" w:line="237" w:lineRule="exact"/>
        <w:rPr>
          <w:rFonts w:ascii="Arial" w:cs="Arial" w:eastAsia="Arial" w:hAnsi="Arial"/>
          <w:sz w:val="18"/>
          <w:szCs w:val="18"/>
          <w:color w:val="auto"/>
        </w:rPr>
      </w:pPr>
    </w:p>
    <w:p>
      <w:pPr>
        <w:jc w:val="both"/>
        <w:ind w:left="652" w:hanging="490"/>
        <w:spacing w:after="0" w:line="285" w:lineRule="auto"/>
        <w:tabs>
          <w:tab w:leader="none" w:pos="642" w:val="left"/>
        </w:tabs>
        <w:numPr>
          <w:ilvl w:val="0"/>
          <w:numId w:val="840"/>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case of termination of employment or Change of Control should, at the time of the relevant event, qualify as providing additional value to a member of the Management Board in a manner that would violate the Compensation Ordinance or other legal provisions, such additional value shall be otherwise compensated, e.g. by a relevant deduction from cash compensation or other proceeds.</w:t>
      </w:r>
    </w:p>
    <w:p>
      <w:pPr>
        <w:spacing w:after="0" w:line="214" w:lineRule="exact"/>
        <w:rPr>
          <w:sz w:val="20"/>
          <w:szCs w:val="20"/>
          <w:color w:val="auto"/>
        </w:rPr>
      </w:pPr>
    </w:p>
    <w:p>
      <w:pPr>
        <w:ind w:left="632" w:hanging="632"/>
        <w:spacing w:after="0"/>
        <w:tabs>
          <w:tab w:leader="none" w:pos="632" w:val="left"/>
        </w:tabs>
        <w:numPr>
          <w:ilvl w:val="0"/>
          <w:numId w:val="841"/>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PSU grants. Any adverse economic effects of such termination, suspension or amendment on grants already made pursuant to a PSU Agreement shall be fairly compensated in cash, by adjustment of other terms of the grant, by replacement by other grants or benefits, or otherwise.</w:t>
      </w:r>
    </w:p>
    <w:p>
      <w:pPr>
        <w:spacing w:after="0" w:line="200" w:lineRule="exact"/>
        <w:rPr>
          <w:sz w:val="20"/>
          <w:szCs w:val="20"/>
          <w:color w:val="auto"/>
        </w:rPr>
      </w:pPr>
    </w:p>
    <w:p>
      <w:pPr>
        <w:ind w:left="632" w:hanging="632"/>
        <w:spacing w:after="0"/>
        <w:tabs>
          <w:tab w:leader="none" w:pos="632" w:val="left"/>
        </w:tabs>
        <w:numPr>
          <w:ilvl w:val="0"/>
          <w:numId w:val="842"/>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ind w:left="632" w:hanging="632"/>
        <w:spacing w:after="0"/>
        <w:tabs>
          <w:tab w:leader="none" w:pos="632" w:val="left"/>
        </w:tabs>
        <w:numPr>
          <w:ilvl w:val="0"/>
          <w:numId w:val="843"/>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318" w:lineRule="exact"/>
        <w:rPr>
          <w:rFonts w:ascii="Arial" w:cs="Arial" w:eastAsia="Arial" w:hAnsi="Arial"/>
          <w:sz w:val="22"/>
          <w:szCs w:val="22"/>
          <w:b w:val="1"/>
          <w:bCs w:val="1"/>
          <w:color w:val="auto"/>
        </w:rPr>
      </w:pPr>
    </w:p>
    <w:p>
      <w:pPr>
        <w:ind w:left="652" w:right="20" w:hanging="490"/>
        <w:spacing w:after="0" w:line="293" w:lineRule="auto"/>
        <w:tabs>
          <w:tab w:leader="none" w:pos="642"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This Plan and any PSU Award Agreement shall be governed by, and construed in accordance with, the substantive laws of Switzerland.</w:t>
      </w:r>
    </w:p>
    <w:p>
      <w:pPr>
        <w:spacing w:after="0" w:line="237" w:lineRule="exact"/>
        <w:rPr>
          <w:rFonts w:ascii="Arial" w:cs="Arial" w:eastAsia="Arial" w:hAnsi="Arial"/>
          <w:sz w:val="18"/>
          <w:szCs w:val="18"/>
          <w:color w:val="auto"/>
        </w:rPr>
      </w:pPr>
    </w:p>
    <w:p>
      <w:pPr>
        <w:jc w:val="both"/>
        <w:ind w:left="652" w:hanging="490"/>
        <w:spacing w:after="0" w:line="287" w:lineRule="auto"/>
        <w:tabs>
          <w:tab w:leader="none" w:pos="642" w:val="left"/>
        </w:tabs>
        <w:numPr>
          <w:ilvl w:val="1"/>
          <w:numId w:val="843"/>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PSU Award Agreement shall be submitted to the exclusive jurisdiction of the courts at the domicile of the Company (currently Schlieren, Canton of Zurich, Switzerland).</w:t>
      </w:r>
    </w:p>
    <w:p>
      <w:pPr>
        <w:spacing w:after="0" w:line="197" w:lineRule="exact"/>
        <w:rPr>
          <w:rFonts w:ascii="Arial" w:cs="Arial" w:eastAsia="Arial" w:hAnsi="Arial"/>
          <w:sz w:val="18"/>
          <w:szCs w:val="18"/>
          <w:color w:val="auto"/>
        </w:rPr>
      </w:pPr>
    </w:p>
    <w:p>
      <w:pPr>
        <w:ind w:left="632" w:hanging="632"/>
        <w:spacing w:after="0"/>
        <w:tabs>
          <w:tab w:leader="none" w:pos="632" w:val="left"/>
        </w:tabs>
        <w:numPr>
          <w:ilvl w:val="0"/>
          <w:numId w:val="843"/>
        </w:numPr>
        <w:rPr>
          <w:rFonts w:ascii="Arial" w:cs="Arial" w:eastAsia="Arial" w:hAnsi="Arial"/>
          <w:sz w:val="22"/>
          <w:szCs w:val="22"/>
          <w:b w:val="1"/>
          <w:bCs w:val="1"/>
          <w:color w:val="auto"/>
        </w:rPr>
      </w:pPr>
      <w:r>
        <w:rPr>
          <w:rFonts w:ascii="Arial" w:cs="Arial" w:eastAsia="Arial" w:hAnsi="Arial"/>
          <w:sz w:val="22"/>
          <w:szCs w:val="22"/>
          <w:b w:val="1"/>
          <w:bCs w:val="1"/>
          <w:color w:val="auto"/>
        </w:rPr>
        <w:t>Entry into Force</w:t>
      </w:r>
    </w:p>
    <w:p>
      <w:pPr>
        <w:spacing w:after="0" w:line="31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As per approval of the Board of Directors, this Plan shall enter into force as of March 24, 2021.</w:t>
      </w:r>
    </w:p>
    <w:p>
      <w:pPr>
        <w:sectPr>
          <w:pgSz w:w="11900" w:h="16838" w:orient="portrait"/>
          <w:cols w:equalWidth="0" w:num="1">
            <w:col w:w="11232"/>
          </w:cols>
          <w:pgMar w:left="328" w:top="180" w:right="339" w:bottom="1440" w:gutter="0" w:footer="0" w:header="0"/>
        </w:sectPr>
      </w:pPr>
    </w:p>
    <w:bookmarkStart w:id="805" w:name="page806"/>
    <w:bookmarkEnd w:id="805"/>
    <w:p>
      <w:pPr>
        <w:ind w:left="20"/>
        <w:spacing w:after="0"/>
        <w:rPr>
          <w:sz w:val="20"/>
          <w:szCs w:val="20"/>
          <w:color w:val="auto"/>
        </w:rPr>
      </w:pPr>
      <w:r>
        <w:rPr>
          <w:rFonts w:ascii="Arial" w:cs="Arial" w:eastAsia="Arial" w:hAnsi="Arial"/>
          <w:sz w:val="13"/>
          <w:szCs w:val="13"/>
          <w:color w:val="auto"/>
        </w:rPr>
        <w:t>Molecular Partners AG: Performance Share Plan 2021 – 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Goal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shall mean all Group Companies.</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LTI Score Card </w:t>
      </w:r>
      <w:r>
        <w:rPr>
          <w:rFonts w:ascii="Arial" w:cs="Arial" w:eastAsia="Arial" w:hAnsi="Arial"/>
          <w:sz w:val="18"/>
          <w:szCs w:val="18"/>
          <w:color w:val="auto"/>
        </w:rPr>
        <w:t>shall have the meaning set forth in Section 10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Management Board </w:t>
      </w:r>
      <w:r>
        <w:rPr>
          <w:rFonts w:ascii="Arial" w:cs="Arial" w:eastAsia="Arial" w:hAnsi="Arial"/>
          <w:sz w:val="18"/>
          <w:szCs w:val="18"/>
          <w:color w:val="auto"/>
        </w:rPr>
        <w:t>shall mean the members of the top level executive management, i.e. those managers whose compensation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Compensation Ordinance.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PSUs through a PSU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Multiple </w:t>
      </w:r>
      <w:r>
        <w:rPr>
          <w:rFonts w:ascii="Arial" w:cs="Arial" w:eastAsia="Arial" w:hAnsi="Arial"/>
          <w:sz w:val="18"/>
          <w:szCs w:val="18"/>
          <w:color w:val="auto"/>
        </w:rPr>
        <w:t>shall be the multiple determined in accordance with Section 10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40"/>
          </w:cols>
          <w:pgMar w:left="320" w:top="180" w:right="339" w:bottom="1440" w:gutter="0" w:footer="0" w:header="0"/>
        </w:sectPr>
      </w:pPr>
    </w:p>
    <w:bookmarkStart w:id="806" w:name="page807"/>
    <w:bookmarkEnd w:id="806"/>
    <w:p>
      <w:pPr>
        <w:ind w:left="20"/>
        <w:spacing w:after="0"/>
        <w:rPr>
          <w:sz w:val="20"/>
          <w:szCs w:val="20"/>
          <w:color w:val="auto"/>
        </w:rPr>
      </w:pPr>
      <w:r>
        <w:rPr>
          <w:rFonts w:ascii="Arial" w:cs="Arial" w:eastAsia="Arial" w:hAnsi="Arial"/>
          <w:sz w:val="13"/>
          <w:szCs w:val="13"/>
          <w:color w:val="auto"/>
        </w:rPr>
        <w:t>Molecular Partners AG: Performance Share Plan 2021 – 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Board PSU Award Agreement 2021</w:t>
      </w:r>
    </w:p>
    <w:p>
      <w:pPr>
        <w:spacing w:after="0" w:line="27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Performance Share Plan 2021 (the </w:t>
      </w:r>
      <w:r>
        <w:rPr>
          <w:rFonts w:ascii="Arial" w:cs="Arial" w:eastAsia="Arial" w:hAnsi="Arial"/>
          <w:sz w:val="18"/>
          <w:szCs w:val="18"/>
          <w:b w:val="1"/>
          <w:bCs w:val="1"/>
          <w:color w:val="auto"/>
        </w:rPr>
        <w:t>PSU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PSU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PSU Plan, the Company hereby grants to you the following PSUs:</w:t>
      </w:r>
    </w:p>
    <w:p>
      <w:pPr>
        <w:spacing w:after="0" w:line="266" w:lineRule="exact"/>
        <w:rPr>
          <w:sz w:val="20"/>
          <w:szCs w:val="20"/>
          <w:color w:val="auto"/>
        </w:rPr>
      </w:pPr>
    </w:p>
    <w:tbl>
      <w:tblPr>
        <w:tblLayout w:type="fixed"/>
        <w:tblInd w:w="400" w:type="dxa"/>
        <w:tblCellMar>
          <w:top w:w="0" w:type="dxa"/>
          <w:left w:w="0" w:type="dxa"/>
          <w:bottom w:w="0" w:type="dxa"/>
          <w:right w:w="0" w:type="dxa"/>
        </w:tblCellMar>
      </w:tblPr>
      <w:tr>
        <w:trPr>
          <w:trHeight w:val="351"/>
        </w:trPr>
        <w:tc>
          <w:tcPr>
            <w:tcW w:w="3040" w:type="dxa"/>
            <w:vAlign w:val="bottom"/>
          </w:tcPr>
          <w:p>
            <w:pPr>
              <w:spacing w:after="0"/>
              <w:rPr>
                <w:sz w:val="20"/>
                <w:szCs w:val="20"/>
                <w:color w:val="auto"/>
              </w:rPr>
            </w:pPr>
            <w:r>
              <w:rPr>
                <w:rFonts w:ascii="Arial" w:cs="Arial" w:eastAsia="Arial" w:hAnsi="Arial"/>
                <w:sz w:val="18"/>
                <w:szCs w:val="18"/>
                <w:b w:val="1"/>
                <w:bCs w:val="1"/>
                <w:color w:val="auto"/>
              </w:rPr>
              <w:t>Number of PSUs</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135"/>
        </w:trPr>
        <w:tc>
          <w:tcPr>
            <w:tcW w:w="3040" w:type="dxa"/>
            <w:vAlign w:val="bottom"/>
          </w:tcPr>
          <w:p>
            <w:pPr>
              <w:spacing w:after="0"/>
              <w:rPr>
                <w:sz w:val="11"/>
                <w:szCs w:val="11"/>
                <w:color w:val="auto"/>
              </w:rPr>
            </w:pPr>
          </w:p>
        </w:tc>
        <w:tc>
          <w:tcPr>
            <w:tcW w:w="7440" w:type="dxa"/>
            <w:vAlign w:val="bottom"/>
            <w:shd w:val="clear" w:color="auto" w:fill="D9D9D9"/>
          </w:tcPr>
          <w:p>
            <w:pPr>
              <w:spacing w:after="0"/>
              <w:rPr>
                <w:sz w:val="11"/>
                <w:szCs w:val="11"/>
                <w:color w:val="auto"/>
              </w:rPr>
            </w:pPr>
          </w:p>
        </w:tc>
      </w:tr>
    </w:tbl>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grants and any rights associated therewith are personal and not transferable. The number of Shares that may be allocated according to the PSU Plan shall be determined by the Nomination and Compensation Committee in accordance with the PSU Plan and the LTI Score Card setting out the corporate goals relevant for this award ([communicated to you separately] | [</w:t>
      </w:r>
      <w:r>
        <w:rPr>
          <w:rFonts w:ascii="Arial" w:cs="Arial" w:eastAsia="Arial" w:hAnsi="Arial"/>
          <w:sz w:val="18"/>
          <w:szCs w:val="18"/>
          <w:u w:val="single" w:color="auto"/>
          <w:color w:val="auto"/>
        </w:rPr>
        <w:t>attached hereto]</w:t>
      </w:r>
      <w:r>
        <w:rPr>
          <w:rFonts w:ascii="Arial" w:cs="Arial" w:eastAsia="Arial" w:hAnsi="Arial"/>
          <w:sz w:val="18"/>
          <w:szCs w:val="18"/>
          <w:color w:val="auto"/>
        </w:rPr>
        <w:t>). Please note that the PSU Plan includes a number of restrictions and conditions, which may lead to a complete loss of any entitlements hereunder. Any grants made to you the Participant as a member of the Management Board shall be subject to the approval of relevant compensation amounts for the Management Board by the shareholders' meeting for the year 2021.</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PSUs in accordance with this Agreement and the PSU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PSUs is being made, without obligation, at the sole and unrestricted discretion of the Company. The PSU Plan, your eligibility thereunder, the grant of PSUs or the allocation of Shares in connection therewith shall not confer upon you any right to participate in the PSU Plan or to receive grants of PSUs or Shares in the future.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Molecular Partners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194945</wp:posOffset>
            </wp:positionV>
            <wp:extent cx="1551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534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313"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 by the Participant on (Date,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534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3416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6350</wp:posOffset>
            </wp:positionV>
            <wp:extent cx="14230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807" w:name="page808"/>
    <w:bookmarkEnd w:id="807"/>
    <w:tbl>
      <w:tblPr>
        <w:tblLayout w:type="fixed"/>
        <w:tblInd w:w="680" w:type="dxa"/>
        <w:tblCellMar>
          <w:top w:w="0" w:type="dxa"/>
          <w:left w:w="0" w:type="dxa"/>
          <w:bottom w:w="0" w:type="dxa"/>
          <w:right w:w="0" w:type="dxa"/>
        </w:tblCellMar>
      </w:tblPr>
      <w:tr>
        <w:trPr>
          <w:trHeight w:val="187"/>
        </w:trPr>
        <w:tc>
          <w:tcPr>
            <w:tcW w:w="7440" w:type="dxa"/>
            <w:vAlign w:val="bottom"/>
          </w:tcPr>
          <w:p>
            <w:pPr>
              <w:spacing w:after="0"/>
              <w:rPr>
                <w:sz w:val="20"/>
                <w:szCs w:val="20"/>
                <w:color w:val="auto"/>
              </w:rPr>
            </w:pPr>
            <w:r>
              <w:rPr>
                <w:rFonts w:ascii="Arial" w:cs="Arial" w:eastAsia="Arial" w:hAnsi="Arial"/>
                <w:sz w:val="13"/>
                <w:szCs w:val="13"/>
                <w:color w:val="auto"/>
              </w:rPr>
              <w:t>Molecular Partners AG: Performance Share Plan 2021 – Management Board</w:t>
            </w:r>
          </w:p>
        </w:tc>
        <w:tc>
          <w:tcPr>
            <w:tcW w:w="3100" w:type="dxa"/>
            <w:vAlign w:val="bottom"/>
          </w:tcPr>
          <w:p>
            <w:pPr>
              <w:jc w:val="right"/>
              <w:spacing w:after="0"/>
              <w:rPr>
                <w:sz w:val="20"/>
                <w:szCs w:val="20"/>
                <w:color w:val="auto"/>
              </w:rPr>
            </w:pPr>
            <w:r>
              <w:rPr>
                <w:rFonts w:ascii="Arial" w:cs="Arial" w:eastAsia="Arial" w:hAnsi="Arial"/>
                <w:sz w:val="13"/>
                <w:szCs w:val="13"/>
                <w:color w:val="auto"/>
              </w:rPr>
              <w:t>2 | 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to the PSU Award Agreement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Board PSU Plan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 Score Card [for [</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220"/>
          </w:cols>
          <w:pgMar w:left="320" w:top="180" w:right="359" w:bottom="1440" w:gutter="0" w:footer="0" w:header="0"/>
        </w:sectPr>
      </w:pPr>
    </w:p>
    <w:bookmarkStart w:id="808" w:name="page809"/>
    <w:bookmarkEnd w:id="808"/>
    <w:p>
      <w:pPr>
        <w:jc w:val="right"/>
        <w:spacing w:after="0"/>
        <w:rPr>
          <w:sz w:val="20"/>
          <w:szCs w:val="20"/>
          <w:color w:val="auto"/>
        </w:rPr>
      </w:pPr>
      <w:r>
        <w:rPr>
          <w:rFonts w:ascii="Arial" w:cs="Arial" w:eastAsia="Arial" w:hAnsi="Arial"/>
          <w:sz w:val="18"/>
          <w:szCs w:val="18"/>
          <w:b w:val="1"/>
          <w:bCs w:val="1"/>
          <w:color w:val="auto"/>
        </w:rPr>
        <w:t>Exhibit 10.13</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Molecular Partners AG: Restricted Share Plan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Restricted Share Plan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Annex 4_RSU Plan 2017_for CC Approval</w:t>
      </w:r>
    </w:p>
    <w:p>
      <w:pPr>
        <w:sectPr>
          <w:pgSz w:w="11900" w:h="16838" w:orient="portrait"/>
          <w:cols w:equalWidth="0" w:num="1">
            <w:col w:w="11240"/>
          </w:cols>
          <w:pgMar w:left="320" w:top="135" w:right="339" w:bottom="1440" w:gutter="0" w:footer="0" w:header="0"/>
        </w:sectPr>
      </w:pPr>
    </w:p>
    <w:bookmarkStart w:id="809" w:name="page810"/>
    <w:bookmarkEnd w:id="809"/>
    <w:tbl>
      <w:tblPr>
        <w:tblLayout w:type="fixed"/>
        <w:tblInd w:w="20"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Arial" w:cs="Arial" w:eastAsia="Arial" w:hAnsi="Arial"/>
                <w:sz w:val="13"/>
                <w:szCs w:val="13"/>
                <w:color w:val="auto"/>
              </w:rPr>
              <w:t>Molecular Partners AG: Restricted Share Plan 2017</w:t>
            </w:r>
          </w:p>
        </w:tc>
        <w:tc>
          <w:tcPr>
            <w:tcW w:w="3840" w:type="dxa"/>
            <w:vAlign w:val="bottom"/>
          </w:tcPr>
          <w:p>
            <w:pPr>
              <w:jc w:val="right"/>
              <w:spacing w:after="0"/>
              <w:rPr>
                <w:sz w:val="20"/>
                <w:szCs w:val="20"/>
                <w:color w:val="auto"/>
              </w:rPr>
            </w:pPr>
            <w:r>
              <w:rPr>
                <w:rFonts w:ascii="Arial" w:cs="Arial" w:eastAsia="Arial" w:hAnsi="Arial"/>
                <w:sz w:val="13"/>
                <w:szCs w:val="13"/>
                <w:color w:val="auto"/>
              </w:rPr>
              <w:t>2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Contents</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80" w:type="dxa"/>
            <w:vAlign w:val="bottom"/>
          </w:tcPr>
          <w:p>
            <w:pPr>
              <w:spacing w:after="0"/>
              <w:rPr>
                <w:sz w:val="21"/>
                <w:szCs w:val="21"/>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Restricted Share Plan 2017</w:t>
            </w:r>
          </w:p>
        </w:tc>
        <w:tc>
          <w:tcPr>
            <w:tcW w:w="3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553"/>
        </w:trPr>
        <w:tc>
          <w:tcPr>
            <w:tcW w:w="380" w:type="dxa"/>
            <w:vAlign w:val="bottom"/>
          </w:tcPr>
          <w:p>
            <w:pPr>
              <w:spacing w:after="0"/>
              <w:rPr>
                <w:sz w:val="24"/>
                <w:szCs w:val="24"/>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Purpose</w:t>
            </w:r>
          </w:p>
        </w:tc>
        <w:tc>
          <w:tcPr>
            <w:tcW w:w="3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Definitions and Interpretation</w:t>
            </w:r>
          </w:p>
        </w:tc>
        <w:tc>
          <w:tcPr>
            <w:tcW w:w="3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Responsibilities and Administration</w:t>
            </w:r>
          </w:p>
        </w:tc>
        <w:tc>
          <w:tcPr>
            <w:tcW w:w="3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Eligibility and Participation</w:t>
            </w:r>
          </w:p>
        </w:tc>
        <w:tc>
          <w:tcPr>
            <w:tcW w:w="3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Grant of RSUs</w:t>
            </w:r>
          </w:p>
        </w:tc>
        <w:tc>
          <w:tcPr>
            <w:tcW w:w="3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No Securities</w:t>
            </w:r>
          </w:p>
        </w:tc>
        <w:tc>
          <w:tcPr>
            <w:tcW w:w="3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No Transfer</w:t>
            </w:r>
          </w:p>
        </w:tc>
        <w:tc>
          <w:tcPr>
            <w:tcW w:w="3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Vesting and Delivery of Shares</w:t>
            </w:r>
          </w:p>
        </w:tc>
        <w:tc>
          <w:tcPr>
            <w:tcW w:w="3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Underlying Shares</w:t>
            </w:r>
          </w:p>
        </w:tc>
        <w:tc>
          <w:tcPr>
            <w:tcW w:w="3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Taxes and Social Security Contributions</w:t>
            </w:r>
          </w:p>
        </w:tc>
        <w:tc>
          <w:tcPr>
            <w:tcW w:w="3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Disclosure Requirements</w:t>
            </w:r>
          </w:p>
        </w:tc>
        <w:tc>
          <w:tcPr>
            <w:tcW w:w="3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Other Obligations of the Participant</w:t>
            </w:r>
          </w:p>
        </w:tc>
        <w:tc>
          <w:tcPr>
            <w:tcW w:w="3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Termination of Relationship</w:t>
            </w:r>
          </w:p>
        </w:tc>
        <w:tc>
          <w:tcPr>
            <w:tcW w:w="3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Change of Control</w:t>
            </w:r>
          </w:p>
        </w:tc>
        <w:tc>
          <w:tcPr>
            <w:tcW w:w="3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7"/>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Corporate Events</w:t>
            </w:r>
          </w:p>
        </w:tc>
        <w:tc>
          <w:tcPr>
            <w:tcW w:w="3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Data Protection</w:t>
            </w:r>
          </w:p>
        </w:tc>
        <w:tc>
          <w:tcPr>
            <w:tcW w:w="3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Legal and regulatory restrictions</w:t>
            </w:r>
          </w:p>
        </w:tc>
        <w:tc>
          <w:tcPr>
            <w:tcW w:w="3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Amendment and Termination</w:t>
            </w:r>
          </w:p>
        </w:tc>
        <w:tc>
          <w:tcPr>
            <w:tcW w:w="3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56"/>
        </w:trPr>
        <w:tc>
          <w:tcPr>
            <w:tcW w:w="380" w:type="dxa"/>
            <w:vAlign w:val="bottom"/>
          </w:tcPr>
          <w:p>
            <w:pPr>
              <w:spacing w:after="0"/>
              <w:rPr>
                <w:sz w:val="22"/>
                <w:szCs w:val="22"/>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3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6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6580" w:type="dxa"/>
            <w:vAlign w:val="bottom"/>
          </w:tcPr>
          <w:p>
            <w:pPr>
              <w:ind w:left="120"/>
              <w:spacing w:after="0"/>
              <w:rPr>
                <w:sz w:val="20"/>
                <w:szCs w:val="20"/>
                <w:color w:val="auto"/>
              </w:rPr>
            </w:pPr>
            <w:r>
              <w:rPr>
                <w:rFonts w:ascii="Arial" w:cs="Arial" w:eastAsia="Arial" w:hAnsi="Arial"/>
                <w:sz w:val="18"/>
                <w:szCs w:val="18"/>
                <w:color w:val="auto"/>
              </w:rPr>
              <w:t>Entry into Force</w:t>
            </w:r>
          </w:p>
        </w:tc>
        <w:tc>
          <w:tcPr>
            <w:tcW w:w="34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ectPr>
          <w:pgSz w:w="11900" w:h="16838" w:orient="portrait"/>
          <w:cols w:equalWidth="0" w:num="1">
            <w:col w:w="10560"/>
          </w:cols>
          <w:pgMar w:left="320" w:top="180" w:right="1019" w:bottom="198"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Annex 1: 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Annex 2: Form of RSU Award Agreement</w:t>
      </w:r>
    </w:p>
    <w:p>
      <w:pPr>
        <w:sectPr>
          <w:pgSz w:w="11900" w:h="16838" w:orient="portrait"/>
          <w:cols w:equalWidth="0" w:num="1">
            <w:col w:w="10560"/>
          </w:cols>
          <w:pgMar w:left="320" w:top="180" w:right="1019" w:bottom="198" w:gutter="0" w:footer="0" w:header="0"/>
          <w:type w:val="continuous"/>
        </w:sectPr>
      </w:pPr>
    </w:p>
    <w:bookmarkStart w:id="810" w:name="page811"/>
    <w:bookmarkEnd w:id="8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11" w:name="page812"/>
    <w:bookmarkEnd w:id="811"/>
    <w:tbl>
      <w:tblPr>
        <w:tblLayout w:type="fixed"/>
        <w:tblInd w:w="20"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Arial" w:cs="Arial" w:eastAsia="Arial" w:hAnsi="Arial"/>
                <w:sz w:val="13"/>
                <w:szCs w:val="13"/>
                <w:color w:val="auto"/>
              </w:rPr>
              <w:t>Molecular Partners AG: Restricted Share Plan 2017</w:t>
            </w:r>
          </w:p>
        </w:tc>
        <w:tc>
          <w:tcPr>
            <w:tcW w:w="3840" w:type="dxa"/>
            <w:vAlign w:val="bottom"/>
          </w:tcPr>
          <w:p>
            <w:pPr>
              <w:jc w:val="right"/>
              <w:spacing w:after="0"/>
              <w:rPr>
                <w:sz w:val="20"/>
                <w:szCs w:val="20"/>
                <w:color w:val="auto"/>
              </w:rPr>
            </w:pPr>
            <w:r>
              <w:rPr>
                <w:rFonts w:ascii="Arial" w:cs="Arial" w:eastAsia="Arial" w:hAnsi="Arial"/>
                <w:sz w:val="13"/>
                <w:szCs w:val="13"/>
                <w:color w:val="auto"/>
              </w:rPr>
              <w:t>3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Share Plan 2017</w:t>
      </w:r>
    </w:p>
    <w:p>
      <w:pPr>
        <w:spacing w:after="0" w:line="264" w:lineRule="exact"/>
        <w:rPr>
          <w:sz w:val="20"/>
          <w:szCs w:val="20"/>
          <w:color w:val="auto"/>
        </w:rPr>
      </w:pPr>
    </w:p>
    <w:p>
      <w:pPr>
        <w:ind w:left="640" w:hanging="632"/>
        <w:spacing w:after="0"/>
        <w:tabs>
          <w:tab w:leader="none" w:pos="640" w:val="left"/>
        </w:tabs>
        <w:numPr>
          <w:ilvl w:val="0"/>
          <w:numId w:val="84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97"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The purpose of this restricted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Restricted Share Units (each a </w:t>
      </w:r>
      <w:r>
        <w:rPr>
          <w:rFonts w:ascii="Arial" w:cs="Arial" w:eastAsia="Arial" w:hAnsi="Arial"/>
          <w:sz w:val="18"/>
          <w:szCs w:val="18"/>
          <w:b w:val="1"/>
          <w:bCs w:val="1"/>
          <w:color w:val="auto"/>
        </w:rPr>
        <w:t>RSU</w:t>
      </w:r>
      <w:r>
        <w:rPr>
          <w:rFonts w:ascii="Arial" w:cs="Arial" w:eastAsia="Arial" w:hAnsi="Arial"/>
          <w:sz w:val="18"/>
          <w:szCs w:val="18"/>
          <w:color w:val="auto"/>
        </w:rPr>
        <w:t>) to them.</w:t>
      </w:r>
    </w:p>
    <w:p>
      <w:pPr>
        <w:spacing w:after="0" w:line="200" w:lineRule="exact"/>
        <w:rPr>
          <w:sz w:val="20"/>
          <w:szCs w:val="20"/>
          <w:color w:val="auto"/>
        </w:rPr>
      </w:pPr>
    </w:p>
    <w:p>
      <w:pPr>
        <w:ind w:left="640" w:hanging="632"/>
        <w:spacing w:after="0"/>
        <w:tabs>
          <w:tab w:leader="none" w:pos="640" w:val="left"/>
        </w:tabs>
        <w:numPr>
          <w:ilvl w:val="0"/>
          <w:numId w:val="845"/>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Capitalized terms used in this Plan shall have the meaning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w:t>
      </w:r>
    </w:p>
    <w:p>
      <w:pPr>
        <w:spacing w:after="0" w:line="247" w:lineRule="exact"/>
        <w:rPr>
          <w:sz w:val="20"/>
          <w:szCs w:val="20"/>
          <w:color w:val="auto"/>
        </w:rPr>
      </w:pPr>
    </w:p>
    <w:p>
      <w:pPr>
        <w:ind w:left="640" w:hanging="632"/>
        <w:spacing w:after="0"/>
        <w:tabs>
          <w:tab w:leader="none" w:pos="640" w:val="left"/>
        </w:tabs>
        <w:numPr>
          <w:ilvl w:val="0"/>
          <w:numId w:val="846"/>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318" w:lineRule="exact"/>
        <w:rPr>
          <w:rFonts w:ascii="Arial" w:cs="Arial" w:eastAsia="Arial" w:hAnsi="Arial"/>
          <w:sz w:val="22"/>
          <w:szCs w:val="22"/>
          <w:b w:val="1"/>
          <w:bCs w:val="1"/>
          <w:color w:val="auto"/>
        </w:rPr>
      </w:pPr>
    </w:p>
    <w:p>
      <w:pPr>
        <w:ind w:left="640" w:hanging="308"/>
        <w:spacing w:after="0"/>
        <w:tabs>
          <w:tab w:leader="none" w:pos="640" w:val="left"/>
        </w:tabs>
        <w:numPr>
          <w:ilvl w:val="1"/>
          <w:numId w:val="846"/>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660" w:right="20"/>
        <w:spacing w:after="0" w:line="287"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compensation committee of the Board of Directors (</w:t>
      </w:r>
      <w:r>
        <w:rPr>
          <w:rFonts w:ascii="Arial" w:cs="Arial" w:eastAsia="Arial" w:hAnsi="Arial"/>
          <w:sz w:val="18"/>
          <w:szCs w:val="18"/>
          <w:b w:val="1"/>
          <w:bCs w:val="1"/>
          <w:color w:val="auto"/>
        </w:rPr>
        <w:t>Compensation Committee</w:t>
      </w:r>
      <w:r>
        <w:rPr>
          <w:rFonts w:ascii="Arial" w:cs="Arial" w:eastAsia="Arial" w:hAnsi="Arial"/>
          <w:sz w:val="18"/>
          <w:szCs w:val="18"/>
          <w:color w:val="auto"/>
        </w:rPr>
        <w:t>), the maximum number of RSUs that may be granted under this Plan.</w:t>
      </w:r>
    </w:p>
    <w:p>
      <w:pPr>
        <w:spacing w:after="0" w:line="242" w:lineRule="exact"/>
        <w:rPr>
          <w:rFonts w:ascii="Arial" w:cs="Arial" w:eastAsia="Arial" w:hAnsi="Arial"/>
          <w:sz w:val="18"/>
          <w:szCs w:val="18"/>
          <w:color w:val="auto"/>
        </w:rPr>
      </w:pPr>
    </w:p>
    <w:p>
      <w:pPr>
        <w:jc w:val="both"/>
        <w:ind w:left="660" w:hanging="328"/>
        <w:spacing w:after="0" w:line="281" w:lineRule="auto"/>
        <w:tabs>
          <w:tab w:leader="none" w:pos="650" w:val="left"/>
        </w:tabs>
        <w:numPr>
          <w:ilvl w:val="1"/>
          <w:numId w:val="846"/>
        </w:numPr>
        <w:rPr>
          <w:rFonts w:ascii="Arial" w:cs="Arial" w:eastAsia="Arial" w:hAnsi="Arial"/>
          <w:sz w:val="18"/>
          <w:szCs w:val="18"/>
          <w:color w:val="auto"/>
        </w:rPr>
      </w:pPr>
      <w:r>
        <w:rPr>
          <w:rFonts w:ascii="Arial" w:cs="Arial" w:eastAsia="Arial" w:hAnsi="Arial"/>
          <w:sz w:val="18"/>
          <w:szCs w:val="18"/>
          <w:color w:val="auto"/>
        </w:rPr>
        <w:t>The Compensation Committee shall be responsible for the implementation and administration of the Plan and shall make recommendations to amend, renew or terminate the Plan or to replace it with new editions or other plans. It may delegate, under its</w:t>
      </w:r>
    </w:p>
    <w:p>
      <w:pPr>
        <w:spacing w:after="0" w:line="1" w:lineRule="exact"/>
        <w:rPr>
          <w:rFonts w:ascii="Arial" w:cs="Arial" w:eastAsia="Arial" w:hAnsi="Arial"/>
          <w:sz w:val="18"/>
          <w:szCs w:val="18"/>
          <w:color w:val="auto"/>
        </w:rPr>
      </w:pPr>
    </w:p>
    <w:p>
      <w:pPr>
        <w:ind w:left="660"/>
        <w:spacing w:after="0" w:line="293" w:lineRule="auto"/>
        <w:rPr>
          <w:rFonts w:ascii="Arial" w:cs="Arial" w:eastAsia="Arial" w:hAnsi="Arial"/>
          <w:sz w:val="18"/>
          <w:szCs w:val="18"/>
          <w:color w:val="auto"/>
        </w:rPr>
      </w:pPr>
      <w:r>
        <w:rPr>
          <w:rFonts w:ascii="Arial" w:cs="Arial" w:eastAsia="Arial" w:hAnsi="Arial"/>
          <w:sz w:val="18"/>
          <w:szCs w:val="18"/>
          <w:color w:val="auto"/>
        </w:rPr>
        <w:t>supervision, the implementation and administration, as well as grants of RSUs other than to members of the Board of Directors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jc w:val="both"/>
        <w:ind w:left="660" w:hanging="328"/>
        <w:spacing w:after="0" w:line="284" w:lineRule="auto"/>
        <w:tabs>
          <w:tab w:leader="none" w:pos="654" w:val="left"/>
        </w:tabs>
        <w:numPr>
          <w:ilvl w:val="1"/>
          <w:numId w:val="846"/>
        </w:numPr>
        <w:rPr>
          <w:rFonts w:ascii="Arial" w:cs="Arial" w:eastAsia="Arial" w:hAnsi="Arial"/>
          <w:sz w:val="18"/>
          <w:szCs w:val="18"/>
          <w:color w:val="auto"/>
        </w:rPr>
      </w:pPr>
      <w:r>
        <w:rPr>
          <w:rFonts w:ascii="Arial" w:cs="Arial" w:eastAsia="Arial" w:hAnsi="Arial"/>
          <w:sz w:val="18"/>
          <w:szCs w:val="18"/>
          <w:color w:val="auto"/>
        </w:rPr>
        <w:t>Any grants of RSUs to members of the Board of Directors shall be approved by the Board of Directors based on individual recommendations of the Compensation Committee and will, as long as shareholder approval for the aggregate amount of compensation is outstanding, be conditional upon such shareholder approval. In case that the amount approved by the shareholders does not cover the full amount of contemplated aggregate compensation for the year of grant, the entitlements to long-term compensation may be reduced by the Compensation Committee in its sole discretion.</w:t>
      </w:r>
    </w:p>
    <w:p>
      <w:pPr>
        <w:spacing w:after="0" w:line="233" w:lineRule="exact"/>
        <w:rPr>
          <w:rFonts w:ascii="Arial" w:cs="Arial" w:eastAsia="Arial" w:hAnsi="Arial"/>
          <w:sz w:val="18"/>
          <w:szCs w:val="18"/>
          <w:color w:val="auto"/>
        </w:rPr>
      </w:pPr>
    </w:p>
    <w:p>
      <w:pPr>
        <w:jc w:val="both"/>
        <w:ind w:left="660" w:hanging="328"/>
        <w:spacing w:after="0" w:line="287" w:lineRule="auto"/>
        <w:tabs>
          <w:tab w:leader="none" w:pos="650" w:val="left"/>
        </w:tabs>
        <w:numPr>
          <w:ilvl w:val="1"/>
          <w:numId w:val="846"/>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Compensation Committee or, upon delegation by the Compensation Committee, an Administrator pursuant to this Plan, including any amendments or withdrawals of grants, are final and binding, unless approval by the Board of Directors or the shareholders' meeting is required.</w:t>
      </w:r>
    </w:p>
    <w:p>
      <w:pPr>
        <w:spacing w:after="0" w:line="242" w:lineRule="exact"/>
        <w:rPr>
          <w:rFonts w:ascii="Arial" w:cs="Arial" w:eastAsia="Arial" w:hAnsi="Arial"/>
          <w:sz w:val="18"/>
          <w:szCs w:val="18"/>
          <w:color w:val="auto"/>
        </w:rPr>
      </w:pPr>
    </w:p>
    <w:p>
      <w:pPr>
        <w:jc w:val="both"/>
        <w:ind w:left="660" w:hanging="328"/>
        <w:spacing w:after="0" w:line="287" w:lineRule="auto"/>
        <w:tabs>
          <w:tab w:leader="none" w:pos="650" w:val="left"/>
        </w:tabs>
        <w:numPr>
          <w:ilvl w:val="1"/>
          <w:numId w:val="846"/>
        </w:numPr>
        <w:rPr>
          <w:rFonts w:ascii="Arial" w:cs="Arial" w:eastAsia="Arial" w:hAnsi="Arial"/>
          <w:sz w:val="18"/>
          <w:szCs w:val="18"/>
          <w:color w:val="auto"/>
        </w:rPr>
      </w:pPr>
      <w:r>
        <w:rPr>
          <w:rFonts w:ascii="Arial" w:cs="Arial" w:eastAsia="Arial" w:hAnsi="Arial"/>
          <w:sz w:val="18"/>
          <w:szCs w:val="18"/>
          <w:color w:val="auto"/>
        </w:rPr>
        <w:t xml:space="preserve">Any technical or administrative task in connection with the Plan may be outsourced by the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 Service</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w:t>
      </w:r>
    </w:p>
    <w:p>
      <w:pPr>
        <w:sectPr>
          <w:pgSz w:w="11900" w:h="16838" w:orient="portrait"/>
          <w:cols w:equalWidth="0" w:num="1">
            <w:col w:w="11240"/>
          </w:cols>
          <w:pgMar w:left="320" w:top="180" w:right="339" w:bottom="1440" w:gutter="0" w:footer="0" w:header="0"/>
        </w:sectPr>
      </w:pPr>
    </w:p>
    <w:bookmarkStart w:id="812" w:name="page813"/>
    <w:bookmarkEnd w:id="812"/>
    <w:tbl>
      <w:tblPr>
        <w:tblLayout w:type="fixed"/>
        <w:tblInd w:w="12"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Arial" w:cs="Arial" w:eastAsia="Arial" w:hAnsi="Arial"/>
                <w:sz w:val="13"/>
                <w:szCs w:val="13"/>
                <w:color w:val="auto"/>
              </w:rPr>
              <w:t>Molecular Partners AG: Restricted Share Plan 2017</w:t>
            </w:r>
          </w:p>
        </w:tc>
        <w:tc>
          <w:tcPr>
            <w:tcW w:w="3840" w:type="dxa"/>
            <w:vAlign w:val="bottom"/>
          </w:tcPr>
          <w:p>
            <w:pPr>
              <w:jc w:val="right"/>
              <w:spacing w:after="0"/>
              <w:rPr>
                <w:sz w:val="20"/>
                <w:szCs w:val="20"/>
                <w:color w:val="auto"/>
              </w:rPr>
            </w:pPr>
            <w:r>
              <w:rPr>
                <w:rFonts w:ascii="Arial" w:cs="Arial" w:eastAsia="Arial" w:hAnsi="Arial"/>
                <w:sz w:val="13"/>
                <w:szCs w:val="13"/>
                <w:color w:val="auto"/>
              </w:rPr>
              <w:t>4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47"/>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318" w:lineRule="exact"/>
        <w:rPr>
          <w:rFonts w:ascii="Arial" w:cs="Arial" w:eastAsia="Arial" w:hAnsi="Arial"/>
          <w:sz w:val="22"/>
          <w:szCs w:val="22"/>
          <w:b w:val="1"/>
          <w:bCs w:val="1"/>
          <w:color w:val="auto"/>
        </w:rPr>
      </w:pPr>
    </w:p>
    <w:p>
      <w:pPr>
        <w:jc w:val="both"/>
        <w:ind w:left="652" w:hanging="328"/>
        <w:spacing w:after="0" w:line="287" w:lineRule="auto"/>
        <w:tabs>
          <w:tab w:leader="none" w:pos="642" w:val="left"/>
        </w:tabs>
        <w:numPr>
          <w:ilvl w:val="1"/>
          <w:numId w:val="847"/>
        </w:numPr>
        <w:rPr>
          <w:rFonts w:ascii="Arial" w:cs="Arial" w:eastAsia="Arial" w:hAnsi="Arial"/>
          <w:sz w:val="18"/>
          <w:szCs w:val="18"/>
          <w:color w:val="auto"/>
        </w:rPr>
      </w:pPr>
      <w:r>
        <w:rPr>
          <w:rFonts w:ascii="Arial" w:cs="Arial" w:eastAsia="Arial" w:hAnsi="Arial"/>
          <w:sz w:val="18"/>
          <w:szCs w:val="18"/>
          <w:color w:val="auto"/>
        </w:rPr>
        <w:t>As a rule, members of the Board of Directors and selected consultants may become eligible to participate in this Plan. The decision on eligibility is reserved to the Compensation Committee or, other than to members of the Board of Directors, the relevant Administrator.</w:t>
      </w:r>
    </w:p>
    <w:p>
      <w:pPr>
        <w:spacing w:after="0" w:line="242" w:lineRule="exact"/>
        <w:rPr>
          <w:rFonts w:ascii="Arial" w:cs="Arial" w:eastAsia="Arial" w:hAnsi="Arial"/>
          <w:sz w:val="18"/>
          <w:szCs w:val="18"/>
          <w:color w:val="auto"/>
        </w:rPr>
      </w:pPr>
    </w:p>
    <w:p>
      <w:pPr>
        <w:ind w:left="632" w:hanging="308"/>
        <w:spacing w:after="0"/>
        <w:tabs>
          <w:tab w:leader="none" w:pos="632" w:val="left"/>
        </w:tabs>
        <w:numPr>
          <w:ilvl w:val="1"/>
          <w:numId w:val="847"/>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w:t>
      </w:r>
    </w:p>
    <w:p>
      <w:pPr>
        <w:spacing w:after="0" w:line="36" w:lineRule="exact"/>
        <w:rPr>
          <w:rFonts w:ascii="Arial" w:cs="Arial" w:eastAsia="Arial" w:hAnsi="Arial"/>
          <w:sz w:val="18"/>
          <w:szCs w:val="18"/>
          <w:color w:val="auto"/>
        </w:rPr>
      </w:pPr>
    </w:p>
    <w:p>
      <w:pPr>
        <w:jc w:val="both"/>
        <w:ind w:left="652"/>
        <w:spacing w:after="0" w:line="281" w:lineRule="auto"/>
        <w:rPr>
          <w:rFonts w:ascii="Arial" w:cs="Arial" w:eastAsia="Arial" w:hAnsi="Arial"/>
          <w:sz w:val="18"/>
          <w:szCs w:val="18"/>
          <w:color w:val="auto"/>
        </w:rPr>
      </w:pPr>
      <w:r>
        <w:rPr>
          <w:rFonts w:ascii="Arial" w:cs="Arial" w:eastAsia="Arial" w:hAnsi="Arial"/>
          <w:sz w:val="18"/>
          <w:szCs w:val="18"/>
          <w:color w:val="auto"/>
        </w:rPr>
        <w:t>RSUs based on this Plan or otherwise. This Plan is only applicable in connection with a mutually signed RSU award agreement (</w:t>
      </w:r>
      <w:r>
        <w:rPr>
          <w:rFonts w:ascii="Arial" w:cs="Arial" w:eastAsia="Arial" w:hAnsi="Arial"/>
          <w:sz w:val="18"/>
          <w:szCs w:val="18"/>
          <w:b w:val="1"/>
          <w:bCs w:val="1"/>
          <w:color w:val="auto"/>
        </w:rPr>
        <w:t>RSU Award Agreement</w:t>
      </w:r>
      <w:r>
        <w:rPr>
          <w:rFonts w:ascii="Arial" w:cs="Arial" w:eastAsia="Arial" w:hAnsi="Arial"/>
          <w:sz w:val="18"/>
          <w:szCs w:val="18"/>
          <w:color w:val="auto"/>
        </w:rPr>
        <w:t>) among the Company (or the relevant Group Company) and the eligible person, substantially in the form attached hereto as Annex 2. The right to receive RSUs shall accrue exclusively to those eligible persons who have, in accordance</w:t>
      </w:r>
    </w:p>
    <w:p>
      <w:pPr>
        <w:spacing w:after="0" w:line="1" w:lineRule="exact"/>
        <w:rPr>
          <w:rFonts w:ascii="Arial" w:cs="Arial" w:eastAsia="Arial" w:hAnsi="Arial"/>
          <w:sz w:val="18"/>
          <w:szCs w:val="18"/>
          <w:color w:val="auto"/>
        </w:rPr>
      </w:pPr>
    </w:p>
    <w:p>
      <w:pPr>
        <w:ind w:left="652" w:right="20"/>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with this Plan, been duly and validly offered and have signed and returned their individual RSU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652" w:hanging="328"/>
        <w:spacing w:after="0" w:line="287" w:lineRule="auto"/>
        <w:tabs>
          <w:tab w:leader="none" w:pos="646" w:val="left"/>
        </w:tabs>
        <w:numPr>
          <w:ilvl w:val="1"/>
          <w:numId w:val="847"/>
        </w:numPr>
        <w:rPr>
          <w:rFonts w:ascii="Arial" w:cs="Arial" w:eastAsia="Arial" w:hAnsi="Arial"/>
          <w:sz w:val="18"/>
          <w:szCs w:val="18"/>
          <w:color w:val="auto"/>
        </w:rPr>
      </w:pPr>
      <w:r>
        <w:rPr>
          <w:rFonts w:ascii="Arial" w:cs="Arial" w:eastAsia="Arial" w:hAnsi="Arial"/>
          <w:sz w:val="18"/>
          <w:szCs w:val="18"/>
          <w:color w:val="auto"/>
        </w:rPr>
        <w:t>Grants of RSUs based on this Plan are discretionary and shall not create any entitlement to participate in future grants or in future participation, incentive or benefit plans, including future restricted share plans, regardless of the length of time a person has previously been allocated RSUs or other entitlements under this Plan or other plans.</w:t>
      </w:r>
    </w:p>
    <w:p>
      <w:pPr>
        <w:spacing w:after="0" w:line="242" w:lineRule="exact"/>
        <w:rPr>
          <w:rFonts w:ascii="Arial" w:cs="Arial" w:eastAsia="Arial" w:hAnsi="Arial"/>
          <w:sz w:val="18"/>
          <w:szCs w:val="18"/>
          <w:color w:val="auto"/>
        </w:rPr>
      </w:pPr>
    </w:p>
    <w:p>
      <w:pPr>
        <w:ind w:left="652" w:hanging="328"/>
        <w:spacing w:after="0" w:line="293" w:lineRule="auto"/>
        <w:tabs>
          <w:tab w:leader="none" w:pos="642" w:val="left"/>
        </w:tabs>
        <w:numPr>
          <w:ilvl w:val="1"/>
          <w:numId w:val="847"/>
        </w:numPr>
        <w:rPr>
          <w:rFonts w:ascii="Arial" w:cs="Arial" w:eastAsia="Arial" w:hAnsi="Arial"/>
          <w:sz w:val="18"/>
          <w:szCs w:val="18"/>
          <w:color w:val="auto"/>
        </w:rPr>
      </w:pPr>
      <w:r>
        <w:rPr>
          <w:rFonts w:ascii="Arial" w:cs="Arial" w:eastAsia="Arial" w:hAnsi="Arial"/>
          <w:sz w:val="18"/>
          <w:szCs w:val="18"/>
          <w:color w:val="auto"/>
        </w:rPr>
        <w:t>Neither the grant of RSUs, nor the transfer of Shares in connection with this Plan shall confer upon any Participant any right to a continued Relationship with any Group Company.</w:t>
      </w:r>
    </w:p>
    <w:p>
      <w:pPr>
        <w:spacing w:after="0" w:line="205" w:lineRule="exact"/>
        <w:rPr>
          <w:rFonts w:ascii="Arial" w:cs="Arial" w:eastAsia="Arial" w:hAnsi="Arial"/>
          <w:sz w:val="18"/>
          <w:szCs w:val="18"/>
          <w:color w:val="auto"/>
        </w:rPr>
      </w:pPr>
    </w:p>
    <w:p>
      <w:pPr>
        <w:ind w:left="632" w:hanging="632"/>
        <w:spacing w:after="0"/>
        <w:tabs>
          <w:tab w:leader="none" w:pos="632" w:val="left"/>
        </w:tabs>
        <w:numPr>
          <w:ilvl w:val="0"/>
          <w:numId w:val="847"/>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RSUs</w:t>
      </w:r>
    </w:p>
    <w:p>
      <w:pPr>
        <w:spacing w:after="0" w:line="318" w:lineRule="exact"/>
        <w:rPr>
          <w:rFonts w:ascii="Arial" w:cs="Arial" w:eastAsia="Arial" w:hAnsi="Arial"/>
          <w:sz w:val="22"/>
          <w:szCs w:val="22"/>
          <w:b w:val="1"/>
          <w:bCs w:val="1"/>
          <w:color w:val="auto"/>
        </w:rPr>
      </w:pPr>
    </w:p>
    <w:p>
      <w:pPr>
        <w:jc w:val="both"/>
        <w:ind w:left="652" w:hanging="328"/>
        <w:spacing w:after="0" w:line="287" w:lineRule="auto"/>
        <w:tabs>
          <w:tab w:leader="none" w:pos="642" w:val="left"/>
        </w:tabs>
        <w:numPr>
          <w:ilvl w:val="1"/>
          <w:numId w:val="847"/>
        </w:numPr>
        <w:rPr>
          <w:rFonts w:ascii="Arial" w:cs="Arial" w:eastAsia="Arial" w:hAnsi="Arial"/>
          <w:sz w:val="18"/>
          <w:szCs w:val="18"/>
          <w:color w:val="auto"/>
        </w:rPr>
      </w:pPr>
      <w:r>
        <w:rPr>
          <w:rFonts w:ascii="Arial" w:cs="Arial" w:eastAsia="Arial" w:hAnsi="Arial"/>
          <w:sz w:val="18"/>
          <w:szCs w:val="18"/>
          <w:color w:val="auto"/>
        </w:rPr>
        <w:t>Grants of RSUs shall be exclusively made by way of RSU Award Agreements. The RSU Award Agreement shall set forth the number of RSUs and certain other terms and conditions of such grant. Except as otherwise determined in a RSU Award Agreement, RSUs shall be granted to the Participants free of charge.</w:t>
      </w:r>
    </w:p>
    <w:p>
      <w:pPr>
        <w:spacing w:after="0" w:line="229" w:lineRule="exact"/>
        <w:rPr>
          <w:rFonts w:ascii="Arial" w:cs="Arial" w:eastAsia="Arial" w:hAnsi="Arial"/>
          <w:sz w:val="18"/>
          <w:szCs w:val="18"/>
          <w:color w:val="auto"/>
        </w:rPr>
      </w:pPr>
    </w:p>
    <w:p>
      <w:pPr>
        <w:jc w:val="both"/>
        <w:ind w:left="652" w:hanging="328"/>
        <w:spacing w:after="0" w:line="287" w:lineRule="auto"/>
        <w:tabs>
          <w:tab w:leader="none" w:pos="642" w:val="left"/>
        </w:tabs>
        <w:numPr>
          <w:ilvl w:val="1"/>
          <w:numId w:val="847"/>
        </w:numPr>
        <w:rPr>
          <w:rFonts w:ascii="Arial" w:cs="Arial" w:eastAsia="Arial" w:hAnsi="Arial"/>
          <w:sz w:val="18"/>
          <w:szCs w:val="18"/>
          <w:color w:val="auto"/>
        </w:rPr>
      </w:pPr>
      <w:r>
        <w:rPr>
          <w:rFonts w:ascii="Arial" w:cs="Arial" w:eastAsia="Arial" w:hAnsi="Arial"/>
          <w:sz w:val="18"/>
          <w:szCs w:val="18"/>
          <w:color w:val="auto"/>
        </w:rPr>
        <w:t>One RSU represents a conditional entitlement to purchase one Share at the nominal value of the Share. The number of Shares corresponding to the number vested RSUs shall be allocated to a Participant upon vesting, subject to, and in accordance with, the terms and conditions of this Plan and the RSU Award Agreement.</w:t>
      </w:r>
    </w:p>
    <w:p>
      <w:pPr>
        <w:spacing w:after="0" w:line="242" w:lineRule="exact"/>
        <w:rPr>
          <w:rFonts w:ascii="Arial" w:cs="Arial" w:eastAsia="Arial" w:hAnsi="Arial"/>
          <w:sz w:val="18"/>
          <w:szCs w:val="18"/>
          <w:color w:val="auto"/>
        </w:rPr>
      </w:pPr>
    </w:p>
    <w:p>
      <w:pPr>
        <w:ind w:left="652" w:right="20" w:hanging="328"/>
        <w:spacing w:after="0" w:line="293" w:lineRule="auto"/>
        <w:tabs>
          <w:tab w:leader="none" w:pos="646" w:val="left"/>
        </w:tabs>
        <w:numPr>
          <w:ilvl w:val="1"/>
          <w:numId w:val="847"/>
        </w:numPr>
        <w:rPr>
          <w:rFonts w:ascii="Arial" w:cs="Arial" w:eastAsia="Arial" w:hAnsi="Arial"/>
          <w:sz w:val="18"/>
          <w:szCs w:val="18"/>
          <w:color w:val="auto"/>
        </w:rPr>
      </w:pPr>
      <w:r>
        <w:rPr>
          <w:rFonts w:ascii="Arial" w:cs="Arial" w:eastAsia="Arial" w:hAnsi="Arial"/>
          <w:sz w:val="18"/>
          <w:szCs w:val="18"/>
          <w:color w:val="auto"/>
        </w:rPr>
        <w:t xml:space="preserve">The date of grant shall be determined by the Compensation Committee or the relevant Administrator and set out in the RSU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632" w:hanging="632"/>
        <w:spacing w:after="0"/>
        <w:tabs>
          <w:tab w:leader="none" w:pos="632" w:val="left"/>
        </w:tabs>
        <w:numPr>
          <w:ilvl w:val="0"/>
          <w:numId w:val="847"/>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RSUs are neither Shares nor securities of any kind and no shareholder rights or similar rights are attached to the RSUs. The Participants will only obtain shareholder rights (including voting and dividend rights) upon actual transfer of Shares, if any, according to the terms and conditions of the Plan and upon entry into the share register, subject to, and in accordance with, article 5 of the Company's articles of incorporation.</w:t>
      </w:r>
    </w:p>
    <w:p>
      <w:pPr>
        <w:sectPr>
          <w:pgSz w:w="11900" w:h="16838" w:orient="portrait"/>
          <w:cols w:equalWidth="0" w:num="1">
            <w:col w:w="11232"/>
          </w:cols>
          <w:pgMar w:left="328" w:top="180" w:right="339" w:bottom="1440" w:gutter="0" w:footer="0" w:header="0"/>
        </w:sectPr>
      </w:pPr>
    </w:p>
    <w:bookmarkStart w:id="813" w:name="page814"/>
    <w:bookmarkEnd w:id="813"/>
    <w:tbl>
      <w:tblPr>
        <w:tblLayout w:type="fixed"/>
        <w:tblInd w:w="12"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Arial" w:cs="Arial" w:eastAsia="Arial" w:hAnsi="Arial"/>
                <w:sz w:val="13"/>
                <w:szCs w:val="13"/>
                <w:color w:val="auto"/>
              </w:rPr>
              <w:t>Molecular Partners AG: Restricted Share Plan 2017</w:t>
            </w:r>
          </w:p>
        </w:tc>
        <w:tc>
          <w:tcPr>
            <w:tcW w:w="3840" w:type="dxa"/>
            <w:vAlign w:val="bottom"/>
          </w:tcPr>
          <w:p>
            <w:pPr>
              <w:jc w:val="right"/>
              <w:spacing w:after="0"/>
              <w:rPr>
                <w:sz w:val="20"/>
                <w:szCs w:val="20"/>
                <w:color w:val="auto"/>
              </w:rPr>
            </w:pPr>
            <w:r>
              <w:rPr>
                <w:rFonts w:ascii="Arial" w:cs="Arial" w:eastAsia="Arial" w:hAnsi="Arial"/>
                <w:sz w:val="13"/>
                <w:szCs w:val="13"/>
                <w:color w:val="auto"/>
              </w:rPr>
              <w:t>5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48"/>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RSUs granted under this Plan and the RSU Award Agreement are personal and non-transferable. Participants shall not be permitted to sell, donate, pledge, assign or otherwise dispose of the RSUs to third parties other than as provided for in the Plan. In case of death of a Participant, Section 13 hereof shall apply.</w:t>
      </w:r>
    </w:p>
    <w:p>
      <w:pPr>
        <w:spacing w:after="0" w:line="211" w:lineRule="exact"/>
        <w:rPr>
          <w:sz w:val="20"/>
          <w:szCs w:val="20"/>
          <w:color w:val="auto"/>
        </w:rPr>
      </w:pPr>
    </w:p>
    <w:p>
      <w:pPr>
        <w:ind w:left="632" w:hanging="632"/>
        <w:spacing w:after="0"/>
        <w:tabs>
          <w:tab w:leader="none" w:pos="632" w:val="left"/>
        </w:tabs>
        <w:numPr>
          <w:ilvl w:val="0"/>
          <w:numId w:val="849"/>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318" w:lineRule="exact"/>
        <w:rPr>
          <w:rFonts w:ascii="Arial" w:cs="Arial" w:eastAsia="Arial" w:hAnsi="Arial"/>
          <w:sz w:val="22"/>
          <w:szCs w:val="22"/>
          <w:b w:val="1"/>
          <w:bCs w:val="1"/>
          <w:color w:val="auto"/>
        </w:rPr>
      </w:pPr>
    </w:p>
    <w:p>
      <w:pPr>
        <w:jc w:val="both"/>
        <w:ind w:left="652" w:hanging="328"/>
        <w:spacing w:after="0" w:line="287" w:lineRule="auto"/>
        <w:tabs>
          <w:tab w:leader="none" w:pos="642" w:val="left"/>
        </w:tabs>
        <w:numPr>
          <w:ilvl w:val="1"/>
          <w:numId w:val="849"/>
        </w:numPr>
        <w:rPr>
          <w:rFonts w:ascii="Arial" w:cs="Arial" w:eastAsia="Arial" w:hAnsi="Arial"/>
          <w:sz w:val="18"/>
          <w:szCs w:val="18"/>
          <w:color w:val="auto"/>
        </w:rPr>
      </w:pPr>
      <w:r>
        <w:rPr>
          <w:rFonts w:ascii="Arial" w:cs="Arial" w:eastAsia="Arial" w:hAnsi="Arial"/>
          <w:sz w:val="18"/>
          <w:szCs w:val="18"/>
          <w:color w:val="auto"/>
        </w:rPr>
        <w:t xml:space="preserve">Unless otherwise set out in this Plan (in particular in Section 13) or in the RSU Award Agreement, RSUs shall vest in the third calendar year following the year of grant. In such case, vesting shall occur on the third anniversary of the Grant Date (the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period between the Grant Date and the Vesting Date shall be deemed the</w:t>
      </w:r>
      <w:r>
        <w:rPr>
          <w:rFonts w:ascii="Arial" w:cs="Arial" w:eastAsia="Arial" w:hAnsi="Arial"/>
          <w:sz w:val="18"/>
          <w:szCs w:val="18"/>
          <w:b w:val="1"/>
          <w:bCs w:val="1"/>
          <w:color w:val="auto"/>
        </w:rPr>
        <w:t xml:space="preserve"> Vesting Period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32" w:hanging="308"/>
        <w:spacing w:after="0"/>
        <w:tabs>
          <w:tab w:leader="none" w:pos="632" w:val="left"/>
        </w:tabs>
        <w:numPr>
          <w:ilvl w:val="1"/>
          <w:numId w:val="849"/>
        </w:numPr>
        <w:rPr>
          <w:rFonts w:ascii="Arial" w:cs="Arial" w:eastAsia="Arial" w:hAnsi="Arial"/>
          <w:sz w:val="18"/>
          <w:szCs w:val="18"/>
          <w:color w:val="auto"/>
        </w:rPr>
      </w:pPr>
      <w:r>
        <w:rPr>
          <w:rFonts w:ascii="Arial" w:cs="Arial" w:eastAsia="Arial" w:hAnsi="Arial"/>
          <w:sz w:val="18"/>
          <w:szCs w:val="18"/>
          <w:color w:val="auto"/>
        </w:rPr>
        <w:t>Subject to section 13(b) below, no RSU shall vest if, during the first year of the Vesting Period (or, in case of a member of the Board</w:t>
      </w:r>
    </w:p>
    <w:p>
      <w:pPr>
        <w:spacing w:after="0" w:line="36" w:lineRule="exact"/>
        <w:rPr>
          <w:rFonts w:ascii="Arial" w:cs="Arial" w:eastAsia="Arial" w:hAnsi="Arial"/>
          <w:sz w:val="18"/>
          <w:szCs w:val="18"/>
          <w:color w:val="auto"/>
        </w:rPr>
      </w:pPr>
    </w:p>
    <w:p>
      <w:pPr>
        <w:jc w:val="both"/>
        <w:ind w:left="652"/>
        <w:spacing w:after="0" w:line="287" w:lineRule="auto"/>
        <w:rPr>
          <w:rFonts w:ascii="Arial" w:cs="Arial" w:eastAsia="Arial" w:hAnsi="Arial"/>
          <w:sz w:val="18"/>
          <w:szCs w:val="18"/>
          <w:color w:val="auto"/>
        </w:rPr>
      </w:pPr>
      <w:r>
        <w:rPr>
          <w:rFonts w:ascii="Arial" w:cs="Arial" w:eastAsia="Arial" w:hAnsi="Arial"/>
          <w:sz w:val="18"/>
          <w:szCs w:val="18"/>
          <w:color w:val="auto"/>
        </w:rPr>
        <w:t>of Directors, prior to the end of a full term of office), the relevant Participant's Relationship is terminated or another reason for termination of such Relationship occurs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set by a Group Company.</w:t>
      </w:r>
    </w:p>
    <w:p>
      <w:pPr>
        <w:spacing w:after="0" w:line="242" w:lineRule="exact"/>
        <w:rPr>
          <w:rFonts w:ascii="Arial" w:cs="Arial" w:eastAsia="Arial" w:hAnsi="Arial"/>
          <w:sz w:val="18"/>
          <w:szCs w:val="18"/>
          <w:color w:val="auto"/>
        </w:rPr>
      </w:pPr>
    </w:p>
    <w:p>
      <w:pPr>
        <w:jc w:val="both"/>
        <w:ind w:left="652" w:hanging="328"/>
        <w:spacing w:after="0" w:line="287" w:lineRule="auto"/>
        <w:tabs>
          <w:tab w:leader="none" w:pos="646" w:val="left"/>
        </w:tabs>
        <w:numPr>
          <w:ilvl w:val="1"/>
          <w:numId w:val="849"/>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Instead, the Company may provide for cash-less acquisition or vesting-sale arrangements through a Plan Service Provider or otherwise.</w:t>
      </w:r>
    </w:p>
    <w:p>
      <w:pPr>
        <w:spacing w:after="0" w:line="211" w:lineRule="exact"/>
        <w:rPr>
          <w:rFonts w:ascii="Arial" w:cs="Arial" w:eastAsia="Arial" w:hAnsi="Arial"/>
          <w:sz w:val="18"/>
          <w:szCs w:val="18"/>
          <w:color w:val="auto"/>
        </w:rPr>
      </w:pPr>
    </w:p>
    <w:p>
      <w:pPr>
        <w:ind w:left="632" w:hanging="632"/>
        <w:spacing w:after="0"/>
        <w:tabs>
          <w:tab w:leader="none" w:pos="632" w:val="left"/>
        </w:tabs>
        <w:numPr>
          <w:ilvl w:val="0"/>
          <w:numId w:val="849"/>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319" w:lineRule="exact"/>
        <w:rPr>
          <w:sz w:val="20"/>
          <w:szCs w:val="20"/>
          <w:color w:val="auto"/>
        </w:rPr>
      </w:pPr>
    </w:p>
    <w:p>
      <w:pPr>
        <w:jc w:val="both"/>
        <w:ind w:left="652"/>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15,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Compensation Committee and the Board of Directors, be sourced from conditional share capital, from treasury shares or from other sources. Unless otherwise determined by the Board of Directors or the Compensation Committee, Shares shall be sourced from the Company's conditional share capital and a respective number of Shares out of conditional capital shall be deemed reserved, accordingly.</w:t>
      </w:r>
    </w:p>
    <w:p>
      <w:pPr>
        <w:spacing w:after="0" w:line="202" w:lineRule="exact"/>
        <w:rPr>
          <w:sz w:val="20"/>
          <w:szCs w:val="20"/>
          <w:color w:val="auto"/>
        </w:rPr>
      </w:pPr>
    </w:p>
    <w:p>
      <w:pPr>
        <w:ind w:left="632" w:hanging="632"/>
        <w:spacing w:after="0"/>
        <w:tabs>
          <w:tab w:leader="none" w:pos="632" w:val="left"/>
        </w:tabs>
        <w:numPr>
          <w:ilvl w:val="0"/>
          <w:numId w:val="850"/>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Social Security Contributions</w:t>
      </w:r>
    </w:p>
    <w:p>
      <w:pPr>
        <w:spacing w:after="0" w:line="318" w:lineRule="exact"/>
        <w:rPr>
          <w:rFonts w:ascii="Arial" w:cs="Arial" w:eastAsia="Arial" w:hAnsi="Arial"/>
          <w:sz w:val="22"/>
          <w:szCs w:val="22"/>
          <w:b w:val="1"/>
          <w:bCs w:val="1"/>
          <w:color w:val="auto"/>
        </w:rPr>
      </w:pPr>
    </w:p>
    <w:p>
      <w:pPr>
        <w:jc w:val="both"/>
        <w:ind w:left="652" w:hanging="328"/>
        <w:spacing w:after="0" w:line="287" w:lineRule="auto"/>
        <w:tabs>
          <w:tab w:leader="none" w:pos="642" w:val="left"/>
        </w:tabs>
        <w:numPr>
          <w:ilvl w:val="1"/>
          <w:numId w:val="850"/>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RSUs, on the allocation of Shares and the subsequent sale of Shares or a respective cash equivalent are in the sole responsibility of the Participant.</w:t>
      </w:r>
    </w:p>
    <w:p>
      <w:pPr>
        <w:spacing w:after="0" w:line="242" w:lineRule="exact"/>
        <w:rPr>
          <w:rFonts w:ascii="Arial" w:cs="Arial" w:eastAsia="Arial" w:hAnsi="Arial"/>
          <w:sz w:val="18"/>
          <w:szCs w:val="18"/>
          <w:color w:val="auto"/>
        </w:rPr>
      </w:pPr>
    </w:p>
    <w:p>
      <w:pPr>
        <w:jc w:val="both"/>
        <w:ind w:left="652" w:hanging="328"/>
        <w:spacing w:after="0" w:line="284" w:lineRule="auto"/>
        <w:tabs>
          <w:tab w:leader="none" w:pos="642" w:val="left"/>
        </w:tabs>
        <w:numPr>
          <w:ilvl w:val="1"/>
          <w:numId w:val="850"/>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RSUs may be subject to the withholding of tax and social security contributions by the Company or, if different, the relevant Group Company. The Company and the relevant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RSU awards on behalf of a</w:t>
      </w:r>
    </w:p>
    <w:p>
      <w:pPr>
        <w:sectPr>
          <w:pgSz w:w="11900" w:h="16838" w:orient="portrait"/>
          <w:cols w:equalWidth="0" w:num="1">
            <w:col w:w="11232"/>
          </w:cols>
          <w:pgMar w:left="328" w:top="180" w:right="339" w:bottom="1440" w:gutter="0" w:footer="0" w:header="0"/>
        </w:sectPr>
      </w:pPr>
    </w:p>
    <w:bookmarkStart w:id="814" w:name="page815"/>
    <w:bookmarkEnd w:id="814"/>
    <w:tbl>
      <w:tblPr>
        <w:tblLayout w:type="fixed"/>
        <w:tblInd w:w="12"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Arial" w:cs="Arial" w:eastAsia="Arial" w:hAnsi="Arial"/>
                <w:sz w:val="13"/>
                <w:szCs w:val="13"/>
                <w:color w:val="auto"/>
              </w:rPr>
              <w:t>Molecular Partners AG: Restricted Share Plan 2017</w:t>
            </w:r>
          </w:p>
        </w:tc>
        <w:tc>
          <w:tcPr>
            <w:tcW w:w="3840" w:type="dxa"/>
            <w:vAlign w:val="bottom"/>
          </w:tcPr>
          <w:p>
            <w:pPr>
              <w:jc w:val="right"/>
              <w:spacing w:after="0"/>
              <w:rPr>
                <w:sz w:val="20"/>
                <w:szCs w:val="20"/>
                <w:color w:val="auto"/>
              </w:rPr>
            </w:pPr>
            <w:r>
              <w:rPr>
                <w:rFonts w:ascii="Arial" w:cs="Arial" w:eastAsia="Arial" w:hAnsi="Arial"/>
                <w:sz w:val="13"/>
                <w:szCs w:val="13"/>
                <w:color w:val="auto"/>
              </w:rPr>
              <w:t>6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52"/>
        <w:spacing w:after="0" w:line="293" w:lineRule="auto"/>
        <w:rPr>
          <w:sz w:val="20"/>
          <w:szCs w:val="20"/>
          <w:color w:val="auto"/>
        </w:rPr>
      </w:pPr>
      <w:r>
        <w:rPr>
          <w:rFonts w:ascii="Arial" w:cs="Arial" w:eastAsia="Arial" w:hAnsi="Arial"/>
          <w:sz w:val="18"/>
          <w:szCs w:val="18"/>
          <w:color w:val="auto"/>
        </w:rPr>
        <w:t>Participant and withholding of proceeds or deductions from salary or bonus payments, or require a payment from the Participant to the Company or the relevant Group Company before settlement of the RSU awards.</w:t>
      </w:r>
    </w:p>
    <w:p>
      <w:pPr>
        <w:spacing w:after="0" w:line="237" w:lineRule="exact"/>
        <w:rPr>
          <w:sz w:val="20"/>
          <w:szCs w:val="20"/>
          <w:color w:val="auto"/>
        </w:rPr>
      </w:pPr>
    </w:p>
    <w:p>
      <w:pPr>
        <w:ind w:left="652" w:hanging="328"/>
        <w:spacing w:after="0" w:line="293" w:lineRule="auto"/>
        <w:tabs>
          <w:tab w:leader="none" w:pos="646" w:val="left"/>
        </w:tabs>
        <w:numPr>
          <w:ilvl w:val="1"/>
          <w:numId w:val="851"/>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RSU awards, Shares or related events.</w:t>
      </w:r>
    </w:p>
    <w:p>
      <w:pPr>
        <w:spacing w:after="0" w:line="191" w:lineRule="exact"/>
        <w:rPr>
          <w:rFonts w:ascii="Arial" w:cs="Arial" w:eastAsia="Arial" w:hAnsi="Arial"/>
          <w:sz w:val="18"/>
          <w:szCs w:val="18"/>
          <w:color w:val="auto"/>
        </w:rPr>
      </w:pPr>
    </w:p>
    <w:p>
      <w:pPr>
        <w:ind w:left="632" w:hanging="632"/>
        <w:spacing w:after="0"/>
        <w:tabs>
          <w:tab w:leader="none" w:pos="632" w:val="left"/>
        </w:tabs>
        <w:numPr>
          <w:ilvl w:val="0"/>
          <w:numId w:val="852"/>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Requirements</w:t>
      </w:r>
    </w:p>
    <w:p>
      <w:pPr>
        <w:spacing w:after="0" w:line="319" w:lineRule="exact"/>
        <w:rPr>
          <w:sz w:val="20"/>
          <w:szCs w:val="20"/>
          <w:color w:val="auto"/>
        </w:rPr>
      </w:pPr>
    </w:p>
    <w:p>
      <w:pPr>
        <w:jc w:val="both"/>
        <w:ind w:left="652"/>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RSUs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215" w:lineRule="exact"/>
        <w:rPr>
          <w:sz w:val="20"/>
          <w:szCs w:val="20"/>
          <w:color w:val="auto"/>
        </w:rPr>
      </w:pPr>
    </w:p>
    <w:p>
      <w:pPr>
        <w:ind w:left="632" w:hanging="632"/>
        <w:spacing w:after="0"/>
        <w:tabs>
          <w:tab w:leader="none" w:pos="632" w:val="left"/>
        </w:tabs>
        <w:numPr>
          <w:ilvl w:val="0"/>
          <w:numId w:val="853"/>
        </w:numPr>
        <w:rPr>
          <w:rFonts w:ascii="Arial" w:cs="Arial" w:eastAsia="Arial" w:hAnsi="Arial"/>
          <w:sz w:val="22"/>
          <w:szCs w:val="22"/>
          <w:b w:val="1"/>
          <w:bCs w:val="1"/>
          <w:color w:val="auto"/>
        </w:rPr>
      </w:pPr>
      <w:r>
        <w:rPr>
          <w:rFonts w:ascii="Arial" w:cs="Arial" w:eastAsia="Arial" w:hAnsi="Arial"/>
          <w:sz w:val="22"/>
          <w:szCs w:val="22"/>
          <w:b w:val="1"/>
          <w:bCs w:val="1"/>
          <w:color w:val="auto"/>
        </w:rPr>
        <w:t>Other Obligations of the Participant</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Relationship with the Company) to any Group Company, until the Participant has satisfied such outstanding obligations.</w:t>
      </w:r>
    </w:p>
    <w:p>
      <w:pPr>
        <w:spacing w:after="0" w:line="211" w:lineRule="exact"/>
        <w:rPr>
          <w:sz w:val="20"/>
          <w:szCs w:val="20"/>
          <w:color w:val="auto"/>
        </w:rPr>
      </w:pPr>
    </w:p>
    <w:p>
      <w:pPr>
        <w:ind w:left="632" w:hanging="632"/>
        <w:spacing w:after="0"/>
        <w:tabs>
          <w:tab w:leader="none" w:pos="632" w:val="left"/>
        </w:tabs>
        <w:numPr>
          <w:ilvl w:val="0"/>
          <w:numId w:val="854"/>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Relationship</w:t>
      </w:r>
    </w:p>
    <w:p>
      <w:pPr>
        <w:spacing w:after="0" w:line="318" w:lineRule="exact"/>
        <w:rPr>
          <w:rFonts w:ascii="Arial" w:cs="Arial" w:eastAsia="Arial" w:hAnsi="Arial"/>
          <w:sz w:val="22"/>
          <w:szCs w:val="22"/>
          <w:b w:val="1"/>
          <w:bCs w:val="1"/>
          <w:color w:val="auto"/>
        </w:rPr>
      </w:pPr>
    </w:p>
    <w:p>
      <w:pPr>
        <w:ind w:left="632" w:hanging="308"/>
        <w:spacing w:after="0"/>
        <w:tabs>
          <w:tab w:leader="none" w:pos="632" w:val="left"/>
        </w:tabs>
        <w:numPr>
          <w:ilvl w:val="1"/>
          <w:numId w:val="854"/>
        </w:numPr>
        <w:rPr>
          <w:rFonts w:ascii="Arial" w:cs="Arial" w:eastAsia="Arial" w:hAnsi="Arial"/>
          <w:sz w:val="18"/>
          <w:szCs w:val="18"/>
          <w:color w:val="auto"/>
        </w:rPr>
      </w:pPr>
      <w:r>
        <w:rPr>
          <w:rFonts w:ascii="Arial" w:cs="Arial" w:eastAsia="Arial" w:hAnsi="Arial"/>
          <w:sz w:val="18"/>
          <w:szCs w:val="18"/>
          <w:color w:val="auto"/>
        </w:rPr>
        <w:t>If a Participant's Relationship is terminated or another reason for termination occurs during the first year of the Vesting Period (or, in</w:t>
      </w:r>
    </w:p>
    <w:p>
      <w:pPr>
        <w:spacing w:after="0" w:line="36" w:lineRule="exact"/>
        <w:rPr>
          <w:rFonts w:ascii="Arial" w:cs="Arial" w:eastAsia="Arial" w:hAnsi="Arial"/>
          <w:sz w:val="18"/>
          <w:szCs w:val="18"/>
          <w:color w:val="auto"/>
        </w:rPr>
      </w:pPr>
    </w:p>
    <w:p>
      <w:pPr>
        <w:ind w:left="652" w:right="20"/>
        <w:spacing w:after="0" w:line="293" w:lineRule="auto"/>
        <w:rPr>
          <w:rFonts w:ascii="Arial" w:cs="Arial" w:eastAsia="Arial" w:hAnsi="Arial"/>
          <w:sz w:val="18"/>
          <w:szCs w:val="18"/>
          <w:color w:val="auto"/>
        </w:rPr>
      </w:pPr>
      <w:r>
        <w:rPr>
          <w:rFonts w:ascii="Arial" w:cs="Arial" w:eastAsia="Arial" w:hAnsi="Arial"/>
          <w:sz w:val="18"/>
          <w:szCs w:val="18"/>
          <w:color w:val="auto"/>
        </w:rPr>
        <w:t>case of a member of the Board of Directors, prior to the end of a full term of office),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and except as set out in subsection 13 (b) below, all RSUs shall immediately cease and be forfeited.</w:t>
      </w:r>
    </w:p>
    <w:p>
      <w:pPr>
        <w:spacing w:after="0" w:line="223" w:lineRule="exact"/>
        <w:rPr>
          <w:rFonts w:ascii="Arial" w:cs="Arial" w:eastAsia="Arial" w:hAnsi="Arial"/>
          <w:sz w:val="18"/>
          <w:szCs w:val="18"/>
          <w:color w:val="auto"/>
        </w:rPr>
      </w:pPr>
    </w:p>
    <w:p>
      <w:pPr>
        <w:jc w:val="both"/>
        <w:ind w:left="652" w:hanging="328"/>
        <w:spacing w:after="0" w:line="284" w:lineRule="auto"/>
        <w:tabs>
          <w:tab w:leader="none" w:pos="642" w:val="left"/>
        </w:tabs>
        <w:numPr>
          <w:ilvl w:val="1"/>
          <w:numId w:val="854"/>
        </w:numPr>
        <w:rPr>
          <w:rFonts w:ascii="Arial" w:cs="Arial" w:eastAsia="Arial" w:hAnsi="Arial"/>
          <w:sz w:val="18"/>
          <w:szCs w:val="18"/>
          <w:color w:val="auto"/>
        </w:rPr>
      </w:pPr>
      <w:r>
        <w:rPr>
          <w:rFonts w:ascii="Arial" w:cs="Arial" w:eastAsia="Arial" w:hAnsi="Arial"/>
          <w:sz w:val="18"/>
          <w:szCs w:val="18"/>
          <w:color w:val="auto"/>
        </w:rPr>
        <w:t>If the Relationship terminates during the first year of the Vesting Period (or, in case of a member of the Board of Directors, prior to the end of a full term of office) by reason of death, permanent illness or disability of the Participant, a pro rata number of RSUs granted to the Participant shall vest immediately with the remaining RSUs lapsing without further effect. The Board of Directors may, at its sole discretion and with final and binding effect, based on a recommendation by the Compensation Committee and taking into consideration the objectives of the Plan, grant further exceptions from the forfeiture clause as per section 13 (a) above.</w:t>
      </w:r>
    </w:p>
    <w:p>
      <w:pPr>
        <w:sectPr>
          <w:pgSz w:w="11900" w:h="16838" w:orient="portrait"/>
          <w:cols w:equalWidth="0" w:num="1">
            <w:col w:w="11232"/>
          </w:cols>
          <w:pgMar w:left="328" w:top="180" w:right="339" w:bottom="1440" w:gutter="0" w:footer="0" w:header="0"/>
        </w:sectPr>
      </w:pPr>
    </w:p>
    <w:bookmarkStart w:id="815" w:name="page816"/>
    <w:bookmarkEnd w:id="815"/>
    <w:tbl>
      <w:tblPr>
        <w:tblLayout w:type="fixed"/>
        <w:tblInd w:w="12"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Arial" w:cs="Arial" w:eastAsia="Arial" w:hAnsi="Arial"/>
                <w:sz w:val="13"/>
                <w:szCs w:val="13"/>
                <w:color w:val="auto"/>
              </w:rPr>
              <w:t>Molecular Partners AG: Restricted Share Plan 2017</w:t>
            </w:r>
          </w:p>
        </w:tc>
        <w:tc>
          <w:tcPr>
            <w:tcW w:w="3840" w:type="dxa"/>
            <w:vAlign w:val="bottom"/>
          </w:tcPr>
          <w:p>
            <w:pPr>
              <w:jc w:val="right"/>
              <w:spacing w:after="0"/>
              <w:rPr>
                <w:sz w:val="20"/>
                <w:szCs w:val="20"/>
                <w:color w:val="auto"/>
              </w:rPr>
            </w:pPr>
            <w:r>
              <w:rPr>
                <w:rFonts w:ascii="Arial" w:cs="Arial" w:eastAsia="Arial" w:hAnsi="Arial"/>
                <w:sz w:val="13"/>
                <w:szCs w:val="13"/>
                <w:color w:val="auto"/>
              </w:rPr>
              <w:t>7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55"/>
        </w:numPr>
        <w:rPr>
          <w:rFonts w:ascii="Arial" w:cs="Arial" w:eastAsia="Arial" w:hAnsi="Arial"/>
          <w:sz w:val="22"/>
          <w:szCs w:val="22"/>
          <w:b w:val="1"/>
          <w:bCs w:val="1"/>
          <w:color w:val="auto"/>
        </w:rPr>
      </w:pPr>
      <w:r>
        <w:rPr>
          <w:rFonts w:ascii="Arial" w:cs="Arial" w:eastAsia="Arial" w:hAnsi="Arial"/>
          <w:sz w:val="22"/>
          <w:szCs w:val="22"/>
          <w:b w:val="1"/>
          <w:bCs w:val="1"/>
          <w:color w:val="auto"/>
        </w:rPr>
        <w:t>Change of Control</w:t>
      </w:r>
    </w:p>
    <w:p>
      <w:pPr>
        <w:spacing w:after="0" w:line="296" w:lineRule="exact"/>
        <w:rPr>
          <w:rFonts w:ascii="Arial" w:cs="Arial" w:eastAsia="Arial" w:hAnsi="Arial"/>
          <w:sz w:val="22"/>
          <w:szCs w:val="22"/>
          <w:b w:val="1"/>
          <w:bCs w:val="1"/>
          <w:color w:val="auto"/>
        </w:rPr>
      </w:pPr>
    </w:p>
    <w:p>
      <w:pPr>
        <w:ind w:left="632" w:hanging="308"/>
        <w:spacing w:after="0"/>
        <w:tabs>
          <w:tab w:leader="none" w:pos="632" w:val="left"/>
        </w:tabs>
        <w:numPr>
          <w:ilvl w:val="1"/>
          <w:numId w:val="855"/>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pacing w:after="0" w:line="314" w:lineRule="exact"/>
        <w:rPr>
          <w:rFonts w:ascii="Arial" w:cs="Arial" w:eastAsia="Arial" w:hAnsi="Arial"/>
          <w:sz w:val="18"/>
          <w:szCs w:val="18"/>
          <w:color w:val="auto"/>
        </w:rPr>
      </w:pPr>
    </w:p>
    <w:p>
      <w:pPr>
        <w:jc w:val="both"/>
        <w:ind w:left="972" w:hanging="324"/>
        <w:spacing w:after="0" w:line="287" w:lineRule="auto"/>
        <w:tabs>
          <w:tab w:leader="none" w:pos="962" w:val="left"/>
        </w:tabs>
        <w:numPr>
          <w:ilvl w:val="2"/>
          <w:numId w:val="855"/>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29" w:lineRule="exact"/>
        <w:rPr>
          <w:rFonts w:ascii="Arial" w:cs="Arial" w:eastAsia="Arial" w:hAnsi="Arial"/>
          <w:sz w:val="18"/>
          <w:szCs w:val="18"/>
          <w:color w:val="auto"/>
        </w:rPr>
      </w:pPr>
    </w:p>
    <w:p>
      <w:pPr>
        <w:ind w:left="972" w:hanging="324"/>
        <w:spacing w:after="0" w:line="293" w:lineRule="auto"/>
        <w:tabs>
          <w:tab w:leader="none" w:pos="962" w:val="left"/>
        </w:tabs>
        <w:numPr>
          <w:ilvl w:val="2"/>
          <w:numId w:val="855"/>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237" w:lineRule="exact"/>
        <w:rPr>
          <w:rFonts w:ascii="Arial" w:cs="Arial" w:eastAsia="Arial" w:hAnsi="Arial"/>
          <w:sz w:val="18"/>
          <w:szCs w:val="18"/>
          <w:color w:val="auto"/>
        </w:rPr>
      </w:pPr>
    </w:p>
    <w:p>
      <w:pPr>
        <w:jc w:val="both"/>
        <w:ind w:left="972" w:hanging="324"/>
        <w:spacing w:after="0" w:line="285" w:lineRule="auto"/>
        <w:tabs>
          <w:tab w:leader="none" w:pos="962" w:val="left"/>
        </w:tabs>
        <w:numPr>
          <w:ilvl w:val="2"/>
          <w:numId w:val="855"/>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45" w:lineRule="exact"/>
        <w:rPr>
          <w:rFonts w:ascii="Arial" w:cs="Arial" w:eastAsia="Arial" w:hAnsi="Arial"/>
          <w:sz w:val="18"/>
          <w:szCs w:val="18"/>
          <w:color w:val="auto"/>
        </w:rPr>
      </w:pPr>
    </w:p>
    <w:p>
      <w:pPr>
        <w:jc w:val="both"/>
        <w:ind w:left="972" w:hanging="324"/>
        <w:spacing w:after="0" w:line="284" w:lineRule="auto"/>
        <w:tabs>
          <w:tab w:leader="none" w:pos="962" w:val="left"/>
        </w:tabs>
        <w:numPr>
          <w:ilvl w:val="2"/>
          <w:numId w:val="855"/>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33" w:lineRule="exact"/>
        <w:rPr>
          <w:rFonts w:ascii="Arial" w:cs="Arial" w:eastAsia="Arial" w:hAnsi="Arial"/>
          <w:sz w:val="18"/>
          <w:szCs w:val="18"/>
          <w:color w:val="auto"/>
        </w:rPr>
      </w:pPr>
    </w:p>
    <w:p>
      <w:pPr>
        <w:ind w:left="652" w:hanging="328"/>
        <w:spacing w:after="0" w:line="293" w:lineRule="auto"/>
        <w:tabs>
          <w:tab w:leader="none" w:pos="642" w:val="left"/>
        </w:tabs>
        <w:numPr>
          <w:ilvl w:val="1"/>
          <w:numId w:val="855"/>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RSUs in respect of which the Vesting Date has not occurred by the date of the Change of Control:</w:t>
      </w:r>
    </w:p>
    <w:p>
      <w:pPr>
        <w:spacing w:after="0" w:line="237" w:lineRule="exact"/>
        <w:rPr>
          <w:rFonts w:ascii="Arial" w:cs="Arial" w:eastAsia="Arial" w:hAnsi="Arial"/>
          <w:sz w:val="18"/>
          <w:szCs w:val="18"/>
          <w:color w:val="auto"/>
        </w:rPr>
      </w:pPr>
    </w:p>
    <w:p>
      <w:pPr>
        <w:ind w:left="972" w:hanging="324"/>
        <w:spacing w:after="0"/>
        <w:tabs>
          <w:tab w:leader="none" w:pos="972" w:val="left"/>
        </w:tabs>
        <w:numPr>
          <w:ilvl w:val="2"/>
          <w:numId w:val="855"/>
        </w:numPr>
        <w:rPr>
          <w:rFonts w:ascii="Arial" w:cs="Arial" w:eastAsia="Arial" w:hAnsi="Arial"/>
          <w:sz w:val="18"/>
          <w:szCs w:val="18"/>
          <w:color w:val="auto"/>
        </w:rPr>
      </w:pPr>
      <w:r>
        <w:rPr>
          <w:rFonts w:ascii="Arial" w:cs="Arial" w:eastAsia="Arial" w:hAnsi="Arial"/>
          <w:sz w:val="18"/>
          <w:szCs w:val="18"/>
          <w:color w:val="auto"/>
        </w:rPr>
        <w:t>all RSUs will vest immediately; and</w:t>
      </w:r>
    </w:p>
    <w:p>
      <w:pPr>
        <w:spacing w:after="0" w:line="292" w:lineRule="exact"/>
        <w:rPr>
          <w:rFonts w:ascii="Arial" w:cs="Arial" w:eastAsia="Arial" w:hAnsi="Arial"/>
          <w:sz w:val="18"/>
          <w:szCs w:val="18"/>
          <w:color w:val="auto"/>
        </w:rPr>
      </w:pPr>
    </w:p>
    <w:p>
      <w:pPr>
        <w:ind w:left="972" w:hanging="324"/>
        <w:spacing w:after="0" w:line="293" w:lineRule="auto"/>
        <w:tabs>
          <w:tab w:leader="none" w:pos="962" w:val="left"/>
        </w:tabs>
        <w:numPr>
          <w:ilvl w:val="2"/>
          <w:numId w:val="855"/>
        </w:numPr>
        <w:rPr>
          <w:rFonts w:ascii="Arial" w:cs="Arial" w:eastAsia="Arial" w:hAnsi="Arial"/>
          <w:sz w:val="18"/>
          <w:szCs w:val="18"/>
          <w:color w:val="auto"/>
        </w:rPr>
      </w:pPr>
      <w:r>
        <w:rPr>
          <w:rFonts w:ascii="Arial" w:cs="Arial" w:eastAsia="Arial" w:hAnsi="Arial"/>
          <w:sz w:val="18"/>
          <w:szCs w:val="18"/>
          <w:color w:val="auto"/>
        </w:rPr>
        <w:t>the RSUs will be paid out in Shares, unless the Compensation Committee resolves to repurchase or exchange RSUs or decides upon another solution to provide the Participants with the vesting value of the RSUs.</w:t>
      </w:r>
    </w:p>
    <w:p>
      <w:pPr>
        <w:spacing w:after="0" w:line="223" w:lineRule="exact"/>
        <w:rPr>
          <w:rFonts w:ascii="Arial" w:cs="Arial" w:eastAsia="Arial" w:hAnsi="Arial"/>
          <w:sz w:val="18"/>
          <w:szCs w:val="18"/>
          <w:color w:val="auto"/>
        </w:rPr>
      </w:pPr>
    </w:p>
    <w:p>
      <w:pPr>
        <w:jc w:val="both"/>
        <w:ind w:left="652" w:hanging="328"/>
        <w:spacing w:after="0" w:line="285" w:lineRule="auto"/>
        <w:tabs>
          <w:tab w:leader="none" w:pos="646" w:val="left"/>
        </w:tabs>
        <w:numPr>
          <w:ilvl w:val="1"/>
          <w:numId w:val="855"/>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Compensation Committee, decide to replace the consequences set forth above, by other terms that more appropriately and fairly address the situation.</w:t>
      </w:r>
    </w:p>
    <w:p>
      <w:pPr>
        <w:spacing w:after="0" w:line="245" w:lineRule="exact"/>
        <w:rPr>
          <w:rFonts w:ascii="Arial" w:cs="Arial" w:eastAsia="Arial" w:hAnsi="Arial"/>
          <w:sz w:val="18"/>
          <w:szCs w:val="18"/>
          <w:color w:val="auto"/>
        </w:rPr>
      </w:pPr>
    </w:p>
    <w:p>
      <w:pPr>
        <w:jc w:val="both"/>
        <w:ind w:left="652" w:hanging="328"/>
        <w:spacing w:after="0" w:line="285" w:lineRule="auto"/>
        <w:tabs>
          <w:tab w:leader="none" w:pos="642" w:val="left"/>
        </w:tabs>
        <w:numPr>
          <w:ilvl w:val="1"/>
          <w:numId w:val="855"/>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Compensation Committee, decide to treat such event like a Change of Control event, providing, however, such adjustments to the consequences set forth above, that adequately and fairly address the differences to an actual Change of Control.</w:t>
      </w:r>
    </w:p>
    <w:p>
      <w:pPr>
        <w:sectPr>
          <w:pgSz w:w="11900" w:h="16838" w:orient="portrait"/>
          <w:cols w:equalWidth="0" w:num="1">
            <w:col w:w="11232"/>
          </w:cols>
          <w:pgMar w:left="328" w:top="180" w:right="339" w:bottom="1440" w:gutter="0" w:footer="0" w:header="0"/>
        </w:sectPr>
      </w:pPr>
    </w:p>
    <w:bookmarkStart w:id="816" w:name="page817"/>
    <w:bookmarkEnd w:id="816"/>
    <w:tbl>
      <w:tblPr>
        <w:tblLayout w:type="fixed"/>
        <w:tblInd w:w="12"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Arial" w:cs="Arial" w:eastAsia="Arial" w:hAnsi="Arial"/>
                <w:sz w:val="13"/>
                <w:szCs w:val="13"/>
                <w:color w:val="auto"/>
              </w:rPr>
              <w:t>Molecular Partners AG: Restricted Share Plan 2017</w:t>
            </w:r>
          </w:p>
        </w:tc>
        <w:tc>
          <w:tcPr>
            <w:tcW w:w="3840" w:type="dxa"/>
            <w:vAlign w:val="bottom"/>
          </w:tcPr>
          <w:p>
            <w:pPr>
              <w:jc w:val="right"/>
              <w:spacing w:after="0"/>
              <w:rPr>
                <w:sz w:val="20"/>
                <w:szCs w:val="20"/>
                <w:color w:val="auto"/>
              </w:rPr>
            </w:pPr>
            <w:r>
              <w:rPr>
                <w:rFonts w:ascii="Arial" w:cs="Arial" w:eastAsia="Arial" w:hAnsi="Arial"/>
                <w:sz w:val="13"/>
                <w:szCs w:val="13"/>
                <w:color w:val="auto"/>
              </w:rPr>
              <w:t>8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56"/>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Events</w:t>
      </w:r>
    </w:p>
    <w:p>
      <w:pPr>
        <w:spacing w:after="0" w:line="319" w:lineRule="exact"/>
        <w:rPr>
          <w:sz w:val="20"/>
          <w:szCs w:val="20"/>
          <w:color w:val="auto"/>
        </w:rPr>
      </w:pPr>
    </w:p>
    <w:p>
      <w:pPr>
        <w:jc w:val="both"/>
        <w:ind w:left="652"/>
        <w:spacing w:after="0" w:line="283"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RSUs such that an adjustment is required in order to preserve the benefits intended to be made available under this Plan, then the RSUs and related terms shall be adjusted and/or, if deemed appropriate, a cash payment to Participants or persons having outstanding RSUs shall be made to compensate such dilution. Such adjustment shall be resolved by the Board of Directors at its sole discretion with final and binding effect, based on a recommendation by the Compensation Committee and taking into consideration the acquired rights of the Participants and the objectives of the Plan.</w:t>
      </w:r>
    </w:p>
    <w:p>
      <w:pPr>
        <w:spacing w:after="0" w:line="216" w:lineRule="exact"/>
        <w:rPr>
          <w:sz w:val="20"/>
          <w:szCs w:val="20"/>
          <w:color w:val="auto"/>
        </w:rPr>
      </w:pPr>
    </w:p>
    <w:p>
      <w:pPr>
        <w:ind w:left="632" w:hanging="632"/>
        <w:spacing w:after="0"/>
        <w:tabs>
          <w:tab w:leader="none" w:pos="632" w:val="left"/>
        </w:tabs>
        <w:numPr>
          <w:ilvl w:val="0"/>
          <w:numId w:val="857"/>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318" w:lineRule="exact"/>
        <w:rPr>
          <w:rFonts w:ascii="Arial" w:cs="Arial" w:eastAsia="Arial" w:hAnsi="Arial"/>
          <w:sz w:val="22"/>
          <w:szCs w:val="22"/>
          <w:b w:val="1"/>
          <w:bCs w:val="1"/>
          <w:color w:val="auto"/>
        </w:rPr>
      </w:pPr>
    </w:p>
    <w:p>
      <w:pPr>
        <w:jc w:val="both"/>
        <w:ind w:left="652" w:hanging="328"/>
        <w:spacing w:after="0" w:line="284" w:lineRule="auto"/>
        <w:tabs>
          <w:tab w:leader="none" w:pos="642" w:val="left"/>
        </w:tabs>
        <w:numPr>
          <w:ilvl w:val="1"/>
          <w:numId w:val="857"/>
        </w:numPr>
        <w:rPr>
          <w:rFonts w:ascii="Arial" w:cs="Arial" w:eastAsia="Arial" w:hAnsi="Arial"/>
          <w:sz w:val="18"/>
          <w:szCs w:val="18"/>
          <w:color w:val="auto"/>
        </w:rPr>
      </w:pPr>
      <w:r>
        <w:rPr>
          <w:rFonts w:ascii="Arial" w:cs="Arial" w:eastAsia="Arial" w:hAnsi="Arial"/>
          <w:sz w:val="18"/>
          <w:szCs w:val="18"/>
          <w:color w:val="auto"/>
        </w:rPr>
        <w:t>By accepting a grant of RSUs, each Participant consents to the collection and processing of personal data relating to the Participant in connection with such grant and the performance of this Plan and the RSU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RSUs, to provide for cash-less grants or sale mechanics and to generally administer and manage the Plan or keep records of participation levels.</w:t>
      </w:r>
    </w:p>
    <w:p>
      <w:pPr>
        <w:spacing w:after="0" w:line="231" w:lineRule="exact"/>
        <w:rPr>
          <w:rFonts w:ascii="Arial" w:cs="Arial" w:eastAsia="Arial" w:hAnsi="Arial"/>
          <w:sz w:val="18"/>
          <w:szCs w:val="18"/>
          <w:color w:val="auto"/>
        </w:rPr>
      </w:pPr>
    </w:p>
    <w:p>
      <w:pPr>
        <w:jc w:val="both"/>
        <w:ind w:left="652" w:hanging="328"/>
        <w:spacing w:after="0" w:line="285" w:lineRule="auto"/>
        <w:tabs>
          <w:tab w:leader="none" w:pos="642" w:val="left"/>
        </w:tabs>
        <w:numPr>
          <w:ilvl w:val="1"/>
          <w:numId w:val="857"/>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relevant Group Company.</w:t>
      </w:r>
    </w:p>
    <w:p>
      <w:pPr>
        <w:spacing w:after="0" w:line="213" w:lineRule="exact"/>
        <w:rPr>
          <w:rFonts w:ascii="Arial" w:cs="Arial" w:eastAsia="Arial" w:hAnsi="Arial"/>
          <w:sz w:val="18"/>
          <w:szCs w:val="18"/>
          <w:color w:val="auto"/>
        </w:rPr>
      </w:pPr>
    </w:p>
    <w:p>
      <w:pPr>
        <w:ind w:left="632" w:hanging="632"/>
        <w:spacing w:after="0"/>
        <w:tabs>
          <w:tab w:leader="none" w:pos="632" w:val="left"/>
        </w:tabs>
        <w:numPr>
          <w:ilvl w:val="0"/>
          <w:numId w:val="857"/>
        </w:numPr>
        <w:rPr>
          <w:rFonts w:ascii="Arial" w:cs="Arial" w:eastAsia="Arial" w:hAnsi="Arial"/>
          <w:sz w:val="22"/>
          <w:szCs w:val="22"/>
          <w:b w:val="1"/>
          <w:bCs w:val="1"/>
          <w:color w:val="auto"/>
        </w:rPr>
      </w:pPr>
      <w:r>
        <w:rPr>
          <w:rFonts w:ascii="Arial" w:cs="Arial" w:eastAsia="Arial" w:hAnsi="Arial"/>
          <w:sz w:val="22"/>
          <w:szCs w:val="22"/>
          <w:b w:val="1"/>
          <w:bCs w:val="1"/>
          <w:color w:val="auto"/>
        </w:rPr>
        <w:t>Legal and regulatory restrictions</w:t>
      </w:r>
    </w:p>
    <w:p>
      <w:pPr>
        <w:spacing w:after="0" w:line="318" w:lineRule="exact"/>
        <w:rPr>
          <w:rFonts w:ascii="Arial" w:cs="Arial" w:eastAsia="Arial" w:hAnsi="Arial"/>
          <w:sz w:val="22"/>
          <w:szCs w:val="22"/>
          <w:b w:val="1"/>
          <w:bCs w:val="1"/>
          <w:color w:val="auto"/>
        </w:rPr>
      </w:pPr>
    </w:p>
    <w:p>
      <w:pPr>
        <w:ind w:left="652" w:right="20" w:hanging="328"/>
        <w:spacing w:after="0" w:line="293" w:lineRule="auto"/>
        <w:tabs>
          <w:tab w:leader="none" w:pos="642" w:val="left"/>
        </w:tabs>
        <w:numPr>
          <w:ilvl w:val="1"/>
          <w:numId w:val="857"/>
        </w:numPr>
        <w:rPr>
          <w:rFonts w:ascii="Arial" w:cs="Arial" w:eastAsia="Arial" w:hAnsi="Arial"/>
          <w:sz w:val="18"/>
          <w:szCs w:val="18"/>
          <w:color w:val="auto"/>
        </w:rPr>
      </w:pPr>
      <w:r>
        <w:rPr>
          <w:rFonts w:ascii="Arial" w:cs="Arial" w:eastAsia="Arial" w:hAnsi="Arial"/>
          <w:sz w:val="18"/>
          <w:szCs w:val="18"/>
          <w:color w:val="auto"/>
        </w:rPr>
        <w:t>Neither the Shares nor the RSU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652" w:hanging="328"/>
        <w:spacing w:after="0" w:line="281" w:lineRule="auto"/>
        <w:tabs>
          <w:tab w:leader="none" w:pos="642" w:val="left"/>
        </w:tabs>
        <w:numPr>
          <w:ilvl w:val="1"/>
          <w:numId w:val="857"/>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RSUs or the delivery of Shares pursuant to this Plan or the extension of eligibility under this Plan into any jurisdiction or to any person conflicts with any securities, stock exchange or other laws and regulations or would trigger any licensing, filing, prospectus, registration or</w:t>
      </w:r>
    </w:p>
    <w:p>
      <w:pPr>
        <w:spacing w:after="0" w:line="3" w:lineRule="exact"/>
        <w:rPr>
          <w:rFonts w:ascii="Arial" w:cs="Arial" w:eastAsia="Arial" w:hAnsi="Arial"/>
          <w:sz w:val="18"/>
          <w:szCs w:val="18"/>
          <w:color w:val="auto"/>
        </w:rPr>
      </w:pPr>
    </w:p>
    <w:p>
      <w:pPr>
        <w:jc w:val="both"/>
        <w:ind w:left="652"/>
        <w:spacing w:after="0" w:line="287" w:lineRule="auto"/>
        <w:rPr>
          <w:rFonts w:ascii="Arial" w:cs="Arial" w:eastAsia="Arial" w:hAnsi="Arial"/>
          <w:sz w:val="18"/>
          <w:szCs w:val="18"/>
          <w:color w:val="auto"/>
        </w:rPr>
      </w:pPr>
      <w:r>
        <w:rPr>
          <w:rFonts w:ascii="Arial" w:cs="Arial" w:eastAsia="Arial" w:hAnsi="Arial"/>
          <w:sz w:val="18"/>
          <w:szCs w:val="18"/>
          <w:color w:val="auto"/>
        </w:rPr>
        <w:t>similar 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w:t>
      </w:r>
    </w:p>
    <w:p>
      <w:pPr>
        <w:sectPr>
          <w:pgSz w:w="11900" w:h="16838" w:orient="portrait"/>
          <w:cols w:equalWidth="0" w:num="1">
            <w:col w:w="11232"/>
          </w:cols>
          <w:pgMar w:left="328" w:top="180" w:right="339" w:bottom="1440" w:gutter="0" w:footer="0" w:header="0"/>
        </w:sectPr>
      </w:pPr>
    </w:p>
    <w:bookmarkStart w:id="817" w:name="page818"/>
    <w:bookmarkEnd w:id="817"/>
    <w:tbl>
      <w:tblPr>
        <w:tblLayout w:type="fixed"/>
        <w:tblInd w:w="12" w:type="dxa"/>
        <w:tblCellMar>
          <w:top w:w="0" w:type="dxa"/>
          <w:left w:w="0" w:type="dxa"/>
          <w:bottom w:w="0" w:type="dxa"/>
          <w:right w:w="0" w:type="dxa"/>
        </w:tblCellMar>
      </w:tblPr>
      <w:tr>
        <w:trPr>
          <w:trHeight w:val="187"/>
        </w:trPr>
        <w:tc>
          <w:tcPr>
            <w:tcW w:w="6700" w:type="dxa"/>
            <w:vAlign w:val="bottom"/>
          </w:tcPr>
          <w:p>
            <w:pPr>
              <w:spacing w:after="0"/>
              <w:rPr>
                <w:sz w:val="20"/>
                <w:szCs w:val="20"/>
                <w:color w:val="auto"/>
              </w:rPr>
            </w:pPr>
            <w:r>
              <w:rPr>
                <w:rFonts w:ascii="Arial" w:cs="Arial" w:eastAsia="Arial" w:hAnsi="Arial"/>
                <w:sz w:val="13"/>
                <w:szCs w:val="13"/>
                <w:color w:val="auto"/>
              </w:rPr>
              <w:t>Molecular Partners AG: Restricted Share Plan 2017</w:t>
            </w:r>
          </w:p>
        </w:tc>
        <w:tc>
          <w:tcPr>
            <w:tcW w:w="3840" w:type="dxa"/>
            <w:vAlign w:val="bottom"/>
          </w:tcPr>
          <w:p>
            <w:pPr>
              <w:jc w:val="right"/>
              <w:spacing w:after="0"/>
              <w:rPr>
                <w:sz w:val="20"/>
                <w:szCs w:val="20"/>
                <w:color w:val="auto"/>
              </w:rPr>
            </w:pPr>
            <w:r>
              <w:rPr>
                <w:rFonts w:ascii="Arial" w:cs="Arial" w:eastAsia="Arial" w:hAnsi="Arial"/>
                <w:sz w:val="13"/>
                <w:szCs w:val="13"/>
                <w:color w:val="auto"/>
              </w:rPr>
              <w:t>9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its own discretion whether and how to compensate the relevant persons in lieu of such grant, delivery or extension.</w:t>
      </w:r>
    </w:p>
    <w:p>
      <w:pPr>
        <w:spacing w:after="0" w:line="293" w:lineRule="exact"/>
        <w:rPr>
          <w:sz w:val="20"/>
          <w:szCs w:val="20"/>
          <w:color w:val="auto"/>
        </w:rPr>
      </w:pPr>
    </w:p>
    <w:p>
      <w:pPr>
        <w:ind w:left="652" w:hanging="328"/>
        <w:spacing w:after="0" w:line="293" w:lineRule="auto"/>
        <w:tabs>
          <w:tab w:leader="none" w:pos="646" w:val="left"/>
        </w:tabs>
        <w:numPr>
          <w:ilvl w:val="0"/>
          <w:numId w:val="858"/>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RSUs and any shares granted thereunder.</w:t>
      </w:r>
    </w:p>
    <w:p>
      <w:pPr>
        <w:spacing w:after="0" w:line="223" w:lineRule="exact"/>
        <w:rPr>
          <w:rFonts w:ascii="Arial" w:cs="Arial" w:eastAsia="Arial" w:hAnsi="Arial"/>
          <w:sz w:val="18"/>
          <w:szCs w:val="18"/>
          <w:color w:val="auto"/>
        </w:rPr>
      </w:pPr>
    </w:p>
    <w:p>
      <w:pPr>
        <w:ind w:left="652" w:hanging="328"/>
        <w:spacing w:after="0" w:line="293" w:lineRule="auto"/>
        <w:tabs>
          <w:tab w:leader="none" w:pos="642" w:val="left"/>
        </w:tabs>
        <w:numPr>
          <w:ilvl w:val="0"/>
          <w:numId w:val="858"/>
        </w:numPr>
        <w:rPr>
          <w:rFonts w:ascii="Arial" w:cs="Arial" w:eastAsia="Arial" w:hAnsi="Arial"/>
          <w:sz w:val="18"/>
          <w:szCs w:val="18"/>
          <w:color w:val="auto"/>
        </w:rPr>
      </w:pPr>
      <w:r>
        <w:rPr>
          <w:rFonts w:ascii="Arial" w:cs="Arial" w:eastAsia="Arial" w:hAnsi="Arial"/>
          <w:sz w:val="18"/>
          <w:szCs w:val="18"/>
          <w:color w:val="auto"/>
        </w:rPr>
        <w:t>Any grant of RSUs to members of the Board of Directors that qualifies as prohibited payment under the Compensation Ordinance or otherwise, shall be null and void.</w:t>
      </w:r>
    </w:p>
    <w:p>
      <w:pPr>
        <w:spacing w:after="0" w:line="237" w:lineRule="exact"/>
        <w:rPr>
          <w:rFonts w:ascii="Arial" w:cs="Arial" w:eastAsia="Arial" w:hAnsi="Arial"/>
          <w:sz w:val="18"/>
          <w:szCs w:val="18"/>
          <w:color w:val="auto"/>
        </w:rPr>
      </w:pPr>
    </w:p>
    <w:p>
      <w:pPr>
        <w:jc w:val="both"/>
        <w:ind w:left="652" w:hanging="328"/>
        <w:spacing w:after="0" w:line="285" w:lineRule="auto"/>
        <w:tabs>
          <w:tab w:leader="none" w:pos="642" w:val="left"/>
        </w:tabs>
        <w:numPr>
          <w:ilvl w:val="0"/>
          <w:numId w:val="858"/>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particular in case of termination of Relationship or Change of Control, should, at the time of the relevant event, qualify as providing additional value to a member of the Board of Directors in a manner that would violate the Compensation Ordinance or other legal provisions, such additional value shall be otherwise compensated, e.g. by a relevant deduction from cash compensation or other proceeds.</w:t>
      </w:r>
    </w:p>
    <w:p>
      <w:pPr>
        <w:spacing w:after="0" w:line="214" w:lineRule="exact"/>
        <w:rPr>
          <w:sz w:val="20"/>
          <w:szCs w:val="20"/>
          <w:color w:val="auto"/>
        </w:rPr>
      </w:pPr>
    </w:p>
    <w:p>
      <w:pPr>
        <w:ind w:left="632" w:hanging="632"/>
        <w:spacing w:after="0"/>
        <w:tabs>
          <w:tab w:leader="none" w:pos="632" w:val="left"/>
        </w:tabs>
        <w:numPr>
          <w:ilvl w:val="0"/>
          <w:numId w:val="85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RSU grants. Any adverse economic effects of such termination, suspension or amendment on grants already made pursuant to a RSU Agreement shall be fairly compensated in cash, by adjustment of other terms of the grant, by replacement by other grants or benefits, or otherwise.</w:t>
      </w:r>
    </w:p>
    <w:p>
      <w:pPr>
        <w:spacing w:after="0" w:line="200" w:lineRule="exact"/>
        <w:rPr>
          <w:sz w:val="20"/>
          <w:szCs w:val="20"/>
          <w:color w:val="auto"/>
        </w:rPr>
      </w:pPr>
    </w:p>
    <w:p>
      <w:pPr>
        <w:ind w:left="632" w:hanging="632"/>
        <w:spacing w:after="0"/>
        <w:tabs>
          <w:tab w:leader="none" w:pos="632" w:val="left"/>
        </w:tabs>
        <w:numPr>
          <w:ilvl w:val="0"/>
          <w:numId w:val="860"/>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ind w:left="632" w:hanging="632"/>
        <w:spacing w:after="0"/>
        <w:tabs>
          <w:tab w:leader="none" w:pos="632" w:val="left"/>
        </w:tabs>
        <w:numPr>
          <w:ilvl w:val="0"/>
          <w:numId w:val="861"/>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318" w:lineRule="exact"/>
        <w:rPr>
          <w:rFonts w:ascii="Arial" w:cs="Arial" w:eastAsia="Arial" w:hAnsi="Arial"/>
          <w:sz w:val="22"/>
          <w:szCs w:val="22"/>
          <w:b w:val="1"/>
          <w:bCs w:val="1"/>
          <w:color w:val="auto"/>
        </w:rPr>
      </w:pPr>
    </w:p>
    <w:p>
      <w:pPr>
        <w:ind w:left="652" w:hanging="328"/>
        <w:spacing w:after="0" w:line="293" w:lineRule="auto"/>
        <w:tabs>
          <w:tab w:leader="none" w:pos="642" w:val="left"/>
        </w:tabs>
        <w:numPr>
          <w:ilvl w:val="1"/>
          <w:numId w:val="861"/>
        </w:numPr>
        <w:rPr>
          <w:rFonts w:ascii="Arial" w:cs="Arial" w:eastAsia="Arial" w:hAnsi="Arial"/>
          <w:sz w:val="18"/>
          <w:szCs w:val="18"/>
          <w:color w:val="auto"/>
        </w:rPr>
      </w:pPr>
      <w:r>
        <w:rPr>
          <w:rFonts w:ascii="Arial" w:cs="Arial" w:eastAsia="Arial" w:hAnsi="Arial"/>
          <w:sz w:val="18"/>
          <w:szCs w:val="18"/>
          <w:color w:val="auto"/>
        </w:rPr>
        <w:t>This Plan and any RSU Award Agreement shall be governed by, and construed in accordance with, the substantive laws of Switzerland.</w:t>
      </w:r>
    </w:p>
    <w:p>
      <w:pPr>
        <w:spacing w:after="0" w:line="237" w:lineRule="exact"/>
        <w:rPr>
          <w:rFonts w:ascii="Arial" w:cs="Arial" w:eastAsia="Arial" w:hAnsi="Arial"/>
          <w:sz w:val="18"/>
          <w:szCs w:val="18"/>
          <w:color w:val="auto"/>
        </w:rPr>
      </w:pPr>
    </w:p>
    <w:p>
      <w:pPr>
        <w:jc w:val="both"/>
        <w:ind w:left="652" w:hanging="328"/>
        <w:spacing w:after="0" w:line="287" w:lineRule="auto"/>
        <w:tabs>
          <w:tab w:leader="none" w:pos="642" w:val="left"/>
        </w:tabs>
        <w:numPr>
          <w:ilvl w:val="1"/>
          <w:numId w:val="861"/>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RSU Award Agreement shall be submitted to the exclusive jurisdiction of the courts at the domicile of the Company (currently Schlieren, Canton of Zurich, Switzerland).</w:t>
      </w:r>
    </w:p>
    <w:p>
      <w:pPr>
        <w:spacing w:after="0" w:line="197" w:lineRule="exact"/>
        <w:rPr>
          <w:rFonts w:ascii="Arial" w:cs="Arial" w:eastAsia="Arial" w:hAnsi="Arial"/>
          <w:sz w:val="18"/>
          <w:szCs w:val="18"/>
          <w:color w:val="auto"/>
        </w:rPr>
      </w:pPr>
    </w:p>
    <w:p>
      <w:pPr>
        <w:ind w:left="632" w:hanging="632"/>
        <w:spacing w:after="0"/>
        <w:tabs>
          <w:tab w:leader="none" w:pos="632" w:val="left"/>
        </w:tabs>
        <w:numPr>
          <w:ilvl w:val="0"/>
          <w:numId w:val="861"/>
        </w:numPr>
        <w:rPr>
          <w:rFonts w:ascii="Arial" w:cs="Arial" w:eastAsia="Arial" w:hAnsi="Arial"/>
          <w:sz w:val="22"/>
          <w:szCs w:val="22"/>
          <w:b w:val="1"/>
          <w:bCs w:val="1"/>
          <w:color w:val="auto"/>
        </w:rPr>
      </w:pPr>
      <w:r>
        <w:rPr>
          <w:rFonts w:ascii="Arial" w:cs="Arial" w:eastAsia="Arial" w:hAnsi="Arial"/>
          <w:sz w:val="22"/>
          <w:szCs w:val="22"/>
          <w:b w:val="1"/>
          <w:bCs w:val="1"/>
          <w:color w:val="auto"/>
        </w:rPr>
        <w:t>Entry into Force</w:t>
      </w:r>
    </w:p>
    <w:p>
      <w:pPr>
        <w:spacing w:after="0" w:line="31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As per the approval of the Board of Directors, this Plan shall enter into force as of March 29, 2017.</w:t>
      </w:r>
    </w:p>
    <w:p>
      <w:pPr>
        <w:sectPr>
          <w:pgSz w:w="11900" w:h="16838" w:orient="portrait"/>
          <w:cols w:equalWidth="0" w:num="1">
            <w:col w:w="11232"/>
          </w:cols>
          <w:pgMar w:left="328" w:top="180" w:right="339" w:bottom="1440" w:gutter="0" w:footer="0" w:header="0"/>
        </w:sectPr>
      </w:pPr>
    </w:p>
    <w:bookmarkStart w:id="818" w:name="page819"/>
    <w:bookmarkEnd w:id="818"/>
    <w:p>
      <w:pPr>
        <w:ind w:left="20"/>
        <w:spacing w:after="0"/>
        <w:rPr>
          <w:sz w:val="20"/>
          <w:szCs w:val="20"/>
          <w:color w:val="auto"/>
        </w:rPr>
      </w:pPr>
      <w:r>
        <w:rPr>
          <w:rFonts w:ascii="Arial" w:cs="Arial" w:eastAsia="Arial" w:hAnsi="Arial"/>
          <w:sz w:val="13"/>
          <w:szCs w:val="13"/>
          <w:color w:val="auto"/>
        </w:rPr>
        <w:t>Molecular Partners AG: Restricted Share Plan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RSUs through a RSU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Relationship </w:t>
      </w:r>
      <w:r>
        <w:rPr>
          <w:rFonts w:ascii="Arial" w:cs="Arial" w:eastAsia="Arial" w:hAnsi="Arial"/>
          <w:sz w:val="18"/>
          <w:szCs w:val="18"/>
          <w:color w:val="auto"/>
        </w:rPr>
        <w:t>shall mean the board relationship and any relating contractual relationship of a member of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consultancy or other legal or contractual relationship of any other Participant.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Annex 4_RSU Plan 2017_for CC Approval</w:t>
      </w:r>
    </w:p>
    <w:p>
      <w:pPr>
        <w:sectPr>
          <w:pgSz w:w="11900" w:h="16838" w:orient="portrait"/>
          <w:cols w:equalWidth="0" w:num="1">
            <w:col w:w="11240"/>
          </w:cols>
          <w:pgMar w:left="320" w:top="180" w:right="339" w:bottom="1440" w:gutter="0" w:footer="0" w:header="0"/>
        </w:sectPr>
      </w:pPr>
    </w:p>
    <w:bookmarkStart w:id="819" w:name="page820"/>
    <w:bookmarkEnd w:id="819"/>
    <w:p>
      <w:pPr>
        <w:ind w:left="20"/>
        <w:spacing w:after="0"/>
        <w:rPr>
          <w:sz w:val="20"/>
          <w:szCs w:val="20"/>
          <w:color w:val="auto"/>
        </w:rPr>
      </w:pPr>
      <w:r>
        <w:rPr>
          <w:rFonts w:ascii="Arial" w:cs="Arial" w:eastAsia="Arial" w:hAnsi="Arial"/>
          <w:sz w:val="13"/>
          <w:szCs w:val="13"/>
          <w:color w:val="auto"/>
        </w:rPr>
        <w:t>Molecular Partners AG: Restricted Share Plan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Agreement 2017</w:t>
      </w:r>
    </w:p>
    <w:p>
      <w:pPr>
        <w:spacing w:after="0" w:line="25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a Swiss corporation, with its domicile in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Restricted Share Plan 2017 (the </w:t>
      </w:r>
      <w:r>
        <w:rPr>
          <w:rFonts w:ascii="Arial" w:cs="Arial" w:eastAsia="Arial" w:hAnsi="Arial"/>
          <w:sz w:val="18"/>
          <w:szCs w:val="18"/>
          <w:b w:val="1"/>
          <w:bCs w:val="1"/>
          <w:color w:val="auto"/>
        </w:rPr>
        <w:t>RSU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RSU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RSU Plan, the Company hereby grants to you the following RSUs:</w:t>
      </w:r>
    </w:p>
    <w:p>
      <w:pPr>
        <w:spacing w:after="0" w:line="293" w:lineRule="exact"/>
        <w:rPr>
          <w:sz w:val="20"/>
          <w:szCs w:val="20"/>
          <w:color w:val="auto"/>
        </w:rPr>
      </w:pPr>
    </w:p>
    <w:tbl>
      <w:tblPr>
        <w:tblLayout w:type="fixed"/>
        <w:tblInd w:w="360" w:type="dxa"/>
        <w:tblCellMar>
          <w:top w:w="0" w:type="dxa"/>
          <w:left w:w="0" w:type="dxa"/>
          <w:bottom w:w="0" w:type="dxa"/>
          <w:right w:w="0" w:type="dxa"/>
        </w:tblCellMar>
      </w:tblPr>
      <w:tr>
        <w:trPr>
          <w:trHeight w:val="351"/>
        </w:trPr>
        <w:tc>
          <w:tcPr>
            <w:tcW w:w="320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746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20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746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20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746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135"/>
        </w:trPr>
        <w:tc>
          <w:tcPr>
            <w:tcW w:w="3200" w:type="dxa"/>
            <w:vAlign w:val="bottom"/>
          </w:tcPr>
          <w:p>
            <w:pPr>
              <w:spacing w:after="0"/>
              <w:rPr>
                <w:sz w:val="11"/>
                <w:szCs w:val="11"/>
                <w:color w:val="auto"/>
              </w:rPr>
            </w:pPr>
          </w:p>
        </w:tc>
        <w:tc>
          <w:tcPr>
            <w:tcW w:w="7460" w:type="dxa"/>
            <w:vAlign w:val="bottom"/>
            <w:shd w:val="clear" w:color="auto" w:fill="D9D9D9"/>
          </w:tcPr>
          <w:p>
            <w:pPr>
              <w:spacing w:after="0"/>
              <w:rPr>
                <w:sz w:val="11"/>
                <w:szCs w:val="11"/>
                <w:color w:val="auto"/>
              </w:rPr>
            </w:pPr>
          </w:p>
        </w:tc>
      </w:tr>
    </w:tbl>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grants and any rights associated therewith are personal and not transferable. Please note that the RSU Plan includes a number of restrictions and conditions, which may lead to a complete loss of any entitlements hereunder. [Any grants made to members of the Board of Directors shall be subject to the approval of relevant compensation amounts for the Board of Directors by the shareholders' meeting for the year 2017.]</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RSUs in accordance with this Agreement and the RSU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RSUs is being made, without obligation, at the sole and unrestricted discretion of the Company. The RSU Plan, your eligibility thereunder, the grant of RSUs or the allocation of Shares in connection therewith shall not confer upon you any right to participate in the RSU Plan or to receive grants of RSUs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Molecular Partners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4877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4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 by the Participant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6350</wp:posOffset>
            </wp:positionV>
            <wp:extent cx="15087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20059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40"/>
          </w:cols>
          <w:pgMar w:left="320" w:top="180" w:right="339" w:bottom="1440" w:gutter="0" w:footer="0" w:header="0"/>
        </w:sectPr>
      </w:pPr>
    </w:p>
    <w:bookmarkStart w:id="820" w:name="page821"/>
    <w:bookmarkEnd w:id="820"/>
    <w:p>
      <w:pPr>
        <w:jc w:val="right"/>
        <w:spacing w:after="0"/>
        <w:rPr>
          <w:sz w:val="20"/>
          <w:szCs w:val="20"/>
          <w:color w:val="auto"/>
        </w:rPr>
      </w:pPr>
      <w:r>
        <w:rPr>
          <w:rFonts w:ascii="Arial" w:cs="Arial" w:eastAsia="Arial" w:hAnsi="Arial"/>
          <w:sz w:val="18"/>
          <w:szCs w:val="18"/>
          <w:b w:val="1"/>
          <w:bCs w:val="1"/>
          <w:color w:val="auto"/>
        </w:rPr>
        <w:t>Exhibit 10.14</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3"/>
          <w:szCs w:val="13"/>
          <w:color w:val="auto"/>
        </w:rPr>
        <w:t>Molecular Partners AG: Restricted Share Plan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Restricted Share Plan 2018</w:t>
      </w:r>
    </w:p>
    <w:p>
      <w:pPr>
        <w:sectPr>
          <w:pgSz w:w="11900" w:h="16838" w:orient="portrait"/>
          <w:cols w:equalWidth="0" w:num="1">
            <w:col w:w="11240"/>
          </w:cols>
          <w:pgMar w:left="320" w:top="135" w:right="339" w:bottom="1440" w:gutter="0" w:footer="0" w:header="0"/>
        </w:sectPr>
      </w:pPr>
    </w:p>
    <w:bookmarkStart w:id="821" w:name="page822"/>
    <w:bookmarkEnd w:id="821"/>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2018</w:t>
            </w:r>
          </w:p>
        </w:tc>
        <w:tc>
          <w:tcPr>
            <w:tcW w:w="4160" w:type="dxa"/>
            <w:vAlign w:val="bottom"/>
          </w:tcPr>
          <w:p>
            <w:pPr>
              <w:jc w:val="right"/>
              <w:spacing w:after="0"/>
              <w:rPr>
                <w:sz w:val="20"/>
                <w:szCs w:val="20"/>
                <w:color w:val="auto"/>
              </w:rPr>
            </w:pPr>
            <w:r>
              <w:rPr>
                <w:rFonts w:ascii="Arial" w:cs="Arial" w:eastAsia="Arial" w:hAnsi="Arial"/>
                <w:sz w:val="13"/>
                <w:szCs w:val="13"/>
                <w:color w:val="auto"/>
              </w:rPr>
              <w:t>2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60" w:type="dxa"/>
            <w:vAlign w:val="bottom"/>
            <w:gridSpan w:val="2"/>
          </w:tcPr>
          <w:p>
            <w:pPr>
              <w:spacing w:after="0"/>
              <w:rPr>
                <w:sz w:val="20"/>
                <w:szCs w:val="20"/>
                <w:color w:val="auto"/>
              </w:rPr>
            </w:pPr>
            <w:r>
              <w:rPr>
                <w:rFonts w:ascii="Arial" w:cs="Arial" w:eastAsia="Arial" w:hAnsi="Arial"/>
                <w:sz w:val="18"/>
                <w:szCs w:val="18"/>
                <w:color w:val="auto"/>
              </w:rPr>
              <w:t>Restricted Share Plan 2018</w:t>
            </w:r>
          </w:p>
        </w:tc>
        <w:tc>
          <w:tcPr>
            <w:tcW w:w="3680" w:type="dxa"/>
            <w:vAlign w:val="bottom"/>
          </w:tcPr>
          <w:p>
            <w:pPr>
              <w:spacing w:after="0"/>
              <w:rPr>
                <w:sz w:val="18"/>
                <w:szCs w:val="18"/>
                <w:color w:val="auto"/>
              </w:rPr>
            </w:pPr>
          </w:p>
        </w:tc>
      </w:tr>
      <w:tr>
        <w:trPr>
          <w:trHeight w:val="297"/>
        </w:trPr>
        <w:tc>
          <w:tcPr>
            <w:tcW w:w="3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3</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Purpose</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3</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Definitions and Interpretation</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3</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Responsibilities and Administration</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3</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Eligibility and Participation</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4</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Grant of RSUs</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4</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No Securities</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4</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No Transfer</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5</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Vesting and Delivery of Shares</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5</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Underlying Shares</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5</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Taxes and Social Security Contributions</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5</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Disclosure Requirements</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6</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Other Obligations of the Participant</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6</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Termination of Relationship</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6</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Change of Control</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6</w:t>
              </w:r>
            </w:hyperlink>
          </w:p>
        </w:tc>
      </w:tr>
      <w:tr>
        <w:trPr>
          <w:trHeight w:val="257"/>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Corporate Events</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8</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Data Protection</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8</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Legal and regulatory restrictions</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8</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Amendment and Termination</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9</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9</w:t>
              </w:r>
            </w:hyperlink>
          </w:p>
        </w:tc>
      </w:tr>
      <w:tr>
        <w:trPr>
          <w:trHeight w:val="256"/>
        </w:trPr>
        <w:tc>
          <w:tcPr>
            <w:tcW w:w="380" w:type="dxa"/>
            <w:vAlign w:val="bottom"/>
          </w:tcPr>
          <w:p>
            <w:pPr>
              <w:spacing w:after="0"/>
              <w:rPr>
                <w:sz w:val="22"/>
                <w:szCs w:val="22"/>
                <w:color w:val="auto"/>
              </w:rPr>
            </w:pPr>
          </w:p>
        </w:tc>
        <w:tc>
          <w:tcPr>
            <w:tcW w:w="688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3680" w:type="dxa"/>
            <w:vAlign w:val="bottom"/>
          </w:tcPr>
          <w:p>
            <w:pPr>
              <w:spacing w:after="0"/>
              <w:rPr>
                <w:sz w:val="22"/>
                <w:szCs w:val="22"/>
                <w:color w:val="auto"/>
              </w:rPr>
            </w:pPr>
          </w:p>
        </w:tc>
      </w:tr>
      <w:tr>
        <w:trPr>
          <w:trHeight w:val="297"/>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6880" w:type="dxa"/>
            <w:vAlign w:val="bottom"/>
          </w:tcPr>
          <w:p>
            <w:pPr>
              <w:spacing w:after="0"/>
              <w:rPr>
                <w:sz w:val="24"/>
                <w:szCs w:val="24"/>
                <w:color w:val="auto"/>
              </w:rPr>
            </w:pPr>
          </w:p>
        </w:tc>
        <w:tc>
          <w:tcPr>
            <w:tcW w:w="3680" w:type="dxa"/>
            <w:vAlign w:val="bottom"/>
          </w:tcPr>
          <w:p>
            <w:pPr>
              <w:jc w:val="right"/>
              <w:spacing w:after="0"/>
              <w:rPr>
                <w:rFonts w:ascii="Arial" w:cs="Arial" w:eastAsia="Arial" w:hAnsi="Arial"/>
                <w:sz w:val="18"/>
                <w:szCs w:val="18"/>
                <w:color w:val="auto"/>
              </w:rPr>
            </w:pPr>
            <w:hyperlink w:anchor="page821">
              <w:r>
                <w:rPr>
                  <w:rFonts w:ascii="Arial" w:cs="Arial" w:eastAsia="Arial" w:hAnsi="Arial"/>
                  <w:sz w:val="18"/>
                  <w:szCs w:val="18"/>
                  <w:color w:val="auto"/>
                </w:rPr>
                <w:t>9</w:t>
              </w:r>
            </w:hyperlink>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6880" w:type="dxa"/>
            <w:vAlign w:val="bottom"/>
          </w:tcPr>
          <w:p>
            <w:pPr>
              <w:ind w:left="120"/>
              <w:spacing w:after="0"/>
              <w:rPr>
                <w:sz w:val="20"/>
                <w:szCs w:val="20"/>
                <w:color w:val="auto"/>
              </w:rPr>
            </w:pPr>
            <w:r>
              <w:rPr>
                <w:rFonts w:ascii="Arial" w:cs="Arial" w:eastAsia="Arial" w:hAnsi="Arial"/>
                <w:sz w:val="18"/>
                <w:szCs w:val="18"/>
                <w:color w:val="auto"/>
              </w:rPr>
              <w:t>Entry into Force</w:t>
            </w:r>
          </w:p>
        </w:tc>
        <w:tc>
          <w:tcPr>
            <w:tcW w:w="36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ectPr>
          <w:pgSz w:w="11900" w:h="16838" w:orient="portrait"/>
          <w:cols w:equalWidth="0" w:num="1">
            <w:col w:w="11200"/>
          </w:cols>
          <w:pgMar w:left="320" w:top="180" w:right="379" w:bottom="198" w:gutter="0" w:footer="0" w:header="0"/>
        </w:sect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Annex 1: 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Annex 2: Form of RSU Award Agreement</w:t>
      </w:r>
    </w:p>
    <w:p>
      <w:pPr>
        <w:sectPr>
          <w:pgSz w:w="11900" w:h="16838" w:orient="portrait"/>
          <w:cols w:equalWidth="0" w:num="1">
            <w:col w:w="11200"/>
          </w:cols>
          <w:pgMar w:left="320" w:top="180" w:right="379" w:bottom="198" w:gutter="0" w:footer="0" w:header="0"/>
          <w:type w:val="continuous"/>
        </w:sectPr>
      </w:pPr>
    </w:p>
    <w:bookmarkStart w:id="822" w:name="page823"/>
    <w:bookmarkEnd w:id="8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3" w:name="page824"/>
    <w:bookmarkEnd w:id="823"/>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2018</w:t>
            </w:r>
          </w:p>
        </w:tc>
        <w:tc>
          <w:tcPr>
            <w:tcW w:w="4160" w:type="dxa"/>
            <w:vAlign w:val="bottom"/>
          </w:tcPr>
          <w:p>
            <w:pPr>
              <w:jc w:val="right"/>
              <w:spacing w:after="0"/>
              <w:rPr>
                <w:sz w:val="20"/>
                <w:szCs w:val="20"/>
                <w:color w:val="auto"/>
              </w:rPr>
            </w:pPr>
            <w:r>
              <w:rPr>
                <w:rFonts w:ascii="Arial" w:cs="Arial" w:eastAsia="Arial" w:hAnsi="Arial"/>
                <w:sz w:val="13"/>
                <w:szCs w:val="13"/>
                <w:color w:val="auto"/>
              </w:rPr>
              <w:t>3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Share Plan 2018</w:t>
      </w:r>
    </w:p>
    <w:p>
      <w:pPr>
        <w:spacing w:after="0" w:line="264" w:lineRule="exact"/>
        <w:rPr>
          <w:sz w:val="20"/>
          <w:szCs w:val="20"/>
          <w:color w:val="auto"/>
        </w:rPr>
      </w:pPr>
    </w:p>
    <w:p>
      <w:pPr>
        <w:ind w:left="640" w:hanging="632"/>
        <w:spacing w:after="0"/>
        <w:tabs>
          <w:tab w:leader="none" w:pos="640" w:val="left"/>
        </w:tabs>
        <w:numPr>
          <w:ilvl w:val="0"/>
          <w:numId w:val="862"/>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97"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The purpose of this restricted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Restricted Share Units (each a </w:t>
      </w:r>
      <w:r>
        <w:rPr>
          <w:rFonts w:ascii="Arial" w:cs="Arial" w:eastAsia="Arial" w:hAnsi="Arial"/>
          <w:sz w:val="18"/>
          <w:szCs w:val="18"/>
          <w:b w:val="1"/>
          <w:bCs w:val="1"/>
          <w:color w:val="auto"/>
        </w:rPr>
        <w:t>RSU</w:t>
      </w:r>
      <w:r>
        <w:rPr>
          <w:rFonts w:ascii="Arial" w:cs="Arial" w:eastAsia="Arial" w:hAnsi="Arial"/>
          <w:sz w:val="18"/>
          <w:szCs w:val="18"/>
          <w:color w:val="auto"/>
        </w:rPr>
        <w:t>) to them.</w:t>
      </w:r>
    </w:p>
    <w:p>
      <w:pPr>
        <w:spacing w:after="0" w:line="200" w:lineRule="exact"/>
        <w:rPr>
          <w:sz w:val="20"/>
          <w:szCs w:val="20"/>
          <w:color w:val="auto"/>
        </w:rPr>
      </w:pPr>
    </w:p>
    <w:p>
      <w:pPr>
        <w:ind w:left="640" w:hanging="632"/>
        <w:spacing w:after="0"/>
        <w:tabs>
          <w:tab w:leader="none" w:pos="640" w:val="left"/>
        </w:tabs>
        <w:numPr>
          <w:ilvl w:val="0"/>
          <w:numId w:val="86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Capitalized terms used in this Plan shall have the meaning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w:t>
      </w:r>
    </w:p>
    <w:p>
      <w:pPr>
        <w:spacing w:after="0" w:line="247" w:lineRule="exact"/>
        <w:rPr>
          <w:sz w:val="20"/>
          <w:szCs w:val="20"/>
          <w:color w:val="auto"/>
        </w:rPr>
      </w:pPr>
    </w:p>
    <w:p>
      <w:pPr>
        <w:ind w:left="640" w:hanging="632"/>
        <w:spacing w:after="0"/>
        <w:tabs>
          <w:tab w:leader="none" w:pos="640" w:val="left"/>
        </w:tabs>
        <w:numPr>
          <w:ilvl w:val="0"/>
          <w:numId w:val="864"/>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318" w:lineRule="exact"/>
        <w:rPr>
          <w:rFonts w:ascii="Arial" w:cs="Arial" w:eastAsia="Arial" w:hAnsi="Arial"/>
          <w:sz w:val="22"/>
          <w:szCs w:val="22"/>
          <w:b w:val="1"/>
          <w:bCs w:val="1"/>
          <w:color w:val="auto"/>
        </w:rPr>
      </w:pPr>
    </w:p>
    <w:p>
      <w:pPr>
        <w:ind w:left="640" w:hanging="470"/>
        <w:spacing w:after="0"/>
        <w:tabs>
          <w:tab w:leader="none" w:pos="64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660"/>
        <w:spacing w:after="0" w:line="287"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the maximum number of RSUs that may be granted under this Plan.</w:t>
      </w:r>
    </w:p>
    <w:p>
      <w:pPr>
        <w:spacing w:after="0" w:line="242" w:lineRule="exact"/>
        <w:rPr>
          <w:rFonts w:ascii="Arial" w:cs="Arial" w:eastAsia="Arial" w:hAnsi="Arial"/>
          <w:sz w:val="18"/>
          <w:szCs w:val="18"/>
          <w:color w:val="auto"/>
        </w:rPr>
      </w:pPr>
    </w:p>
    <w:p>
      <w:pPr>
        <w:jc w:val="both"/>
        <w:ind w:left="660" w:hanging="490"/>
        <w:spacing w:after="0" w:line="285" w:lineRule="auto"/>
        <w:tabs>
          <w:tab w:leader="none" w:pos="65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renew or terminate the Plan or to replace it with new editions or other plans. It may delegate, under its supervision, the implementation and administration, as well as grants of RSUs other than to members of the Board of Directors to one or several administrators (Administrator).</w:t>
      </w:r>
    </w:p>
    <w:p>
      <w:pPr>
        <w:spacing w:after="0" w:line="245" w:lineRule="exact"/>
        <w:rPr>
          <w:rFonts w:ascii="Arial" w:cs="Arial" w:eastAsia="Arial" w:hAnsi="Arial"/>
          <w:sz w:val="18"/>
          <w:szCs w:val="18"/>
          <w:color w:val="auto"/>
        </w:rPr>
      </w:pPr>
    </w:p>
    <w:p>
      <w:pPr>
        <w:jc w:val="both"/>
        <w:ind w:left="660" w:hanging="490"/>
        <w:spacing w:after="0" w:line="284" w:lineRule="auto"/>
        <w:tabs>
          <w:tab w:leader="none" w:pos="654" w:val="left"/>
        </w:tabs>
        <w:numPr>
          <w:ilvl w:val="1"/>
          <w:numId w:val="864"/>
        </w:numPr>
        <w:rPr>
          <w:rFonts w:ascii="Arial" w:cs="Arial" w:eastAsia="Arial" w:hAnsi="Arial"/>
          <w:sz w:val="18"/>
          <w:szCs w:val="18"/>
          <w:color w:val="auto"/>
        </w:rPr>
      </w:pPr>
      <w:r>
        <w:rPr>
          <w:rFonts w:ascii="Arial" w:cs="Arial" w:eastAsia="Arial" w:hAnsi="Arial"/>
          <w:sz w:val="18"/>
          <w:szCs w:val="18"/>
          <w:color w:val="auto"/>
        </w:rPr>
        <w:t>Any grants of RSUs to members of the Board of Directors shall be approved by the Board of Directors based on individual recommendations of the Nomination and Compensation Committee and will, as long as shareholder approval for the aggregate amount of compensation is outstanding, be conditional upon such shareholder approval. In case that the amount approved by the shareholders does not cover the full amount of contemplated aggregate compensation for the year of grant, the entitlements to long-term compensation may be reduced by the Nomination and Compensation Committee in its sole discretion.</w:t>
      </w:r>
    </w:p>
    <w:p>
      <w:pPr>
        <w:spacing w:after="0" w:line="233" w:lineRule="exact"/>
        <w:rPr>
          <w:rFonts w:ascii="Arial" w:cs="Arial" w:eastAsia="Arial" w:hAnsi="Arial"/>
          <w:sz w:val="18"/>
          <w:szCs w:val="18"/>
          <w:color w:val="auto"/>
        </w:rPr>
      </w:pPr>
    </w:p>
    <w:p>
      <w:pPr>
        <w:jc w:val="both"/>
        <w:ind w:left="660" w:hanging="490"/>
        <w:spacing w:after="0" w:line="287" w:lineRule="auto"/>
        <w:tabs>
          <w:tab w:leader="none" w:pos="65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pacing w:after="0" w:line="242" w:lineRule="exact"/>
        <w:rPr>
          <w:rFonts w:ascii="Arial" w:cs="Arial" w:eastAsia="Arial" w:hAnsi="Arial"/>
          <w:sz w:val="18"/>
          <w:szCs w:val="18"/>
          <w:color w:val="auto"/>
        </w:rPr>
      </w:pPr>
    </w:p>
    <w:p>
      <w:pPr>
        <w:jc w:val="both"/>
        <w:ind w:left="660" w:hanging="490"/>
        <w:spacing w:after="0" w:line="287" w:lineRule="auto"/>
        <w:tabs>
          <w:tab w:leader="none" w:pos="650" w:val="left"/>
        </w:tabs>
        <w:numPr>
          <w:ilvl w:val="1"/>
          <w:numId w:val="864"/>
        </w:numPr>
        <w:rPr>
          <w:rFonts w:ascii="Arial" w:cs="Arial" w:eastAsia="Arial" w:hAnsi="Arial"/>
          <w:sz w:val="18"/>
          <w:szCs w:val="18"/>
          <w:color w:val="auto"/>
        </w:rPr>
      </w:pPr>
      <w:r>
        <w:rPr>
          <w:rFonts w:ascii="Arial" w:cs="Arial" w:eastAsia="Arial" w:hAnsi="Arial"/>
          <w:sz w:val="18"/>
          <w:szCs w:val="18"/>
          <w:color w:val="auto"/>
        </w:rPr>
        <w:t>Any technical or administrative task in connection with the Plan may be outsourced by the Nomination and Compensation Committee or the relevant Administrator to a third party service provider, e.g. the bank in charge with the creation of the Shares (each a Plan Service Provider).</w:t>
      </w:r>
    </w:p>
    <w:p>
      <w:pPr>
        <w:sectPr>
          <w:pgSz w:w="11900" w:h="16838" w:orient="portrait"/>
          <w:cols w:equalWidth="0" w:num="1">
            <w:col w:w="11240"/>
          </w:cols>
          <w:pgMar w:left="320" w:top="180" w:right="339" w:bottom="1440" w:gutter="0" w:footer="0" w:header="0"/>
        </w:sectPr>
      </w:pPr>
    </w:p>
    <w:bookmarkStart w:id="824" w:name="page825"/>
    <w:bookmarkEnd w:id="824"/>
    <w:tbl>
      <w:tblPr>
        <w:tblLayout w:type="fixed"/>
        <w:tblInd w:w="12"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2018</w:t>
            </w:r>
          </w:p>
        </w:tc>
        <w:tc>
          <w:tcPr>
            <w:tcW w:w="4160" w:type="dxa"/>
            <w:vAlign w:val="bottom"/>
          </w:tcPr>
          <w:p>
            <w:pPr>
              <w:jc w:val="right"/>
              <w:spacing w:after="0"/>
              <w:rPr>
                <w:sz w:val="20"/>
                <w:szCs w:val="20"/>
                <w:color w:val="auto"/>
              </w:rPr>
            </w:pPr>
            <w:r>
              <w:rPr>
                <w:rFonts w:ascii="Arial" w:cs="Arial" w:eastAsia="Arial" w:hAnsi="Arial"/>
                <w:sz w:val="13"/>
                <w:szCs w:val="13"/>
                <w:color w:val="auto"/>
              </w:rPr>
              <w:t>4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65"/>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318" w:lineRule="exact"/>
        <w:rPr>
          <w:rFonts w:ascii="Arial" w:cs="Arial" w:eastAsia="Arial" w:hAnsi="Arial"/>
          <w:sz w:val="22"/>
          <w:szCs w:val="22"/>
          <w:b w:val="1"/>
          <w:bCs w:val="1"/>
          <w:color w:val="auto"/>
        </w:rPr>
      </w:pPr>
    </w:p>
    <w:p>
      <w:pPr>
        <w:jc w:val="both"/>
        <w:ind w:left="652" w:hanging="490"/>
        <w:spacing w:after="0" w:line="287" w:lineRule="auto"/>
        <w:tabs>
          <w:tab w:leader="none" w:pos="642" w:val="left"/>
        </w:tabs>
        <w:numPr>
          <w:ilvl w:val="1"/>
          <w:numId w:val="865"/>
        </w:numPr>
        <w:rPr>
          <w:rFonts w:ascii="Arial" w:cs="Arial" w:eastAsia="Arial" w:hAnsi="Arial"/>
          <w:sz w:val="18"/>
          <w:szCs w:val="18"/>
          <w:color w:val="auto"/>
        </w:rPr>
      </w:pPr>
      <w:r>
        <w:rPr>
          <w:rFonts w:ascii="Arial" w:cs="Arial" w:eastAsia="Arial" w:hAnsi="Arial"/>
          <w:sz w:val="18"/>
          <w:szCs w:val="18"/>
          <w:color w:val="auto"/>
        </w:rPr>
        <w:t>As a rule, members of the Board of Directors and selected consultants may become eligible to participate in this Plan. The decision on eligibility is reserved to the Nomination and Compensation Committee or, other than to members of the Board of Directors, the relevant Administrator.</w:t>
      </w:r>
    </w:p>
    <w:p>
      <w:pPr>
        <w:spacing w:after="0" w:line="242" w:lineRule="exact"/>
        <w:rPr>
          <w:rFonts w:ascii="Arial" w:cs="Arial" w:eastAsia="Arial" w:hAnsi="Arial"/>
          <w:sz w:val="18"/>
          <w:szCs w:val="18"/>
          <w:color w:val="auto"/>
        </w:rPr>
      </w:pPr>
    </w:p>
    <w:p>
      <w:pPr>
        <w:jc w:val="both"/>
        <w:ind w:left="652" w:hanging="490"/>
        <w:spacing w:after="0" w:line="284" w:lineRule="auto"/>
        <w:tabs>
          <w:tab w:leader="none" w:pos="642" w:val="left"/>
        </w:tabs>
        <w:numPr>
          <w:ilvl w:val="1"/>
          <w:numId w:val="865"/>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RSUs based on this Plan or otherwise. This Plan is only applicable in connection with a mutually signed RSU award agreement (RSU Award Agreement) among the Company (or the relevant Group Company) and the eligible person, substantially in the form attached hereto as Annex 2. The right to receive RSUs shall accrue exclusively to those eligible persons who have, in accordance with this Plan, been duly and validly offered and have signed and returned their individual RSU Award Agreement by the relevant due date (each a Participant).</w:t>
      </w:r>
    </w:p>
    <w:p>
      <w:pPr>
        <w:spacing w:after="0" w:line="231" w:lineRule="exact"/>
        <w:rPr>
          <w:rFonts w:ascii="Arial" w:cs="Arial" w:eastAsia="Arial" w:hAnsi="Arial"/>
          <w:sz w:val="18"/>
          <w:szCs w:val="18"/>
          <w:color w:val="auto"/>
        </w:rPr>
      </w:pPr>
    </w:p>
    <w:p>
      <w:pPr>
        <w:jc w:val="both"/>
        <w:ind w:left="652" w:hanging="490"/>
        <w:spacing w:after="0" w:line="287" w:lineRule="auto"/>
        <w:tabs>
          <w:tab w:leader="none" w:pos="646" w:val="left"/>
        </w:tabs>
        <w:numPr>
          <w:ilvl w:val="1"/>
          <w:numId w:val="865"/>
        </w:numPr>
        <w:rPr>
          <w:rFonts w:ascii="Arial" w:cs="Arial" w:eastAsia="Arial" w:hAnsi="Arial"/>
          <w:sz w:val="18"/>
          <w:szCs w:val="18"/>
          <w:color w:val="auto"/>
        </w:rPr>
      </w:pPr>
      <w:r>
        <w:rPr>
          <w:rFonts w:ascii="Arial" w:cs="Arial" w:eastAsia="Arial" w:hAnsi="Arial"/>
          <w:sz w:val="18"/>
          <w:szCs w:val="18"/>
          <w:color w:val="auto"/>
        </w:rPr>
        <w:t>Grants of RSUs based on this Plan are discretionary and shall not create any entitlement to participate in future grants or in future participation, incentive or benefit plans, including future restricted share plans, regardless of the length of time a person has previously been allocated RSUs or other entitlements under this Plan or other plans.</w:t>
      </w:r>
    </w:p>
    <w:p>
      <w:pPr>
        <w:spacing w:after="0" w:line="242" w:lineRule="exact"/>
        <w:rPr>
          <w:rFonts w:ascii="Arial" w:cs="Arial" w:eastAsia="Arial" w:hAnsi="Arial"/>
          <w:sz w:val="18"/>
          <w:szCs w:val="18"/>
          <w:color w:val="auto"/>
        </w:rPr>
      </w:pPr>
    </w:p>
    <w:p>
      <w:pPr>
        <w:ind w:left="652" w:hanging="490"/>
        <w:spacing w:after="0" w:line="293" w:lineRule="auto"/>
        <w:tabs>
          <w:tab w:leader="none" w:pos="642" w:val="left"/>
        </w:tabs>
        <w:numPr>
          <w:ilvl w:val="1"/>
          <w:numId w:val="865"/>
        </w:numPr>
        <w:rPr>
          <w:rFonts w:ascii="Arial" w:cs="Arial" w:eastAsia="Arial" w:hAnsi="Arial"/>
          <w:sz w:val="18"/>
          <w:szCs w:val="18"/>
          <w:color w:val="auto"/>
        </w:rPr>
      </w:pPr>
      <w:r>
        <w:rPr>
          <w:rFonts w:ascii="Arial" w:cs="Arial" w:eastAsia="Arial" w:hAnsi="Arial"/>
          <w:sz w:val="18"/>
          <w:szCs w:val="18"/>
          <w:color w:val="auto"/>
        </w:rPr>
        <w:t>Neither the grant of RSUs, nor the transfer of Shares in connection with this Plan shall confer upon any Participant any right to a continued Relationship with any Group Company.</w:t>
      </w:r>
    </w:p>
    <w:p>
      <w:pPr>
        <w:spacing w:after="0" w:line="205" w:lineRule="exact"/>
        <w:rPr>
          <w:rFonts w:ascii="Arial" w:cs="Arial" w:eastAsia="Arial" w:hAnsi="Arial"/>
          <w:sz w:val="18"/>
          <w:szCs w:val="18"/>
          <w:color w:val="auto"/>
        </w:rPr>
      </w:pPr>
    </w:p>
    <w:p>
      <w:pPr>
        <w:ind w:left="632" w:hanging="632"/>
        <w:spacing w:after="0"/>
        <w:tabs>
          <w:tab w:leader="none" w:pos="632" w:val="left"/>
        </w:tabs>
        <w:numPr>
          <w:ilvl w:val="0"/>
          <w:numId w:val="865"/>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RSUs</w:t>
      </w:r>
    </w:p>
    <w:p>
      <w:pPr>
        <w:spacing w:after="0" w:line="318" w:lineRule="exact"/>
        <w:rPr>
          <w:rFonts w:ascii="Arial" w:cs="Arial" w:eastAsia="Arial" w:hAnsi="Arial"/>
          <w:sz w:val="22"/>
          <w:szCs w:val="22"/>
          <w:b w:val="1"/>
          <w:bCs w:val="1"/>
          <w:color w:val="auto"/>
        </w:rPr>
      </w:pPr>
    </w:p>
    <w:p>
      <w:pPr>
        <w:jc w:val="both"/>
        <w:ind w:left="652" w:hanging="490"/>
        <w:spacing w:after="0" w:line="287" w:lineRule="auto"/>
        <w:tabs>
          <w:tab w:leader="none" w:pos="642" w:val="left"/>
        </w:tabs>
        <w:numPr>
          <w:ilvl w:val="1"/>
          <w:numId w:val="865"/>
        </w:numPr>
        <w:rPr>
          <w:rFonts w:ascii="Arial" w:cs="Arial" w:eastAsia="Arial" w:hAnsi="Arial"/>
          <w:sz w:val="18"/>
          <w:szCs w:val="18"/>
          <w:color w:val="auto"/>
        </w:rPr>
      </w:pPr>
      <w:r>
        <w:rPr>
          <w:rFonts w:ascii="Arial" w:cs="Arial" w:eastAsia="Arial" w:hAnsi="Arial"/>
          <w:sz w:val="18"/>
          <w:szCs w:val="18"/>
          <w:color w:val="auto"/>
        </w:rPr>
        <w:t>Grants of RSUs shall be exclusively made by way of RSU Award Agreements. The RSU Award Agreement shall set forth the number of RSUs and certain other terms and conditions of such grant. Except as otherwise determined in a RSU Award Agreement, RSUs shall be granted to the Participants free of charge.</w:t>
      </w:r>
    </w:p>
    <w:p>
      <w:pPr>
        <w:spacing w:after="0" w:line="229" w:lineRule="exact"/>
        <w:rPr>
          <w:rFonts w:ascii="Arial" w:cs="Arial" w:eastAsia="Arial" w:hAnsi="Arial"/>
          <w:sz w:val="18"/>
          <w:szCs w:val="18"/>
          <w:color w:val="auto"/>
        </w:rPr>
      </w:pPr>
    </w:p>
    <w:p>
      <w:pPr>
        <w:jc w:val="both"/>
        <w:ind w:left="652" w:hanging="490"/>
        <w:spacing w:after="0" w:line="287" w:lineRule="auto"/>
        <w:tabs>
          <w:tab w:leader="none" w:pos="642" w:val="left"/>
        </w:tabs>
        <w:numPr>
          <w:ilvl w:val="1"/>
          <w:numId w:val="865"/>
        </w:numPr>
        <w:rPr>
          <w:rFonts w:ascii="Arial" w:cs="Arial" w:eastAsia="Arial" w:hAnsi="Arial"/>
          <w:sz w:val="18"/>
          <w:szCs w:val="18"/>
          <w:color w:val="auto"/>
        </w:rPr>
      </w:pPr>
      <w:r>
        <w:rPr>
          <w:rFonts w:ascii="Arial" w:cs="Arial" w:eastAsia="Arial" w:hAnsi="Arial"/>
          <w:sz w:val="18"/>
          <w:szCs w:val="18"/>
          <w:color w:val="auto"/>
        </w:rPr>
        <w:t>One RSU represents a conditional entitlement to purchase one Share at the nominal value of the Share. The number of Shares corresponding to the number vested RSUs shall be allocated to a Participant upon vesting, subject to, and in accordance with, the terms and conditions of this Plan and the RSU Award Agreement.</w:t>
      </w:r>
    </w:p>
    <w:p>
      <w:pPr>
        <w:spacing w:after="0" w:line="242" w:lineRule="exact"/>
        <w:rPr>
          <w:rFonts w:ascii="Arial" w:cs="Arial" w:eastAsia="Arial" w:hAnsi="Arial"/>
          <w:sz w:val="18"/>
          <w:szCs w:val="18"/>
          <w:color w:val="auto"/>
        </w:rPr>
      </w:pPr>
    </w:p>
    <w:p>
      <w:pPr>
        <w:ind w:left="652" w:hanging="490"/>
        <w:spacing w:after="0" w:line="293" w:lineRule="auto"/>
        <w:tabs>
          <w:tab w:leader="none" w:pos="646" w:val="left"/>
        </w:tabs>
        <w:numPr>
          <w:ilvl w:val="1"/>
          <w:numId w:val="865"/>
        </w:numPr>
        <w:rPr>
          <w:rFonts w:ascii="Arial" w:cs="Arial" w:eastAsia="Arial" w:hAnsi="Arial"/>
          <w:sz w:val="18"/>
          <w:szCs w:val="18"/>
          <w:color w:val="auto"/>
        </w:rPr>
      </w:pPr>
      <w:r>
        <w:rPr>
          <w:rFonts w:ascii="Arial" w:cs="Arial" w:eastAsia="Arial" w:hAnsi="Arial"/>
          <w:sz w:val="18"/>
          <w:szCs w:val="18"/>
          <w:color w:val="auto"/>
        </w:rPr>
        <w:t xml:space="preserve">The date of grant shall be determined by the Nomination and Compensation Committee or the relevant Administrator and set out in the RSU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ind w:left="632" w:hanging="632"/>
        <w:spacing w:after="0"/>
        <w:tabs>
          <w:tab w:leader="none" w:pos="632" w:val="left"/>
        </w:tabs>
        <w:numPr>
          <w:ilvl w:val="0"/>
          <w:numId w:val="865"/>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RSUs are neither Shares nor securities of any kind and no shareholder rights or similar rights are attached to the RSUs. The Participants will only obtain shareholder rights (including voting and dividend rights) upon actual transfer of Shares, if any, according to the terms and conditions of the Plan and upon entry into the share register, subject to, and in accordance with, article 5 of the Company's articles of incorporation.</w:t>
      </w:r>
    </w:p>
    <w:p>
      <w:pPr>
        <w:sectPr>
          <w:pgSz w:w="11900" w:h="16838" w:orient="portrait"/>
          <w:cols w:equalWidth="0" w:num="1">
            <w:col w:w="11232"/>
          </w:cols>
          <w:pgMar w:left="328" w:top="180" w:right="339" w:bottom="1440" w:gutter="0" w:footer="0" w:header="0"/>
        </w:sectPr>
      </w:pPr>
    </w:p>
    <w:bookmarkStart w:id="825" w:name="page826"/>
    <w:bookmarkEnd w:id="825"/>
    <w:tbl>
      <w:tblPr>
        <w:tblLayout w:type="fixed"/>
        <w:tblInd w:w="12"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2018</w:t>
            </w:r>
          </w:p>
        </w:tc>
        <w:tc>
          <w:tcPr>
            <w:tcW w:w="4160" w:type="dxa"/>
            <w:vAlign w:val="bottom"/>
          </w:tcPr>
          <w:p>
            <w:pPr>
              <w:jc w:val="right"/>
              <w:spacing w:after="0"/>
              <w:rPr>
                <w:sz w:val="20"/>
                <w:szCs w:val="20"/>
                <w:color w:val="auto"/>
              </w:rPr>
            </w:pPr>
            <w:r>
              <w:rPr>
                <w:rFonts w:ascii="Arial" w:cs="Arial" w:eastAsia="Arial" w:hAnsi="Arial"/>
                <w:sz w:val="13"/>
                <w:szCs w:val="13"/>
                <w:color w:val="auto"/>
              </w:rPr>
              <w:t>5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66"/>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RSUs granted under this Plan and the RSU Award Agreement are personal and non-transferable. Participants shall not be permitted to sell, donate, pledge, assign or otherwise dispose of the RSUs to third parties other than as provided for in the Plan. In case of death of a Participant, Section 13 hereof shall apply.</w:t>
      </w:r>
    </w:p>
    <w:p>
      <w:pPr>
        <w:spacing w:after="0" w:line="211" w:lineRule="exact"/>
        <w:rPr>
          <w:sz w:val="20"/>
          <w:szCs w:val="20"/>
          <w:color w:val="auto"/>
        </w:rPr>
      </w:pPr>
    </w:p>
    <w:p>
      <w:pPr>
        <w:ind w:left="632" w:hanging="632"/>
        <w:spacing w:after="0"/>
        <w:tabs>
          <w:tab w:leader="none" w:pos="632" w:val="left"/>
        </w:tabs>
        <w:numPr>
          <w:ilvl w:val="0"/>
          <w:numId w:val="867"/>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318" w:lineRule="exact"/>
        <w:rPr>
          <w:rFonts w:ascii="Arial" w:cs="Arial" w:eastAsia="Arial" w:hAnsi="Arial"/>
          <w:sz w:val="22"/>
          <w:szCs w:val="22"/>
          <w:b w:val="1"/>
          <w:bCs w:val="1"/>
          <w:color w:val="auto"/>
        </w:rPr>
      </w:pPr>
    </w:p>
    <w:p>
      <w:pPr>
        <w:jc w:val="both"/>
        <w:ind w:left="652" w:hanging="490"/>
        <w:spacing w:after="0" w:line="287" w:lineRule="auto"/>
        <w:tabs>
          <w:tab w:leader="none" w:pos="642" w:val="left"/>
        </w:tabs>
        <w:numPr>
          <w:ilvl w:val="1"/>
          <w:numId w:val="867"/>
        </w:numPr>
        <w:rPr>
          <w:rFonts w:ascii="Arial" w:cs="Arial" w:eastAsia="Arial" w:hAnsi="Arial"/>
          <w:sz w:val="18"/>
          <w:szCs w:val="18"/>
          <w:color w:val="auto"/>
        </w:rPr>
      </w:pPr>
      <w:r>
        <w:rPr>
          <w:rFonts w:ascii="Arial" w:cs="Arial" w:eastAsia="Arial" w:hAnsi="Arial"/>
          <w:sz w:val="18"/>
          <w:szCs w:val="18"/>
          <w:color w:val="auto"/>
        </w:rPr>
        <w:t>Unless otherwise set out in this Plan (in particular in Section 13) or in the RSU Award Agreement, RSUs shall vest in the third calendar year following the year of grant. In such case, vesting shall occur on the third anniversary of the Grant Date (the Vesting Date). The period between the Grant Date and the Vesting Date shall be deemed the Vesting Period.</w:t>
      </w:r>
    </w:p>
    <w:p>
      <w:pPr>
        <w:spacing w:after="0" w:line="229" w:lineRule="exact"/>
        <w:rPr>
          <w:rFonts w:ascii="Arial" w:cs="Arial" w:eastAsia="Arial" w:hAnsi="Arial"/>
          <w:sz w:val="18"/>
          <w:szCs w:val="18"/>
          <w:color w:val="auto"/>
        </w:rPr>
      </w:pPr>
    </w:p>
    <w:p>
      <w:pPr>
        <w:jc w:val="both"/>
        <w:ind w:left="652" w:hanging="490"/>
        <w:spacing w:after="0" w:line="285" w:lineRule="auto"/>
        <w:tabs>
          <w:tab w:leader="none" w:pos="642" w:val="left"/>
        </w:tabs>
        <w:numPr>
          <w:ilvl w:val="1"/>
          <w:numId w:val="867"/>
        </w:numPr>
        <w:rPr>
          <w:rFonts w:ascii="Arial" w:cs="Arial" w:eastAsia="Arial" w:hAnsi="Arial"/>
          <w:sz w:val="18"/>
          <w:szCs w:val="18"/>
          <w:color w:val="auto"/>
        </w:rPr>
      </w:pPr>
      <w:r>
        <w:rPr>
          <w:rFonts w:ascii="Arial" w:cs="Arial" w:eastAsia="Arial" w:hAnsi="Arial"/>
          <w:sz w:val="18"/>
          <w:szCs w:val="18"/>
          <w:color w:val="auto"/>
        </w:rPr>
        <w:t>Subject to section 13(b) below, no RSU shall vest if, during the first year of the Vesting Period (or, in case of a member of the Board of Directors, prior to the end of a full term of office), the relevant Participant's Relationship is terminated or another reason for termination of such Relationship occurs other than through termination by the Participant for cause (wichtige Gründe), set by a Group Company.</w:t>
      </w:r>
    </w:p>
    <w:p>
      <w:pPr>
        <w:spacing w:after="0" w:line="245" w:lineRule="exact"/>
        <w:rPr>
          <w:rFonts w:ascii="Arial" w:cs="Arial" w:eastAsia="Arial" w:hAnsi="Arial"/>
          <w:sz w:val="18"/>
          <w:szCs w:val="18"/>
          <w:color w:val="auto"/>
        </w:rPr>
      </w:pPr>
    </w:p>
    <w:p>
      <w:pPr>
        <w:jc w:val="both"/>
        <w:ind w:left="652" w:hanging="490"/>
        <w:spacing w:after="0" w:line="287" w:lineRule="auto"/>
        <w:tabs>
          <w:tab w:leader="none" w:pos="646" w:val="left"/>
        </w:tabs>
        <w:numPr>
          <w:ilvl w:val="1"/>
          <w:numId w:val="867"/>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Instead, the Company may provide for cash-less acquisition or vesting-sale arrangements through a Plan Service Provider or otherwise.</w:t>
      </w:r>
    </w:p>
    <w:p>
      <w:pPr>
        <w:spacing w:after="0" w:line="211" w:lineRule="exact"/>
        <w:rPr>
          <w:rFonts w:ascii="Arial" w:cs="Arial" w:eastAsia="Arial" w:hAnsi="Arial"/>
          <w:sz w:val="18"/>
          <w:szCs w:val="18"/>
          <w:color w:val="auto"/>
        </w:rPr>
      </w:pPr>
    </w:p>
    <w:p>
      <w:pPr>
        <w:ind w:left="632" w:hanging="632"/>
        <w:spacing w:after="0"/>
        <w:tabs>
          <w:tab w:leader="none" w:pos="632" w:val="left"/>
        </w:tabs>
        <w:numPr>
          <w:ilvl w:val="0"/>
          <w:numId w:val="867"/>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319" w:lineRule="exact"/>
        <w:rPr>
          <w:sz w:val="20"/>
          <w:szCs w:val="20"/>
          <w:color w:val="auto"/>
        </w:rPr>
      </w:pPr>
    </w:p>
    <w:p>
      <w:pPr>
        <w:jc w:val="both"/>
        <w:ind w:left="652"/>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15,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Nomination and Compensation Committee and the Board of Directors, be sourced from conditional share capital, from treasury shares or from other sources. Unless otherwise determined by the Board of Directors or the Nomination and Compensation Committee, Shares shall be sourced from the Company's conditional share capital and a respective number of Shares out of conditional capital shall be deemed reserved, accordingly.</w:t>
      </w:r>
    </w:p>
    <w:p>
      <w:pPr>
        <w:spacing w:after="0" w:line="200" w:lineRule="exact"/>
        <w:rPr>
          <w:sz w:val="20"/>
          <w:szCs w:val="20"/>
          <w:color w:val="auto"/>
        </w:rPr>
      </w:pPr>
    </w:p>
    <w:p>
      <w:pPr>
        <w:ind w:left="632" w:hanging="632"/>
        <w:spacing w:after="0"/>
        <w:tabs>
          <w:tab w:leader="none" w:pos="632" w:val="left"/>
        </w:tabs>
        <w:numPr>
          <w:ilvl w:val="0"/>
          <w:numId w:val="868"/>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Social Security Contributions</w:t>
      </w:r>
    </w:p>
    <w:p>
      <w:pPr>
        <w:spacing w:after="0" w:line="318" w:lineRule="exact"/>
        <w:rPr>
          <w:rFonts w:ascii="Arial" w:cs="Arial" w:eastAsia="Arial" w:hAnsi="Arial"/>
          <w:sz w:val="22"/>
          <w:szCs w:val="22"/>
          <w:b w:val="1"/>
          <w:bCs w:val="1"/>
          <w:color w:val="auto"/>
        </w:rPr>
      </w:pPr>
    </w:p>
    <w:p>
      <w:pPr>
        <w:jc w:val="both"/>
        <w:ind w:left="652" w:hanging="490"/>
        <w:spacing w:after="0" w:line="287" w:lineRule="auto"/>
        <w:tabs>
          <w:tab w:leader="none" w:pos="642" w:val="left"/>
        </w:tabs>
        <w:numPr>
          <w:ilvl w:val="1"/>
          <w:numId w:val="868"/>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RSUs, on the allocation of Shares and the subsequent sale of Shares or a respective cash equivalent are in the sole responsibility of the Participant.</w:t>
      </w:r>
    </w:p>
    <w:p>
      <w:pPr>
        <w:spacing w:after="0" w:line="242" w:lineRule="exact"/>
        <w:rPr>
          <w:rFonts w:ascii="Arial" w:cs="Arial" w:eastAsia="Arial" w:hAnsi="Arial"/>
          <w:sz w:val="18"/>
          <w:szCs w:val="18"/>
          <w:color w:val="auto"/>
        </w:rPr>
      </w:pPr>
    </w:p>
    <w:p>
      <w:pPr>
        <w:jc w:val="both"/>
        <w:ind w:left="652" w:hanging="490"/>
        <w:spacing w:after="0" w:line="284" w:lineRule="auto"/>
        <w:tabs>
          <w:tab w:leader="none" w:pos="642" w:val="left"/>
        </w:tabs>
        <w:numPr>
          <w:ilvl w:val="1"/>
          <w:numId w:val="868"/>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RSUs may be subject to the withholding of tax and social security contributions by the Company or, if different, the relevant Group Company. The Company and the relevant Group Company, shall be entitled to deduct or withhold a sufficient portion of the value otherwise due to be released under this Plan or of any other payment to the relevant Participant to satisfy any withholding requirement in connection therewith. Without limitation, withholding</w:t>
      </w:r>
    </w:p>
    <w:p>
      <w:pPr>
        <w:sectPr>
          <w:pgSz w:w="11900" w:h="16838" w:orient="portrait"/>
          <w:cols w:equalWidth="0" w:num="1">
            <w:col w:w="11232"/>
          </w:cols>
          <w:pgMar w:left="328" w:top="180" w:right="339" w:bottom="1440" w:gutter="0" w:footer="0" w:header="0"/>
        </w:sectPr>
      </w:pPr>
    </w:p>
    <w:bookmarkStart w:id="826" w:name="page827"/>
    <w:bookmarkEnd w:id="826"/>
    <w:tbl>
      <w:tblPr>
        <w:tblLayout w:type="fixed"/>
        <w:tblInd w:w="12"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2018</w:t>
            </w:r>
          </w:p>
        </w:tc>
        <w:tc>
          <w:tcPr>
            <w:tcW w:w="4160" w:type="dxa"/>
            <w:vAlign w:val="bottom"/>
          </w:tcPr>
          <w:p>
            <w:pPr>
              <w:jc w:val="right"/>
              <w:spacing w:after="0"/>
              <w:rPr>
                <w:sz w:val="20"/>
                <w:szCs w:val="20"/>
                <w:color w:val="auto"/>
              </w:rPr>
            </w:pPr>
            <w:r>
              <w:rPr>
                <w:rFonts w:ascii="Arial" w:cs="Arial" w:eastAsia="Arial" w:hAnsi="Arial"/>
                <w:sz w:val="13"/>
                <w:szCs w:val="13"/>
                <w:color w:val="auto"/>
              </w:rPr>
              <w:t>6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arrangements may include the sale of Shares to be delivered for RSU awards on behalf of a Participant and withholding of proceeds or deductions from salary or bonus payments, or require a payment from the Participant to the Company or the relevant Group Company before settlement of the RSU awards.</w:t>
      </w:r>
    </w:p>
    <w:p>
      <w:pPr>
        <w:spacing w:after="0" w:line="243" w:lineRule="exact"/>
        <w:rPr>
          <w:sz w:val="20"/>
          <w:szCs w:val="20"/>
          <w:color w:val="auto"/>
        </w:rPr>
      </w:pPr>
    </w:p>
    <w:p>
      <w:pPr>
        <w:ind w:left="652" w:hanging="490"/>
        <w:spacing w:after="0" w:line="293" w:lineRule="auto"/>
        <w:tabs>
          <w:tab w:leader="none" w:pos="646" w:val="left"/>
        </w:tabs>
        <w:numPr>
          <w:ilvl w:val="1"/>
          <w:numId w:val="869"/>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RSU awards, Shares or related events.</w:t>
      </w:r>
    </w:p>
    <w:p>
      <w:pPr>
        <w:spacing w:after="0" w:line="191" w:lineRule="exact"/>
        <w:rPr>
          <w:rFonts w:ascii="Arial" w:cs="Arial" w:eastAsia="Arial" w:hAnsi="Arial"/>
          <w:sz w:val="18"/>
          <w:szCs w:val="18"/>
          <w:color w:val="auto"/>
        </w:rPr>
      </w:pPr>
    </w:p>
    <w:p>
      <w:pPr>
        <w:ind w:left="632" w:hanging="632"/>
        <w:spacing w:after="0"/>
        <w:tabs>
          <w:tab w:leader="none" w:pos="632" w:val="left"/>
        </w:tabs>
        <w:numPr>
          <w:ilvl w:val="0"/>
          <w:numId w:val="870"/>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Requirements</w:t>
      </w:r>
    </w:p>
    <w:p>
      <w:pPr>
        <w:spacing w:after="0" w:line="319" w:lineRule="exact"/>
        <w:rPr>
          <w:sz w:val="20"/>
          <w:szCs w:val="20"/>
          <w:color w:val="auto"/>
        </w:rPr>
      </w:pPr>
    </w:p>
    <w:p>
      <w:pPr>
        <w:jc w:val="both"/>
        <w:ind w:left="652"/>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RSUs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215" w:lineRule="exact"/>
        <w:rPr>
          <w:sz w:val="20"/>
          <w:szCs w:val="20"/>
          <w:color w:val="auto"/>
        </w:rPr>
      </w:pPr>
    </w:p>
    <w:p>
      <w:pPr>
        <w:ind w:left="632" w:hanging="632"/>
        <w:spacing w:after="0"/>
        <w:tabs>
          <w:tab w:leader="none" w:pos="632" w:val="left"/>
        </w:tabs>
        <w:numPr>
          <w:ilvl w:val="0"/>
          <w:numId w:val="871"/>
        </w:numPr>
        <w:rPr>
          <w:rFonts w:ascii="Arial" w:cs="Arial" w:eastAsia="Arial" w:hAnsi="Arial"/>
          <w:sz w:val="22"/>
          <w:szCs w:val="22"/>
          <w:b w:val="1"/>
          <w:bCs w:val="1"/>
          <w:color w:val="auto"/>
        </w:rPr>
      </w:pPr>
      <w:r>
        <w:rPr>
          <w:rFonts w:ascii="Arial" w:cs="Arial" w:eastAsia="Arial" w:hAnsi="Arial"/>
          <w:sz w:val="22"/>
          <w:szCs w:val="22"/>
          <w:b w:val="1"/>
          <w:bCs w:val="1"/>
          <w:color w:val="auto"/>
        </w:rPr>
        <w:t>Other Obligations of the Participant</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Relationship with the Company) to any Group Company, until the Participant has satisfied such outstanding obligations.</w:t>
      </w:r>
    </w:p>
    <w:p>
      <w:pPr>
        <w:spacing w:after="0" w:line="211" w:lineRule="exact"/>
        <w:rPr>
          <w:sz w:val="20"/>
          <w:szCs w:val="20"/>
          <w:color w:val="auto"/>
        </w:rPr>
      </w:pPr>
    </w:p>
    <w:p>
      <w:pPr>
        <w:ind w:left="632" w:hanging="632"/>
        <w:spacing w:after="0"/>
        <w:tabs>
          <w:tab w:leader="none" w:pos="632" w:val="left"/>
        </w:tabs>
        <w:numPr>
          <w:ilvl w:val="0"/>
          <w:numId w:val="87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Relationship</w:t>
      </w:r>
    </w:p>
    <w:p>
      <w:pPr>
        <w:spacing w:after="0" w:line="318" w:lineRule="exact"/>
        <w:rPr>
          <w:rFonts w:ascii="Arial" w:cs="Arial" w:eastAsia="Arial" w:hAnsi="Arial"/>
          <w:sz w:val="22"/>
          <w:szCs w:val="22"/>
          <w:b w:val="1"/>
          <w:bCs w:val="1"/>
          <w:color w:val="auto"/>
        </w:rPr>
      </w:pPr>
    </w:p>
    <w:p>
      <w:pPr>
        <w:jc w:val="both"/>
        <w:ind w:left="652" w:right="20" w:hanging="490"/>
        <w:spacing w:after="0" w:line="287" w:lineRule="auto"/>
        <w:tabs>
          <w:tab w:leader="none" w:pos="642" w:val="left"/>
        </w:tabs>
        <w:numPr>
          <w:ilvl w:val="1"/>
          <w:numId w:val="872"/>
        </w:numPr>
        <w:rPr>
          <w:rFonts w:ascii="Arial" w:cs="Arial" w:eastAsia="Arial" w:hAnsi="Arial"/>
          <w:sz w:val="18"/>
          <w:szCs w:val="18"/>
          <w:color w:val="auto"/>
        </w:rPr>
      </w:pPr>
      <w:r>
        <w:rPr>
          <w:rFonts w:ascii="Arial" w:cs="Arial" w:eastAsia="Arial" w:hAnsi="Arial"/>
          <w:sz w:val="18"/>
          <w:szCs w:val="18"/>
          <w:color w:val="auto"/>
        </w:rPr>
        <w:t>If a Participant's Relationship is terminated or another reason for termination occurs during the first year of the Vesting Period (or, in case of a member of the Board of Directors, prior to the end of a full term of office), other than through termination by the Participant for cause (wichtige Gründe) and except as set out in subsection 13 (b) below, all RSUs shall immediately cease and be forfeited.</w:t>
      </w:r>
    </w:p>
    <w:p>
      <w:pPr>
        <w:spacing w:after="0" w:line="229" w:lineRule="exact"/>
        <w:rPr>
          <w:rFonts w:ascii="Arial" w:cs="Arial" w:eastAsia="Arial" w:hAnsi="Arial"/>
          <w:sz w:val="18"/>
          <w:szCs w:val="18"/>
          <w:color w:val="auto"/>
        </w:rPr>
      </w:pPr>
    </w:p>
    <w:p>
      <w:pPr>
        <w:jc w:val="both"/>
        <w:ind w:left="652" w:hanging="490"/>
        <w:spacing w:after="0" w:line="304" w:lineRule="auto"/>
        <w:tabs>
          <w:tab w:leader="none" w:pos="642" w:val="left"/>
        </w:tabs>
        <w:numPr>
          <w:ilvl w:val="1"/>
          <w:numId w:val="872"/>
        </w:numPr>
        <w:rPr>
          <w:rFonts w:ascii="Arial" w:cs="Arial" w:eastAsia="Arial" w:hAnsi="Arial"/>
          <w:sz w:val="17"/>
          <w:szCs w:val="17"/>
          <w:color w:val="auto"/>
        </w:rPr>
      </w:pPr>
      <w:r>
        <w:rPr>
          <w:rFonts w:ascii="Arial" w:cs="Arial" w:eastAsia="Arial" w:hAnsi="Arial"/>
          <w:sz w:val="17"/>
          <w:szCs w:val="17"/>
          <w:color w:val="auto"/>
        </w:rPr>
        <w:t>If the Relationship terminates during the first year of the Vesting Period (or, in case of a member of the Board of Directors, prior to the end of a full term of office) by reason of death, permanent illness or disability of the Participant, a pro rata number of RSUs granted to the Participant shall vest immediately with the remaining RSUs lapsing without further effect. The Board of Directors may, at its sole discretion and with final and binding effect, based on a recommendation by the Nomination and Compensation Committee and taking into consideration the objectives of the Plan, grant further exceptions from the forfeiture clause as per section 13 (a) above.</w:t>
      </w:r>
    </w:p>
    <w:p>
      <w:pPr>
        <w:spacing w:after="0" w:line="201" w:lineRule="exact"/>
        <w:rPr>
          <w:rFonts w:ascii="Arial" w:cs="Arial" w:eastAsia="Arial" w:hAnsi="Arial"/>
          <w:sz w:val="17"/>
          <w:szCs w:val="17"/>
          <w:color w:val="auto"/>
        </w:rPr>
      </w:pPr>
    </w:p>
    <w:p>
      <w:pPr>
        <w:ind w:left="632" w:hanging="632"/>
        <w:spacing w:after="0"/>
        <w:tabs>
          <w:tab w:leader="none" w:pos="632" w:val="left"/>
        </w:tabs>
        <w:numPr>
          <w:ilvl w:val="0"/>
          <w:numId w:val="872"/>
        </w:numPr>
        <w:rPr>
          <w:rFonts w:ascii="Arial" w:cs="Arial" w:eastAsia="Arial" w:hAnsi="Arial"/>
          <w:sz w:val="22"/>
          <w:szCs w:val="22"/>
          <w:b w:val="1"/>
          <w:bCs w:val="1"/>
          <w:color w:val="auto"/>
        </w:rPr>
      </w:pPr>
      <w:r>
        <w:rPr>
          <w:rFonts w:ascii="Arial" w:cs="Arial" w:eastAsia="Arial" w:hAnsi="Arial"/>
          <w:sz w:val="22"/>
          <w:szCs w:val="22"/>
          <w:b w:val="1"/>
          <w:bCs w:val="1"/>
          <w:color w:val="auto"/>
        </w:rPr>
        <w:t>Change of Control</w:t>
      </w:r>
    </w:p>
    <w:p>
      <w:pPr>
        <w:spacing w:after="0" w:line="296" w:lineRule="exact"/>
        <w:rPr>
          <w:rFonts w:ascii="Arial" w:cs="Arial" w:eastAsia="Arial" w:hAnsi="Arial"/>
          <w:sz w:val="22"/>
          <w:szCs w:val="22"/>
          <w:b w:val="1"/>
          <w:bCs w:val="1"/>
          <w:color w:val="auto"/>
        </w:rPr>
      </w:pPr>
    </w:p>
    <w:p>
      <w:pPr>
        <w:ind w:left="632" w:hanging="470"/>
        <w:spacing w:after="0"/>
        <w:tabs>
          <w:tab w:leader="none" w:pos="632" w:val="left"/>
        </w:tabs>
        <w:numPr>
          <w:ilvl w:val="1"/>
          <w:numId w:val="872"/>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ectPr>
          <w:pgSz w:w="11900" w:h="16838" w:orient="portrait"/>
          <w:cols w:equalWidth="0" w:num="1">
            <w:col w:w="11232"/>
          </w:cols>
          <w:pgMar w:left="328" w:top="180" w:right="339" w:bottom="1440" w:gutter="0" w:footer="0" w:header="0"/>
        </w:sectPr>
      </w:pPr>
    </w:p>
    <w:bookmarkStart w:id="827" w:name="page828"/>
    <w:bookmarkEnd w:id="827"/>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2018</w:t>
            </w:r>
          </w:p>
        </w:tc>
        <w:tc>
          <w:tcPr>
            <w:tcW w:w="4160" w:type="dxa"/>
            <w:vAlign w:val="bottom"/>
          </w:tcPr>
          <w:p>
            <w:pPr>
              <w:jc w:val="right"/>
              <w:spacing w:after="0"/>
              <w:rPr>
                <w:sz w:val="20"/>
                <w:szCs w:val="20"/>
                <w:color w:val="auto"/>
              </w:rPr>
            </w:pPr>
            <w:r>
              <w:rPr>
                <w:rFonts w:ascii="Arial" w:cs="Arial" w:eastAsia="Arial" w:hAnsi="Arial"/>
                <w:sz w:val="13"/>
                <w:szCs w:val="13"/>
                <w:color w:val="auto"/>
              </w:rPr>
              <w:t>7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280" w:hanging="644"/>
        <w:spacing w:after="0" w:line="287" w:lineRule="auto"/>
        <w:tabs>
          <w:tab w:leader="none" w:pos="1278" w:val="left"/>
        </w:tabs>
        <w:numPr>
          <w:ilvl w:val="1"/>
          <w:numId w:val="873"/>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42" w:lineRule="exact"/>
        <w:rPr>
          <w:rFonts w:ascii="Arial" w:cs="Arial" w:eastAsia="Arial" w:hAnsi="Arial"/>
          <w:sz w:val="18"/>
          <w:szCs w:val="18"/>
          <w:color w:val="auto"/>
        </w:rPr>
      </w:pPr>
    </w:p>
    <w:p>
      <w:pPr>
        <w:ind w:left="1280" w:hanging="644"/>
        <w:spacing w:after="0" w:line="293" w:lineRule="auto"/>
        <w:tabs>
          <w:tab w:leader="none" w:pos="1277" w:val="left"/>
        </w:tabs>
        <w:numPr>
          <w:ilvl w:val="1"/>
          <w:numId w:val="873"/>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223" w:lineRule="exact"/>
        <w:rPr>
          <w:rFonts w:ascii="Arial" w:cs="Arial" w:eastAsia="Arial" w:hAnsi="Arial"/>
          <w:sz w:val="18"/>
          <w:szCs w:val="18"/>
          <w:color w:val="auto"/>
        </w:rPr>
      </w:pPr>
    </w:p>
    <w:p>
      <w:pPr>
        <w:jc w:val="both"/>
        <w:ind w:left="1280" w:hanging="644"/>
        <w:spacing w:after="0" w:line="285" w:lineRule="auto"/>
        <w:tabs>
          <w:tab w:leader="none" w:pos="1277" w:val="left"/>
        </w:tabs>
        <w:numPr>
          <w:ilvl w:val="1"/>
          <w:numId w:val="873"/>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45" w:lineRule="exact"/>
        <w:rPr>
          <w:rFonts w:ascii="Arial" w:cs="Arial" w:eastAsia="Arial" w:hAnsi="Arial"/>
          <w:sz w:val="18"/>
          <w:szCs w:val="18"/>
          <w:color w:val="auto"/>
        </w:rPr>
      </w:pPr>
    </w:p>
    <w:p>
      <w:pPr>
        <w:jc w:val="both"/>
        <w:ind w:left="1280" w:hanging="644"/>
        <w:spacing w:after="0" w:line="284" w:lineRule="auto"/>
        <w:tabs>
          <w:tab w:leader="none" w:pos="1273" w:val="left"/>
        </w:tabs>
        <w:numPr>
          <w:ilvl w:val="1"/>
          <w:numId w:val="873"/>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46" w:lineRule="exact"/>
        <w:rPr>
          <w:rFonts w:ascii="Arial" w:cs="Arial" w:eastAsia="Arial" w:hAnsi="Arial"/>
          <w:sz w:val="18"/>
          <w:szCs w:val="18"/>
          <w:color w:val="auto"/>
        </w:rPr>
      </w:pPr>
    </w:p>
    <w:p>
      <w:pPr>
        <w:ind w:left="640" w:hanging="490"/>
        <w:spacing w:after="0" w:line="293" w:lineRule="auto"/>
        <w:tabs>
          <w:tab w:leader="none" w:pos="63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RSUs in respect of which the Vesting Date has not occurred by the date of the Change of Control:</w:t>
      </w:r>
    </w:p>
    <w:p>
      <w:pPr>
        <w:spacing w:after="0" w:line="223" w:lineRule="exact"/>
        <w:rPr>
          <w:rFonts w:ascii="Arial" w:cs="Arial" w:eastAsia="Arial" w:hAnsi="Arial"/>
          <w:sz w:val="18"/>
          <w:szCs w:val="18"/>
          <w:color w:val="auto"/>
        </w:rPr>
      </w:pPr>
    </w:p>
    <w:p>
      <w:pPr>
        <w:ind w:left="1280" w:hanging="644"/>
        <w:spacing w:after="0"/>
        <w:tabs>
          <w:tab w:leader="none" w:pos="1280"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all RSUs will vest immediately; and</w:t>
      </w:r>
    </w:p>
    <w:p>
      <w:pPr>
        <w:spacing w:after="0" w:line="292" w:lineRule="exact"/>
        <w:rPr>
          <w:rFonts w:ascii="Arial" w:cs="Arial" w:eastAsia="Arial" w:hAnsi="Arial"/>
          <w:sz w:val="18"/>
          <w:szCs w:val="18"/>
          <w:color w:val="auto"/>
        </w:rPr>
      </w:pPr>
    </w:p>
    <w:p>
      <w:pPr>
        <w:ind w:left="1280" w:hanging="644"/>
        <w:spacing w:after="0" w:line="293" w:lineRule="auto"/>
        <w:tabs>
          <w:tab w:leader="none" w:pos="1277" w:val="left"/>
        </w:tabs>
        <w:numPr>
          <w:ilvl w:val="1"/>
          <w:numId w:val="874"/>
        </w:numPr>
        <w:rPr>
          <w:rFonts w:ascii="Arial" w:cs="Arial" w:eastAsia="Arial" w:hAnsi="Arial"/>
          <w:sz w:val="18"/>
          <w:szCs w:val="18"/>
          <w:color w:val="auto"/>
        </w:rPr>
      </w:pPr>
      <w:r>
        <w:rPr>
          <w:rFonts w:ascii="Arial" w:cs="Arial" w:eastAsia="Arial" w:hAnsi="Arial"/>
          <w:sz w:val="18"/>
          <w:szCs w:val="18"/>
          <w:color w:val="auto"/>
        </w:rPr>
        <w:t>the RSUs will be paid out in Shares, unless the Nomination and Compensation Committee resolves to repurchase or exchange RSUs or decides upon another solution to provide the Participants with the vesting value of the RSUs.</w:t>
      </w:r>
    </w:p>
    <w:p>
      <w:pPr>
        <w:spacing w:after="0" w:line="237" w:lineRule="exact"/>
        <w:rPr>
          <w:rFonts w:ascii="Arial" w:cs="Arial" w:eastAsia="Arial" w:hAnsi="Arial"/>
          <w:sz w:val="18"/>
          <w:szCs w:val="18"/>
          <w:color w:val="auto"/>
        </w:rPr>
      </w:pPr>
    </w:p>
    <w:p>
      <w:pPr>
        <w:jc w:val="both"/>
        <w:ind w:left="640" w:hanging="490"/>
        <w:spacing w:after="0" w:line="284" w:lineRule="auto"/>
        <w:tabs>
          <w:tab w:leader="none" w:pos="634" w:val="left"/>
        </w:tabs>
        <w:numPr>
          <w:ilvl w:val="0"/>
          <w:numId w:val="874"/>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33" w:lineRule="exact"/>
        <w:rPr>
          <w:rFonts w:ascii="Arial" w:cs="Arial" w:eastAsia="Arial" w:hAnsi="Arial"/>
          <w:sz w:val="18"/>
          <w:szCs w:val="18"/>
          <w:color w:val="auto"/>
        </w:rPr>
      </w:pPr>
    </w:p>
    <w:p>
      <w:pPr>
        <w:jc w:val="both"/>
        <w:ind w:left="640" w:hanging="490"/>
        <w:spacing w:after="0" w:line="285" w:lineRule="auto"/>
        <w:tabs>
          <w:tab w:leader="none" w:pos="630" w:val="left"/>
        </w:tabs>
        <w:numPr>
          <w:ilvl w:val="0"/>
          <w:numId w:val="874"/>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ectPr>
          <w:pgSz w:w="11900" w:h="16838" w:orient="portrait"/>
          <w:cols w:equalWidth="0" w:num="1">
            <w:col w:w="11220"/>
          </w:cols>
          <w:pgMar w:left="340" w:top="180" w:right="339" w:bottom="1440" w:gutter="0" w:footer="0" w:header="0"/>
        </w:sectPr>
      </w:pPr>
    </w:p>
    <w:bookmarkStart w:id="828" w:name="page829"/>
    <w:bookmarkEnd w:id="828"/>
    <w:tbl>
      <w:tblPr>
        <w:tblLayout w:type="fixed"/>
        <w:tblInd w:w="12"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2018</w:t>
            </w:r>
          </w:p>
        </w:tc>
        <w:tc>
          <w:tcPr>
            <w:tcW w:w="4160" w:type="dxa"/>
            <w:vAlign w:val="bottom"/>
          </w:tcPr>
          <w:p>
            <w:pPr>
              <w:jc w:val="right"/>
              <w:spacing w:after="0"/>
              <w:rPr>
                <w:sz w:val="20"/>
                <w:szCs w:val="20"/>
                <w:color w:val="auto"/>
              </w:rPr>
            </w:pPr>
            <w:r>
              <w:rPr>
                <w:rFonts w:ascii="Arial" w:cs="Arial" w:eastAsia="Arial" w:hAnsi="Arial"/>
                <w:sz w:val="13"/>
                <w:szCs w:val="13"/>
                <w:color w:val="auto"/>
              </w:rPr>
              <w:t>8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32" w:hanging="632"/>
        <w:spacing w:after="0"/>
        <w:tabs>
          <w:tab w:leader="none" w:pos="632" w:val="left"/>
        </w:tabs>
        <w:numPr>
          <w:ilvl w:val="0"/>
          <w:numId w:val="875"/>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Events</w:t>
      </w:r>
    </w:p>
    <w:p>
      <w:pPr>
        <w:spacing w:after="0" w:line="319" w:lineRule="exact"/>
        <w:rPr>
          <w:sz w:val="20"/>
          <w:szCs w:val="20"/>
          <w:color w:val="auto"/>
        </w:rPr>
      </w:pPr>
    </w:p>
    <w:p>
      <w:pPr>
        <w:jc w:val="both"/>
        <w:ind w:left="652"/>
        <w:spacing w:after="0" w:line="283"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RSUs such that an adjustment is required in order to preserve the benefits intended to be made available under this Plan, then the RSUs and related terms shall be adjusted and/or, if deemed appropriate, a cash payment to Participants or persons having outstanding RSUs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216" w:lineRule="exact"/>
        <w:rPr>
          <w:sz w:val="20"/>
          <w:szCs w:val="20"/>
          <w:color w:val="auto"/>
        </w:rPr>
      </w:pPr>
    </w:p>
    <w:p>
      <w:pPr>
        <w:ind w:left="632" w:hanging="632"/>
        <w:spacing w:after="0"/>
        <w:tabs>
          <w:tab w:leader="none" w:pos="632" w:val="left"/>
        </w:tabs>
        <w:numPr>
          <w:ilvl w:val="0"/>
          <w:numId w:val="876"/>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318" w:lineRule="exact"/>
        <w:rPr>
          <w:rFonts w:ascii="Arial" w:cs="Arial" w:eastAsia="Arial" w:hAnsi="Arial"/>
          <w:sz w:val="22"/>
          <w:szCs w:val="22"/>
          <w:b w:val="1"/>
          <w:bCs w:val="1"/>
          <w:color w:val="auto"/>
        </w:rPr>
      </w:pPr>
    </w:p>
    <w:p>
      <w:pPr>
        <w:jc w:val="both"/>
        <w:ind w:left="652" w:hanging="490"/>
        <w:spacing w:after="0" w:line="284" w:lineRule="auto"/>
        <w:tabs>
          <w:tab w:leader="none" w:pos="642" w:val="left"/>
        </w:tabs>
        <w:numPr>
          <w:ilvl w:val="1"/>
          <w:numId w:val="876"/>
        </w:numPr>
        <w:rPr>
          <w:rFonts w:ascii="Arial" w:cs="Arial" w:eastAsia="Arial" w:hAnsi="Arial"/>
          <w:sz w:val="18"/>
          <w:szCs w:val="18"/>
          <w:color w:val="auto"/>
        </w:rPr>
      </w:pPr>
      <w:r>
        <w:rPr>
          <w:rFonts w:ascii="Arial" w:cs="Arial" w:eastAsia="Arial" w:hAnsi="Arial"/>
          <w:sz w:val="18"/>
          <w:szCs w:val="18"/>
          <w:color w:val="auto"/>
        </w:rPr>
        <w:t>By accepting a grant of RSUs, each Participant consents to the collection and processing of personal data relating to the Participant in connection with such grant and the performance of this Plan and the RSU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RSUs, to provide for cash-less grants or sale mechanics and to generally administer and manage the Plan or keep records of participation levels.</w:t>
      </w:r>
    </w:p>
    <w:p>
      <w:pPr>
        <w:spacing w:after="0" w:line="231" w:lineRule="exact"/>
        <w:rPr>
          <w:rFonts w:ascii="Arial" w:cs="Arial" w:eastAsia="Arial" w:hAnsi="Arial"/>
          <w:sz w:val="18"/>
          <w:szCs w:val="18"/>
          <w:color w:val="auto"/>
        </w:rPr>
      </w:pPr>
    </w:p>
    <w:p>
      <w:pPr>
        <w:jc w:val="both"/>
        <w:ind w:left="652" w:hanging="490"/>
        <w:spacing w:after="0" w:line="285" w:lineRule="auto"/>
        <w:tabs>
          <w:tab w:leader="none" w:pos="642" w:val="left"/>
        </w:tabs>
        <w:numPr>
          <w:ilvl w:val="1"/>
          <w:numId w:val="876"/>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relevant Group Company.</w:t>
      </w:r>
    </w:p>
    <w:p>
      <w:pPr>
        <w:spacing w:after="0" w:line="213" w:lineRule="exact"/>
        <w:rPr>
          <w:rFonts w:ascii="Arial" w:cs="Arial" w:eastAsia="Arial" w:hAnsi="Arial"/>
          <w:sz w:val="18"/>
          <w:szCs w:val="18"/>
          <w:color w:val="auto"/>
        </w:rPr>
      </w:pPr>
    </w:p>
    <w:p>
      <w:pPr>
        <w:ind w:left="632" w:hanging="632"/>
        <w:spacing w:after="0"/>
        <w:tabs>
          <w:tab w:leader="none" w:pos="632" w:val="left"/>
        </w:tabs>
        <w:numPr>
          <w:ilvl w:val="0"/>
          <w:numId w:val="876"/>
        </w:numPr>
        <w:rPr>
          <w:rFonts w:ascii="Arial" w:cs="Arial" w:eastAsia="Arial" w:hAnsi="Arial"/>
          <w:sz w:val="22"/>
          <w:szCs w:val="22"/>
          <w:b w:val="1"/>
          <w:bCs w:val="1"/>
          <w:color w:val="auto"/>
        </w:rPr>
      </w:pPr>
      <w:r>
        <w:rPr>
          <w:rFonts w:ascii="Arial" w:cs="Arial" w:eastAsia="Arial" w:hAnsi="Arial"/>
          <w:sz w:val="22"/>
          <w:szCs w:val="22"/>
          <w:b w:val="1"/>
          <w:bCs w:val="1"/>
          <w:color w:val="auto"/>
        </w:rPr>
        <w:t>Legal and regulatory restrictions</w:t>
      </w:r>
    </w:p>
    <w:p>
      <w:pPr>
        <w:spacing w:after="0" w:line="318" w:lineRule="exact"/>
        <w:rPr>
          <w:rFonts w:ascii="Arial" w:cs="Arial" w:eastAsia="Arial" w:hAnsi="Arial"/>
          <w:sz w:val="22"/>
          <w:szCs w:val="22"/>
          <w:b w:val="1"/>
          <w:bCs w:val="1"/>
          <w:color w:val="auto"/>
        </w:rPr>
      </w:pPr>
    </w:p>
    <w:p>
      <w:pPr>
        <w:ind w:left="652" w:right="20" w:hanging="490"/>
        <w:spacing w:after="0" w:line="293" w:lineRule="auto"/>
        <w:tabs>
          <w:tab w:leader="none" w:pos="642" w:val="left"/>
        </w:tabs>
        <w:numPr>
          <w:ilvl w:val="1"/>
          <w:numId w:val="876"/>
        </w:numPr>
        <w:rPr>
          <w:rFonts w:ascii="Arial" w:cs="Arial" w:eastAsia="Arial" w:hAnsi="Arial"/>
          <w:sz w:val="18"/>
          <w:szCs w:val="18"/>
          <w:color w:val="auto"/>
        </w:rPr>
      </w:pPr>
      <w:r>
        <w:rPr>
          <w:rFonts w:ascii="Arial" w:cs="Arial" w:eastAsia="Arial" w:hAnsi="Arial"/>
          <w:sz w:val="18"/>
          <w:szCs w:val="18"/>
          <w:color w:val="auto"/>
        </w:rPr>
        <w:t>Neither the Shares nor the RSU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652" w:hanging="490"/>
        <w:spacing w:after="0" w:line="281" w:lineRule="auto"/>
        <w:tabs>
          <w:tab w:leader="none" w:pos="642" w:val="left"/>
        </w:tabs>
        <w:numPr>
          <w:ilvl w:val="1"/>
          <w:numId w:val="876"/>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RSUs or the delivery of Shares pursuant to this Plan or the extension of eligibility under this Plan into any jurisdiction or to any person conflicts with any securities, stock exchange or other laws and regulations or would trigger any licensing, filing, prospectus, registration or</w:t>
      </w:r>
    </w:p>
    <w:p>
      <w:pPr>
        <w:spacing w:after="0" w:line="3" w:lineRule="exact"/>
        <w:rPr>
          <w:rFonts w:ascii="Arial" w:cs="Arial" w:eastAsia="Arial" w:hAnsi="Arial"/>
          <w:sz w:val="18"/>
          <w:szCs w:val="18"/>
          <w:color w:val="auto"/>
        </w:rPr>
      </w:pPr>
    </w:p>
    <w:p>
      <w:pPr>
        <w:jc w:val="both"/>
        <w:ind w:left="652"/>
        <w:spacing w:after="0" w:line="287" w:lineRule="auto"/>
        <w:rPr>
          <w:rFonts w:ascii="Arial" w:cs="Arial" w:eastAsia="Arial" w:hAnsi="Arial"/>
          <w:sz w:val="18"/>
          <w:szCs w:val="18"/>
          <w:color w:val="auto"/>
        </w:rPr>
      </w:pPr>
      <w:r>
        <w:rPr>
          <w:rFonts w:ascii="Arial" w:cs="Arial" w:eastAsia="Arial" w:hAnsi="Arial"/>
          <w:sz w:val="18"/>
          <w:szCs w:val="18"/>
          <w:color w:val="auto"/>
        </w:rPr>
        <w:t>similar 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w:t>
      </w:r>
    </w:p>
    <w:p>
      <w:pPr>
        <w:sectPr>
          <w:pgSz w:w="11900" w:h="16838" w:orient="portrait"/>
          <w:cols w:equalWidth="0" w:num="1">
            <w:col w:w="11232"/>
          </w:cols>
          <w:pgMar w:left="328" w:top="180" w:right="339" w:bottom="1440" w:gutter="0" w:footer="0" w:header="0"/>
        </w:sectPr>
      </w:pPr>
    </w:p>
    <w:bookmarkStart w:id="829" w:name="page830"/>
    <w:bookmarkEnd w:id="829"/>
    <w:tbl>
      <w:tblPr>
        <w:tblLayout w:type="fixed"/>
        <w:tblInd w:w="12"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2018</w:t>
            </w:r>
          </w:p>
        </w:tc>
        <w:tc>
          <w:tcPr>
            <w:tcW w:w="4160" w:type="dxa"/>
            <w:vAlign w:val="bottom"/>
          </w:tcPr>
          <w:p>
            <w:pPr>
              <w:jc w:val="right"/>
              <w:spacing w:after="0"/>
              <w:rPr>
                <w:sz w:val="20"/>
                <w:szCs w:val="20"/>
                <w:color w:val="auto"/>
              </w:rPr>
            </w:pPr>
            <w:r>
              <w:rPr>
                <w:rFonts w:ascii="Arial" w:cs="Arial" w:eastAsia="Arial" w:hAnsi="Arial"/>
                <w:sz w:val="13"/>
                <w:szCs w:val="13"/>
                <w:color w:val="auto"/>
              </w:rPr>
              <w:t>9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its own discretion whether and how to compensate the relevant persons in lieu of such grant, delivery or extension.</w:t>
      </w:r>
    </w:p>
    <w:p>
      <w:pPr>
        <w:spacing w:after="0" w:line="293" w:lineRule="exact"/>
        <w:rPr>
          <w:sz w:val="20"/>
          <w:szCs w:val="20"/>
          <w:color w:val="auto"/>
        </w:rPr>
      </w:pPr>
    </w:p>
    <w:p>
      <w:pPr>
        <w:ind w:left="652" w:hanging="490"/>
        <w:spacing w:after="0" w:line="293" w:lineRule="auto"/>
        <w:tabs>
          <w:tab w:leader="none" w:pos="646" w:val="left"/>
        </w:tabs>
        <w:numPr>
          <w:ilvl w:val="0"/>
          <w:numId w:val="877"/>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RSUs and any shares granted thereunder.</w:t>
      </w:r>
    </w:p>
    <w:p>
      <w:pPr>
        <w:spacing w:after="0" w:line="223" w:lineRule="exact"/>
        <w:rPr>
          <w:rFonts w:ascii="Arial" w:cs="Arial" w:eastAsia="Arial" w:hAnsi="Arial"/>
          <w:sz w:val="18"/>
          <w:szCs w:val="18"/>
          <w:color w:val="auto"/>
        </w:rPr>
      </w:pPr>
    </w:p>
    <w:p>
      <w:pPr>
        <w:ind w:left="652" w:hanging="490"/>
        <w:spacing w:after="0" w:line="293" w:lineRule="auto"/>
        <w:tabs>
          <w:tab w:leader="none" w:pos="642" w:val="left"/>
        </w:tabs>
        <w:numPr>
          <w:ilvl w:val="0"/>
          <w:numId w:val="877"/>
        </w:numPr>
        <w:rPr>
          <w:rFonts w:ascii="Arial" w:cs="Arial" w:eastAsia="Arial" w:hAnsi="Arial"/>
          <w:sz w:val="18"/>
          <w:szCs w:val="18"/>
          <w:color w:val="auto"/>
        </w:rPr>
      </w:pPr>
      <w:r>
        <w:rPr>
          <w:rFonts w:ascii="Arial" w:cs="Arial" w:eastAsia="Arial" w:hAnsi="Arial"/>
          <w:sz w:val="18"/>
          <w:szCs w:val="18"/>
          <w:color w:val="auto"/>
        </w:rPr>
        <w:t>Any grant of RSUs to members of the Board of Directors that qualifies as prohibited payment under the Compensation Ordinance or otherwise, shall be null and void.</w:t>
      </w:r>
    </w:p>
    <w:p>
      <w:pPr>
        <w:spacing w:after="0" w:line="237" w:lineRule="exact"/>
        <w:rPr>
          <w:rFonts w:ascii="Arial" w:cs="Arial" w:eastAsia="Arial" w:hAnsi="Arial"/>
          <w:sz w:val="18"/>
          <w:szCs w:val="18"/>
          <w:color w:val="auto"/>
        </w:rPr>
      </w:pPr>
    </w:p>
    <w:p>
      <w:pPr>
        <w:jc w:val="both"/>
        <w:ind w:left="652" w:hanging="490"/>
        <w:spacing w:after="0" w:line="285" w:lineRule="auto"/>
        <w:tabs>
          <w:tab w:leader="none" w:pos="642" w:val="left"/>
        </w:tabs>
        <w:numPr>
          <w:ilvl w:val="0"/>
          <w:numId w:val="877"/>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particular in case of termination of Relationship or Change of Control, should, at the time of the relevant event, qualify as providing additional value to a member of the Board of Directors in a manner that would violate the Compensation Ordinance or other legal provisions, such additional value shall be otherwise compensated, e.g. by a relevant deduction from cash compensation or other proceeds.</w:t>
      </w:r>
    </w:p>
    <w:p>
      <w:pPr>
        <w:spacing w:after="0" w:line="214" w:lineRule="exact"/>
        <w:rPr>
          <w:sz w:val="20"/>
          <w:szCs w:val="20"/>
          <w:color w:val="auto"/>
        </w:rPr>
      </w:pPr>
    </w:p>
    <w:p>
      <w:pPr>
        <w:ind w:left="632" w:hanging="632"/>
        <w:spacing w:after="0"/>
        <w:tabs>
          <w:tab w:leader="none" w:pos="632" w:val="left"/>
        </w:tabs>
        <w:numPr>
          <w:ilvl w:val="0"/>
          <w:numId w:val="87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319" w:lineRule="exact"/>
        <w:rPr>
          <w:sz w:val="20"/>
          <w:szCs w:val="20"/>
          <w:color w:val="auto"/>
        </w:rPr>
      </w:pPr>
    </w:p>
    <w:p>
      <w:pPr>
        <w:jc w:val="both"/>
        <w:ind w:left="652"/>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RSU grants. Any adverse economic effects of such termination, suspension or amendment on grants already made pursuant to a RSU Agreement shall be fairly compensated in cash, by adjustment of other terms of the grant, by replacement by other grants or benefits, or otherwise.</w:t>
      </w:r>
    </w:p>
    <w:p>
      <w:pPr>
        <w:spacing w:after="0" w:line="200" w:lineRule="exact"/>
        <w:rPr>
          <w:sz w:val="20"/>
          <w:szCs w:val="20"/>
          <w:color w:val="auto"/>
        </w:rPr>
      </w:pPr>
    </w:p>
    <w:p>
      <w:pPr>
        <w:ind w:left="632" w:hanging="632"/>
        <w:spacing w:after="0"/>
        <w:tabs>
          <w:tab w:leader="none" w:pos="632" w:val="left"/>
        </w:tabs>
        <w:numPr>
          <w:ilvl w:val="0"/>
          <w:numId w:val="879"/>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319" w:lineRule="exact"/>
        <w:rPr>
          <w:sz w:val="20"/>
          <w:szCs w:val="20"/>
          <w:color w:val="auto"/>
        </w:rPr>
      </w:pPr>
    </w:p>
    <w:p>
      <w:pPr>
        <w:jc w:val="both"/>
        <w:ind w:left="652"/>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ind w:left="632" w:hanging="632"/>
        <w:spacing w:after="0"/>
        <w:tabs>
          <w:tab w:leader="none" w:pos="632" w:val="left"/>
        </w:tabs>
        <w:numPr>
          <w:ilvl w:val="0"/>
          <w:numId w:val="88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318" w:lineRule="exact"/>
        <w:rPr>
          <w:rFonts w:ascii="Arial" w:cs="Arial" w:eastAsia="Arial" w:hAnsi="Arial"/>
          <w:sz w:val="22"/>
          <w:szCs w:val="22"/>
          <w:b w:val="1"/>
          <w:bCs w:val="1"/>
          <w:color w:val="auto"/>
        </w:rPr>
      </w:pPr>
    </w:p>
    <w:p>
      <w:pPr>
        <w:ind w:left="652" w:hanging="490"/>
        <w:spacing w:after="0" w:line="293" w:lineRule="auto"/>
        <w:tabs>
          <w:tab w:leader="none" w:pos="642" w:val="left"/>
        </w:tabs>
        <w:numPr>
          <w:ilvl w:val="1"/>
          <w:numId w:val="880"/>
        </w:numPr>
        <w:rPr>
          <w:rFonts w:ascii="Arial" w:cs="Arial" w:eastAsia="Arial" w:hAnsi="Arial"/>
          <w:sz w:val="18"/>
          <w:szCs w:val="18"/>
          <w:color w:val="auto"/>
        </w:rPr>
      </w:pPr>
      <w:r>
        <w:rPr>
          <w:rFonts w:ascii="Arial" w:cs="Arial" w:eastAsia="Arial" w:hAnsi="Arial"/>
          <w:sz w:val="18"/>
          <w:szCs w:val="18"/>
          <w:color w:val="auto"/>
        </w:rPr>
        <w:t>This Plan and any RSU Award Agreement shall be governed by, and construed in accordance with, the substantive laws of Switzerland.</w:t>
      </w:r>
    </w:p>
    <w:p>
      <w:pPr>
        <w:spacing w:after="0" w:line="237" w:lineRule="exact"/>
        <w:rPr>
          <w:rFonts w:ascii="Arial" w:cs="Arial" w:eastAsia="Arial" w:hAnsi="Arial"/>
          <w:sz w:val="18"/>
          <w:szCs w:val="18"/>
          <w:color w:val="auto"/>
        </w:rPr>
      </w:pPr>
    </w:p>
    <w:p>
      <w:pPr>
        <w:jc w:val="both"/>
        <w:ind w:left="652" w:hanging="490"/>
        <w:spacing w:after="0" w:line="287" w:lineRule="auto"/>
        <w:tabs>
          <w:tab w:leader="none" w:pos="642" w:val="left"/>
        </w:tabs>
        <w:numPr>
          <w:ilvl w:val="1"/>
          <w:numId w:val="880"/>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RSU Award Agreement shall be submitted to the exclusive jurisdiction of the courts at the domicile of the Company (currently Schlieren, Canton of Zurich, Switzerland).</w:t>
      </w:r>
    </w:p>
    <w:p>
      <w:pPr>
        <w:spacing w:after="0" w:line="197" w:lineRule="exact"/>
        <w:rPr>
          <w:rFonts w:ascii="Arial" w:cs="Arial" w:eastAsia="Arial" w:hAnsi="Arial"/>
          <w:sz w:val="18"/>
          <w:szCs w:val="18"/>
          <w:color w:val="auto"/>
        </w:rPr>
      </w:pPr>
    </w:p>
    <w:p>
      <w:pPr>
        <w:ind w:left="632" w:hanging="632"/>
        <w:spacing w:after="0"/>
        <w:tabs>
          <w:tab w:leader="none" w:pos="632" w:val="left"/>
        </w:tabs>
        <w:numPr>
          <w:ilvl w:val="0"/>
          <w:numId w:val="880"/>
        </w:numPr>
        <w:rPr>
          <w:rFonts w:ascii="Arial" w:cs="Arial" w:eastAsia="Arial" w:hAnsi="Arial"/>
          <w:sz w:val="22"/>
          <w:szCs w:val="22"/>
          <w:b w:val="1"/>
          <w:bCs w:val="1"/>
          <w:color w:val="auto"/>
        </w:rPr>
      </w:pPr>
      <w:r>
        <w:rPr>
          <w:rFonts w:ascii="Arial" w:cs="Arial" w:eastAsia="Arial" w:hAnsi="Arial"/>
          <w:sz w:val="22"/>
          <w:szCs w:val="22"/>
          <w:b w:val="1"/>
          <w:bCs w:val="1"/>
          <w:color w:val="auto"/>
        </w:rPr>
        <w:t>Entry into Force</w:t>
      </w:r>
    </w:p>
    <w:p>
      <w:pPr>
        <w:spacing w:after="0" w:line="31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As per the approval of the Board of Directors, this Plan shall enter into force as of March 14, 2018.</w:t>
      </w:r>
    </w:p>
    <w:p>
      <w:pPr>
        <w:sectPr>
          <w:pgSz w:w="11900" w:h="16838" w:orient="portrait"/>
          <w:cols w:equalWidth="0" w:num="1">
            <w:col w:w="11232"/>
          </w:cols>
          <w:pgMar w:left="328" w:top="180" w:right="339" w:bottom="1440" w:gutter="0" w:footer="0" w:header="0"/>
        </w:sectPr>
      </w:pPr>
    </w:p>
    <w:bookmarkStart w:id="830" w:name="page831"/>
    <w:bookmarkEnd w:id="830"/>
    <w:p>
      <w:pPr>
        <w:ind w:left="20"/>
        <w:spacing w:after="0"/>
        <w:rPr>
          <w:sz w:val="20"/>
          <w:szCs w:val="20"/>
          <w:color w:val="auto"/>
        </w:rPr>
      </w:pPr>
      <w:r>
        <w:rPr>
          <w:rFonts w:ascii="Arial" w:cs="Arial" w:eastAsia="Arial" w:hAnsi="Arial"/>
          <w:sz w:val="13"/>
          <w:szCs w:val="13"/>
          <w:color w:val="auto"/>
        </w:rPr>
        <w:t>Molecular Partners AG: Restricted Share Plan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RSUs through a RSU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Relationship </w:t>
      </w:r>
      <w:r>
        <w:rPr>
          <w:rFonts w:ascii="Arial" w:cs="Arial" w:eastAsia="Arial" w:hAnsi="Arial"/>
          <w:sz w:val="18"/>
          <w:szCs w:val="18"/>
          <w:color w:val="auto"/>
        </w:rPr>
        <w:t>shall mean the board relationship and any relating contractual relationship of a member of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consultancy or other legal or contractual relationship of any other Participant.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color w:val="auto"/>
        </w:rPr>
        <w:t>Annex 4_RSU Plan 2018_for CC Approval</w:t>
      </w:r>
    </w:p>
    <w:p>
      <w:pPr>
        <w:sectPr>
          <w:pgSz w:w="11900" w:h="16838" w:orient="portrait"/>
          <w:cols w:equalWidth="0" w:num="1">
            <w:col w:w="11240"/>
          </w:cols>
          <w:pgMar w:left="320" w:top="180" w:right="339" w:bottom="1440" w:gutter="0" w:footer="0" w:header="0"/>
        </w:sectPr>
      </w:pPr>
    </w:p>
    <w:bookmarkStart w:id="831" w:name="page832"/>
    <w:bookmarkEnd w:id="831"/>
    <w:p>
      <w:pPr>
        <w:ind w:left="20"/>
        <w:spacing w:after="0"/>
        <w:rPr>
          <w:sz w:val="20"/>
          <w:szCs w:val="20"/>
          <w:color w:val="auto"/>
        </w:rPr>
      </w:pPr>
      <w:r>
        <w:rPr>
          <w:rFonts w:ascii="Arial" w:cs="Arial" w:eastAsia="Arial" w:hAnsi="Arial"/>
          <w:sz w:val="13"/>
          <w:szCs w:val="13"/>
          <w:color w:val="auto"/>
        </w:rPr>
        <w:t>Molecular Partners AG: Restricted Share Plan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Agreement 2018</w:t>
      </w:r>
    </w:p>
    <w:p>
      <w:pPr>
        <w:spacing w:after="0" w:line="25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a Swiss corporation, with its domicile in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Restricted Share Plan 2018 (the </w:t>
      </w:r>
      <w:r>
        <w:rPr>
          <w:rFonts w:ascii="Arial" w:cs="Arial" w:eastAsia="Arial" w:hAnsi="Arial"/>
          <w:sz w:val="18"/>
          <w:szCs w:val="18"/>
          <w:b w:val="1"/>
          <w:bCs w:val="1"/>
          <w:color w:val="auto"/>
        </w:rPr>
        <w:t>RSU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RSU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RSU Plan, the Company hereby grants to you the following RSUs:</w:t>
      </w:r>
    </w:p>
    <w:p>
      <w:pPr>
        <w:spacing w:after="0" w:line="293" w:lineRule="exact"/>
        <w:rPr>
          <w:sz w:val="20"/>
          <w:szCs w:val="20"/>
          <w:color w:val="auto"/>
        </w:rPr>
      </w:pPr>
    </w:p>
    <w:tbl>
      <w:tblPr>
        <w:tblLayout w:type="fixed"/>
        <w:tblInd w:w="400" w:type="dxa"/>
        <w:tblCellMar>
          <w:top w:w="0" w:type="dxa"/>
          <w:left w:w="0" w:type="dxa"/>
          <w:bottom w:w="0" w:type="dxa"/>
          <w:right w:w="0" w:type="dxa"/>
        </w:tblCellMar>
      </w:tblPr>
      <w:tr>
        <w:trPr>
          <w:trHeight w:val="351"/>
        </w:trPr>
        <w:tc>
          <w:tcPr>
            <w:tcW w:w="304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135"/>
        </w:trPr>
        <w:tc>
          <w:tcPr>
            <w:tcW w:w="3040" w:type="dxa"/>
            <w:vAlign w:val="bottom"/>
          </w:tcPr>
          <w:p>
            <w:pPr>
              <w:spacing w:after="0"/>
              <w:rPr>
                <w:sz w:val="11"/>
                <w:szCs w:val="11"/>
                <w:color w:val="auto"/>
              </w:rPr>
            </w:pPr>
          </w:p>
        </w:tc>
        <w:tc>
          <w:tcPr>
            <w:tcW w:w="7440" w:type="dxa"/>
            <w:vAlign w:val="bottom"/>
            <w:shd w:val="clear" w:color="auto" w:fill="D9D9D9"/>
          </w:tcPr>
          <w:p>
            <w:pPr>
              <w:spacing w:after="0"/>
              <w:rPr>
                <w:sz w:val="11"/>
                <w:szCs w:val="11"/>
                <w:color w:val="auto"/>
              </w:rPr>
            </w:pPr>
          </w:p>
        </w:tc>
      </w:tr>
    </w:tbl>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grants and any rights associated therewith are personal and not transferable. Please note that the RSU Plan includes a number of restrictions and conditions, which may lead to a complete loss of any entitlements hereunder. [Any grants made to members of the Board of Directors shall be subject to the approval of relevant compensation amounts for the Board of Directors by the shareholders' meeting for the year 2018.]</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RSUs in accordance with this Agreement and the RSU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RSUs is being made, without obligation, at the sole and unrestricted discretion of the Company. The RSU Plan, your eligibility thereunder, the grant of RSUs or the allocation of Shares in connection therewith shall not confer upon you any right to participate in the RSU Plan or to receive grants of RSUs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Molecular Partners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366395</wp:posOffset>
            </wp:positionV>
            <wp:extent cx="15513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15430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 by the Participant on (Date,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14230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5430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40"/>
          </w:cols>
          <w:pgMar w:left="320" w:top="180" w:right="339" w:bottom="1440" w:gutter="0" w:footer="0" w:header="0"/>
        </w:sectPr>
      </w:pPr>
    </w:p>
    <w:bookmarkStart w:id="832" w:name="page833"/>
    <w:bookmarkEnd w:id="832"/>
    <w:p>
      <w:pPr>
        <w:jc w:val="right"/>
        <w:spacing w:after="0"/>
        <w:rPr>
          <w:sz w:val="20"/>
          <w:szCs w:val="20"/>
          <w:color w:val="auto"/>
        </w:rPr>
      </w:pPr>
      <w:r>
        <w:rPr>
          <w:rFonts w:ascii="Arial" w:cs="Arial" w:eastAsia="Arial" w:hAnsi="Arial"/>
          <w:sz w:val="18"/>
          <w:szCs w:val="18"/>
          <w:b w:val="1"/>
          <w:bCs w:val="1"/>
          <w:color w:val="auto"/>
        </w:rPr>
        <w:t>Exhibit 10.15</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Molecular Partners AG: Restricted Share Plan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Restricted Share Plan 2019</w:t>
      </w:r>
    </w:p>
    <w:p>
      <w:pPr>
        <w:sectPr>
          <w:pgSz w:w="11900" w:h="16838" w:orient="portrait"/>
          <w:cols w:equalWidth="0" w:num="1">
            <w:col w:w="11240"/>
          </w:cols>
          <w:pgMar w:left="320" w:top="135" w:right="339" w:bottom="1440" w:gutter="0" w:footer="0" w:header="0"/>
        </w:sectPr>
      </w:pPr>
    </w:p>
    <w:bookmarkStart w:id="833" w:name="page834"/>
    <w:bookmarkEnd w:id="833"/>
    <w:tbl>
      <w:tblPr>
        <w:tblLayout w:type="fixed"/>
        <w:tblInd w:w="20" w:type="dxa"/>
        <w:tblCellMar>
          <w:top w:w="0" w:type="dxa"/>
          <w:left w:w="0" w:type="dxa"/>
          <w:bottom w:w="0" w:type="dxa"/>
          <w:right w:w="0" w:type="dxa"/>
        </w:tblCellMar>
      </w:tblPr>
      <w:tr>
        <w:trPr>
          <w:trHeight w:val="189"/>
        </w:trPr>
        <w:tc>
          <w:tcPr>
            <w:tcW w:w="6740" w:type="dxa"/>
            <w:vAlign w:val="bottom"/>
          </w:tcPr>
          <w:p>
            <w:pPr>
              <w:spacing w:after="0"/>
              <w:rPr>
                <w:sz w:val="20"/>
                <w:szCs w:val="20"/>
                <w:color w:val="auto"/>
              </w:rPr>
            </w:pPr>
            <w:r>
              <w:rPr>
                <w:rFonts w:ascii="Arial" w:cs="Arial" w:eastAsia="Arial" w:hAnsi="Arial"/>
                <w:sz w:val="14"/>
                <w:szCs w:val="14"/>
                <w:color w:val="auto"/>
              </w:rPr>
              <w:t>Molecular Partners AG: Restricted Share Plan 2019</w:t>
            </w:r>
          </w:p>
        </w:tc>
        <w:tc>
          <w:tcPr>
            <w:tcW w:w="3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920" w:type="dxa"/>
            <w:vAlign w:val="bottom"/>
            <w:gridSpan w:val="3"/>
          </w:tcPr>
          <w:p>
            <w:pPr>
              <w:spacing w:after="0"/>
              <w:rPr>
                <w:sz w:val="20"/>
                <w:szCs w:val="20"/>
                <w:color w:val="auto"/>
              </w:rPr>
            </w:pPr>
            <w:r>
              <w:rPr>
                <w:rFonts w:ascii="Arial" w:cs="Arial" w:eastAsia="Arial" w:hAnsi="Arial"/>
                <w:sz w:val="20"/>
                <w:szCs w:val="20"/>
                <w:color w:val="auto"/>
              </w:rPr>
              <w:t>Restricted Share Plan 2019</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3</w:t>
              </w:r>
            </w:hyperlink>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1.</w:t>
            </w:r>
          </w:p>
        </w:tc>
        <w:tc>
          <w:tcPr>
            <w:tcW w:w="60" w:type="dxa"/>
            <w:vAlign w:val="bottom"/>
          </w:tcPr>
          <w:p>
            <w:pPr>
              <w:spacing w:after="0"/>
              <w:rPr>
                <w:sz w:val="21"/>
                <w:szCs w:val="21"/>
                <w:color w:val="auto"/>
              </w:rPr>
            </w:pPr>
          </w:p>
        </w:tc>
        <w:tc>
          <w:tcPr>
            <w:tcW w:w="6580" w:type="dxa"/>
            <w:vAlign w:val="bottom"/>
          </w:tcPr>
          <w:p>
            <w:pPr>
              <w:ind w:left="60"/>
              <w:spacing w:after="0"/>
              <w:rPr>
                <w:sz w:val="20"/>
                <w:szCs w:val="20"/>
                <w:color w:val="auto"/>
              </w:rPr>
            </w:pPr>
            <w:r>
              <w:rPr>
                <w:rFonts w:ascii="Arial" w:cs="Arial" w:eastAsia="Arial" w:hAnsi="Arial"/>
                <w:sz w:val="20"/>
                <w:szCs w:val="20"/>
                <w:color w:val="auto"/>
              </w:rPr>
              <w:t>Purpose</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3</w:t>
              </w:r>
            </w:hyperlink>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2.</w:t>
            </w:r>
          </w:p>
        </w:tc>
        <w:tc>
          <w:tcPr>
            <w:tcW w:w="60" w:type="dxa"/>
            <w:vAlign w:val="bottom"/>
          </w:tcPr>
          <w:p>
            <w:pPr>
              <w:spacing w:after="0"/>
              <w:rPr>
                <w:sz w:val="21"/>
                <w:szCs w:val="21"/>
                <w:color w:val="auto"/>
              </w:rPr>
            </w:pPr>
          </w:p>
        </w:tc>
        <w:tc>
          <w:tcPr>
            <w:tcW w:w="6580" w:type="dxa"/>
            <w:vAlign w:val="bottom"/>
          </w:tcPr>
          <w:p>
            <w:pPr>
              <w:ind w:left="60"/>
              <w:spacing w:after="0"/>
              <w:rPr>
                <w:sz w:val="20"/>
                <w:szCs w:val="20"/>
                <w:color w:val="auto"/>
              </w:rPr>
            </w:pPr>
            <w:r>
              <w:rPr>
                <w:rFonts w:ascii="Arial" w:cs="Arial" w:eastAsia="Arial" w:hAnsi="Arial"/>
                <w:sz w:val="20"/>
                <w:szCs w:val="20"/>
                <w:color w:val="auto"/>
              </w:rPr>
              <w:t>Definitions and Interpretation</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3</w:t>
              </w:r>
            </w:hyperlink>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3.</w:t>
            </w:r>
          </w:p>
        </w:tc>
        <w:tc>
          <w:tcPr>
            <w:tcW w:w="60" w:type="dxa"/>
            <w:vAlign w:val="bottom"/>
          </w:tcPr>
          <w:p>
            <w:pPr>
              <w:spacing w:after="0"/>
              <w:rPr>
                <w:sz w:val="21"/>
                <w:szCs w:val="21"/>
                <w:color w:val="auto"/>
              </w:rPr>
            </w:pPr>
          </w:p>
        </w:tc>
        <w:tc>
          <w:tcPr>
            <w:tcW w:w="6580" w:type="dxa"/>
            <w:vAlign w:val="bottom"/>
          </w:tcPr>
          <w:p>
            <w:pPr>
              <w:ind w:left="60"/>
              <w:spacing w:after="0"/>
              <w:rPr>
                <w:sz w:val="20"/>
                <w:szCs w:val="20"/>
                <w:color w:val="auto"/>
              </w:rPr>
            </w:pPr>
            <w:r>
              <w:rPr>
                <w:rFonts w:ascii="Arial" w:cs="Arial" w:eastAsia="Arial" w:hAnsi="Arial"/>
                <w:sz w:val="20"/>
                <w:szCs w:val="20"/>
                <w:color w:val="auto"/>
              </w:rPr>
              <w:t>Responsibilities and Administration</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3</w:t>
              </w:r>
            </w:hyperlink>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4.</w:t>
            </w:r>
          </w:p>
        </w:tc>
        <w:tc>
          <w:tcPr>
            <w:tcW w:w="60" w:type="dxa"/>
            <w:vAlign w:val="bottom"/>
          </w:tcPr>
          <w:p>
            <w:pPr>
              <w:spacing w:after="0"/>
              <w:rPr>
                <w:sz w:val="21"/>
                <w:szCs w:val="21"/>
                <w:color w:val="auto"/>
              </w:rPr>
            </w:pPr>
          </w:p>
        </w:tc>
        <w:tc>
          <w:tcPr>
            <w:tcW w:w="6580" w:type="dxa"/>
            <w:vAlign w:val="bottom"/>
          </w:tcPr>
          <w:p>
            <w:pPr>
              <w:ind w:left="60"/>
              <w:spacing w:after="0"/>
              <w:rPr>
                <w:sz w:val="20"/>
                <w:szCs w:val="20"/>
                <w:color w:val="auto"/>
              </w:rPr>
            </w:pPr>
            <w:r>
              <w:rPr>
                <w:rFonts w:ascii="Arial" w:cs="Arial" w:eastAsia="Arial" w:hAnsi="Arial"/>
                <w:sz w:val="20"/>
                <w:szCs w:val="20"/>
                <w:color w:val="auto"/>
              </w:rPr>
              <w:t>Eligibility and Participation</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3</w:t>
              </w:r>
            </w:hyperlink>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5.</w:t>
            </w:r>
          </w:p>
        </w:tc>
        <w:tc>
          <w:tcPr>
            <w:tcW w:w="60" w:type="dxa"/>
            <w:vAlign w:val="bottom"/>
          </w:tcPr>
          <w:p>
            <w:pPr>
              <w:spacing w:after="0"/>
              <w:rPr>
                <w:sz w:val="21"/>
                <w:szCs w:val="21"/>
                <w:color w:val="auto"/>
              </w:rPr>
            </w:pPr>
          </w:p>
        </w:tc>
        <w:tc>
          <w:tcPr>
            <w:tcW w:w="6580" w:type="dxa"/>
            <w:vAlign w:val="bottom"/>
          </w:tcPr>
          <w:p>
            <w:pPr>
              <w:ind w:left="60"/>
              <w:spacing w:after="0"/>
              <w:rPr>
                <w:sz w:val="20"/>
                <w:szCs w:val="20"/>
                <w:color w:val="auto"/>
              </w:rPr>
            </w:pPr>
            <w:r>
              <w:rPr>
                <w:rFonts w:ascii="Arial" w:cs="Arial" w:eastAsia="Arial" w:hAnsi="Arial"/>
                <w:sz w:val="20"/>
                <w:szCs w:val="20"/>
                <w:color w:val="auto"/>
              </w:rPr>
              <w:t>Grant of RSUs</w:t>
            </w:r>
          </w:p>
        </w:tc>
        <w:tc>
          <w:tcPr>
            <w:tcW w:w="30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6.</w:t>
            </w:r>
          </w:p>
        </w:tc>
        <w:tc>
          <w:tcPr>
            <w:tcW w:w="60" w:type="dxa"/>
            <w:vAlign w:val="bottom"/>
          </w:tcPr>
          <w:p>
            <w:pPr>
              <w:spacing w:after="0"/>
              <w:rPr>
                <w:sz w:val="21"/>
                <w:szCs w:val="21"/>
                <w:color w:val="auto"/>
              </w:rPr>
            </w:pPr>
          </w:p>
        </w:tc>
        <w:tc>
          <w:tcPr>
            <w:tcW w:w="6580" w:type="dxa"/>
            <w:vAlign w:val="bottom"/>
          </w:tcPr>
          <w:p>
            <w:pPr>
              <w:ind w:left="60"/>
              <w:spacing w:after="0"/>
              <w:rPr>
                <w:sz w:val="20"/>
                <w:szCs w:val="20"/>
                <w:color w:val="auto"/>
              </w:rPr>
            </w:pPr>
            <w:r>
              <w:rPr>
                <w:rFonts w:ascii="Arial" w:cs="Arial" w:eastAsia="Arial" w:hAnsi="Arial"/>
                <w:sz w:val="20"/>
                <w:szCs w:val="20"/>
                <w:color w:val="auto"/>
              </w:rPr>
              <w:t>No Securities</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4</w:t>
              </w:r>
            </w:hyperlink>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7.</w:t>
            </w:r>
          </w:p>
        </w:tc>
        <w:tc>
          <w:tcPr>
            <w:tcW w:w="60" w:type="dxa"/>
            <w:vAlign w:val="bottom"/>
          </w:tcPr>
          <w:p>
            <w:pPr>
              <w:spacing w:after="0"/>
              <w:rPr>
                <w:sz w:val="21"/>
                <w:szCs w:val="21"/>
                <w:color w:val="auto"/>
              </w:rPr>
            </w:pPr>
          </w:p>
        </w:tc>
        <w:tc>
          <w:tcPr>
            <w:tcW w:w="6580" w:type="dxa"/>
            <w:vAlign w:val="bottom"/>
          </w:tcPr>
          <w:p>
            <w:pPr>
              <w:ind w:left="60"/>
              <w:spacing w:after="0"/>
              <w:rPr>
                <w:sz w:val="20"/>
                <w:szCs w:val="20"/>
                <w:color w:val="auto"/>
              </w:rPr>
            </w:pPr>
            <w:r>
              <w:rPr>
                <w:rFonts w:ascii="Arial" w:cs="Arial" w:eastAsia="Arial" w:hAnsi="Arial"/>
                <w:sz w:val="20"/>
                <w:szCs w:val="20"/>
                <w:color w:val="auto"/>
              </w:rPr>
              <w:t>No Transfer</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4</w:t>
              </w:r>
            </w:hyperlink>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8.</w:t>
            </w:r>
          </w:p>
        </w:tc>
        <w:tc>
          <w:tcPr>
            <w:tcW w:w="6640" w:type="dxa"/>
            <w:vAlign w:val="bottom"/>
            <w:gridSpan w:val="2"/>
          </w:tcPr>
          <w:p>
            <w:pPr>
              <w:ind w:left="120"/>
              <w:spacing w:after="0"/>
              <w:rPr>
                <w:sz w:val="20"/>
                <w:szCs w:val="20"/>
                <w:color w:val="auto"/>
              </w:rPr>
            </w:pPr>
            <w:r>
              <w:rPr>
                <w:rFonts w:ascii="Arial" w:cs="Arial" w:eastAsia="Arial" w:hAnsi="Arial"/>
                <w:sz w:val="20"/>
                <w:szCs w:val="20"/>
                <w:color w:val="auto"/>
              </w:rPr>
              <w:t>Vesting and Delivery of Shares</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5</w:t>
              </w:r>
            </w:hyperlink>
          </w:p>
        </w:tc>
      </w:tr>
      <w:tr>
        <w:trPr>
          <w:trHeight w:val="243"/>
        </w:trPr>
        <w:tc>
          <w:tcPr>
            <w:tcW w:w="280" w:type="dxa"/>
            <w:vAlign w:val="bottom"/>
          </w:tcPr>
          <w:p>
            <w:pPr>
              <w:spacing w:after="0"/>
              <w:rPr>
                <w:sz w:val="20"/>
                <w:szCs w:val="20"/>
                <w:color w:val="auto"/>
              </w:rPr>
            </w:pPr>
            <w:r>
              <w:rPr>
                <w:rFonts w:ascii="Arial" w:cs="Arial" w:eastAsia="Arial" w:hAnsi="Arial"/>
                <w:sz w:val="20"/>
                <w:szCs w:val="20"/>
                <w:color w:val="auto"/>
              </w:rPr>
              <w:t>9.</w:t>
            </w:r>
          </w:p>
        </w:tc>
        <w:tc>
          <w:tcPr>
            <w:tcW w:w="60" w:type="dxa"/>
            <w:vAlign w:val="bottom"/>
          </w:tcPr>
          <w:p>
            <w:pPr>
              <w:spacing w:after="0"/>
              <w:rPr>
                <w:sz w:val="21"/>
                <w:szCs w:val="21"/>
                <w:color w:val="auto"/>
              </w:rPr>
            </w:pPr>
          </w:p>
        </w:tc>
        <w:tc>
          <w:tcPr>
            <w:tcW w:w="6580" w:type="dxa"/>
            <w:vAlign w:val="bottom"/>
          </w:tcPr>
          <w:p>
            <w:pPr>
              <w:ind w:left="60"/>
              <w:spacing w:after="0"/>
              <w:rPr>
                <w:sz w:val="20"/>
                <w:szCs w:val="20"/>
                <w:color w:val="auto"/>
              </w:rPr>
            </w:pPr>
            <w:r>
              <w:rPr>
                <w:rFonts w:ascii="Arial" w:cs="Arial" w:eastAsia="Arial" w:hAnsi="Arial"/>
                <w:sz w:val="20"/>
                <w:szCs w:val="20"/>
                <w:color w:val="auto"/>
              </w:rPr>
              <w:t>Underlying Shares</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5</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10.</w:t>
            </w:r>
          </w:p>
        </w:tc>
        <w:tc>
          <w:tcPr>
            <w:tcW w:w="6580" w:type="dxa"/>
            <w:vAlign w:val="bottom"/>
          </w:tcPr>
          <w:p>
            <w:pPr>
              <w:ind w:left="160"/>
              <w:spacing w:after="0"/>
              <w:rPr>
                <w:sz w:val="20"/>
                <w:szCs w:val="20"/>
                <w:color w:val="auto"/>
              </w:rPr>
            </w:pPr>
            <w:r>
              <w:rPr>
                <w:rFonts w:ascii="Arial" w:cs="Arial" w:eastAsia="Arial" w:hAnsi="Arial"/>
                <w:sz w:val="20"/>
                <w:szCs w:val="20"/>
                <w:color w:val="auto"/>
              </w:rPr>
              <w:t>Taxes and Social Security Contributions</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5</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11.</w:t>
            </w:r>
          </w:p>
        </w:tc>
        <w:tc>
          <w:tcPr>
            <w:tcW w:w="6580" w:type="dxa"/>
            <w:vAlign w:val="bottom"/>
          </w:tcPr>
          <w:p>
            <w:pPr>
              <w:ind w:left="160"/>
              <w:spacing w:after="0"/>
              <w:rPr>
                <w:sz w:val="20"/>
                <w:szCs w:val="20"/>
                <w:color w:val="auto"/>
              </w:rPr>
            </w:pPr>
            <w:r>
              <w:rPr>
                <w:rFonts w:ascii="Arial" w:cs="Arial" w:eastAsia="Arial" w:hAnsi="Arial"/>
                <w:sz w:val="20"/>
                <w:szCs w:val="20"/>
                <w:color w:val="auto"/>
              </w:rPr>
              <w:t>Disclosure Requirements</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6</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12.</w:t>
            </w:r>
          </w:p>
        </w:tc>
        <w:tc>
          <w:tcPr>
            <w:tcW w:w="6580" w:type="dxa"/>
            <w:vAlign w:val="bottom"/>
          </w:tcPr>
          <w:p>
            <w:pPr>
              <w:ind w:left="160"/>
              <w:spacing w:after="0"/>
              <w:rPr>
                <w:sz w:val="20"/>
                <w:szCs w:val="20"/>
                <w:color w:val="auto"/>
              </w:rPr>
            </w:pPr>
            <w:r>
              <w:rPr>
                <w:rFonts w:ascii="Arial" w:cs="Arial" w:eastAsia="Arial" w:hAnsi="Arial"/>
                <w:sz w:val="20"/>
                <w:szCs w:val="20"/>
                <w:color w:val="auto"/>
              </w:rPr>
              <w:t>Other Obligations of the Participant</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6</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13.</w:t>
            </w:r>
          </w:p>
        </w:tc>
        <w:tc>
          <w:tcPr>
            <w:tcW w:w="6580" w:type="dxa"/>
            <w:vAlign w:val="bottom"/>
          </w:tcPr>
          <w:p>
            <w:pPr>
              <w:ind w:left="160"/>
              <w:spacing w:after="0"/>
              <w:rPr>
                <w:sz w:val="20"/>
                <w:szCs w:val="20"/>
                <w:color w:val="auto"/>
              </w:rPr>
            </w:pPr>
            <w:r>
              <w:rPr>
                <w:rFonts w:ascii="Arial" w:cs="Arial" w:eastAsia="Arial" w:hAnsi="Arial"/>
                <w:sz w:val="20"/>
                <w:szCs w:val="20"/>
                <w:color w:val="auto"/>
              </w:rPr>
              <w:t>Termination of Relationship</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6</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14.</w:t>
            </w:r>
          </w:p>
        </w:tc>
        <w:tc>
          <w:tcPr>
            <w:tcW w:w="6580" w:type="dxa"/>
            <w:vAlign w:val="bottom"/>
          </w:tcPr>
          <w:p>
            <w:pPr>
              <w:ind w:left="160"/>
              <w:spacing w:after="0"/>
              <w:rPr>
                <w:sz w:val="20"/>
                <w:szCs w:val="20"/>
                <w:color w:val="auto"/>
              </w:rPr>
            </w:pPr>
            <w:r>
              <w:rPr>
                <w:rFonts w:ascii="Arial" w:cs="Arial" w:eastAsia="Arial" w:hAnsi="Arial"/>
                <w:sz w:val="20"/>
                <w:szCs w:val="20"/>
                <w:color w:val="auto"/>
              </w:rPr>
              <w:t>Change of Control</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6</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15.</w:t>
            </w:r>
          </w:p>
        </w:tc>
        <w:tc>
          <w:tcPr>
            <w:tcW w:w="6580" w:type="dxa"/>
            <w:vAlign w:val="bottom"/>
          </w:tcPr>
          <w:p>
            <w:pPr>
              <w:ind w:left="160"/>
              <w:spacing w:after="0"/>
              <w:rPr>
                <w:sz w:val="20"/>
                <w:szCs w:val="20"/>
                <w:color w:val="auto"/>
              </w:rPr>
            </w:pPr>
            <w:r>
              <w:rPr>
                <w:rFonts w:ascii="Arial" w:cs="Arial" w:eastAsia="Arial" w:hAnsi="Arial"/>
                <w:sz w:val="20"/>
                <w:szCs w:val="20"/>
                <w:color w:val="auto"/>
              </w:rPr>
              <w:t>Corporate Events</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7</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16.</w:t>
            </w:r>
          </w:p>
        </w:tc>
        <w:tc>
          <w:tcPr>
            <w:tcW w:w="6580" w:type="dxa"/>
            <w:vAlign w:val="bottom"/>
          </w:tcPr>
          <w:p>
            <w:pPr>
              <w:ind w:left="160"/>
              <w:spacing w:after="0"/>
              <w:rPr>
                <w:sz w:val="20"/>
                <w:szCs w:val="20"/>
                <w:color w:val="auto"/>
              </w:rPr>
            </w:pPr>
            <w:r>
              <w:rPr>
                <w:rFonts w:ascii="Arial" w:cs="Arial" w:eastAsia="Arial" w:hAnsi="Arial"/>
                <w:sz w:val="20"/>
                <w:szCs w:val="20"/>
                <w:color w:val="auto"/>
              </w:rPr>
              <w:t>Data Protection</w:t>
            </w:r>
          </w:p>
        </w:tc>
        <w:tc>
          <w:tcPr>
            <w:tcW w:w="30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17.</w:t>
            </w:r>
          </w:p>
        </w:tc>
        <w:tc>
          <w:tcPr>
            <w:tcW w:w="6580" w:type="dxa"/>
            <w:vAlign w:val="bottom"/>
          </w:tcPr>
          <w:p>
            <w:pPr>
              <w:ind w:left="160"/>
              <w:spacing w:after="0"/>
              <w:rPr>
                <w:sz w:val="20"/>
                <w:szCs w:val="20"/>
                <w:color w:val="auto"/>
              </w:rPr>
            </w:pPr>
            <w:r>
              <w:rPr>
                <w:rFonts w:ascii="Arial" w:cs="Arial" w:eastAsia="Arial" w:hAnsi="Arial"/>
                <w:sz w:val="20"/>
                <w:szCs w:val="20"/>
                <w:color w:val="auto"/>
              </w:rPr>
              <w:t>Legal and regulatory restrictions</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8</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18.</w:t>
            </w:r>
          </w:p>
        </w:tc>
        <w:tc>
          <w:tcPr>
            <w:tcW w:w="6580" w:type="dxa"/>
            <w:vAlign w:val="bottom"/>
          </w:tcPr>
          <w:p>
            <w:pPr>
              <w:ind w:left="160"/>
              <w:spacing w:after="0"/>
              <w:rPr>
                <w:sz w:val="20"/>
                <w:szCs w:val="20"/>
                <w:color w:val="auto"/>
              </w:rPr>
            </w:pPr>
            <w:r>
              <w:rPr>
                <w:rFonts w:ascii="Arial" w:cs="Arial" w:eastAsia="Arial" w:hAnsi="Arial"/>
                <w:sz w:val="20"/>
                <w:szCs w:val="20"/>
                <w:color w:val="auto"/>
              </w:rPr>
              <w:t>Amendment and Termination</w:t>
            </w:r>
          </w:p>
        </w:tc>
        <w:tc>
          <w:tcPr>
            <w:tcW w:w="30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19.</w:t>
            </w:r>
          </w:p>
        </w:tc>
        <w:tc>
          <w:tcPr>
            <w:tcW w:w="658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9</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20.</w:t>
            </w:r>
          </w:p>
        </w:tc>
        <w:tc>
          <w:tcPr>
            <w:tcW w:w="6580" w:type="dxa"/>
            <w:vAlign w:val="bottom"/>
          </w:tcPr>
          <w:p>
            <w:pPr>
              <w:ind w:left="160"/>
              <w:spacing w:after="0"/>
              <w:rPr>
                <w:sz w:val="20"/>
                <w:szCs w:val="20"/>
                <w:color w:val="auto"/>
              </w:rPr>
            </w:pPr>
            <w:r>
              <w:rPr>
                <w:rFonts w:ascii="Arial" w:cs="Arial" w:eastAsia="Arial" w:hAnsi="Arial"/>
                <w:sz w:val="20"/>
                <w:szCs w:val="20"/>
                <w:color w:val="auto"/>
              </w:rPr>
              <w:t>Governing Law and Jurisdiction</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9</w:t>
              </w:r>
            </w:hyperlink>
          </w:p>
        </w:tc>
      </w:tr>
      <w:tr>
        <w:trPr>
          <w:trHeight w:val="243"/>
        </w:trPr>
        <w:tc>
          <w:tcPr>
            <w:tcW w:w="340" w:type="dxa"/>
            <w:vAlign w:val="bottom"/>
            <w:gridSpan w:val="2"/>
          </w:tcPr>
          <w:p>
            <w:pPr>
              <w:spacing w:after="0"/>
              <w:rPr>
                <w:sz w:val="20"/>
                <w:szCs w:val="20"/>
                <w:color w:val="auto"/>
              </w:rPr>
            </w:pPr>
            <w:r>
              <w:rPr>
                <w:rFonts w:ascii="Arial" w:cs="Arial" w:eastAsia="Arial" w:hAnsi="Arial"/>
                <w:sz w:val="20"/>
                <w:szCs w:val="20"/>
                <w:color w:val="auto"/>
              </w:rPr>
              <w:t>21.</w:t>
            </w:r>
          </w:p>
        </w:tc>
        <w:tc>
          <w:tcPr>
            <w:tcW w:w="6580" w:type="dxa"/>
            <w:vAlign w:val="bottom"/>
          </w:tcPr>
          <w:p>
            <w:pPr>
              <w:ind w:left="160"/>
              <w:spacing w:after="0"/>
              <w:rPr>
                <w:sz w:val="20"/>
                <w:szCs w:val="20"/>
                <w:color w:val="auto"/>
              </w:rPr>
            </w:pPr>
            <w:r>
              <w:rPr>
                <w:rFonts w:ascii="Arial" w:cs="Arial" w:eastAsia="Arial" w:hAnsi="Arial"/>
                <w:sz w:val="20"/>
                <w:szCs w:val="20"/>
                <w:color w:val="auto"/>
              </w:rPr>
              <w:t>Entry into Force</w:t>
            </w:r>
          </w:p>
        </w:tc>
        <w:tc>
          <w:tcPr>
            <w:tcW w:w="3040" w:type="dxa"/>
            <w:vAlign w:val="bottom"/>
          </w:tcPr>
          <w:p>
            <w:pPr>
              <w:jc w:val="right"/>
              <w:spacing w:after="0"/>
              <w:rPr>
                <w:rFonts w:ascii="Arial" w:cs="Arial" w:eastAsia="Arial" w:hAnsi="Arial"/>
                <w:sz w:val="20"/>
                <w:szCs w:val="20"/>
                <w:color w:val="auto"/>
              </w:rPr>
            </w:pPr>
            <w:hyperlink w:anchor="page833">
              <w:r>
                <w:rPr>
                  <w:rFonts w:ascii="Arial" w:cs="Arial" w:eastAsia="Arial" w:hAnsi="Arial"/>
                  <w:sz w:val="20"/>
                  <w:szCs w:val="20"/>
                  <w:color w:val="auto"/>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Annex 1: Definitions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Annex 2: Form of RSU Award Agreement</w:t>
      </w:r>
    </w:p>
    <w:p>
      <w:pPr>
        <w:sectPr>
          <w:pgSz w:w="11900" w:h="16838" w:orient="portrait"/>
          <w:cols w:equalWidth="0" w:num="1">
            <w:col w:w="10400"/>
          </w:cols>
          <w:pgMar w:left="320" w:top="167" w:right="1179" w:bottom="1440" w:gutter="0" w:footer="0" w:header="0"/>
        </w:sectPr>
      </w:pPr>
    </w:p>
    <w:bookmarkStart w:id="834" w:name="page835"/>
    <w:bookmarkEnd w:id="834"/>
    <w:tbl>
      <w:tblPr>
        <w:tblLayout w:type="fixed"/>
        <w:tblInd w:w="20" w:type="dxa"/>
        <w:tblCellMar>
          <w:top w:w="0" w:type="dxa"/>
          <w:left w:w="0" w:type="dxa"/>
          <w:bottom w:w="0" w:type="dxa"/>
          <w:right w:w="0" w:type="dxa"/>
        </w:tblCellMar>
      </w:tblPr>
      <w:tr>
        <w:trPr>
          <w:trHeight w:val="189"/>
        </w:trPr>
        <w:tc>
          <w:tcPr>
            <w:tcW w:w="6740" w:type="dxa"/>
            <w:vAlign w:val="bottom"/>
          </w:tcPr>
          <w:p>
            <w:pPr>
              <w:spacing w:after="0"/>
              <w:rPr>
                <w:sz w:val="20"/>
                <w:szCs w:val="20"/>
                <w:color w:val="auto"/>
              </w:rPr>
            </w:pPr>
            <w:r>
              <w:rPr>
                <w:rFonts w:ascii="Arial" w:cs="Arial" w:eastAsia="Arial" w:hAnsi="Arial"/>
                <w:sz w:val="14"/>
                <w:szCs w:val="14"/>
                <w:color w:val="auto"/>
              </w:rPr>
              <w:t>Molecular Partners AG: Restricted Share Plan 2019</w:t>
            </w:r>
          </w:p>
        </w:tc>
        <w:tc>
          <w:tcPr>
            <w:tcW w:w="3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Share Plan 2019</w:t>
      </w:r>
    </w:p>
    <w:p>
      <w:pPr>
        <w:spacing w:after="0" w:line="264" w:lineRule="exact"/>
        <w:rPr>
          <w:sz w:val="20"/>
          <w:szCs w:val="20"/>
          <w:color w:val="auto"/>
        </w:rPr>
      </w:pPr>
    </w:p>
    <w:p>
      <w:pPr>
        <w:ind w:left="420" w:hanging="412"/>
        <w:spacing w:after="0"/>
        <w:tabs>
          <w:tab w:leader="none" w:pos="420" w:val="left"/>
        </w:tabs>
        <w:numPr>
          <w:ilvl w:val="0"/>
          <w:numId w:val="881"/>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97" w:lineRule="exact"/>
        <w:rPr>
          <w:sz w:val="20"/>
          <w:szCs w:val="20"/>
          <w:color w:val="auto"/>
        </w:rPr>
      </w:pPr>
    </w:p>
    <w:p>
      <w:pPr>
        <w:jc w:val="both"/>
        <w:ind w:left="340"/>
        <w:spacing w:after="0" w:line="300" w:lineRule="auto"/>
        <w:rPr>
          <w:sz w:val="20"/>
          <w:szCs w:val="20"/>
          <w:color w:val="auto"/>
        </w:rPr>
      </w:pPr>
      <w:r>
        <w:rPr>
          <w:rFonts w:ascii="Arial" w:cs="Arial" w:eastAsia="Arial" w:hAnsi="Arial"/>
          <w:sz w:val="18"/>
          <w:szCs w:val="18"/>
          <w:color w:val="auto"/>
        </w:rPr>
        <w:t>The purpose of this restricted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Restricted Share Units (each a </w:t>
      </w:r>
      <w:r>
        <w:rPr>
          <w:rFonts w:ascii="Arial" w:cs="Arial" w:eastAsia="Arial" w:hAnsi="Arial"/>
          <w:sz w:val="18"/>
          <w:szCs w:val="18"/>
          <w:b w:val="1"/>
          <w:bCs w:val="1"/>
          <w:color w:val="auto"/>
        </w:rPr>
        <w:t>RSU</w:t>
      </w:r>
      <w:r>
        <w:rPr>
          <w:rFonts w:ascii="Arial" w:cs="Arial" w:eastAsia="Arial" w:hAnsi="Arial"/>
          <w:sz w:val="18"/>
          <w:szCs w:val="18"/>
          <w:color w:val="auto"/>
        </w:rPr>
        <w:t>) to them.</w:t>
      </w:r>
    </w:p>
    <w:p>
      <w:pPr>
        <w:spacing w:after="0" w:line="200" w:lineRule="exact"/>
        <w:rPr>
          <w:sz w:val="20"/>
          <w:szCs w:val="20"/>
          <w:color w:val="auto"/>
        </w:rPr>
      </w:pPr>
    </w:p>
    <w:p>
      <w:pPr>
        <w:ind w:left="420" w:hanging="412"/>
        <w:spacing w:after="0"/>
        <w:tabs>
          <w:tab w:leader="none" w:pos="420" w:val="left"/>
        </w:tabs>
        <w:numPr>
          <w:ilvl w:val="0"/>
          <w:numId w:val="88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Capitalized terms used in this Plan shall have the meaning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w:t>
      </w:r>
    </w:p>
    <w:p>
      <w:pPr>
        <w:spacing w:after="0" w:line="247" w:lineRule="exact"/>
        <w:rPr>
          <w:sz w:val="20"/>
          <w:szCs w:val="20"/>
          <w:color w:val="auto"/>
        </w:rPr>
      </w:pPr>
    </w:p>
    <w:p>
      <w:pPr>
        <w:ind w:left="420" w:hanging="412"/>
        <w:spacing w:after="0"/>
        <w:tabs>
          <w:tab w:leader="none" w:pos="420" w:val="left"/>
        </w:tabs>
        <w:numPr>
          <w:ilvl w:val="0"/>
          <w:numId w:val="883"/>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319" w:lineRule="exact"/>
        <w:rPr>
          <w:sz w:val="20"/>
          <w:szCs w:val="20"/>
          <w:color w:val="auto"/>
        </w:rPr>
      </w:pPr>
    </w:p>
    <w:p>
      <w:pPr>
        <w:ind w:left="460" w:hanging="452"/>
        <w:spacing w:after="0"/>
        <w:tabs>
          <w:tab w:leader="none" w:pos="460"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340"/>
        <w:spacing w:after="0" w:line="287"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 Committee</w:t>
      </w:r>
      <w:r>
        <w:rPr>
          <w:rFonts w:ascii="Arial" w:cs="Arial" w:eastAsia="Arial" w:hAnsi="Arial"/>
          <w:sz w:val="18"/>
          <w:szCs w:val="18"/>
          <w:color w:val="auto"/>
        </w:rPr>
        <w:t>), the maximum number of RSUs that may be granted under this Plan.</w:t>
      </w:r>
    </w:p>
    <w:p>
      <w:pPr>
        <w:spacing w:after="0" w:line="242" w:lineRule="exact"/>
        <w:rPr>
          <w:rFonts w:ascii="Arial" w:cs="Arial" w:eastAsia="Arial" w:hAnsi="Arial"/>
          <w:sz w:val="18"/>
          <w:szCs w:val="18"/>
          <w:color w:val="auto"/>
        </w:rPr>
      </w:pPr>
    </w:p>
    <w:p>
      <w:pPr>
        <w:jc w:val="both"/>
        <w:ind w:left="340" w:hanging="332"/>
        <w:spacing w:after="0" w:line="281" w:lineRule="auto"/>
        <w:tabs>
          <w:tab w:leader="none" w:pos="507" w:val="left"/>
        </w:tabs>
        <w:numPr>
          <w:ilvl w:val="0"/>
          <w:numId w:val="884"/>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renew or terminate the Plan or to replace it with new editions or other plans. It may delegate, under</w:t>
      </w:r>
    </w:p>
    <w:p>
      <w:pPr>
        <w:spacing w:after="0" w:line="1"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its supervision, the implementation and administration, as well as grants of RSUs other than to members of the Board of Directors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jc w:val="both"/>
        <w:ind w:left="340" w:hanging="332"/>
        <w:spacing w:after="0" w:line="284" w:lineRule="auto"/>
        <w:tabs>
          <w:tab w:leader="none" w:pos="599" w:val="left"/>
        </w:tabs>
        <w:numPr>
          <w:ilvl w:val="0"/>
          <w:numId w:val="884"/>
        </w:numPr>
        <w:rPr>
          <w:rFonts w:ascii="Arial" w:cs="Arial" w:eastAsia="Arial" w:hAnsi="Arial"/>
          <w:sz w:val="18"/>
          <w:szCs w:val="18"/>
          <w:color w:val="auto"/>
        </w:rPr>
      </w:pPr>
      <w:r>
        <w:rPr>
          <w:rFonts w:ascii="Arial" w:cs="Arial" w:eastAsia="Arial" w:hAnsi="Arial"/>
          <w:sz w:val="18"/>
          <w:szCs w:val="18"/>
          <w:color w:val="auto"/>
        </w:rPr>
        <w:t>Any grants of RSUs to members of the Board of Directors shall be approved by the Board of Directors based on individual recommendations of the Nomination and Compensation Committee and will, as long as shareholder approval for the aggregate amount of compensation is outstanding, be conditional upon such shareholder approval. In case that the amount approved by the shareholders does not cover the full amount of contemplated aggregate compensation for the year of grant, the entitlements to long-term compensation may be reduced by the Nomination and Compensation Committee in its sole discretion.</w:t>
      </w:r>
    </w:p>
    <w:p>
      <w:pPr>
        <w:spacing w:after="0" w:line="233" w:lineRule="exact"/>
        <w:rPr>
          <w:rFonts w:ascii="Arial" w:cs="Arial" w:eastAsia="Arial" w:hAnsi="Arial"/>
          <w:sz w:val="18"/>
          <w:szCs w:val="18"/>
          <w:color w:val="auto"/>
        </w:rPr>
      </w:pPr>
    </w:p>
    <w:p>
      <w:pPr>
        <w:jc w:val="both"/>
        <w:ind w:left="340" w:hanging="332"/>
        <w:spacing w:after="0" w:line="287" w:lineRule="auto"/>
        <w:tabs>
          <w:tab w:leader="none" w:pos="615" w:val="left"/>
        </w:tabs>
        <w:numPr>
          <w:ilvl w:val="0"/>
          <w:numId w:val="884"/>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pacing w:after="0" w:line="242" w:lineRule="exact"/>
        <w:rPr>
          <w:rFonts w:ascii="Arial" w:cs="Arial" w:eastAsia="Arial" w:hAnsi="Arial"/>
          <w:sz w:val="18"/>
          <w:szCs w:val="18"/>
          <w:color w:val="auto"/>
        </w:rPr>
      </w:pPr>
    </w:p>
    <w:p>
      <w:pPr>
        <w:jc w:val="both"/>
        <w:ind w:left="340" w:hanging="332"/>
        <w:spacing w:after="0" w:line="287" w:lineRule="auto"/>
        <w:tabs>
          <w:tab w:leader="none" w:pos="433" w:val="left"/>
        </w:tabs>
        <w:numPr>
          <w:ilvl w:val="0"/>
          <w:numId w:val="884"/>
        </w:numPr>
        <w:rPr>
          <w:rFonts w:ascii="Arial" w:cs="Arial" w:eastAsia="Arial" w:hAnsi="Arial"/>
          <w:sz w:val="18"/>
          <w:szCs w:val="18"/>
          <w:color w:val="auto"/>
        </w:rPr>
      </w:pPr>
      <w:r>
        <w:rPr>
          <w:rFonts w:ascii="Arial" w:cs="Arial" w:eastAsia="Arial" w:hAnsi="Arial"/>
          <w:sz w:val="18"/>
          <w:szCs w:val="18"/>
          <w:color w:val="auto"/>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 Service</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w:t>
      </w:r>
    </w:p>
    <w:p>
      <w:pPr>
        <w:spacing w:after="0" w:line="211" w:lineRule="exact"/>
        <w:rPr>
          <w:sz w:val="20"/>
          <w:szCs w:val="20"/>
          <w:color w:val="auto"/>
        </w:rPr>
      </w:pPr>
    </w:p>
    <w:p>
      <w:pPr>
        <w:ind w:left="420" w:hanging="412"/>
        <w:spacing w:after="0"/>
        <w:tabs>
          <w:tab w:leader="none" w:pos="420" w:val="left"/>
        </w:tabs>
        <w:numPr>
          <w:ilvl w:val="0"/>
          <w:numId w:val="885"/>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319" w:lineRule="exact"/>
        <w:rPr>
          <w:sz w:val="20"/>
          <w:szCs w:val="20"/>
          <w:color w:val="auto"/>
        </w:rPr>
      </w:pPr>
    </w:p>
    <w:p>
      <w:pPr>
        <w:ind w:left="340" w:right="20" w:hanging="332"/>
        <w:spacing w:after="0" w:line="293" w:lineRule="auto"/>
        <w:tabs>
          <w:tab w:leader="none" w:pos="449" w:val="left"/>
        </w:tabs>
        <w:numPr>
          <w:ilvl w:val="0"/>
          <w:numId w:val="886"/>
        </w:numPr>
        <w:rPr>
          <w:rFonts w:ascii="Arial" w:cs="Arial" w:eastAsia="Arial" w:hAnsi="Arial"/>
          <w:sz w:val="18"/>
          <w:szCs w:val="18"/>
          <w:color w:val="auto"/>
        </w:rPr>
      </w:pPr>
      <w:r>
        <w:rPr>
          <w:rFonts w:ascii="Arial" w:cs="Arial" w:eastAsia="Arial" w:hAnsi="Arial"/>
          <w:sz w:val="18"/>
          <w:szCs w:val="18"/>
          <w:color w:val="auto"/>
        </w:rPr>
        <w:t>As a rule, members of the Board of Directors and selected consultants may become eligible to participate in this Plan. The decision on eligibility is reserved to the Nomination and</w:t>
      </w:r>
    </w:p>
    <w:p>
      <w:pPr>
        <w:sectPr>
          <w:pgSz w:w="11900" w:h="16838" w:orient="portrait"/>
          <w:cols w:equalWidth="0" w:num="1">
            <w:col w:w="11240"/>
          </w:cols>
          <w:pgMar w:left="320" w:top="167" w:right="339" w:bottom="1440" w:gutter="0" w:footer="0" w:header="0"/>
        </w:sectPr>
      </w:pPr>
    </w:p>
    <w:bookmarkStart w:id="835" w:name="page836"/>
    <w:bookmarkEnd w:id="835"/>
    <w:tbl>
      <w:tblPr>
        <w:tblLayout w:type="fixed"/>
        <w:tblInd w:w="12" w:type="dxa"/>
        <w:tblCellMar>
          <w:top w:w="0" w:type="dxa"/>
          <w:left w:w="0" w:type="dxa"/>
          <w:bottom w:w="0" w:type="dxa"/>
          <w:right w:w="0" w:type="dxa"/>
        </w:tblCellMar>
      </w:tblPr>
      <w:tr>
        <w:trPr>
          <w:trHeight w:val="189"/>
        </w:trPr>
        <w:tc>
          <w:tcPr>
            <w:tcW w:w="6740" w:type="dxa"/>
            <w:vAlign w:val="bottom"/>
          </w:tcPr>
          <w:p>
            <w:pPr>
              <w:spacing w:after="0"/>
              <w:rPr>
                <w:sz w:val="20"/>
                <w:szCs w:val="20"/>
                <w:color w:val="auto"/>
              </w:rPr>
            </w:pPr>
            <w:r>
              <w:rPr>
                <w:rFonts w:ascii="Arial" w:cs="Arial" w:eastAsia="Arial" w:hAnsi="Arial"/>
                <w:sz w:val="14"/>
                <w:szCs w:val="14"/>
                <w:color w:val="auto"/>
              </w:rPr>
              <w:t>Molecular Partners AG: Restricted Share Plan 2019</w:t>
            </w:r>
          </w:p>
        </w:tc>
        <w:tc>
          <w:tcPr>
            <w:tcW w:w="3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Compensation Committee or, other than to members of the Board of Directors, the relevant Administrator.</w:t>
      </w:r>
    </w:p>
    <w:p>
      <w:pPr>
        <w:spacing w:after="0" w:line="293" w:lineRule="exact"/>
        <w:rPr>
          <w:sz w:val="20"/>
          <w:szCs w:val="20"/>
          <w:color w:val="auto"/>
        </w:rPr>
      </w:pPr>
    </w:p>
    <w:p>
      <w:pPr>
        <w:jc w:val="both"/>
        <w:ind w:left="332" w:hanging="332"/>
        <w:spacing w:after="0" w:line="281" w:lineRule="auto"/>
        <w:tabs>
          <w:tab w:leader="none" w:pos="466" w:val="left"/>
        </w:tabs>
        <w:numPr>
          <w:ilvl w:val="0"/>
          <w:numId w:val="887"/>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RSUs based on this Plan or otherwise. This Plan is only applicable in connection with a mutually signed RSU award agreement (</w:t>
      </w:r>
      <w:r>
        <w:rPr>
          <w:rFonts w:ascii="Arial" w:cs="Arial" w:eastAsia="Arial" w:hAnsi="Arial"/>
          <w:sz w:val="18"/>
          <w:szCs w:val="18"/>
          <w:b w:val="1"/>
          <w:bCs w:val="1"/>
          <w:color w:val="auto"/>
        </w:rPr>
        <w:t>RSU</w:t>
      </w:r>
      <w:r>
        <w:rPr>
          <w:rFonts w:ascii="Arial" w:cs="Arial" w:eastAsia="Arial" w:hAnsi="Arial"/>
          <w:sz w:val="18"/>
          <w:szCs w:val="18"/>
          <w:color w:val="auto"/>
        </w:rPr>
        <w:t xml:space="preserve"> </w:t>
      </w:r>
      <w:r>
        <w:rPr>
          <w:rFonts w:ascii="Arial" w:cs="Arial" w:eastAsia="Arial" w:hAnsi="Arial"/>
          <w:sz w:val="18"/>
          <w:szCs w:val="18"/>
          <w:b w:val="1"/>
          <w:bCs w:val="1"/>
          <w:color w:val="auto"/>
        </w:rPr>
        <w:t>Award Agreement</w:t>
      </w:r>
      <w:r>
        <w:rPr>
          <w:rFonts w:ascii="Arial" w:cs="Arial" w:eastAsia="Arial" w:hAnsi="Arial"/>
          <w:sz w:val="18"/>
          <w:szCs w:val="18"/>
          <w:color w:val="auto"/>
        </w:rPr>
        <w:t>) among the Company (or the relevant Group Company) and the eligible person, substantially in the form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as Annex 2. The right to receive RSUs shall accrue exclusively to those eligible persons who have, in accordance with this Plan,</w:t>
      </w:r>
    </w:p>
    <w:p>
      <w:pPr>
        <w:spacing w:after="0" w:line="2" w:lineRule="exact"/>
        <w:rPr>
          <w:rFonts w:ascii="Arial" w:cs="Arial" w:eastAsia="Arial" w:hAnsi="Arial"/>
          <w:sz w:val="18"/>
          <w:szCs w:val="18"/>
          <w:color w:val="auto"/>
        </w:rPr>
      </w:pPr>
    </w:p>
    <w:p>
      <w:pPr>
        <w:ind w:left="332"/>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been duly and validly offered and have signed and returned their individual RSU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332" w:hanging="332"/>
        <w:spacing w:after="0" w:line="287" w:lineRule="auto"/>
        <w:tabs>
          <w:tab w:leader="none" w:pos="497" w:val="left"/>
        </w:tabs>
        <w:numPr>
          <w:ilvl w:val="0"/>
          <w:numId w:val="887"/>
        </w:numPr>
        <w:rPr>
          <w:rFonts w:ascii="Arial" w:cs="Arial" w:eastAsia="Arial" w:hAnsi="Arial"/>
          <w:sz w:val="18"/>
          <w:szCs w:val="18"/>
          <w:color w:val="auto"/>
        </w:rPr>
      </w:pPr>
      <w:r>
        <w:rPr>
          <w:rFonts w:ascii="Arial" w:cs="Arial" w:eastAsia="Arial" w:hAnsi="Arial"/>
          <w:sz w:val="18"/>
          <w:szCs w:val="18"/>
          <w:color w:val="auto"/>
        </w:rPr>
        <w:t>Grants of RSUs based on this Plan are discretionary and shall not create any entitlement to participate in future grants or in future participation, incentive or benefit plans, including future restricted share plans, regardless of the length of time a person has previously been allocated RSUs or other entitlements under this Plan or other plans.</w:t>
      </w:r>
    </w:p>
    <w:p>
      <w:pPr>
        <w:spacing w:after="0" w:line="242" w:lineRule="exact"/>
        <w:rPr>
          <w:rFonts w:ascii="Arial" w:cs="Arial" w:eastAsia="Arial" w:hAnsi="Arial"/>
          <w:sz w:val="18"/>
          <w:szCs w:val="18"/>
          <w:color w:val="auto"/>
        </w:rPr>
      </w:pPr>
    </w:p>
    <w:p>
      <w:pPr>
        <w:ind w:left="332" w:hanging="332"/>
        <w:spacing w:after="0" w:line="293" w:lineRule="auto"/>
        <w:tabs>
          <w:tab w:leader="none" w:pos="522" w:val="left"/>
        </w:tabs>
        <w:numPr>
          <w:ilvl w:val="0"/>
          <w:numId w:val="887"/>
        </w:numPr>
        <w:rPr>
          <w:rFonts w:ascii="Arial" w:cs="Arial" w:eastAsia="Arial" w:hAnsi="Arial"/>
          <w:sz w:val="18"/>
          <w:szCs w:val="18"/>
          <w:color w:val="auto"/>
        </w:rPr>
      </w:pPr>
      <w:r>
        <w:rPr>
          <w:rFonts w:ascii="Arial" w:cs="Arial" w:eastAsia="Arial" w:hAnsi="Arial"/>
          <w:sz w:val="18"/>
          <w:szCs w:val="18"/>
          <w:color w:val="auto"/>
        </w:rPr>
        <w:t>Neither the grant of RSUs, nor the transfer of Shares in connection with this Plan shall confer upon any Participant any right to a continued Relationship with any Group Company.</w:t>
      </w:r>
    </w:p>
    <w:p>
      <w:pPr>
        <w:spacing w:after="0" w:line="205" w:lineRule="exact"/>
        <w:rPr>
          <w:sz w:val="20"/>
          <w:szCs w:val="20"/>
          <w:color w:val="auto"/>
        </w:rPr>
      </w:pPr>
    </w:p>
    <w:p>
      <w:pPr>
        <w:ind w:left="412" w:hanging="412"/>
        <w:spacing w:after="0"/>
        <w:tabs>
          <w:tab w:leader="none" w:pos="412" w:val="left"/>
        </w:tabs>
        <w:numPr>
          <w:ilvl w:val="0"/>
          <w:numId w:val="888"/>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RSUs</w:t>
      </w:r>
    </w:p>
    <w:p>
      <w:pPr>
        <w:spacing w:after="0" w:line="319" w:lineRule="exact"/>
        <w:rPr>
          <w:sz w:val="20"/>
          <w:szCs w:val="20"/>
          <w:color w:val="auto"/>
        </w:rPr>
      </w:pPr>
    </w:p>
    <w:p>
      <w:pPr>
        <w:jc w:val="both"/>
        <w:ind w:left="332" w:right="20" w:hanging="332"/>
        <w:spacing w:after="0" w:line="287" w:lineRule="auto"/>
        <w:tabs>
          <w:tab w:leader="none" w:pos="432" w:val="left"/>
        </w:tabs>
        <w:numPr>
          <w:ilvl w:val="0"/>
          <w:numId w:val="889"/>
        </w:numPr>
        <w:rPr>
          <w:rFonts w:ascii="Arial" w:cs="Arial" w:eastAsia="Arial" w:hAnsi="Arial"/>
          <w:sz w:val="18"/>
          <w:szCs w:val="18"/>
          <w:color w:val="auto"/>
        </w:rPr>
      </w:pPr>
      <w:r>
        <w:rPr>
          <w:rFonts w:ascii="Arial" w:cs="Arial" w:eastAsia="Arial" w:hAnsi="Arial"/>
          <w:sz w:val="18"/>
          <w:szCs w:val="18"/>
          <w:color w:val="auto"/>
        </w:rPr>
        <w:t>Grants of RSUs shall be exclusively made by way of RSU Award Agreements. The RSU Award Agreement shall set forth the number of RSUs and certain other terms and conditions of such grant. Except as otherwise determined in a RSU Award Agreement, RSUs shall be granted to the Participants free of charge.</w:t>
      </w:r>
    </w:p>
    <w:p>
      <w:pPr>
        <w:spacing w:after="0" w:line="229" w:lineRule="exact"/>
        <w:rPr>
          <w:rFonts w:ascii="Arial" w:cs="Arial" w:eastAsia="Arial" w:hAnsi="Arial"/>
          <w:sz w:val="18"/>
          <w:szCs w:val="18"/>
          <w:color w:val="auto"/>
        </w:rPr>
      </w:pPr>
    </w:p>
    <w:p>
      <w:pPr>
        <w:jc w:val="both"/>
        <w:ind w:left="332" w:hanging="332"/>
        <w:spacing w:after="0" w:line="287" w:lineRule="auto"/>
        <w:tabs>
          <w:tab w:leader="none" w:pos="543" w:val="left"/>
        </w:tabs>
        <w:numPr>
          <w:ilvl w:val="0"/>
          <w:numId w:val="889"/>
        </w:numPr>
        <w:rPr>
          <w:rFonts w:ascii="Arial" w:cs="Arial" w:eastAsia="Arial" w:hAnsi="Arial"/>
          <w:sz w:val="18"/>
          <w:szCs w:val="18"/>
          <w:color w:val="auto"/>
        </w:rPr>
      </w:pPr>
      <w:r>
        <w:rPr>
          <w:rFonts w:ascii="Arial" w:cs="Arial" w:eastAsia="Arial" w:hAnsi="Arial"/>
          <w:sz w:val="18"/>
          <w:szCs w:val="18"/>
          <w:color w:val="auto"/>
        </w:rPr>
        <w:t>One RSU represents a conditional entitlement to purchase one Share at the nominal value of the Share. The number of Shares corresponding to the number vested RSUs shall be allocated to a Participant upon vesting, subject to, and in accordance with, the terms and conditions of this Plan and the RSU Award Agreement.</w:t>
      </w:r>
    </w:p>
    <w:p>
      <w:pPr>
        <w:spacing w:after="0" w:line="242" w:lineRule="exact"/>
        <w:rPr>
          <w:rFonts w:ascii="Arial" w:cs="Arial" w:eastAsia="Arial" w:hAnsi="Arial"/>
          <w:sz w:val="18"/>
          <w:szCs w:val="18"/>
          <w:color w:val="auto"/>
        </w:rPr>
      </w:pPr>
    </w:p>
    <w:p>
      <w:pPr>
        <w:ind w:left="332" w:hanging="332"/>
        <w:spacing w:after="0" w:line="293" w:lineRule="auto"/>
        <w:tabs>
          <w:tab w:leader="none" w:pos="432" w:val="left"/>
        </w:tabs>
        <w:numPr>
          <w:ilvl w:val="0"/>
          <w:numId w:val="889"/>
        </w:numPr>
        <w:rPr>
          <w:rFonts w:ascii="Arial" w:cs="Arial" w:eastAsia="Arial" w:hAnsi="Arial"/>
          <w:sz w:val="18"/>
          <w:szCs w:val="18"/>
          <w:color w:val="auto"/>
        </w:rPr>
      </w:pPr>
      <w:r>
        <w:rPr>
          <w:rFonts w:ascii="Arial" w:cs="Arial" w:eastAsia="Arial" w:hAnsi="Arial"/>
          <w:sz w:val="18"/>
          <w:szCs w:val="18"/>
          <w:color w:val="auto"/>
        </w:rPr>
        <w:t xml:space="preserve">The date of grant shall be determined by the Nomination and Compensation Committee or the relevant Administrator and set out in the RSU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05" w:lineRule="exact"/>
        <w:rPr>
          <w:sz w:val="20"/>
          <w:szCs w:val="20"/>
          <w:color w:val="auto"/>
        </w:rPr>
      </w:pPr>
    </w:p>
    <w:p>
      <w:pPr>
        <w:ind w:left="412" w:hanging="412"/>
        <w:spacing w:after="0"/>
        <w:tabs>
          <w:tab w:leader="none" w:pos="412" w:val="left"/>
        </w:tabs>
        <w:numPr>
          <w:ilvl w:val="0"/>
          <w:numId w:val="890"/>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319" w:lineRule="exact"/>
        <w:rPr>
          <w:sz w:val="20"/>
          <w:szCs w:val="20"/>
          <w:color w:val="auto"/>
        </w:rPr>
      </w:pPr>
    </w:p>
    <w:p>
      <w:pPr>
        <w:jc w:val="both"/>
        <w:ind w:left="332"/>
        <w:spacing w:after="0" w:line="285" w:lineRule="auto"/>
        <w:rPr>
          <w:sz w:val="20"/>
          <w:szCs w:val="20"/>
          <w:color w:val="auto"/>
        </w:rPr>
      </w:pPr>
      <w:r>
        <w:rPr>
          <w:rFonts w:ascii="Arial" w:cs="Arial" w:eastAsia="Arial" w:hAnsi="Arial"/>
          <w:sz w:val="18"/>
          <w:szCs w:val="18"/>
          <w:color w:val="auto"/>
        </w:rPr>
        <w:t>RSUs are neither Shares nor securities of any kind and no shareholder rights or similar rights are attached to the RSUs. The Participants will only obtain shareholder rights (including voting and dividend rights) upon actual transfer of Shares, if any, according to the terms and conditions of the Plan and upon entry into the share register, subject to, and in accordance with, article 5 of the Company's articles of incorporation.</w:t>
      </w:r>
    </w:p>
    <w:p>
      <w:pPr>
        <w:spacing w:after="0" w:line="200" w:lineRule="exact"/>
        <w:rPr>
          <w:sz w:val="20"/>
          <w:szCs w:val="20"/>
          <w:color w:val="auto"/>
        </w:rPr>
      </w:pPr>
    </w:p>
    <w:p>
      <w:pPr>
        <w:ind w:left="412" w:hanging="412"/>
        <w:spacing w:after="0"/>
        <w:tabs>
          <w:tab w:leader="none" w:pos="412" w:val="left"/>
        </w:tabs>
        <w:numPr>
          <w:ilvl w:val="0"/>
          <w:numId w:val="891"/>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319" w:lineRule="exact"/>
        <w:rPr>
          <w:sz w:val="20"/>
          <w:szCs w:val="20"/>
          <w:color w:val="auto"/>
        </w:rPr>
      </w:pPr>
    </w:p>
    <w:p>
      <w:pPr>
        <w:jc w:val="both"/>
        <w:ind w:left="332"/>
        <w:spacing w:after="0" w:line="287" w:lineRule="auto"/>
        <w:rPr>
          <w:sz w:val="20"/>
          <w:szCs w:val="20"/>
          <w:color w:val="auto"/>
        </w:rPr>
      </w:pPr>
      <w:r>
        <w:rPr>
          <w:rFonts w:ascii="Arial" w:cs="Arial" w:eastAsia="Arial" w:hAnsi="Arial"/>
          <w:sz w:val="18"/>
          <w:szCs w:val="18"/>
          <w:color w:val="auto"/>
        </w:rPr>
        <w:t>RSUs granted under this Plan and the RSU Award Agreement are personal and non-transferable. Participants shall not be permitted to sell, donate, pledge, assign or otherwise dispose of the RSUs to third parties other than as provided for in the Plan. In case of death of a Participant, Section 13 hereof shall apply.</w:t>
      </w:r>
    </w:p>
    <w:p>
      <w:pPr>
        <w:sectPr>
          <w:pgSz w:w="11900" w:h="16838" w:orient="portrait"/>
          <w:cols w:equalWidth="0" w:num="1">
            <w:col w:w="11232"/>
          </w:cols>
          <w:pgMar w:left="328" w:top="167" w:right="339" w:bottom="1440" w:gutter="0" w:footer="0" w:header="0"/>
        </w:sectPr>
      </w:pPr>
    </w:p>
    <w:bookmarkStart w:id="836" w:name="page837"/>
    <w:bookmarkEnd w:id="836"/>
    <w:tbl>
      <w:tblPr>
        <w:tblLayout w:type="fixed"/>
        <w:tblInd w:w="12" w:type="dxa"/>
        <w:tblCellMar>
          <w:top w:w="0" w:type="dxa"/>
          <w:left w:w="0" w:type="dxa"/>
          <w:bottom w:w="0" w:type="dxa"/>
          <w:right w:w="0" w:type="dxa"/>
        </w:tblCellMar>
      </w:tblPr>
      <w:tr>
        <w:trPr>
          <w:trHeight w:val="189"/>
        </w:trPr>
        <w:tc>
          <w:tcPr>
            <w:tcW w:w="6740" w:type="dxa"/>
            <w:vAlign w:val="bottom"/>
          </w:tcPr>
          <w:p>
            <w:pPr>
              <w:spacing w:after="0"/>
              <w:rPr>
                <w:sz w:val="20"/>
                <w:szCs w:val="20"/>
                <w:color w:val="auto"/>
              </w:rPr>
            </w:pPr>
            <w:r>
              <w:rPr>
                <w:rFonts w:ascii="Arial" w:cs="Arial" w:eastAsia="Arial" w:hAnsi="Arial"/>
                <w:sz w:val="14"/>
                <w:szCs w:val="14"/>
                <w:color w:val="auto"/>
              </w:rPr>
              <w:t>Molecular Partners AG: Restricted Share Plan 2019</w:t>
            </w:r>
          </w:p>
        </w:tc>
        <w:tc>
          <w:tcPr>
            <w:tcW w:w="3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2" w:hanging="412"/>
        <w:spacing w:after="0"/>
        <w:tabs>
          <w:tab w:leader="none" w:pos="412" w:val="left"/>
        </w:tabs>
        <w:numPr>
          <w:ilvl w:val="0"/>
          <w:numId w:val="892"/>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319" w:lineRule="exact"/>
        <w:rPr>
          <w:sz w:val="20"/>
          <w:szCs w:val="20"/>
          <w:color w:val="auto"/>
        </w:rPr>
      </w:pPr>
    </w:p>
    <w:p>
      <w:pPr>
        <w:ind w:left="652" w:hanging="652"/>
        <w:spacing w:after="0" w:line="287" w:lineRule="auto"/>
        <w:tabs>
          <w:tab w:leader="none" w:pos="439" w:val="left"/>
        </w:tabs>
        <w:numPr>
          <w:ilvl w:val="0"/>
          <w:numId w:val="893"/>
        </w:numPr>
        <w:rPr>
          <w:rFonts w:ascii="Arial" w:cs="Arial" w:eastAsia="Arial" w:hAnsi="Arial"/>
          <w:sz w:val="18"/>
          <w:szCs w:val="18"/>
          <w:color w:val="auto"/>
        </w:rPr>
      </w:pPr>
      <w:r>
        <w:rPr>
          <w:rFonts w:ascii="Arial" w:cs="Arial" w:eastAsia="Arial" w:hAnsi="Arial"/>
          <w:sz w:val="18"/>
          <w:szCs w:val="18"/>
          <w:color w:val="auto"/>
        </w:rPr>
        <w:t xml:space="preserve">Unless otherwise set out in this Plan (in particular in Section 13) or in the RSU Award Agreement, RSUs shall vest in the third calendar year following the year of grant. In such case, vesting shall occur on the third anniversary of the Grant Date (the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period between the Grant Date and the Vesting Date shall be deemed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ind w:left="432" w:hanging="432"/>
        <w:spacing w:after="0"/>
        <w:tabs>
          <w:tab w:leader="none" w:pos="432" w:val="left"/>
        </w:tabs>
        <w:numPr>
          <w:ilvl w:val="0"/>
          <w:numId w:val="893"/>
        </w:numPr>
        <w:rPr>
          <w:rFonts w:ascii="Arial" w:cs="Arial" w:eastAsia="Arial" w:hAnsi="Arial"/>
          <w:sz w:val="18"/>
          <w:szCs w:val="18"/>
          <w:color w:val="auto"/>
        </w:rPr>
      </w:pPr>
      <w:r>
        <w:rPr>
          <w:rFonts w:ascii="Arial" w:cs="Arial" w:eastAsia="Arial" w:hAnsi="Arial"/>
          <w:sz w:val="18"/>
          <w:szCs w:val="18"/>
          <w:color w:val="auto"/>
        </w:rPr>
        <w:t>Subject to section 13(b) below, no RSU shall vest if, during the first year of the Vesting Period (or, in case of a member of the Board of</w:t>
      </w:r>
    </w:p>
    <w:p>
      <w:pPr>
        <w:spacing w:after="0" w:line="36" w:lineRule="exact"/>
        <w:rPr>
          <w:rFonts w:ascii="Arial" w:cs="Arial" w:eastAsia="Arial" w:hAnsi="Arial"/>
          <w:sz w:val="18"/>
          <w:szCs w:val="18"/>
          <w:color w:val="auto"/>
        </w:rPr>
      </w:pPr>
    </w:p>
    <w:p>
      <w:pPr>
        <w:jc w:val="both"/>
        <w:ind w:left="652"/>
        <w:spacing w:after="0" w:line="287" w:lineRule="auto"/>
        <w:rPr>
          <w:rFonts w:ascii="Arial" w:cs="Arial" w:eastAsia="Arial" w:hAnsi="Arial"/>
          <w:sz w:val="18"/>
          <w:szCs w:val="18"/>
          <w:color w:val="auto"/>
        </w:rPr>
      </w:pPr>
      <w:r>
        <w:rPr>
          <w:rFonts w:ascii="Arial" w:cs="Arial" w:eastAsia="Arial" w:hAnsi="Arial"/>
          <w:sz w:val="18"/>
          <w:szCs w:val="18"/>
          <w:color w:val="auto"/>
        </w:rPr>
        <w:t>Directors, prior to the end of a full term of office), the relevant Participant's Relationship is terminated or another reason for termination of such Relationship occurs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set by a Group Company.</w:t>
      </w:r>
    </w:p>
    <w:p>
      <w:pPr>
        <w:spacing w:after="0" w:line="229" w:lineRule="exact"/>
        <w:rPr>
          <w:rFonts w:ascii="Arial" w:cs="Arial" w:eastAsia="Arial" w:hAnsi="Arial"/>
          <w:sz w:val="18"/>
          <w:szCs w:val="18"/>
          <w:color w:val="auto"/>
        </w:rPr>
      </w:pPr>
    </w:p>
    <w:p>
      <w:pPr>
        <w:ind w:left="652" w:hanging="652"/>
        <w:spacing w:after="0" w:line="287" w:lineRule="auto"/>
        <w:tabs>
          <w:tab w:leader="none" w:pos="417"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Instead, the Company may provide for cash-less acquisition or vesting-sale arrangements through a Plan Service Provider or otherwise.</w:t>
      </w:r>
    </w:p>
    <w:p>
      <w:pPr>
        <w:spacing w:after="0" w:line="211" w:lineRule="exact"/>
        <w:rPr>
          <w:sz w:val="20"/>
          <w:szCs w:val="20"/>
          <w:color w:val="auto"/>
        </w:rPr>
      </w:pPr>
    </w:p>
    <w:p>
      <w:pPr>
        <w:ind w:left="412" w:hanging="412"/>
        <w:spacing w:after="0"/>
        <w:tabs>
          <w:tab w:leader="none" w:pos="412" w:val="left"/>
        </w:tabs>
        <w:numPr>
          <w:ilvl w:val="0"/>
          <w:numId w:val="894"/>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319" w:lineRule="exact"/>
        <w:rPr>
          <w:sz w:val="20"/>
          <w:szCs w:val="20"/>
          <w:color w:val="auto"/>
        </w:rPr>
      </w:pPr>
    </w:p>
    <w:p>
      <w:pPr>
        <w:jc w:val="both"/>
        <w:ind w:left="332"/>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15,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Nomination and Compensation Committee and the Board of Directors, be sourced from conditional share capital, from treasury shares or from other sources. Unless otherwise determined by the Board of Directors or the Nomination and Compensation Committee, Shares shall be sourced from the Company's conditional share capital and a respective number of Shares out of conditional capital shall be deemed reserved, accordingly.</w:t>
      </w:r>
    </w:p>
    <w:p>
      <w:pPr>
        <w:spacing w:after="0" w:line="215" w:lineRule="exact"/>
        <w:rPr>
          <w:sz w:val="20"/>
          <w:szCs w:val="20"/>
          <w:color w:val="auto"/>
        </w:rPr>
      </w:pPr>
    </w:p>
    <w:p>
      <w:pPr>
        <w:ind w:left="532" w:hanging="532"/>
        <w:spacing w:after="0"/>
        <w:tabs>
          <w:tab w:leader="none" w:pos="532" w:val="left"/>
        </w:tabs>
        <w:numPr>
          <w:ilvl w:val="0"/>
          <w:numId w:val="895"/>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Social Security Contributions</w:t>
      </w:r>
    </w:p>
    <w:p>
      <w:pPr>
        <w:spacing w:after="0" w:line="319" w:lineRule="exact"/>
        <w:rPr>
          <w:sz w:val="20"/>
          <w:szCs w:val="20"/>
          <w:color w:val="auto"/>
        </w:rPr>
      </w:pPr>
    </w:p>
    <w:p>
      <w:pPr>
        <w:jc w:val="both"/>
        <w:ind w:left="332" w:hanging="332"/>
        <w:spacing w:after="0" w:line="287" w:lineRule="auto"/>
        <w:tabs>
          <w:tab w:leader="none" w:pos="455" w:val="left"/>
        </w:tabs>
        <w:numPr>
          <w:ilvl w:val="0"/>
          <w:numId w:val="896"/>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RSUs, on the allocation of Shares and the subsequent sale of Shares or a respective cash equivalent are in the sole responsibility of the Participant.</w:t>
      </w:r>
    </w:p>
    <w:p>
      <w:pPr>
        <w:spacing w:after="0" w:line="229" w:lineRule="exact"/>
        <w:rPr>
          <w:rFonts w:ascii="Arial" w:cs="Arial" w:eastAsia="Arial" w:hAnsi="Arial"/>
          <w:sz w:val="18"/>
          <w:szCs w:val="18"/>
          <w:color w:val="auto"/>
        </w:rPr>
      </w:pPr>
    </w:p>
    <w:p>
      <w:pPr>
        <w:jc w:val="both"/>
        <w:ind w:left="332" w:hanging="332"/>
        <w:spacing w:after="0" w:line="283" w:lineRule="auto"/>
        <w:tabs>
          <w:tab w:leader="none" w:pos="451" w:val="left"/>
        </w:tabs>
        <w:numPr>
          <w:ilvl w:val="0"/>
          <w:numId w:val="896"/>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RSUs may be subject to the withholding of tax and social security contributions by the Company or, if different, the relevant Group Company. The Company and the relevant Group Company, shall be entitled to deduct or withhold a sufficient portion of the value otherwise due to be released under this Plan or of any other payment to the relevant Participant to satisfy any withholding requirement in connection therewith. Without limitation, withholding arrangements may include the sale of Shares to be delivered for RSU awards on behalf of a Participant and withholding of proceeds or deductions from salary or bonus payments, or require a payment from the Participant to the Company or the relevant Group Company before settlement of the RSU awards.</w:t>
      </w:r>
    </w:p>
    <w:p>
      <w:pPr>
        <w:spacing w:after="0" w:line="249" w:lineRule="exact"/>
        <w:rPr>
          <w:rFonts w:ascii="Arial" w:cs="Arial" w:eastAsia="Arial" w:hAnsi="Arial"/>
          <w:sz w:val="18"/>
          <w:szCs w:val="18"/>
          <w:color w:val="auto"/>
        </w:rPr>
      </w:pPr>
    </w:p>
    <w:p>
      <w:pPr>
        <w:ind w:left="332" w:hanging="332"/>
        <w:spacing w:after="0" w:line="293" w:lineRule="auto"/>
        <w:tabs>
          <w:tab w:leader="none" w:pos="417" w:val="left"/>
        </w:tabs>
        <w:numPr>
          <w:ilvl w:val="0"/>
          <w:numId w:val="896"/>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RSU awards, Shares or related events.</w:t>
      </w:r>
    </w:p>
    <w:p>
      <w:pPr>
        <w:sectPr>
          <w:pgSz w:w="11900" w:h="16838" w:orient="portrait"/>
          <w:cols w:equalWidth="0" w:num="1">
            <w:col w:w="11232"/>
          </w:cols>
          <w:pgMar w:left="328" w:top="167" w:right="339" w:bottom="1440" w:gutter="0" w:footer="0" w:header="0"/>
        </w:sectPr>
      </w:pPr>
    </w:p>
    <w:bookmarkStart w:id="837" w:name="page838"/>
    <w:bookmarkEnd w:id="837"/>
    <w:tbl>
      <w:tblPr>
        <w:tblLayout w:type="fixed"/>
        <w:tblInd w:w="12" w:type="dxa"/>
        <w:tblCellMar>
          <w:top w:w="0" w:type="dxa"/>
          <w:left w:w="0" w:type="dxa"/>
          <w:bottom w:w="0" w:type="dxa"/>
          <w:right w:w="0" w:type="dxa"/>
        </w:tblCellMar>
      </w:tblPr>
      <w:tr>
        <w:trPr>
          <w:trHeight w:val="189"/>
        </w:trPr>
        <w:tc>
          <w:tcPr>
            <w:tcW w:w="6740" w:type="dxa"/>
            <w:vAlign w:val="bottom"/>
          </w:tcPr>
          <w:p>
            <w:pPr>
              <w:spacing w:after="0"/>
              <w:rPr>
                <w:sz w:val="20"/>
                <w:szCs w:val="20"/>
                <w:color w:val="auto"/>
              </w:rPr>
            </w:pPr>
            <w:r>
              <w:rPr>
                <w:rFonts w:ascii="Arial" w:cs="Arial" w:eastAsia="Arial" w:hAnsi="Arial"/>
                <w:sz w:val="14"/>
                <w:szCs w:val="14"/>
                <w:color w:val="auto"/>
              </w:rPr>
              <w:t>Molecular Partners AG: Restricted Share Plan 2019</w:t>
            </w:r>
          </w:p>
        </w:tc>
        <w:tc>
          <w:tcPr>
            <w:tcW w:w="3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2" w:hanging="532"/>
        <w:spacing w:after="0"/>
        <w:tabs>
          <w:tab w:leader="none" w:pos="532" w:val="left"/>
        </w:tabs>
        <w:numPr>
          <w:ilvl w:val="0"/>
          <w:numId w:val="897"/>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Requirements</w:t>
      </w:r>
    </w:p>
    <w:p>
      <w:pPr>
        <w:spacing w:after="0" w:line="319" w:lineRule="exact"/>
        <w:rPr>
          <w:sz w:val="20"/>
          <w:szCs w:val="20"/>
          <w:color w:val="auto"/>
        </w:rPr>
      </w:pPr>
    </w:p>
    <w:p>
      <w:pPr>
        <w:jc w:val="both"/>
        <w:ind w:left="332"/>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RSUs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215" w:lineRule="exact"/>
        <w:rPr>
          <w:sz w:val="20"/>
          <w:szCs w:val="20"/>
          <w:color w:val="auto"/>
        </w:rPr>
      </w:pPr>
    </w:p>
    <w:p>
      <w:pPr>
        <w:ind w:left="532" w:hanging="532"/>
        <w:spacing w:after="0"/>
        <w:tabs>
          <w:tab w:leader="none" w:pos="532" w:val="left"/>
        </w:tabs>
        <w:numPr>
          <w:ilvl w:val="0"/>
          <w:numId w:val="898"/>
        </w:numPr>
        <w:rPr>
          <w:rFonts w:ascii="Arial" w:cs="Arial" w:eastAsia="Arial" w:hAnsi="Arial"/>
          <w:sz w:val="22"/>
          <w:szCs w:val="22"/>
          <w:b w:val="1"/>
          <w:bCs w:val="1"/>
          <w:color w:val="auto"/>
        </w:rPr>
      </w:pPr>
      <w:r>
        <w:rPr>
          <w:rFonts w:ascii="Arial" w:cs="Arial" w:eastAsia="Arial" w:hAnsi="Arial"/>
          <w:sz w:val="22"/>
          <w:szCs w:val="22"/>
          <w:b w:val="1"/>
          <w:bCs w:val="1"/>
          <w:color w:val="auto"/>
        </w:rPr>
        <w:t>Other Obligations of the Participant</w:t>
      </w:r>
    </w:p>
    <w:p>
      <w:pPr>
        <w:spacing w:after="0" w:line="319" w:lineRule="exact"/>
        <w:rPr>
          <w:sz w:val="20"/>
          <w:szCs w:val="20"/>
          <w:color w:val="auto"/>
        </w:rPr>
      </w:pPr>
    </w:p>
    <w:p>
      <w:pPr>
        <w:jc w:val="both"/>
        <w:ind w:left="332"/>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Relationship with the Company) to any Group Company, until the Participant has satisfied such outstanding obligations.</w:t>
      </w:r>
    </w:p>
    <w:p>
      <w:pPr>
        <w:spacing w:after="0" w:line="198" w:lineRule="exact"/>
        <w:rPr>
          <w:sz w:val="20"/>
          <w:szCs w:val="20"/>
          <w:color w:val="auto"/>
        </w:rPr>
      </w:pPr>
    </w:p>
    <w:p>
      <w:pPr>
        <w:ind w:left="532" w:hanging="532"/>
        <w:spacing w:after="0"/>
        <w:tabs>
          <w:tab w:leader="none" w:pos="532" w:val="left"/>
        </w:tabs>
        <w:numPr>
          <w:ilvl w:val="0"/>
          <w:numId w:val="89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Relationship</w:t>
      </w:r>
    </w:p>
    <w:p>
      <w:pPr>
        <w:spacing w:after="0" w:line="319" w:lineRule="exact"/>
        <w:rPr>
          <w:sz w:val="20"/>
          <w:szCs w:val="20"/>
          <w:color w:val="auto"/>
        </w:rPr>
      </w:pPr>
    </w:p>
    <w:p>
      <w:pPr>
        <w:jc w:val="both"/>
        <w:ind w:left="332" w:hanging="332"/>
        <w:spacing w:after="0" w:line="287" w:lineRule="auto"/>
        <w:tabs>
          <w:tab w:leader="none" w:pos="486"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If a Participant's Relationship is terminated or another reason for termination occurs during the first year of the Vesting Period (or, in case of a member of the Board of Directors, prior to the end of a full term of office), other than through termination by the Participant for cause (wichtige Gründe) and except as set out in subsection 13 (b) below, all RSUs shall immediately cease and be forfeited.</w:t>
      </w:r>
    </w:p>
    <w:p>
      <w:pPr>
        <w:spacing w:after="0" w:line="242" w:lineRule="exact"/>
        <w:rPr>
          <w:rFonts w:ascii="Arial" w:cs="Arial" w:eastAsia="Arial" w:hAnsi="Arial"/>
          <w:sz w:val="18"/>
          <w:szCs w:val="18"/>
          <w:color w:val="auto"/>
        </w:rPr>
      </w:pPr>
    </w:p>
    <w:p>
      <w:pPr>
        <w:jc w:val="both"/>
        <w:ind w:left="332" w:hanging="332"/>
        <w:spacing w:after="0" w:line="284" w:lineRule="auto"/>
        <w:tabs>
          <w:tab w:leader="none" w:pos="460" w:val="left"/>
        </w:tabs>
        <w:numPr>
          <w:ilvl w:val="0"/>
          <w:numId w:val="900"/>
        </w:numPr>
        <w:rPr>
          <w:rFonts w:ascii="Arial" w:cs="Arial" w:eastAsia="Arial" w:hAnsi="Arial"/>
          <w:sz w:val="18"/>
          <w:szCs w:val="18"/>
          <w:color w:val="auto"/>
        </w:rPr>
      </w:pPr>
      <w:r>
        <w:rPr>
          <w:rFonts w:ascii="Arial" w:cs="Arial" w:eastAsia="Arial" w:hAnsi="Arial"/>
          <w:sz w:val="18"/>
          <w:szCs w:val="18"/>
          <w:color w:val="auto"/>
        </w:rPr>
        <w:t>If the Relationship terminates during the first year of the Vesting Period (or, in case of a member of the Board of Directors, prior to the end of a full term of office) by reason of death, permanent illness or disability of the Participant, a pro rata number of RSUs granted to the Participant shall vest immediately with the remaining RSUs lapsing without further effect. The Board of Directors may, at its sole discretion and with final and binding effect, based on a recommendation by the Nomination and Compensation Committee and taking into consideration the objectives of the Plan, grant further exceptions from the forfeiture clause as per section 13 (a) above.</w:t>
      </w:r>
    </w:p>
    <w:p>
      <w:pPr>
        <w:spacing w:after="0" w:line="215" w:lineRule="exact"/>
        <w:rPr>
          <w:sz w:val="20"/>
          <w:szCs w:val="20"/>
          <w:color w:val="auto"/>
        </w:rPr>
      </w:pPr>
    </w:p>
    <w:p>
      <w:pPr>
        <w:ind w:left="532" w:hanging="532"/>
        <w:spacing w:after="0"/>
        <w:tabs>
          <w:tab w:leader="none" w:pos="532" w:val="left"/>
        </w:tabs>
        <w:numPr>
          <w:ilvl w:val="0"/>
          <w:numId w:val="901"/>
        </w:numPr>
        <w:rPr>
          <w:rFonts w:ascii="Arial" w:cs="Arial" w:eastAsia="Arial" w:hAnsi="Arial"/>
          <w:sz w:val="22"/>
          <w:szCs w:val="22"/>
          <w:b w:val="1"/>
          <w:bCs w:val="1"/>
          <w:color w:val="auto"/>
        </w:rPr>
      </w:pPr>
      <w:r>
        <w:rPr>
          <w:rFonts w:ascii="Arial" w:cs="Arial" w:eastAsia="Arial" w:hAnsi="Arial"/>
          <w:sz w:val="22"/>
          <w:szCs w:val="22"/>
          <w:b w:val="1"/>
          <w:bCs w:val="1"/>
          <w:color w:val="auto"/>
        </w:rPr>
        <w:t>Change of Control</w:t>
      </w:r>
    </w:p>
    <w:p>
      <w:pPr>
        <w:spacing w:after="0" w:line="319" w:lineRule="exact"/>
        <w:rPr>
          <w:sz w:val="20"/>
          <w:szCs w:val="20"/>
          <w:color w:val="auto"/>
        </w:rPr>
      </w:pPr>
    </w:p>
    <w:p>
      <w:pPr>
        <w:ind w:left="412" w:hanging="412"/>
        <w:spacing w:after="0"/>
        <w:tabs>
          <w:tab w:leader="none" w:pos="412" w:val="left"/>
        </w:tabs>
        <w:numPr>
          <w:ilvl w:val="0"/>
          <w:numId w:val="902"/>
        </w:numPr>
        <w:rPr>
          <w:rFonts w:ascii="Arial" w:cs="Arial" w:eastAsia="Arial" w:hAnsi="Arial"/>
          <w:sz w:val="18"/>
          <w:szCs w:val="18"/>
          <w:color w:val="auto"/>
        </w:rPr>
      </w:pPr>
      <w:r>
        <w:rPr>
          <w:rFonts w:ascii="Arial" w:cs="Arial" w:eastAsia="Arial" w:hAnsi="Arial"/>
          <w:sz w:val="18"/>
          <w:szCs w:val="18"/>
          <w:color w:val="auto"/>
        </w:rPr>
        <w:t>For purposes of this Plan, a change of control shall mean the occurrence of any of the following events (each a Change of Control):</w:t>
      </w:r>
    </w:p>
    <w:p>
      <w:pPr>
        <w:spacing w:after="0" w:line="279" w:lineRule="exact"/>
        <w:rPr>
          <w:rFonts w:ascii="Arial" w:cs="Arial" w:eastAsia="Arial" w:hAnsi="Arial"/>
          <w:sz w:val="18"/>
          <w:szCs w:val="18"/>
          <w:color w:val="auto"/>
        </w:rPr>
      </w:pPr>
    </w:p>
    <w:p>
      <w:pPr>
        <w:jc w:val="both"/>
        <w:ind w:left="652" w:hanging="328"/>
        <w:spacing w:after="0" w:line="287" w:lineRule="auto"/>
        <w:tabs>
          <w:tab w:leader="none" w:pos="704" w:val="left"/>
        </w:tabs>
        <w:numPr>
          <w:ilvl w:val="1"/>
          <w:numId w:val="902"/>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42" w:lineRule="exact"/>
        <w:rPr>
          <w:rFonts w:ascii="Arial" w:cs="Arial" w:eastAsia="Arial" w:hAnsi="Arial"/>
          <w:sz w:val="18"/>
          <w:szCs w:val="18"/>
          <w:color w:val="auto"/>
        </w:rPr>
      </w:pPr>
    </w:p>
    <w:p>
      <w:pPr>
        <w:ind w:left="652" w:hanging="328"/>
        <w:spacing w:after="0" w:line="293" w:lineRule="auto"/>
        <w:tabs>
          <w:tab w:leader="none" w:pos="801" w:val="left"/>
        </w:tabs>
        <w:numPr>
          <w:ilvl w:val="1"/>
          <w:numId w:val="902"/>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237" w:lineRule="exact"/>
        <w:rPr>
          <w:rFonts w:ascii="Arial" w:cs="Arial" w:eastAsia="Arial" w:hAnsi="Arial"/>
          <w:sz w:val="18"/>
          <w:szCs w:val="18"/>
          <w:color w:val="auto"/>
        </w:rPr>
      </w:pPr>
    </w:p>
    <w:p>
      <w:pPr>
        <w:jc w:val="both"/>
        <w:ind w:left="652" w:hanging="328"/>
        <w:spacing w:after="0" w:line="287" w:lineRule="auto"/>
        <w:tabs>
          <w:tab w:leader="none" w:pos="846" w:val="left"/>
        </w:tabs>
        <w:numPr>
          <w:ilvl w:val="1"/>
          <w:numId w:val="902"/>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w:t>
      </w:r>
    </w:p>
    <w:p>
      <w:pPr>
        <w:sectPr>
          <w:pgSz w:w="11900" w:h="16838" w:orient="portrait"/>
          <w:cols w:equalWidth="0" w:num="1">
            <w:col w:w="11232"/>
          </w:cols>
          <w:pgMar w:left="328" w:top="167" w:right="339" w:bottom="1440" w:gutter="0" w:footer="0" w:header="0"/>
        </w:sectPr>
      </w:pPr>
    </w:p>
    <w:bookmarkStart w:id="838" w:name="page839"/>
    <w:bookmarkEnd w:id="838"/>
    <w:tbl>
      <w:tblPr>
        <w:tblLayout w:type="fixed"/>
        <w:tblInd w:w="12" w:type="dxa"/>
        <w:tblCellMar>
          <w:top w:w="0" w:type="dxa"/>
          <w:left w:w="0" w:type="dxa"/>
          <w:bottom w:w="0" w:type="dxa"/>
          <w:right w:w="0" w:type="dxa"/>
        </w:tblCellMar>
      </w:tblPr>
      <w:tr>
        <w:trPr>
          <w:trHeight w:val="189"/>
        </w:trPr>
        <w:tc>
          <w:tcPr>
            <w:tcW w:w="6740" w:type="dxa"/>
            <w:vAlign w:val="bottom"/>
          </w:tcPr>
          <w:p>
            <w:pPr>
              <w:spacing w:after="0"/>
              <w:rPr>
                <w:sz w:val="20"/>
                <w:szCs w:val="20"/>
                <w:color w:val="auto"/>
              </w:rPr>
            </w:pPr>
            <w:r>
              <w:rPr>
                <w:rFonts w:ascii="Arial" w:cs="Arial" w:eastAsia="Arial" w:hAnsi="Arial"/>
                <w:sz w:val="14"/>
                <w:szCs w:val="14"/>
                <w:color w:val="auto"/>
              </w:rPr>
              <w:t>Molecular Partners AG: Restricted Share Plan 2019</w:t>
            </w:r>
          </w:p>
        </w:tc>
        <w:tc>
          <w:tcPr>
            <w:tcW w:w="3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52"/>
        <w:spacing w:after="0" w:line="293" w:lineRule="auto"/>
        <w:rPr>
          <w:sz w:val="20"/>
          <w:szCs w:val="20"/>
          <w:color w:val="auto"/>
        </w:rPr>
      </w:pPr>
      <w:r>
        <w:rPr>
          <w:rFonts w:ascii="Arial" w:cs="Arial" w:eastAsia="Arial" w:hAnsi="Arial"/>
          <w:sz w:val="18"/>
          <w:szCs w:val="18"/>
          <w:color w:val="auto"/>
        </w:rPr>
        <w:t>outstanding, if and when such offer becomes unconditional (subject only to conditions, if any, that survive following the regular offer period);</w:t>
      </w:r>
    </w:p>
    <w:p>
      <w:pPr>
        <w:spacing w:after="0" w:line="237" w:lineRule="exact"/>
        <w:rPr>
          <w:sz w:val="20"/>
          <w:szCs w:val="20"/>
          <w:color w:val="auto"/>
        </w:rPr>
      </w:pPr>
    </w:p>
    <w:p>
      <w:pPr>
        <w:jc w:val="both"/>
        <w:ind w:left="652" w:hanging="328"/>
        <w:spacing w:after="0" w:line="285" w:lineRule="auto"/>
        <w:tabs>
          <w:tab w:leader="none" w:pos="786" w:val="left"/>
        </w:tabs>
        <w:numPr>
          <w:ilvl w:val="1"/>
          <w:numId w:val="903"/>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31" w:lineRule="exact"/>
        <w:rPr>
          <w:rFonts w:ascii="Arial" w:cs="Arial" w:eastAsia="Arial" w:hAnsi="Arial"/>
          <w:sz w:val="18"/>
          <w:szCs w:val="18"/>
          <w:color w:val="auto"/>
        </w:rPr>
      </w:pPr>
    </w:p>
    <w:p>
      <w:pPr>
        <w:ind w:left="332" w:hanging="332"/>
        <w:spacing w:after="0" w:line="293" w:lineRule="auto"/>
        <w:tabs>
          <w:tab w:leader="none" w:pos="446" w:val="left"/>
        </w:tabs>
        <w:numPr>
          <w:ilvl w:val="0"/>
          <w:numId w:val="904"/>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RSUs in respect of which the Vesting Date has not occurred by the date of the Change of Control:</w:t>
      </w:r>
    </w:p>
    <w:p>
      <w:pPr>
        <w:spacing w:after="0" w:line="237" w:lineRule="exact"/>
        <w:rPr>
          <w:rFonts w:ascii="Arial" w:cs="Arial" w:eastAsia="Arial" w:hAnsi="Arial"/>
          <w:sz w:val="18"/>
          <w:szCs w:val="18"/>
          <w:color w:val="auto"/>
        </w:rPr>
      </w:pPr>
    </w:p>
    <w:p>
      <w:pPr>
        <w:ind w:left="932" w:hanging="608"/>
        <w:spacing w:after="0"/>
        <w:tabs>
          <w:tab w:leader="none" w:pos="932" w:val="left"/>
        </w:tabs>
        <w:numPr>
          <w:ilvl w:val="1"/>
          <w:numId w:val="904"/>
        </w:numPr>
        <w:rPr>
          <w:rFonts w:ascii="Arial" w:cs="Arial" w:eastAsia="Arial" w:hAnsi="Arial"/>
          <w:sz w:val="18"/>
          <w:szCs w:val="18"/>
          <w:color w:val="auto"/>
        </w:rPr>
      </w:pPr>
      <w:r>
        <w:rPr>
          <w:rFonts w:ascii="Arial" w:cs="Arial" w:eastAsia="Arial" w:hAnsi="Arial"/>
          <w:sz w:val="18"/>
          <w:szCs w:val="18"/>
          <w:color w:val="auto"/>
        </w:rPr>
        <w:t>all RSUs will vest immediately; and</w:t>
      </w:r>
    </w:p>
    <w:p>
      <w:pPr>
        <w:spacing w:after="0" w:line="292" w:lineRule="exact"/>
        <w:rPr>
          <w:rFonts w:ascii="Arial" w:cs="Arial" w:eastAsia="Arial" w:hAnsi="Arial"/>
          <w:sz w:val="18"/>
          <w:szCs w:val="18"/>
          <w:color w:val="auto"/>
        </w:rPr>
      </w:pPr>
    </w:p>
    <w:p>
      <w:pPr>
        <w:ind w:left="652" w:right="20" w:hanging="328"/>
        <w:spacing w:after="0" w:line="293" w:lineRule="auto"/>
        <w:tabs>
          <w:tab w:leader="none" w:pos="801" w:val="left"/>
        </w:tabs>
        <w:numPr>
          <w:ilvl w:val="1"/>
          <w:numId w:val="904"/>
        </w:numPr>
        <w:rPr>
          <w:rFonts w:ascii="Arial" w:cs="Arial" w:eastAsia="Arial" w:hAnsi="Arial"/>
          <w:sz w:val="18"/>
          <w:szCs w:val="18"/>
          <w:color w:val="auto"/>
        </w:rPr>
      </w:pPr>
      <w:r>
        <w:rPr>
          <w:rFonts w:ascii="Arial" w:cs="Arial" w:eastAsia="Arial" w:hAnsi="Arial"/>
          <w:sz w:val="18"/>
          <w:szCs w:val="18"/>
          <w:color w:val="auto"/>
        </w:rPr>
        <w:t>the RSUs will be paid out in Shares, unless the Nomination and Compensation Committee resolves to repurchase or exchange RSUs or decides upon another solution to provide the Participants with the vesting value of the RSUs.</w:t>
      </w:r>
    </w:p>
    <w:p>
      <w:pPr>
        <w:spacing w:after="0" w:line="223" w:lineRule="exact"/>
        <w:rPr>
          <w:rFonts w:ascii="Arial" w:cs="Arial" w:eastAsia="Arial" w:hAnsi="Arial"/>
          <w:sz w:val="18"/>
          <w:szCs w:val="18"/>
          <w:color w:val="auto"/>
        </w:rPr>
      </w:pPr>
    </w:p>
    <w:p>
      <w:pPr>
        <w:jc w:val="both"/>
        <w:ind w:left="332" w:hanging="332"/>
        <w:spacing w:after="0" w:line="285" w:lineRule="auto"/>
        <w:tabs>
          <w:tab w:leader="none" w:pos="442" w:val="left"/>
        </w:tabs>
        <w:numPr>
          <w:ilvl w:val="0"/>
          <w:numId w:val="904"/>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45" w:lineRule="exact"/>
        <w:rPr>
          <w:rFonts w:ascii="Arial" w:cs="Arial" w:eastAsia="Arial" w:hAnsi="Arial"/>
          <w:sz w:val="18"/>
          <w:szCs w:val="18"/>
          <w:color w:val="auto"/>
        </w:rPr>
      </w:pPr>
    </w:p>
    <w:p>
      <w:pPr>
        <w:jc w:val="both"/>
        <w:ind w:left="332" w:hanging="332"/>
        <w:spacing w:after="0" w:line="285" w:lineRule="auto"/>
        <w:tabs>
          <w:tab w:leader="none" w:pos="498" w:val="left"/>
        </w:tabs>
        <w:numPr>
          <w:ilvl w:val="0"/>
          <w:numId w:val="904"/>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pacing w:after="0" w:line="214" w:lineRule="exact"/>
        <w:rPr>
          <w:sz w:val="20"/>
          <w:szCs w:val="20"/>
          <w:color w:val="auto"/>
        </w:rPr>
      </w:pPr>
    </w:p>
    <w:p>
      <w:pPr>
        <w:ind w:left="532" w:hanging="532"/>
        <w:spacing w:after="0"/>
        <w:tabs>
          <w:tab w:leader="none" w:pos="532" w:val="left"/>
        </w:tabs>
        <w:numPr>
          <w:ilvl w:val="0"/>
          <w:numId w:val="905"/>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Events</w:t>
      </w:r>
    </w:p>
    <w:p>
      <w:pPr>
        <w:spacing w:after="0" w:line="319" w:lineRule="exact"/>
        <w:rPr>
          <w:sz w:val="20"/>
          <w:szCs w:val="20"/>
          <w:color w:val="auto"/>
        </w:rPr>
      </w:pPr>
    </w:p>
    <w:p>
      <w:pPr>
        <w:jc w:val="both"/>
        <w:ind w:left="332"/>
        <w:spacing w:after="0" w:line="283"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RSUs such that an adjustment is required in order to preserve the benefits intended to be made available under this Plan, then the RSUs and related terms shall be adjusted and/or, if deemed appropriate, a cash payment to Participants or persons having outstanding RSUs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ectPr>
          <w:pgSz w:w="11900" w:h="16838" w:orient="portrait"/>
          <w:cols w:equalWidth="0" w:num="1">
            <w:col w:w="11232"/>
          </w:cols>
          <w:pgMar w:left="328" w:top="167" w:right="339" w:bottom="1440" w:gutter="0" w:footer="0" w:header="0"/>
        </w:sectPr>
      </w:pPr>
    </w:p>
    <w:bookmarkStart w:id="839" w:name="page840"/>
    <w:bookmarkEnd w:id="839"/>
    <w:tbl>
      <w:tblPr>
        <w:tblLayout w:type="fixed"/>
        <w:tblInd w:w="12" w:type="dxa"/>
        <w:tblCellMar>
          <w:top w:w="0" w:type="dxa"/>
          <w:left w:w="0" w:type="dxa"/>
          <w:bottom w:w="0" w:type="dxa"/>
          <w:right w:w="0" w:type="dxa"/>
        </w:tblCellMar>
      </w:tblPr>
      <w:tr>
        <w:trPr>
          <w:trHeight w:val="189"/>
        </w:trPr>
        <w:tc>
          <w:tcPr>
            <w:tcW w:w="6740" w:type="dxa"/>
            <w:vAlign w:val="bottom"/>
          </w:tcPr>
          <w:p>
            <w:pPr>
              <w:spacing w:after="0"/>
              <w:rPr>
                <w:sz w:val="20"/>
                <w:szCs w:val="20"/>
                <w:color w:val="auto"/>
              </w:rPr>
            </w:pPr>
            <w:r>
              <w:rPr>
                <w:rFonts w:ascii="Arial" w:cs="Arial" w:eastAsia="Arial" w:hAnsi="Arial"/>
                <w:sz w:val="14"/>
                <w:szCs w:val="14"/>
                <w:color w:val="auto"/>
              </w:rPr>
              <w:t>Molecular Partners AG: Restricted Share Plan 2019</w:t>
            </w:r>
          </w:p>
        </w:tc>
        <w:tc>
          <w:tcPr>
            <w:tcW w:w="3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2" w:hanging="532"/>
        <w:spacing w:after="0"/>
        <w:tabs>
          <w:tab w:leader="none" w:pos="532" w:val="left"/>
        </w:tabs>
        <w:numPr>
          <w:ilvl w:val="0"/>
          <w:numId w:val="906"/>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319" w:lineRule="exact"/>
        <w:rPr>
          <w:sz w:val="20"/>
          <w:szCs w:val="20"/>
          <w:color w:val="auto"/>
        </w:rPr>
      </w:pPr>
    </w:p>
    <w:p>
      <w:pPr>
        <w:jc w:val="both"/>
        <w:ind w:left="332" w:hanging="332"/>
        <w:spacing w:after="0" w:line="284" w:lineRule="auto"/>
        <w:tabs>
          <w:tab w:leader="none" w:pos="452" w:val="left"/>
        </w:tabs>
        <w:numPr>
          <w:ilvl w:val="0"/>
          <w:numId w:val="907"/>
        </w:numPr>
        <w:rPr>
          <w:rFonts w:ascii="Arial" w:cs="Arial" w:eastAsia="Arial" w:hAnsi="Arial"/>
          <w:sz w:val="18"/>
          <w:szCs w:val="18"/>
          <w:color w:val="auto"/>
        </w:rPr>
      </w:pPr>
      <w:r>
        <w:rPr>
          <w:rFonts w:ascii="Arial" w:cs="Arial" w:eastAsia="Arial" w:hAnsi="Arial"/>
          <w:sz w:val="18"/>
          <w:szCs w:val="18"/>
          <w:color w:val="auto"/>
        </w:rPr>
        <w:t>By accepting a grant of RSUs, each Participant consents to the collection and processing of personal data relating to the Participant in connection with such grant and the performance of this Plan and the RSU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RSUs, to provide for cash-less grants or sale mechanics and to generally administer and manage the Plan or keep records of participation levels.</w:t>
      </w:r>
    </w:p>
    <w:p>
      <w:pPr>
        <w:spacing w:after="0" w:line="244" w:lineRule="exact"/>
        <w:rPr>
          <w:rFonts w:ascii="Arial" w:cs="Arial" w:eastAsia="Arial" w:hAnsi="Arial"/>
          <w:sz w:val="18"/>
          <w:szCs w:val="18"/>
          <w:color w:val="auto"/>
        </w:rPr>
      </w:pPr>
    </w:p>
    <w:p>
      <w:pPr>
        <w:jc w:val="both"/>
        <w:ind w:left="332" w:hanging="332"/>
        <w:spacing w:after="0" w:line="285" w:lineRule="auto"/>
        <w:tabs>
          <w:tab w:leader="none" w:pos="453" w:val="left"/>
        </w:tabs>
        <w:numPr>
          <w:ilvl w:val="0"/>
          <w:numId w:val="907"/>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relevant Group Company.</w:t>
      </w:r>
    </w:p>
    <w:p>
      <w:pPr>
        <w:spacing w:after="0" w:line="200" w:lineRule="exact"/>
        <w:rPr>
          <w:sz w:val="20"/>
          <w:szCs w:val="20"/>
          <w:color w:val="auto"/>
        </w:rPr>
      </w:pPr>
    </w:p>
    <w:p>
      <w:pPr>
        <w:ind w:left="532" w:hanging="532"/>
        <w:spacing w:after="0"/>
        <w:tabs>
          <w:tab w:leader="none" w:pos="532" w:val="left"/>
        </w:tabs>
        <w:numPr>
          <w:ilvl w:val="0"/>
          <w:numId w:val="908"/>
        </w:numPr>
        <w:rPr>
          <w:rFonts w:ascii="Arial" w:cs="Arial" w:eastAsia="Arial" w:hAnsi="Arial"/>
          <w:sz w:val="22"/>
          <w:szCs w:val="22"/>
          <w:b w:val="1"/>
          <w:bCs w:val="1"/>
          <w:color w:val="auto"/>
        </w:rPr>
      </w:pPr>
      <w:r>
        <w:rPr>
          <w:rFonts w:ascii="Arial" w:cs="Arial" w:eastAsia="Arial" w:hAnsi="Arial"/>
          <w:sz w:val="22"/>
          <w:szCs w:val="22"/>
          <w:b w:val="1"/>
          <w:bCs w:val="1"/>
          <w:color w:val="auto"/>
        </w:rPr>
        <w:t>Legal and regulatory restrictions</w:t>
      </w:r>
    </w:p>
    <w:p>
      <w:pPr>
        <w:spacing w:after="0" w:line="319" w:lineRule="exact"/>
        <w:rPr>
          <w:sz w:val="20"/>
          <w:szCs w:val="20"/>
          <w:color w:val="auto"/>
        </w:rPr>
      </w:pPr>
    </w:p>
    <w:p>
      <w:pPr>
        <w:ind w:left="332" w:hanging="332"/>
        <w:spacing w:after="0" w:line="293" w:lineRule="auto"/>
        <w:tabs>
          <w:tab w:leader="none" w:pos="493" w:val="left"/>
        </w:tabs>
        <w:numPr>
          <w:ilvl w:val="0"/>
          <w:numId w:val="909"/>
        </w:numPr>
        <w:rPr>
          <w:rFonts w:ascii="Arial" w:cs="Arial" w:eastAsia="Arial" w:hAnsi="Arial"/>
          <w:sz w:val="18"/>
          <w:szCs w:val="18"/>
          <w:color w:val="auto"/>
        </w:rPr>
      </w:pPr>
      <w:r>
        <w:rPr>
          <w:rFonts w:ascii="Arial" w:cs="Arial" w:eastAsia="Arial" w:hAnsi="Arial"/>
          <w:sz w:val="18"/>
          <w:szCs w:val="18"/>
          <w:color w:val="auto"/>
        </w:rPr>
        <w:t>Neither the Shares nor the RSU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332" w:hanging="332"/>
        <w:spacing w:after="0" w:line="281" w:lineRule="auto"/>
        <w:tabs>
          <w:tab w:leader="none" w:pos="498" w:val="left"/>
        </w:tabs>
        <w:numPr>
          <w:ilvl w:val="0"/>
          <w:numId w:val="909"/>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RSUs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w:t>
      </w:r>
    </w:p>
    <w:p>
      <w:pPr>
        <w:spacing w:after="0" w:line="3" w:lineRule="exact"/>
        <w:rPr>
          <w:rFonts w:ascii="Arial" w:cs="Arial" w:eastAsia="Arial" w:hAnsi="Arial"/>
          <w:sz w:val="18"/>
          <w:szCs w:val="18"/>
          <w:color w:val="auto"/>
        </w:rPr>
      </w:pPr>
    </w:p>
    <w:p>
      <w:pPr>
        <w:jc w:val="both"/>
        <w:ind w:left="332"/>
        <w:spacing w:after="0" w:line="285" w:lineRule="auto"/>
        <w:rPr>
          <w:rFonts w:ascii="Arial" w:cs="Arial" w:eastAsia="Arial" w:hAnsi="Arial"/>
          <w:sz w:val="18"/>
          <w:szCs w:val="18"/>
          <w:color w:val="auto"/>
        </w:rPr>
      </w:pPr>
      <w:r>
        <w:rPr>
          <w:rFonts w:ascii="Arial" w:cs="Arial" w:eastAsia="Arial" w:hAnsi="Arial"/>
          <w:sz w:val="18"/>
          <w:szCs w:val="18"/>
          <w:color w:val="auto"/>
        </w:rPr>
        <w:t>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 its own discretion whether and how to compensate the relevant persons in lieu of such grant, delivery or extension.</w:t>
      </w:r>
    </w:p>
    <w:p>
      <w:pPr>
        <w:spacing w:after="0" w:line="245" w:lineRule="exact"/>
        <w:rPr>
          <w:rFonts w:ascii="Arial" w:cs="Arial" w:eastAsia="Arial" w:hAnsi="Arial"/>
          <w:sz w:val="18"/>
          <w:szCs w:val="18"/>
          <w:color w:val="auto"/>
        </w:rPr>
      </w:pPr>
    </w:p>
    <w:p>
      <w:pPr>
        <w:ind w:left="332" w:hanging="332"/>
        <w:spacing w:after="0" w:line="293" w:lineRule="auto"/>
        <w:tabs>
          <w:tab w:leader="none" w:pos="427" w:val="left"/>
        </w:tabs>
        <w:numPr>
          <w:ilvl w:val="0"/>
          <w:numId w:val="909"/>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RSUs and any shares granted thereunder.</w:t>
      </w:r>
    </w:p>
    <w:p>
      <w:pPr>
        <w:spacing w:after="0" w:line="223" w:lineRule="exact"/>
        <w:rPr>
          <w:rFonts w:ascii="Arial" w:cs="Arial" w:eastAsia="Arial" w:hAnsi="Arial"/>
          <w:sz w:val="18"/>
          <w:szCs w:val="18"/>
          <w:color w:val="auto"/>
        </w:rPr>
      </w:pPr>
    </w:p>
    <w:p>
      <w:pPr>
        <w:ind w:left="332" w:hanging="332"/>
        <w:spacing w:after="0" w:line="293" w:lineRule="auto"/>
        <w:tabs>
          <w:tab w:leader="none" w:pos="474" w:val="left"/>
        </w:tabs>
        <w:numPr>
          <w:ilvl w:val="0"/>
          <w:numId w:val="909"/>
        </w:numPr>
        <w:rPr>
          <w:rFonts w:ascii="Arial" w:cs="Arial" w:eastAsia="Arial" w:hAnsi="Arial"/>
          <w:sz w:val="18"/>
          <w:szCs w:val="18"/>
          <w:color w:val="auto"/>
        </w:rPr>
      </w:pPr>
      <w:r>
        <w:rPr>
          <w:rFonts w:ascii="Arial" w:cs="Arial" w:eastAsia="Arial" w:hAnsi="Arial"/>
          <w:sz w:val="18"/>
          <w:szCs w:val="18"/>
          <w:color w:val="auto"/>
        </w:rPr>
        <w:t>Any grant of RSUs to members of the Board of Directors that qualifies as prohibited payment under the Compensation Ordinance or otherwise, shall be null and void.</w:t>
      </w:r>
    </w:p>
    <w:p>
      <w:pPr>
        <w:spacing w:after="0" w:line="237" w:lineRule="exact"/>
        <w:rPr>
          <w:rFonts w:ascii="Arial" w:cs="Arial" w:eastAsia="Arial" w:hAnsi="Arial"/>
          <w:sz w:val="18"/>
          <w:szCs w:val="18"/>
          <w:color w:val="auto"/>
        </w:rPr>
      </w:pPr>
    </w:p>
    <w:p>
      <w:pPr>
        <w:jc w:val="both"/>
        <w:ind w:left="332" w:hanging="332"/>
        <w:spacing w:after="0" w:line="287" w:lineRule="auto"/>
        <w:tabs>
          <w:tab w:leader="none" w:pos="565" w:val="left"/>
        </w:tabs>
        <w:numPr>
          <w:ilvl w:val="0"/>
          <w:numId w:val="909"/>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particular in case of termination of Relationship or Change of Control, should, at the time of the relevant event, qualify as providing additional value to a member of the Board of Directors in a manner that would violate the Compensation Ordinance or other legal provisions, such additional</w:t>
      </w:r>
    </w:p>
    <w:p>
      <w:pPr>
        <w:sectPr>
          <w:pgSz w:w="11900" w:h="16838" w:orient="portrait"/>
          <w:cols w:equalWidth="0" w:num="1">
            <w:col w:w="11232"/>
          </w:cols>
          <w:pgMar w:left="328" w:top="167" w:right="339" w:bottom="1440" w:gutter="0" w:footer="0" w:header="0"/>
        </w:sectPr>
      </w:pPr>
    </w:p>
    <w:bookmarkStart w:id="840" w:name="page841"/>
    <w:bookmarkEnd w:id="840"/>
    <w:tbl>
      <w:tblPr>
        <w:tblLayout w:type="fixed"/>
        <w:tblInd w:w="20" w:type="dxa"/>
        <w:tblCellMar>
          <w:top w:w="0" w:type="dxa"/>
          <w:left w:w="0" w:type="dxa"/>
          <w:bottom w:w="0" w:type="dxa"/>
          <w:right w:w="0" w:type="dxa"/>
        </w:tblCellMar>
      </w:tblPr>
      <w:tr>
        <w:trPr>
          <w:trHeight w:val="189"/>
        </w:trPr>
        <w:tc>
          <w:tcPr>
            <w:tcW w:w="6740" w:type="dxa"/>
            <w:vAlign w:val="bottom"/>
          </w:tcPr>
          <w:p>
            <w:pPr>
              <w:spacing w:after="0"/>
              <w:rPr>
                <w:sz w:val="20"/>
                <w:szCs w:val="20"/>
                <w:color w:val="auto"/>
              </w:rPr>
            </w:pPr>
            <w:r>
              <w:rPr>
                <w:rFonts w:ascii="Arial" w:cs="Arial" w:eastAsia="Arial" w:hAnsi="Arial"/>
                <w:sz w:val="14"/>
                <w:szCs w:val="14"/>
                <w:color w:val="auto"/>
              </w:rPr>
              <w:t>Molecular Partners AG: Restricted Share Plan 2019</w:t>
            </w:r>
          </w:p>
        </w:tc>
        <w:tc>
          <w:tcPr>
            <w:tcW w:w="35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 shall be otherwise compensated, e.g. by a relevant deduction from cash compensation or other proceeds.</w:t>
      </w:r>
    </w:p>
    <w:p>
      <w:pPr>
        <w:spacing w:after="0" w:line="261" w:lineRule="exact"/>
        <w:rPr>
          <w:sz w:val="20"/>
          <w:szCs w:val="20"/>
          <w:color w:val="auto"/>
        </w:rPr>
      </w:pPr>
    </w:p>
    <w:p>
      <w:pPr>
        <w:ind w:left="540" w:hanging="532"/>
        <w:spacing w:after="0"/>
        <w:tabs>
          <w:tab w:leader="none" w:pos="540" w:val="left"/>
        </w:tabs>
        <w:numPr>
          <w:ilvl w:val="0"/>
          <w:numId w:val="910"/>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p>
    <w:p>
      <w:pPr>
        <w:spacing w:after="0" w:line="31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RSU grants. Any adverse economic effects of such termination, suspension or amendment on grants already made pursuant to a RSU Agreement shall be fairly compensated in cash, by adjustment of other terms of the grant, by replacement by other grants or benefits, or otherwise.</w:t>
      </w:r>
    </w:p>
    <w:p>
      <w:pPr>
        <w:spacing w:after="0" w:line="200" w:lineRule="exact"/>
        <w:rPr>
          <w:sz w:val="20"/>
          <w:szCs w:val="20"/>
          <w:color w:val="auto"/>
        </w:rPr>
      </w:pPr>
    </w:p>
    <w:p>
      <w:pPr>
        <w:ind w:left="540" w:hanging="532"/>
        <w:spacing w:after="0"/>
        <w:tabs>
          <w:tab w:leader="none" w:pos="540" w:val="left"/>
        </w:tabs>
        <w:numPr>
          <w:ilvl w:val="0"/>
          <w:numId w:val="911"/>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ind w:left="540" w:hanging="532"/>
        <w:spacing w:after="0"/>
        <w:tabs>
          <w:tab w:leader="none" w:pos="540" w:val="left"/>
        </w:tabs>
        <w:numPr>
          <w:ilvl w:val="0"/>
          <w:numId w:val="912"/>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319" w:lineRule="exact"/>
        <w:rPr>
          <w:sz w:val="20"/>
          <w:szCs w:val="20"/>
          <w:color w:val="auto"/>
        </w:rPr>
      </w:pPr>
    </w:p>
    <w:p>
      <w:pPr>
        <w:ind w:left="420" w:hanging="412"/>
        <w:spacing w:after="0"/>
        <w:tabs>
          <w:tab w:leader="none" w:pos="420" w:val="left"/>
        </w:tabs>
        <w:numPr>
          <w:ilvl w:val="0"/>
          <w:numId w:val="913"/>
        </w:numPr>
        <w:rPr>
          <w:rFonts w:ascii="Arial" w:cs="Arial" w:eastAsia="Arial" w:hAnsi="Arial"/>
          <w:sz w:val="18"/>
          <w:szCs w:val="18"/>
          <w:color w:val="auto"/>
        </w:rPr>
      </w:pPr>
      <w:r>
        <w:rPr>
          <w:rFonts w:ascii="Arial" w:cs="Arial" w:eastAsia="Arial" w:hAnsi="Arial"/>
          <w:sz w:val="18"/>
          <w:szCs w:val="18"/>
          <w:color w:val="auto"/>
        </w:rPr>
        <w:t>This Plan and any RSU Award Agreement shall be governed by, and construed in accordance with, the substantive laws of Switzerland.</w:t>
      </w:r>
    </w:p>
    <w:p>
      <w:pPr>
        <w:spacing w:after="0" w:line="292" w:lineRule="exact"/>
        <w:rPr>
          <w:rFonts w:ascii="Arial" w:cs="Arial" w:eastAsia="Arial" w:hAnsi="Arial"/>
          <w:sz w:val="18"/>
          <w:szCs w:val="18"/>
          <w:color w:val="auto"/>
        </w:rPr>
      </w:pPr>
    </w:p>
    <w:p>
      <w:pPr>
        <w:jc w:val="both"/>
        <w:ind w:left="340" w:hanging="332"/>
        <w:spacing w:after="0" w:line="287" w:lineRule="auto"/>
        <w:tabs>
          <w:tab w:leader="none" w:pos="577" w:val="left"/>
        </w:tabs>
        <w:numPr>
          <w:ilvl w:val="0"/>
          <w:numId w:val="913"/>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RSU Award Agreement shall be submitted to the exclusive jurisdiction of the courts at the domicile of the Company (currently Schlieren, Canton of Zurich, Switzerland).</w:t>
      </w:r>
    </w:p>
    <w:p>
      <w:pPr>
        <w:spacing w:after="0" w:line="198" w:lineRule="exact"/>
        <w:rPr>
          <w:sz w:val="20"/>
          <w:szCs w:val="20"/>
          <w:color w:val="auto"/>
        </w:rPr>
      </w:pPr>
    </w:p>
    <w:p>
      <w:pPr>
        <w:ind w:left="540" w:hanging="532"/>
        <w:spacing w:after="0"/>
        <w:tabs>
          <w:tab w:leader="none" w:pos="540" w:val="left"/>
        </w:tabs>
        <w:numPr>
          <w:ilvl w:val="0"/>
          <w:numId w:val="914"/>
        </w:numPr>
        <w:rPr>
          <w:rFonts w:ascii="Arial" w:cs="Arial" w:eastAsia="Arial" w:hAnsi="Arial"/>
          <w:sz w:val="22"/>
          <w:szCs w:val="22"/>
          <w:b w:val="1"/>
          <w:bCs w:val="1"/>
          <w:color w:val="auto"/>
        </w:rPr>
      </w:pPr>
      <w:r>
        <w:rPr>
          <w:rFonts w:ascii="Arial" w:cs="Arial" w:eastAsia="Arial" w:hAnsi="Arial"/>
          <w:sz w:val="22"/>
          <w:szCs w:val="22"/>
          <w:b w:val="1"/>
          <w:bCs w:val="1"/>
          <w:color w:val="auto"/>
        </w:rPr>
        <w:t>Entry into Force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per the approval of the Board of Directors, this Plan shall enter into force as of March 13, 2019.</w:t>
      </w:r>
    </w:p>
    <w:p>
      <w:pPr>
        <w:sectPr>
          <w:pgSz w:w="11900" w:h="16838" w:orient="portrait"/>
          <w:cols w:equalWidth="0" w:num="1">
            <w:col w:w="11240"/>
          </w:cols>
          <w:pgMar w:left="320" w:top="167" w:right="339" w:bottom="1440" w:gutter="0" w:footer="0" w:header="0"/>
        </w:sectPr>
      </w:pPr>
    </w:p>
    <w:bookmarkStart w:id="841" w:name="page842"/>
    <w:bookmarkEnd w:id="841"/>
    <w:p>
      <w:pPr>
        <w:spacing w:after="0"/>
        <w:rPr>
          <w:sz w:val="20"/>
          <w:szCs w:val="20"/>
          <w:color w:val="auto"/>
        </w:rPr>
      </w:pPr>
      <w:r>
        <w:rPr>
          <w:rFonts w:ascii="Arial" w:cs="Arial" w:eastAsia="Arial" w:hAnsi="Arial"/>
          <w:sz w:val="14"/>
          <w:szCs w:val="14"/>
          <w:color w:val="auto"/>
        </w:rPr>
        <w:t>Molecular Partners AG: Restricted Share Plan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14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RSUs through a RSU Award Agreement based on this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 xml:space="preserve">Relationship </w:t>
      </w:r>
      <w:r>
        <w:rPr>
          <w:rFonts w:ascii="Arial" w:cs="Arial" w:eastAsia="Arial" w:hAnsi="Arial"/>
          <w:sz w:val="18"/>
          <w:szCs w:val="18"/>
          <w:color w:val="auto"/>
        </w:rPr>
        <w:t>shall mean the board relationship and any relating contractual relationship of a member of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consultancy or other legal or contractual relationship of any other Participant.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shall have the meaning set forth in Section 1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Award Agreement </w:t>
      </w:r>
      <w:r>
        <w:rPr>
          <w:rFonts w:ascii="Arial" w:cs="Arial" w:eastAsia="Arial" w:hAnsi="Arial"/>
          <w:sz w:val="18"/>
          <w:szCs w:val="18"/>
          <w:color w:val="auto"/>
        </w:rPr>
        <w:t>shall have the meaning set forth in Section 4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40"/>
          </w:cols>
          <w:pgMar w:left="320" w:top="158" w:right="339" w:bottom="1440" w:gutter="0" w:footer="0" w:header="0"/>
        </w:sectPr>
      </w:pPr>
    </w:p>
    <w:bookmarkStart w:id="842" w:name="page843"/>
    <w:bookmarkEnd w:id="842"/>
    <w:p>
      <w:pPr>
        <w:spacing w:after="0"/>
        <w:rPr>
          <w:sz w:val="20"/>
          <w:szCs w:val="20"/>
          <w:color w:val="auto"/>
        </w:rPr>
      </w:pPr>
      <w:r>
        <w:rPr>
          <w:rFonts w:ascii="Arial" w:cs="Arial" w:eastAsia="Arial" w:hAnsi="Arial"/>
          <w:sz w:val="14"/>
          <w:szCs w:val="14"/>
          <w:color w:val="auto"/>
        </w:rPr>
        <w:t>Molecular Partners AG: Restricted Share Plan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Agreement 2019</w:t>
      </w:r>
    </w:p>
    <w:p>
      <w:pPr>
        <w:spacing w:after="0" w:line="25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a Swiss corporation, with its domicile in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Restricted Share Plan 2019 (the </w:t>
      </w:r>
      <w:r>
        <w:rPr>
          <w:rFonts w:ascii="Arial" w:cs="Arial" w:eastAsia="Arial" w:hAnsi="Arial"/>
          <w:sz w:val="18"/>
          <w:szCs w:val="18"/>
          <w:b w:val="1"/>
          <w:bCs w:val="1"/>
          <w:color w:val="auto"/>
        </w:rPr>
        <w:t>RSU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RSU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RSU Plan, the Company hereby grants to you the following RSUs: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351"/>
        </w:trPr>
        <w:tc>
          <w:tcPr>
            <w:tcW w:w="284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7020" w:type="dxa"/>
            <w:vAlign w:val="bottom"/>
            <w:shd w:val="clear" w:color="auto" w:fill="D9D9D9"/>
          </w:tcPr>
          <w:p>
            <w:pPr>
              <w:ind w:left="60"/>
              <w:spacing w:after="0"/>
              <w:rPr>
                <w:sz w:val="20"/>
                <w:szCs w:val="20"/>
                <w:color w:val="auto"/>
              </w:rPr>
            </w:pPr>
            <w:r>
              <w:rPr>
                <w:rFonts w:ascii="Arial" w:cs="Arial" w:eastAsia="Arial" w:hAnsi="Arial"/>
                <w:sz w:val="18"/>
                <w:szCs w:val="18"/>
                <w:color w:val="auto"/>
              </w:rPr>
              <w:t>[■]</w:t>
            </w:r>
          </w:p>
        </w:tc>
      </w:tr>
      <w:tr>
        <w:trPr>
          <w:trHeight w:val="486"/>
        </w:trPr>
        <w:tc>
          <w:tcPr>
            <w:tcW w:w="28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7020" w:type="dxa"/>
            <w:vAlign w:val="bottom"/>
            <w:shd w:val="clear" w:color="auto" w:fill="D9D9D9"/>
          </w:tcPr>
          <w:p>
            <w:pPr>
              <w:ind w:left="60"/>
              <w:spacing w:after="0"/>
              <w:rPr>
                <w:sz w:val="20"/>
                <w:szCs w:val="20"/>
                <w:color w:val="auto"/>
              </w:rPr>
            </w:pPr>
            <w:r>
              <w:rPr>
                <w:rFonts w:ascii="Arial" w:cs="Arial" w:eastAsia="Arial" w:hAnsi="Arial"/>
                <w:sz w:val="18"/>
                <w:szCs w:val="18"/>
                <w:color w:val="auto"/>
              </w:rPr>
              <w:t>[■]</w:t>
            </w:r>
          </w:p>
        </w:tc>
      </w:tr>
      <w:tr>
        <w:trPr>
          <w:trHeight w:val="486"/>
        </w:trPr>
        <w:tc>
          <w:tcPr>
            <w:tcW w:w="284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7020" w:type="dxa"/>
            <w:vAlign w:val="bottom"/>
            <w:shd w:val="clear" w:color="auto" w:fill="D9D9D9"/>
          </w:tcPr>
          <w:p>
            <w:pPr>
              <w:ind w:left="60"/>
              <w:spacing w:after="0"/>
              <w:rPr>
                <w:sz w:val="20"/>
                <w:szCs w:val="20"/>
                <w:color w:val="auto"/>
              </w:rPr>
            </w:pPr>
            <w:r>
              <w:rPr>
                <w:rFonts w:ascii="Arial" w:cs="Arial" w:eastAsia="Arial" w:hAnsi="Arial"/>
                <w:sz w:val="18"/>
                <w:szCs w:val="18"/>
                <w:color w:val="auto"/>
              </w:rPr>
              <w:t>[■]</w:t>
            </w:r>
          </w:p>
        </w:tc>
      </w:tr>
      <w:tr>
        <w:trPr>
          <w:trHeight w:val="135"/>
        </w:trPr>
        <w:tc>
          <w:tcPr>
            <w:tcW w:w="2840" w:type="dxa"/>
            <w:vAlign w:val="bottom"/>
          </w:tcPr>
          <w:p>
            <w:pPr>
              <w:spacing w:after="0"/>
              <w:rPr>
                <w:sz w:val="11"/>
                <w:szCs w:val="11"/>
                <w:color w:val="auto"/>
              </w:rPr>
            </w:pPr>
          </w:p>
        </w:tc>
        <w:tc>
          <w:tcPr>
            <w:tcW w:w="7020" w:type="dxa"/>
            <w:vAlign w:val="bottom"/>
            <w:shd w:val="clear" w:color="auto" w:fill="D9D9D9"/>
          </w:tcPr>
          <w:p>
            <w:pPr>
              <w:spacing w:after="0"/>
              <w:rPr>
                <w:sz w:val="11"/>
                <w:szCs w:val="11"/>
                <w:color w:val="auto"/>
              </w:rPr>
            </w:pPr>
          </w:p>
        </w:tc>
      </w:tr>
    </w:tbl>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grants and any rights associated therewith are personal and not transferable. Please note that the RSU Plan includes a number of restrictions and conditions, which may lead to a complete loss of any entitlements hereunder. [Any grants made to members of the Board of Directors shall be subject to the approval of relevant compensation amounts for the Board of Directors by the shareholders' meeting for the year 2019.]</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RSUs in accordance with this Agreement and the RSU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RSUs is being made, without obligation, at the sole and unrestricted discretion of the Company. The RSU Plan, your eligibility thereunder, the grant of RSUs or the allocation of Shares in connection therewith shall not confer upon you any right to participate in the RSU Plan or to receive grants of RSUs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200" w:lineRule="exact"/>
        <w:rPr>
          <w:sz w:val="20"/>
          <w:szCs w:val="20"/>
          <w:color w:val="auto"/>
        </w:rPr>
      </w:pPr>
    </w:p>
    <w:p>
      <w:pPr>
        <w:spacing w:after="0" w:line="253"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________________________</w:t>
      </w:r>
      <w:r>
        <w:rPr>
          <w:sz w:val="20"/>
          <w:szCs w:val="20"/>
          <w:color w:val="auto"/>
        </w:rPr>
        <w:tab/>
      </w:r>
      <w:r>
        <w:rPr>
          <w:rFonts w:ascii="Arial" w:cs="Arial" w:eastAsia="Arial" w:hAnsi="Arial"/>
          <w:sz w:val="18"/>
          <w:szCs w:val="18"/>
          <w:color w:val="auto"/>
        </w:rPr>
        <w:t>_________________________</w:t>
      </w:r>
    </w:p>
    <w:p>
      <w:pPr>
        <w:spacing w:after="0"/>
        <w:tabs>
          <w:tab w:leader="none" w:pos="1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by the Participant on ____________________</w:t>
      </w:r>
    </w:p>
    <w:p>
      <w:pPr>
        <w:spacing w:after="0"/>
        <w:rPr>
          <w:sz w:val="20"/>
          <w:szCs w:val="20"/>
          <w:color w:val="auto"/>
        </w:rPr>
      </w:pPr>
      <w:r>
        <w:rPr>
          <w:rFonts w:ascii="Arial" w:cs="Arial" w:eastAsia="Arial" w:hAnsi="Arial"/>
          <w:sz w:val="16"/>
          <w:szCs w:val="16"/>
          <w:color w:val="auto"/>
        </w:rPr>
        <w:t>(Date)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rPr>
          <w:sz w:val="20"/>
          <w:szCs w:val="20"/>
          <w:color w:val="auto"/>
        </w:rPr>
      </w:pPr>
      <w:r>
        <w:rPr>
          <w:rFonts w:ascii="Arial" w:cs="Arial" w:eastAsia="Arial" w:hAnsi="Arial"/>
          <w:sz w:val="16"/>
          <w:szCs w:val="16"/>
          <w:color w:val="auto"/>
        </w:rPr>
        <w:t>(Signature)</w:t>
      </w:r>
    </w:p>
    <w:p>
      <w:pPr>
        <w:sectPr>
          <w:pgSz w:w="11900" w:h="16838" w:orient="portrait"/>
          <w:cols w:equalWidth="0" w:num="1">
            <w:col w:w="11240"/>
          </w:cols>
          <w:pgMar w:left="320" w:top="158" w:right="339" w:bottom="1440" w:gutter="0" w:footer="0" w:header="0"/>
        </w:sectPr>
      </w:pPr>
    </w:p>
    <w:bookmarkStart w:id="843" w:name="page844"/>
    <w:bookmarkEnd w:id="843"/>
    <w:p>
      <w:pPr>
        <w:jc w:val="right"/>
        <w:spacing w:after="0"/>
        <w:rPr>
          <w:sz w:val="20"/>
          <w:szCs w:val="20"/>
          <w:color w:val="auto"/>
        </w:rPr>
      </w:pPr>
      <w:r>
        <w:rPr>
          <w:rFonts w:ascii="Arial" w:cs="Arial" w:eastAsia="Arial" w:hAnsi="Arial"/>
          <w:sz w:val="18"/>
          <w:szCs w:val="18"/>
          <w:b w:val="1"/>
          <w:bCs w:val="1"/>
          <w:color w:val="auto"/>
        </w:rPr>
        <w:t>Exhibit 10.16</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Molecular Partners AG: Restricted Share Plan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Restricted Share Plan 2020</w:t>
      </w:r>
    </w:p>
    <w:p>
      <w:pPr>
        <w:sectPr>
          <w:pgSz w:w="11900" w:h="16838" w:orient="portrait"/>
          <w:cols w:equalWidth="0" w:num="1">
            <w:col w:w="11220"/>
          </w:cols>
          <w:pgMar w:left="340" w:top="135" w:right="339" w:bottom="1440" w:gutter="0" w:footer="0" w:header="0"/>
        </w:sectPr>
      </w:pPr>
    </w:p>
    <w:bookmarkStart w:id="844" w:name="page845"/>
    <w:bookmarkEnd w:id="844"/>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2020</w:t>
            </w:r>
          </w:p>
        </w:tc>
        <w:tc>
          <w:tcPr>
            <w:tcW w:w="4180" w:type="dxa"/>
            <w:vAlign w:val="bottom"/>
          </w:tcPr>
          <w:p>
            <w:pPr>
              <w:jc w:val="right"/>
              <w:spacing w:after="0"/>
              <w:rPr>
                <w:sz w:val="20"/>
                <w:szCs w:val="20"/>
                <w:color w:val="auto"/>
              </w:rPr>
            </w:pPr>
            <w:r>
              <w:rPr>
                <w:rFonts w:ascii="Arial" w:cs="Arial" w:eastAsia="Arial" w:hAnsi="Arial"/>
                <w:sz w:val="13"/>
                <w:szCs w:val="13"/>
                <w:color w:val="auto"/>
              </w:rPr>
              <w:t>2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7020" w:type="dxa"/>
            <w:vAlign w:val="bottom"/>
            <w:gridSpan w:val="3"/>
          </w:tcPr>
          <w:p>
            <w:pPr>
              <w:spacing w:after="0"/>
              <w:rPr>
                <w:sz w:val="20"/>
                <w:szCs w:val="20"/>
                <w:color w:val="auto"/>
              </w:rPr>
            </w:pPr>
            <w:r>
              <w:rPr>
                <w:rFonts w:ascii="Arial" w:cs="Arial" w:eastAsia="Arial" w:hAnsi="Arial"/>
                <w:sz w:val="20"/>
                <w:szCs w:val="20"/>
                <w:color w:val="auto"/>
              </w:rPr>
              <w:t>Restricted Share Plan 2020</w:t>
            </w:r>
          </w:p>
        </w:tc>
        <w:tc>
          <w:tcPr>
            <w:tcW w:w="32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1.</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Purpose</w:t>
            </w:r>
          </w:p>
        </w:tc>
        <w:tc>
          <w:tcPr>
            <w:tcW w:w="32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2.</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Definitions and Interpretation</w:t>
            </w:r>
          </w:p>
        </w:tc>
        <w:tc>
          <w:tcPr>
            <w:tcW w:w="32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3.</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Responsibilities and Administration</w:t>
            </w:r>
          </w:p>
        </w:tc>
        <w:tc>
          <w:tcPr>
            <w:tcW w:w="32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4.</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Eligibility and Participation</w:t>
            </w:r>
          </w:p>
        </w:tc>
        <w:tc>
          <w:tcPr>
            <w:tcW w:w="32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5.</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Grant of RSUs</w:t>
            </w:r>
          </w:p>
        </w:tc>
        <w:tc>
          <w:tcPr>
            <w:tcW w:w="32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6.</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No Securities</w:t>
            </w:r>
          </w:p>
        </w:tc>
        <w:tc>
          <w:tcPr>
            <w:tcW w:w="32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7.</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No Transfer</w:t>
            </w:r>
          </w:p>
        </w:tc>
        <w:tc>
          <w:tcPr>
            <w:tcW w:w="32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8.</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Vesting and Delivery of Shares</w:t>
            </w:r>
          </w:p>
        </w:tc>
        <w:tc>
          <w:tcPr>
            <w:tcW w:w="32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200" w:type="dxa"/>
            <w:vAlign w:val="bottom"/>
          </w:tcPr>
          <w:p>
            <w:pPr>
              <w:spacing w:after="0"/>
              <w:rPr>
                <w:sz w:val="20"/>
                <w:szCs w:val="20"/>
                <w:color w:val="auto"/>
              </w:rPr>
            </w:pPr>
            <w:r>
              <w:rPr>
                <w:rFonts w:ascii="Arial" w:cs="Arial" w:eastAsia="Arial" w:hAnsi="Arial"/>
                <w:sz w:val="20"/>
                <w:szCs w:val="20"/>
                <w:color w:val="auto"/>
              </w:rPr>
              <w:t>9.</w:t>
            </w:r>
          </w:p>
        </w:tc>
        <w:tc>
          <w:tcPr>
            <w:tcW w:w="6820" w:type="dxa"/>
            <w:vAlign w:val="bottom"/>
            <w:gridSpan w:val="2"/>
          </w:tcPr>
          <w:p>
            <w:pPr>
              <w:ind w:left="20"/>
              <w:spacing w:after="0"/>
              <w:rPr>
                <w:sz w:val="20"/>
                <w:szCs w:val="20"/>
                <w:color w:val="auto"/>
              </w:rPr>
            </w:pPr>
            <w:r>
              <w:rPr>
                <w:rFonts w:ascii="Arial" w:cs="Arial" w:eastAsia="Arial" w:hAnsi="Arial"/>
                <w:sz w:val="20"/>
                <w:szCs w:val="20"/>
                <w:color w:val="auto"/>
              </w:rPr>
              <w:t>Underlying Shares</w:t>
            </w:r>
          </w:p>
        </w:tc>
        <w:tc>
          <w:tcPr>
            <w:tcW w:w="32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10.</w:t>
            </w:r>
          </w:p>
        </w:tc>
        <w:tc>
          <w:tcPr>
            <w:tcW w:w="6720" w:type="dxa"/>
            <w:vAlign w:val="bottom"/>
          </w:tcPr>
          <w:p>
            <w:pPr>
              <w:ind w:left="40"/>
              <w:spacing w:after="0"/>
              <w:rPr>
                <w:sz w:val="20"/>
                <w:szCs w:val="20"/>
                <w:color w:val="auto"/>
              </w:rPr>
            </w:pPr>
            <w:r>
              <w:rPr>
                <w:rFonts w:ascii="Arial" w:cs="Arial" w:eastAsia="Arial" w:hAnsi="Arial"/>
                <w:sz w:val="20"/>
                <w:szCs w:val="20"/>
                <w:color w:val="auto"/>
              </w:rPr>
              <w:t>Taxes and Social Security Contributions</w:t>
            </w:r>
          </w:p>
        </w:tc>
        <w:tc>
          <w:tcPr>
            <w:tcW w:w="328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11.</w:t>
            </w:r>
          </w:p>
        </w:tc>
        <w:tc>
          <w:tcPr>
            <w:tcW w:w="6720" w:type="dxa"/>
            <w:vAlign w:val="bottom"/>
          </w:tcPr>
          <w:p>
            <w:pPr>
              <w:ind w:left="40"/>
              <w:spacing w:after="0"/>
              <w:rPr>
                <w:sz w:val="20"/>
                <w:szCs w:val="20"/>
                <w:color w:val="auto"/>
              </w:rPr>
            </w:pPr>
            <w:r>
              <w:rPr>
                <w:rFonts w:ascii="Arial" w:cs="Arial" w:eastAsia="Arial" w:hAnsi="Arial"/>
                <w:sz w:val="20"/>
                <w:szCs w:val="20"/>
                <w:color w:val="auto"/>
              </w:rPr>
              <w:t>Disclosure Requirements</w:t>
            </w:r>
          </w:p>
        </w:tc>
        <w:tc>
          <w:tcPr>
            <w:tcW w:w="32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12.</w:t>
            </w:r>
          </w:p>
        </w:tc>
        <w:tc>
          <w:tcPr>
            <w:tcW w:w="6720" w:type="dxa"/>
            <w:vAlign w:val="bottom"/>
          </w:tcPr>
          <w:p>
            <w:pPr>
              <w:ind w:left="40"/>
              <w:spacing w:after="0"/>
              <w:rPr>
                <w:sz w:val="20"/>
                <w:szCs w:val="20"/>
                <w:color w:val="auto"/>
              </w:rPr>
            </w:pPr>
            <w:r>
              <w:rPr>
                <w:rFonts w:ascii="Arial" w:cs="Arial" w:eastAsia="Arial" w:hAnsi="Arial"/>
                <w:sz w:val="20"/>
                <w:szCs w:val="20"/>
                <w:color w:val="auto"/>
              </w:rPr>
              <w:t>Other Obligations of the Participant</w:t>
            </w:r>
          </w:p>
        </w:tc>
        <w:tc>
          <w:tcPr>
            <w:tcW w:w="32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13.</w:t>
            </w:r>
          </w:p>
        </w:tc>
        <w:tc>
          <w:tcPr>
            <w:tcW w:w="6720" w:type="dxa"/>
            <w:vAlign w:val="bottom"/>
          </w:tcPr>
          <w:p>
            <w:pPr>
              <w:ind w:left="40"/>
              <w:spacing w:after="0"/>
              <w:rPr>
                <w:sz w:val="20"/>
                <w:szCs w:val="20"/>
                <w:color w:val="auto"/>
              </w:rPr>
            </w:pPr>
            <w:r>
              <w:rPr>
                <w:rFonts w:ascii="Arial" w:cs="Arial" w:eastAsia="Arial" w:hAnsi="Arial"/>
                <w:sz w:val="20"/>
                <w:szCs w:val="20"/>
                <w:color w:val="auto"/>
              </w:rPr>
              <w:t>Termination of Relationship</w:t>
            </w:r>
          </w:p>
        </w:tc>
        <w:tc>
          <w:tcPr>
            <w:tcW w:w="32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14.</w:t>
            </w:r>
          </w:p>
        </w:tc>
        <w:tc>
          <w:tcPr>
            <w:tcW w:w="6720" w:type="dxa"/>
            <w:vAlign w:val="bottom"/>
          </w:tcPr>
          <w:p>
            <w:pPr>
              <w:ind w:left="40"/>
              <w:spacing w:after="0"/>
              <w:rPr>
                <w:sz w:val="20"/>
                <w:szCs w:val="20"/>
                <w:color w:val="auto"/>
              </w:rPr>
            </w:pPr>
            <w:r>
              <w:rPr>
                <w:rFonts w:ascii="Arial" w:cs="Arial" w:eastAsia="Arial" w:hAnsi="Arial"/>
                <w:sz w:val="20"/>
                <w:szCs w:val="20"/>
                <w:color w:val="auto"/>
              </w:rPr>
              <w:t>Change of Control</w:t>
            </w:r>
          </w:p>
        </w:tc>
        <w:tc>
          <w:tcPr>
            <w:tcW w:w="328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15.</w:t>
            </w:r>
          </w:p>
        </w:tc>
        <w:tc>
          <w:tcPr>
            <w:tcW w:w="6720" w:type="dxa"/>
            <w:vAlign w:val="bottom"/>
          </w:tcPr>
          <w:p>
            <w:pPr>
              <w:ind w:left="40"/>
              <w:spacing w:after="0"/>
              <w:rPr>
                <w:sz w:val="20"/>
                <w:szCs w:val="20"/>
                <w:color w:val="auto"/>
              </w:rPr>
            </w:pPr>
            <w:r>
              <w:rPr>
                <w:rFonts w:ascii="Arial" w:cs="Arial" w:eastAsia="Arial" w:hAnsi="Arial"/>
                <w:sz w:val="20"/>
                <w:szCs w:val="20"/>
                <w:color w:val="auto"/>
              </w:rPr>
              <w:t>Corporate Events</w:t>
            </w:r>
          </w:p>
        </w:tc>
        <w:tc>
          <w:tcPr>
            <w:tcW w:w="328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16.</w:t>
            </w:r>
          </w:p>
        </w:tc>
        <w:tc>
          <w:tcPr>
            <w:tcW w:w="6720" w:type="dxa"/>
            <w:vAlign w:val="bottom"/>
          </w:tcPr>
          <w:p>
            <w:pPr>
              <w:ind w:left="40"/>
              <w:spacing w:after="0"/>
              <w:rPr>
                <w:sz w:val="20"/>
                <w:szCs w:val="20"/>
                <w:color w:val="auto"/>
              </w:rPr>
            </w:pPr>
            <w:r>
              <w:rPr>
                <w:rFonts w:ascii="Arial" w:cs="Arial" w:eastAsia="Arial" w:hAnsi="Arial"/>
                <w:sz w:val="20"/>
                <w:szCs w:val="20"/>
                <w:color w:val="auto"/>
              </w:rPr>
              <w:t>Data Protection</w:t>
            </w:r>
          </w:p>
        </w:tc>
        <w:tc>
          <w:tcPr>
            <w:tcW w:w="32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17.</w:t>
            </w:r>
          </w:p>
        </w:tc>
        <w:tc>
          <w:tcPr>
            <w:tcW w:w="6720" w:type="dxa"/>
            <w:vAlign w:val="bottom"/>
          </w:tcPr>
          <w:p>
            <w:pPr>
              <w:ind w:left="40"/>
              <w:spacing w:after="0"/>
              <w:rPr>
                <w:sz w:val="20"/>
                <w:szCs w:val="20"/>
                <w:color w:val="auto"/>
              </w:rPr>
            </w:pPr>
            <w:r>
              <w:rPr>
                <w:rFonts w:ascii="Arial" w:cs="Arial" w:eastAsia="Arial" w:hAnsi="Arial"/>
                <w:sz w:val="20"/>
                <w:szCs w:val="20"/>
                <w:color w:val="auto"/>
              </w:rPr>
              <w:t>Legal and regulatory restrictions</w:t>
            </w:r>
          </w:p>
        </w:tc>
        <w:tc>
          <w:tcPr>
            <w:tcW w:w="32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18.</w:t>
            </w:r>
          </w:p>
        </w:tc>
        <w:tc>
          <w:tcPr>
            <w:tcW w:w="6720" w:type="dxa"/>
            <w:vAlign w:val="bottom"/>
          </w:tcPr>
          <w:p>
            <w:pPr>
              <w:ind w:left="40"/>
              <w:spacing w:after="0"/>
              <w:rPr>
                <w:sz w:val="20"/>
                <w:szCs w:val="20"/>
                <w:color w:val="auto"/>
              </w:rPr>
            </w:pPr>
            <w:r>
              <w:rPr>
                <w:rFonts w:ascii="Arial" w:cs="Arial" w:eastAsia="Arial" w:hAnsi="Arial"/>
                <w:sz w:val="20"/>
                <w:szCs w:val="20"/>
                <w:color w:val="auto"/>
              </w:rPr>
              <w:t>Amendment and Termination</w:t>
            </w:r>
          </w:p>
        </w:tc>
        <w:tc>
          <w:tcPr>
            <w:tcW w:w="32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19.</w:t>
            </w:r>
          </w:p>
        </w:tc>
        <w:tc>
          <w:tcPr>
            <w:tcW w:w="6720" w:type="dxa"/>
            <w:vAlign w:val="bottom"/>
          </w:tcPr>
          <w:p>
            <w:pPr>
              <w:ind w:left="40"/>
              <w:spacing w:after="0"/>
              <w:rPr>
                <w:sz w:val="20"/>
                <w:szCs w:val="20"/>
                <w:color w:val="auto"/>
              </w:rPr>
            </w:pPr>
            <w:r>
              <w:rPr>
                <w:rFonts w:ascii="Arial" w:cs="Arial" w:eastAsia="Arial" w:hAnsi="Arial"/>
                <w:sz w:val="20"/>
                <w:szCs w:val="20"/>
                <w:color w:val="auto"/>
              </w:rPr>
              <w:t>Severability</w:t>
            </w:r>
          </w:p>
        </w:tc>
        <w:tc>
          <w:tcPr>
            <w:tcW w:w="32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20.</w:t>
            </w:r>
          </w:p>
        </w:tc>
        <w:tc>
          <w:tcPr>
            <w:tcW w:w="6720" w:type="dxa"/>
            <w:vAlign w:val="bottom"/>
          </w:tcPr>
          <w:p>
            <w:pPr>
              <w:ind w:left="40"/>
              <w:spacing w:after="0"/>
              <w:rPr>
                <w:sz w:val="20"/>
                <w:szCs w:val="20"/>
                <w:color w:val="auto"/>
              </w:rPr>
            </w:pPr>
            <w:r>
              <w:rPr>
                <w:rFonts w:ascii="Arial" w:cs="Arial" w:eastAsia="Arial" w:hAnsi="Arial"/>
                <w:sz w:val="20"/>
                <w:szCs w:val="20"/>
                <w:color w:val="auto"/>
              </w:rPr>
              <w:t>Governing Law and Jurisdiction</w:t>
            </w:r>
          </w:p>
        </w:tc>
        <w:tc>
          <w:tcPr>
            <w:tcW w:w="32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300" w:type="dxa"/>
            <w:vAlign w:val="bottom"/>
            <w:gridSpan w:val="2"/>
          </w:tcPr>
          <w:p>
            <w:pPr>
              <w:spacing w:after="0"/>
              <w:rPr>
                <w:sz w:val="20"/>
                <w:szCs w:val="20"/>
                <w:color w:val="auto"/>
              </w:rPr>
            </w:pPr>
            <w:r>
              <w:rPr>
                <w:rFonts w:ascii="Arial" w:cs="Arial" w:eastAsia="Arial" w:hAnsi="Arial"/>
                <w:sz w:val="20"/>
                <w:szCs w:val="20"/>
                <w:color w:val="auto"/>
              </w:rPr>
              <w:t>21.</w:t>
            </w:r>
          </w:p>
        </w:tc>
        <w:tc>
          <w:tcPr>
            <w:tcW w:w="6720" w:type="dxa"/>
            <w:vAlign w:val="bottom"/>
          </w:tcPr>
          <w:p>
            <w:pPr>
              <w:ind w:left="40"/>
              <w:spacing w:after="0"/>
              <w:rPr>
                <w:sz w:val="20"/>
                <w:szCs w:val="20"/>
                <w:color w:val="auto"/>
              </w:rPr>
            </w:pPr>
            <w:r>
              <w:rPr>
                <w:rFonts w:ascii="Arial" w:cs="Arial" w:eastAsia="Arial" w:hAnsi="Arial"/>
                <w:sz w:val="20"/>
                <w:szCs w:val="20"/>
                <w:color w:val="auto"/>
              </w:rPr>
              <w:t>Entry into Force</w:t>
            </w:r>
          </w:p>
        </w:tc>
        <w:tc>
          <w:tcPr>
            <w:tcW w:w="3280" w:type="dxa"/>
            <w:vAlign w:val="bottom"/>
          </w:tcPr>
          <w:p>
            <w:pPr>
              <w:jc w:val="right"/>
              <w:spacing w:after="0"/>
              <w:rPr>
                <w:sz w:val="20"/>
                <w:szCs w:val="20"/>
                <w:color w:val="auto"/>
              </w:rPr>
            </w:pPr>
            <w:r>
              <w:rPr>
                <w:rFonts w:ascii="Arial" w:cs="Arial" w:eastAsia="Arial" w:hAnsi="Arial"/>
                <w:sz w:val="20"/>
                <w:szCs w:val="20"/>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Annex 1: Definitions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Annex 2: Form of RSU Award Agreement</w:t>
      </w:r>
    </w:p>
    <w:p>
      <w:pPr>
        <w:sectPr>
          <w:pgSz w:w="11900" w:h="16838" w:orient="portrait"/>
          <w:cols w:equalWidth="0" w:num="1">
            <w:col w:w="11220"/>
          </w:cols>
          <w:pgMar w:left="320" w:top="180" w:right="359" w:bottom="1440" w:gutter="0" w:footer="0" w:header="0"/>
        </w:sectPr>
      </w:pPr>
    </w:p>
    <w:bookmarkStart w:id="845" w:name="page846"/>
    <w:bookmarkEnd w:id="845"/>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2020</w:t>
            </w:r>
          </w:p>
        </w:tc>
        <w:tc>
          <w:tcPr>
            <w:tcW w:w="4180" w:type="dxa"/>
            <w:vAlign w:val="bottom"/>
          </w:tcPr>
          <w:p>
            <w:pPr>
              <w:jc w:val="right"/>
              <w:spacing w:after="0"/>
              <w:rPr>
                <w:sz w:val="20"/>
                <w:szCs w:val="20"/>
                <w:color w:val="auto"/>
              </w:rPr>
            </w:pPr>
            <w:r>
              <w:rPr>
                <w:rFonts w:ascii="Arial" w:cs="Arial" w:eastAsia="Arial" w:hAnsi="Arial"/>
                <w:sz w:val="13"/>
                <w:szCs w:val="13"/>
                <w:color w:val="auto"/>
              </w:rPr>
              <w:t>3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Share Plan 2020</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Purpose</w:t>
      </w:r>
    </w:p>
    <w:p>
      <w:pPr>
        <w:spacing w:after="0" w:line="310"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The purpose of this restricted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Restricted Share Units (each a </w:t>
      </w:r>
      <w:r>
        <w:rPr>
          <w:rFonts w:ascii="Arial" w:cs="Arial" w:eastAsia="Arial" w:hAnsi="Arial"/>
          <w:sz w:val="18"/>
          <w:szCs w:val="18"/>
          <w:b w:val="1"/>
          <w:bCs w:val="1"/>
          <w:color w:val="auto"/>
        </w:rPr>
        <w:t>RSU</w:t>
      </w:r>
      <w:r>
        <w:rPr>
          <w:rFonts w:ascii="Arial" w:cs="Arial" w:eastAsia="Arial" w:hAnsi="Arial"/>
          <w:sz w:val="18"/>
          <w:szCs w:val="18"/>
          <w:color w:val="auto"/>
        </w:rPr>
        <w:t>) to them.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Definitions and Interpretation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Capitalized terms used in this Plan shall have the meaning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Responsibilities and Administration</w:t>
      </w:r>
    </w:p>
    <w:p>
      <w:pPr>
        <w:spacing w:after="0" w:line="332" w:lineRule="exact"/>
        <w:rPr>
          <w:sz w:val="20"/>
          <w:szCs w:val="20"/>
          <w:color w:val="auto"/>
        </w:rPr>
      </w:pPr>
    </w:p>
    <w:p>
      <w:pPr>
        <w:ind w:left="320" w:hanging="312"/>
        <w:spacing w:after="0"/>
        <w:tabs>
          <w:tab w:leader="none" w:pos="32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340"/>
        <w:spacing w:after="0" w:line="287"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 Committee</w:t>
      </w:r>
      <w:r>
        <w:rPr>
          <w:rFonts w:ascii="Arial" w:cs="Arial" w:eastAsia="Arial" w:hAnsi="Arial"/>
          <w:sz w:val="18"/>
          <w:szCs w:val="18"/>
          <w:color w:val="auto"/>
        </w:rPr>
        <w:t>), the maximum number of RSUs that may be granted under this Plan.</w:t>
      </w:r>
    </w:p>
    <w:p>
      <w:pPr>
        <w:spacing w:after="0" w:line="242" w:lineRule="exact"/>
        <w:rPr>
          <w:rFonts w:ascii="Arial" w:cs="Arial" w:eastAsia="Arial" w:hAnsi="Arial"/>
          <w:sz w:val="18"/>
          <w:szCs w:val="18"/>
          <w:color w:val="auto"/>
        </w:rPr>
      </w:pPr>
    </w:p>
    <w:p>
      <w:pPr>
        <w:jc w:val="both"/>
        <w:ind w:left="340" w:hanging="332"/>
        <w:spacing w:after="0" w:line="281" w:lineRule="auto"/>
        <w:tabs>
          <w:tab w:leader="none" w:pos="33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renew or terminate the Plan or to replace it with new editions or other plans. It may delegate, under</w:t>
      </w:r>
    </w:p>
    <w:p>
      <w:pPr>
        <w:spacing w:after="0" w:line="1"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its supervision, the implementation and administration, as well as grants of RSUs other than to members of the Board of Directors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jc w:val="both"/>
        <w:ind w:left="340" w:hanging="332"/>
        <w:spacing w:after="0" w:line="284" w:lineRule="auto"/>
        <w:tabs>
          <w:tab w:leader="none" w:pos="334" w:val="left"/>
        </w:tabs>
        <w:numPr>
          <w:ilvl w:val="0"/>
          <w:numId w:val="915"/>
        </w:numPr>
        <w:rPr>
          <w:rFonts w:ascii="Arial" w:cs="Arial" w:eastAsia="Arial" w:hAnsi="Arial"/>
          <w:sz w:val="18"/>
          <w:szCs w:val="18"/>
          <w:color w:val="auto"/>
        </w:rPr>
      </w:pPr>
      <w:r>
        <w:rPr>
          <w:rFonts w:ascii="Arial" w:cs="Arial" w:eastAsia="Arial" w:hAnsi="Arial"/>
          <w:sz w:val="18"/>
          <w:szCs w:val="18"/>
          <w:color w:val="auto"/>
        </w:rPr>
        <w:t>Any grants of RSUs to members of the Board of Directors shall be approved by the Board of Directors based on individual recommendations of the Nomination and Compensation Committee and will, as long as shareholder approval for the aggregate amount of compensation is outstanding, be conditional upon such shareholder approval. In case that the amount approved by the shareholders does not cover the full amount of contemplated aggregate compensation for the year of grant, the entitlements to long-term compensation may be reduced by the Nomination and Compensation Committee in its sole discretion.</w:t>
      </w:r>
    </w:p>
    <w:p>
      <w:pPr>
        <w:spacing w:after="0" w:line="233" w:lineRule="exact"/>
        <w:rPr>
          <w:rFonts w:ascii="Arial" w:cs="Arial" w:eastAsia="Arial" w:hAnsi="Arial"/>
          <w:sz w:val="18"/>
          <w:szCs w:val="18"/>
          <w:color w:val="auto"/>
        </w:rPr>
      </w:pPr>
    </w:p>
    <w:p>
      <w:pPr>
        <w:jc w:val="both"/>
        <w:ind w:left="340" w:hanging="332"/>
        <w:spacing w:after="0" w:line="287" w:lineRule="auto"/>
        <w:tabs>
          <w:tab w:leader="none" w:pos="33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pacing w:after="0" w:line="242" w:lineRule="exact"/>
        <w:rPr>
          <w:rFonts w:ascii="Arial" w:cs="Arial" w:eastAsia="Arial" w:hAnsi="Arial"/>
          <w:sz w:val="18"/>
          <w:szCs w:val="18"/>
          <w:color w:val="auto"/>
        </w:rPr>
      </w:pPr>
    </w:p>
    <w:p>
      <w:pPr>
        <w:jc w:val="both"/>
        <w:ind w:left="340" w:hanging="332"/>
        <w:spacing w:after="0" w:line="287" w:lineRule="auto"/>
        <w:tabs>
          <w:tab w:leader="none" w:pos="33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 Service</w:t>
      </w:r>
      <w:r>
        <w:rPr>
          <w:rFonts w:ascii="Arial" w:cs="Arial" w:eastAsia="Arial" w:hAnsi="Arial"/>
          <w:sz w:val="18"/>
          <w:szCs w:val="18"/>
          <w:color w:val="auto"/>
        </w:rPr>
        <w:t xml:space="preserve"> </w:t>
      </w:r>
      <w:r>
        <w:rPr>
          <w:rFonts w:ascii="Arial" w:cs="Arial" w:eastAsia="Arial" w:hAnsi="Arial"/>
          <w:sz w:val="18"/>
          <w:szCs w:val="18"/>
          <w:b w:val="1"/>
          <w:bCs w:val="1"/>
          <w:color w:val="auto"/>
        </w:rPr>
        <w:t>Provider</w:t>
      </w:r>
      <w:r>
        <w:rPr>
          <w:rFonts w:ascii="Arial" w:cs="Arial" w:eastAsia="Arial" w:hAnsi="Arial"/>
          <w:sz w:val="18"/>
          <w:szCs w:val="18"/>
          <w:color w:val="auto"/>
        </w:rPr>
        <w:t>).</w:t>
      </w:r>
    </w:p>
    <w:p>
      <w:pPr>
        <w:sectPr>
          <w:pgSz w:w="11900" w:h="16838" w:orient="portrait"/>
          <w:cols w:equalWidth="0" w:num="1">
            <w:col w:w="11240"/>
          </w:cols>
          <w:pgMar w:left="320" w:top="180" w:right="339" w:bottom="1440" w:gutter="0" w:footer="0" w:header="0"/>
        </w:sectPr>
      </w:pPr>
    </w:p>
    <w:bookmarkStart w:id="846" w:name="page847"/>
    <w:bookmarkEnd w:id="846"/>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2020</w:t>
            </w:r>
          </w:p>
        </w:tc>
        <w:tc>
          <w:tcPr>
            <w:tcW w:w="4180" w:type="dxa"/>
            <w:vAlign w:val="bottom"/>
          </w:tcPr>
          <w:p>
            <w:pPr>
              <w:jc w:val="right"/>
              <w:spacing w:after="0"/>
              <w:rPr>
                <w:sz w:val="20"/>
                <w:szCs w:val="20"/>
                <w:color w:val="auto"/>
              </w:rPr>
            </w:pPr>
            <w:r>
              <w:rPr>
                <w:rFonts w:ascii="Arial" w:cs="Arial" w:eastAsia="Arial" w:hAnsi="Arial"/>
                <w:sz w:val="13"/>
                <w:szCs w:val="13"/>
                <w:color w:val="auto"/>
              </w:rPr>
              <w:t>4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Eligibility and Participation</w:t>
      </w:r>
    </w:p>
    <w:p>
      <w:pPr>
        <w:spacing w:after="0" w:line="332" w:lineRule="exact"/>
        <w:rPr>
          <w:sz w:val="20"/>
          <w:szCs w:val="20"/>
          <w:color w:val="auto"/>
        </w:rPr>
      </w:pPr>
    </w:p>
    <w:p>
      <w:pPr>
        <w:jc w:val="both"/>
        <w:ind w:left="340" w:hanging="332"/>
        <w:spacing w:after="0" w:line="287" w:lineRule="auto"/>
        <w:tabs>
          <w:tab w:leader="none" w:pos="33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As a rule, members of the Board of Directors and selected consultants may become eligible to participate in this Plan. The decision on eligibility is reserved to the Nomination and Compensation Committee or, other than to members of the Board of Directors, the relevant Administrator.</w:t>
      </w:r>
    </w:p>
    <w:p>
      <w:pPr>
        <w:spacing w:after="0" w:line="242" w:lineRule="exact"/>
        <w:rPr>
          <w:rFonts w:ascii="Arial" w:cs="Arial" w:eastAsia="Arial" w:hAnsi="Arial"/>
          <w:sz w:val="18"/>
          <w:szCs w:val="18"/>
          <w:color w:val="auto"/>
        </w:rPr>
      </w:pPr>
    </w:p>
    <w:p>
      <w:pPr>
        <w:jc w:val="both"/>
        <w:ind w:left="340" w:hanging="332"/>
        <w:spacing w:after="0" w:line="281" w:lineRule="auto"/>
        <w:tabs>
          <w:tab w:leader="none" w:pos="33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Nothing in this Plan shall provide any rights to eligible persons or any other person nor create any obligation of the Company to grant RSUs based on this Plan or otherwise. This Plan is only applicable in connection with a mutually signed RSU award agreement (</w:t>
      </w:r>
      <w:r>
        <w:rPr>
          <w:rFonts w:ascii="Arial" w:cs="Arial" w:eastAsia="Arial" w:hAnsi="Arial"/>
          <w:sz w:val="18"/>
          <w:szCs w:val="18"/>
          <w:b w:val="1"/>
          <w:bCs w:val="1"/>
          <w:color w:val="auto"/>
        </w:rPr>
        <w:t>RSU</w:t>
      </w:r>
      <w:r>
        <w:rPr>
          <w:rFonts w:ascii="Arial" w:cs="Arial" w:eastAsia="Arial" w:hAnsi="Arial"/>
          <w:sz w:val="18"/>
          <w:szCs w:val="18"/>
          <w:color w:val="auto"/>
        </w:rPr>
        <w:t xml:space="preserve"> </w:t>
      </w:r>
      <w:r>
        <w:rPr>
          <w:rFonts w:ascii="Arial" w:cs="Arial" w:eastAsia="Arial" w:hAnsi="Arial"/>
          <w:sz w:val="18"/>
          <w:szCs w:val="18"/>
          <w:b w:val="1"/>
          <w:bCs w:val="1"/>
          <w:color w:val="auto"/>
        </w:rPr>
        <w:t>Award Agreement</w:t>
      </w:r>
      <w:r>
        <w:rPr>
          <w:rFonts w:ascii="Arial" w:cs="Arial" w:eastAsia="Arial" w:hAnsi="Arial"/>
          <w:sz w:val="18"/>
          <w:szCs w:val="18"/>
          <w:color w:val="auto"/>
        </w:rPr>
        <w:t>) among the Company (or the relevant Group Company) and the eligible person, substantially in the form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as Annex 2. The right to receive RSUs shall accrue exclusively to those eligible persons who have, in accordance with this Plan,</w:t>
      </w:r>
    </w:p>
    <w:p>
      <w:pPr>
        <w:spacing w:after="0" w:line="2"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 xml:space="preserve">been duly and validly offered and have signed and returned their individual RSU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340" w:hanging="332"/>
        <w:spacing w:after="0" w:line="287" w:lineRule="auto"/>
        <w:tabs>
          <w:tab w:leader="none" w:pos="334" w:val="left"/>
        </w:tabs>
        <w:numPr>
          <w:ilvl w:val="0"/>
          <w:numId w:val="916"/>
        </w:numPr>
        <w:rPr>
          <w:rFonts w:ascii="Arial" w:cs="Arial" w:eastAsia="Arial" w:hAnsi="Arial"/>
          <w:sz w:val="18"/>
          <w:szCs w:val="18"/>
          <w:color w:val="auto"/>
        </w:rPr>
      </w:pPr>
      <w:r>
        <w:rPr>
          <w:rFonts w:ascii="Arial" w:cs="Arial" w:eastAsia="Arial" w:hAnsi="Arial"/>
          <w:sz w:val="18"/>
          <w:szCs w:val="18"/>
          <w:color w:val="auto"/>
        </w:rPr>
        <w:t>Grants of RSUs based on this Plan are discretionary and shall not create any entitlement to participate in future grants or in future participation, incentive or benefit plans, including future restricted share plans, regardless of the length of time a person has previously been allocated RSUs or other entitlements under this Plan or other plans.</w:t>
      </w:r>
    </w:p>
    <w:p>
      <w:pPr>
        <w:spacing w:after="0" w:line="242" w:lineRule="exact"/>
        <w:rPr>
          <w:rFonts w:ascii="Arial" w:cs="Arial" w:eastAsia="Arial" w:hAnsi="Arial"/>
          <w:sz w:val="18"/>
          <w:szCs w:val="18"/>
          <w:color w:val="auto"/>
        </w:rPr>
      </w:pPr>
    </w:p>
    <w:p>
      <w:pPr>
        <w:ind w:left="340" w:hanging="332"/>
        <w:spacing w:after="0" w:line="293" w:lineRule="auto"/>
        <w:tabs>
          <w:tab w:leader="none" w:pos="33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Neither the grant of RSUs, nor the transfer of Shares in connection with this Plan shall confer upon any Participant any right to a continued Relationship with any Group Company.</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Grant of RSUs</w:t>
      </w:r>
    </w:p>
    <w:p>
      <w:pPr>
        <w:spacing w:after="0" w:line="332" w:lineRule="exact"/>
        <w:rPr>
          <w:sz w:val="20"/>
          <w:szCs w:val="20"/>
          <w:color w:val="auto"/>
        </w:rPr>
      </w:pPr>
    </w:p>
    <w:p>
      <w:pPr>
        <w:jc w:val="both"/>
        <w:ind w:left="340" w:hanging="332"/>
        <w:spacing w:after="0" w:line="287" w:lineRule="auto"/>
        <w:tabs>
          <w:tab w:leader="none" w:pos="330" w:val="left"/>
        </w:tabs>
        <w:numPr>
          <w:ilvl w:val="0"/>
          <w:numId w:val="917"/>
        </w:numPr>
        <w:rPr>
          <w:rFonts w:ascii="Arial" w:cs="Arial" w:eastAsia="Arial" w:hAnsi="Arial"/>
          <w:sz w:val="18"/>
          <w:szCs w:val="18"/>
          <w:color w:val="auto"/>
        </w:rPr>
      </w:pPr>
      <w:r>
        <w:rPr>
          <w:rFonts w:ascii="Arial" w:cs="Arial" w:eastAsia="Arial" w:hAnsi="Arial"/>
          <w:sz w:val="18"/>
          <w:szCs w:val="18"/>
          <w:color w:val="auto"/>
        </w:rPr>
        <w:t>Grants of RSUs shall be exclusively made by way of RSU Award Agreements. The RSU Award Agreement shall set forth the number of RSUs and certain other terms and conditions of such grant. Except as otherwise determined in a RSU Award Agreement, RSUs shall be granted to the Participants free of charge.</w:t>
      </w:r>
    </w:p>
    <w:p>
      <w:pPr>
        <w:spacing w:after="0" w:line="229" w:lineRule="exact"/>
        <w:rPr>
          <w:rFonts w:ascii="Arial" w:cs="Arial" w:eastAsia="Arial" w:hAnsi="Arial"/>
          <w:sz w:val="18"/>
          <w:szCs w:val="18"/>
          <w:color w:val="auto"/>
        </w:rPr>
      </w:pPr>
    </w:p>
    <w:p>
      <w:pPr>
        <w:jc w:val="both"/>
        <w:ind w:left="340" w:hanging="332"/>
        <w:spacing w:after="0" w:line="287" w:lineRule="auto"/>
        <w:tabs>
          <w:tab w:leader="none" w:pos="330" w:val="left"/>
        </w:tabs>
        <w:numPr>
          <w:ilvl w:val="0"/>
          <w:numId w:val="917"/>
        </w:numPr>
        <w:rPr>
          <w:rFonts w:ascii="Arial" w:cs="Arial" w:eastAsia="Arial" w:hAnsi="Arial"/>
          <w:sz w:val="18"/>
          <w:szCs w:val="18"/>
          <w:color w:val="auto"/>
        </w:rPr>
      </w:pPr>
      <w:r>
        <w:rPr>
          <w:rFonts w:ascii="Arial" w:cs="Arial" w:eastAsia="Arial" w:hAnsi="Arial"/>
          <w:sz w:val="18"/>
          <w:szCs w:val="18"/>
          <w:color w:val="auto"/>
        </w:rPr>
        <w:t>One RSU represents a conditional entitlement to purchase one Share at the nominal value of the Share. The number of Shares corresponding to the number vested RSUs shall be allocated to a Participant upon vesting, subject to, and in accordance with, the terms and conditions of this Plan and the RSU Award Agreement.</w:t>
      </w:r>
    </w:p>
    <w:p>
      <w:pPr>
        <w:spacing w:after="0" w:line="242" w:lineRule="exact"/>
        <w:rPr>
          <w:rFonts w:ascii="Arial" w:cs="Arial" w:eastAsia="Arial" w:hAnsi="Arial"/>
          <w:sz w:val="18"/>
          <w:szCs w:val="18"/>
          <w:color w:val="auto"/>
        </w:rPr>
      </w:pPr>
    </w:p>
    <w:p>
      <w:pPr>
        <w:ind w:left="340" w:hanging="332"/>
        <w:spacing w:after="0" w:line="293" w:lineRule="auto"/>
        <w:tabs>
          <w:tab w:leader="none" w:pos="334" w:val="left"/>
        </w:tabs>
        <w:numPr>
          <w:ilvl w:val="0"/>
          <w:numId w:val="917"/>
        </w:numPr>
        <w:rPr>
          <w:rFonts w:ascii="Arial" w:cs="Arial" w:eastAsia="Arial" w:hAnsi="Arial"/>
          <w:sz w:val="18"/>
          <w:szCs w:val="18"/>
          <w:color w:val="auto"/>
        </w:rPr>
      </w:pPr>
      <w:r>
        <w:rPr>
          <w:rFonts w:ascii="Arial" w:cs="Arial" w:eastAsia="Arial" w:hAnsi="Arial"/>
          <w:sz w:val="18"/>
          <w:szCs w:val="18"/>
          <w:color w:val="auto"/>
        </w:rPr>
        <w:t xml:space="preserve">The date of grant shall be determined by the Nomination and Compensation Committee or the relevant Administrator and set out in the RSU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No Securities</w:t>
      </w:r>
    </w:p>
    <w:p>
      <w:pPr>
        <w:spacing w:after="0" w:line="33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RSUs are neither Shares nor securities of any kind and no shareholder rights or similar rights are attached to the RSUs. The Participants will only obtain shareholder rights (including voting and dividend rights) upon actual transfer of Shares, if any, according to the terms and conditions of the Plan and upon entry into the share register, subject to, and in accordance with, article 5 of the Company's articles of incorporation.</w:t>
      </w:r>
    </w:p>
    <w:p>
      <w:pPr>
        <w:sectPr>
          <w:pgSz w:w="11900" w:h="16838" w:orient="portrait"/>
          <w:cols w:equalWidth="0" w:num="1">
            <w:col w:w="11240"/>
          </w:cols>
          <w:pgMar w:left="320" w:top="180" w:right="339" w:bottom="1440" w:gutter="0" w:footer="0" w:header="0"/>
        </w:sectPr>
      </w:pPr>
    </w:p>
    <w:bookmarkStart w:id="847" w:name="page848"/>
    <w:bookmarkEnd w:id="847"/>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2020</w:t>
            </w:r>
          </w:p>
        </w:tc>
        <w:tc>
          <w:tcPr>
            <w:tcW w:w="4180" w:type="dxa"/>
            <w:vAlign w:val="bottom"/>
          </w:tcPr>
          <w:p>
            <w:pPr>
              <w:jc w:val="right"/>
              <w:spacing w:after="0"/>
              <w:rPr>
                <w:sz w:val="20"/>
                <w:szCs w:val="20"/>
                <w:color w:val="auto"/>
              </w:rPr>
            </w:pPr>
            <w:r>
              <w:rPr>
                <w:rFonts w:ascii="Arial" w:cs="Arial" w:eastAsia="Arial" w:hAnsi="Arial"/>
                <w:sz w:val="13"/>
                <w:szCs w:val="13"/>
                <w:color w:val="auto"/>
              </w:rPr>
              <w:t>5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No Transfer</w:t>
      </w:r>
    </w:p>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RSUs granted under this Plan and the RSU Award Agreement are personal and non-transferable. Participants shall not be permitted to sell, donate, pledge, assign or otherwise dispose of the RSUs to third parties other than as provided for in the Plan. In case of death of a Participant, Section 13 hereof shall apply.</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Vesting and Delivery of Shares</w:t>
      </w:r>
    </w:p>
    <w:p>
      <w:pPr>
        <w:spacing w:after="0" w:line="332" w:lineRule="exact"/>
        <w:rPr>
          <w:sz w:val="20"/>
          <w:szCs w:val="20"/>
          <w:color w:val="auto"/>
        </w:rPr>
      </w:pPr>
    </w:p>
    <w:p>
      <w:pPr>
        <w:jc w:val="both"/>
        <w:ind w:left="340" w:hanging="332"/>
        <w:spacing w:after="0" w:line="287" w:lineRule="auto"/>
        <w:tabs>
          <w:tab w:leader="none" w:pos="330" w:val="left"/>
        </w:tabs>
        <w:numPr>
          <w:ilvl w:val="0"/>
          <w:numId w:val="918"/>
        </w:numPr>
        <w:rPr>
          <w:rFonts w:ascii="Arial" w:cs="Arial" w:eastAsia="Arial" w:hAnsi="Arial"/>
          <w:sz w:val="18"/>
          <w:szCs w:val="18"/>
          <w:color w:val="auto"/>
        </w:rPr>
      </w:pPr>
      <w:r>
        <w:rPr>
          <w:rFonts w:ascii="Arial" w:cs="Arial" w:eastAsia="Arial" w:hAnsi="Arial"/>
          <w:sz w:val="18"/>
          <w:szCs w:val="18"/>
          <w:color w:val="auto"/>
        </w:rPr>
        <w:t xml:space="preserve">Unless otherwise set out in this Plan (in particular in Section 13) or in the RSU Award Agreement, RSUs shall vest in the third calendar year following the year of grant. In such case, vesting shall occur on the third anniversary of the Grant Date (the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period between the Grant Date and the Vesting Date shall be deemed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20" w:hanging="312"/>
        <w:spacing w:after="0"/>
        <w:tabs>
          <w:tab w:leader="none" w:pos="320" w:val="left"/>
        </w:tabs>
        <w:numPr>
          <w:ilvl w:val="0"/>
          <w:numId w:val="918"/>
        </w:numPr>
        <w:rPr>
          <w:rFonts w:ascii="Arial" w:cs="Arial" w:eastAsia="Arial" w:hAnsi="Arial"/>
          <w:sz w:val="18"/>
          <w:szCs w:val="18"/>
          <w:color w:val="auto"/>
        </w:rPr>
      </w:pPr>
      <w:r>
        <w:rPr>
          <w:rFonts w:ascii="Arial" w:cs="Arial" w:eastAsia="Arial" w:hAnsi="Arial"/>
          <w:sz w:val="18"/>
          <w:szCs w:val="18"/>
          <w:color w:val="auto"/>
        </w:rPr>
        <w:t>Subject to section 13(b) below, no RSU shall vest if, during the first year of the Vesting Period (or, in case of a member of the Board of</w:t>
      </w:r>
    </w:p>
    <w:p>
      <w:pPr>
        <w:spacing w:after="0" w:line="36"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Directors, prior to the end of a full term of office), the relevant Participant's Relationship is terminated or another reason for termination of such Relationship occurs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set by a Group Company.</w:t>
      </w:r>
    </w:p>
    <w:p>
      <w:pPr>
        <w:spacing w:after="0" w:line="237" w:lineRule="exact"/>
        <w:rPr>
          <w:rFonts w:ascii="Arial" w:cs="Arial" w:eastAsia="Arial" w:hAnsi="Arial"/>
          <w:sz w:val="18"/>
          <w:szCs w:val="18"/>
          <w:color w:val="auto"/>
        </w:rPr>
      </w:pPr>
    </w:p>
    <w:p>
      <w:pPr>
        <w:jc w:val="both"/>
        <w:ind w:left="340" w:hanging="332"/>
        <w:spacing w:after="0" w:line="287" w:lineRule="auto"/>
        <w:tabs>
          <w:tab w:leader="none" w:pos="334" w:val="left"/>
        </w:tabs>
        <w:numPr>
          <w:ilvl w:val="0"/>
          <w:numId w:val="918"/>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Instead, the Company may provide for cash-less acquisition or vesting-sale arrangements through a Plan Service Provider or otherwise.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Underlying Shares</w:t>
      </w:r>
    </w:p>
    <w:p>
      <w:pPr>
        <w:spacing w:after="0" w:line="33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15,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Nomination and Compensation Committee and the Board of Directors, be sourced from conditional share capital, from treasury shares or from other sources. Unless otherwise determined by the Board of Directors or the Nomination and Compensation Committee, Shares shall be sourced from the Company's conditional share capital and a respective number of Shares out of conditional capital shall be deemed reserved, accordingly.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10.Taxes and Social Security Contributions</w:t>
      </w:r>
    </w:p>
    <w:p>
      <w:pPr>
        <w:spacing w:after="0" w:line="332" w:lineRule="exact"/>
        <w:rPr>
          <w:sz w:val="20"/>
          <w:szCs w:val="20"/>
          <w:color w:val="auto"/>
        </w:rPr>
      </w:pPr>
    </w:p>
    <w:p>
      <w:pPr>
        <w:jc w:val="both"/>
        <w:ind w:left="340" w:hanging="332"/>
        <w:spacing w:after="0" w:line="287" w:lineRule="auto"/>
        <w:tabs>
          <w:tab w:leader="none" w:pos="33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RSUs, on the allocation of Shares and the subsequent sale of Shares or a respective cash equivalent are in the sole responsibility of the Participant.</w:t>
      </w:r>
    </w:p>
    <w:p>
      <w:pPr>
        <w:spacing w:after="0" w:line="242" w:lineRule="exact"/>
        <w:rPr>
          <w:rFonts w:ascii="Arial" w:cs="Arial" w:eastAsia="Arial" w:hAnsi="Arial"/>
          <w:sz w:val="18"/>
          <w:szCs w:val="18"/>
          <w:color w:val="auto"/>
        </w:rPr>
      </w:pPr>
    </w:p>
    <w:p>
      <w:pPr>
        <w:jc w:val="both"/>
        <w:ind w:left="340" w:hanging="332"/>
        <w:spacing w:after="0" w:line="285" w:lineRule="auto"/>
        <w:tabs>
          <w:tab w:leader="none" w:pos="33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RSUs may be subject to the withholding of tax and social security contributions by the Company or, if different, the relevant Group Company. The Company and the relevant Group Company, shall be entitled to deduct or withhold a sufficient portion of the value otherwise due to be released under this Plan or of any other payment to the relevant</w:t>
      </w:r>
    </w:p>
    <w:p>
      <w:pPr>
        <w:sectPr>
          <w:pgSz w:w="11900" w:h="16838" w:orient="portrait"/>
          <w:cols w:equalWidth="0" w:num="1">
            <w:col w:w="11240"/>
          </w:cols>
          <w:pgMar w:left="320" w:top="180" w:right="339" w:bottom="1440" w:gutter="0" w:footer="0" w:header="0"/>
        </w:sectPr>
      </w:pPr>
    </w:p>
    <w:bookmarkStart w:id="848" w:name="page849"/>
    <w:bookmarkEnd w:id="848"/>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2020</w:t>
            </w:r>
          </w:p>
        </w:tc>
        <w:tc>
          <w:tcPr>
            <w:tcW w:w="4180" w:type="dxa"/>
            <w:vAlign w:val="bottom"/>
          </w:tcPr>
          <w:p>
            <w:pPr>
              <w:jc w:val="right"/>
              <w:spacing w:after="0"/>
              <w:rPr>
                <w:sz w:val="20"/>
                <w:szCs w:val="20"/>
                <w:color w:val="auto"/>
              </w:rPr>
            </w:pPr>
            <w:r>
              <w:rPr>
                <w:rFonts w:ascii="Arial" w:cs="Arial" w:eastAsia="Arial" w:hAnsi="Arial"/>
                <w:sz w:val="13"/>
                <w:szCs w:val="13"/>
                <w:color w:val="auto"/>
              </w:rPr>
              <w:t>6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340"/>
        <w:spacing w:after="0" w:line="285" w:lineRule="auto"/>
        <w:rPr>
          <w:sz w:val="20"/>
          <w:szCs w:val="20"/>
          <w:color w:val="auto"/>
        </w:rPr>
      </w:pPr>
      <w:r>
        <w:rPr>
          <w:rFonts w:ascii="Arial" w:cs="Arial" w:eastAsia="Arial" w:hAnsi="Arial"/>
          <w:sz w:val="18"/>
          <w:szCs w:val="18"/>
          <w:color w:val="auto"/>
        </w:rPr>
        <w:t>Participant to satisfy any withholding requirement in connection therewith. Without limitation, withholding arrangements may include the sale of Shares to be delivered for RSU awards on behalf of a Participant and withholding of proceeds or deductions from salary or bonus payments, or require a payment from the Participant to the Company or the relevant Group Company before settlement of the RSU awards.</w:t>
      </w:r>
    </w:p>
    <w:p>
      <w:pPr>
        <w:spacing w:after="0" w:line="245" w:lineRule="exact"/>
        <w:rPr>
          <w:sz w:val="20"/>
          <w:szCs w:val="20"/>
          <w:color w:val="auto"/>
        </w:rPr>
      </w:pPr>
    </w:p>
    <w:p>
      <w:pPr>
        <w:ind w:left="340" w:hanging="332"/>
        <w:spacing w:after="0" w:line="293" w:lineRule="auto"/>
        <w:tabs>
          <w:tab w:leader="none" w:pos="334" w:val="left"/>
        </w:tabs>
        <w:numPr>
          <w:ilvl w:val="0"/>
          <w:numId w:val="920"/>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RSU awards, Shares or related events.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11.Disclosure Requirements</w:t>
      </w:r>
    </w:p>
    <w:p>
      <w:pPr>
        <w:spacing w:after="0" w:line="33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RSUs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12.Other Obligations of the Participant</w:t>
      </w:r>
    </w:p>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Relationship with the Company) to any Group Company, until the Participant has satisfied such outstanding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13.Termination of Relationship</w:t>
      </w:r>
    </w:p>
    <w:p>
      <w:pPr>
        <w:spacing w:after="0" w:line="332" w:lineRule="exact"/>
        <w:rPr>
          <w:sz w:val="20"/>
          <w:szCs w:val="20"/>
          <w:color w:val="auto"/>
        </w:rPr>
      </w:pPr>
    </w:p>
    <w:p>
      <w:pPr>
        <w:ind w:left="320" w:hanging="312"/>
        <w:spacing w:after="0"/>
        <w:tabs>
          <w:tab w:leader="none" w:pos="320" w:val="left"/>
        </w:tabs>
        <w:numPr>
          <w:ilvl w:val="0"/>
          <w:numId w:val="921"/>
        </w:numPr>
        <w:rPr>
          <w:rFonts w:ascii="Arial" w:cs="Arial" w:eastAsia="Arial" w:hAnsi="Arial"/>
          <w:sz w:val="18"/>
          <w:szCs w:val="18"/>
          <w:color w:val="auto"/>
        </w:rPr>
      </w:pPr>
      <w:r>
        <w:rPr>
          <w:rFonts w:ascii="Arial" w:cs="Arial" w:eastAsia="Arial" w:hAnsi="Arial"/>
          <w:sz w:val="18"/>
          <w:szCs w:val="18"/>
          <w:color w:val="auto"/>
        </w:rPr>
        <w:t>If a Participant's Relationship is terminated or another reason for termination occurs during the first year of the Vesting Period (or, in case</w:t>
      </w:r>
    </w:p>
    <w:p>
      <w:pPr>
        <w:spacing w:after="0" w:line="36" w:lineRule="exact"/>
        <w:rPr>
          <w:rFonts w:ascii="Arial" w:cs="Arial" w:eastAsia="Arial" w:hAnsi="Arial"/>
          <w:sz w:val="18"/>
          <w:szCs w:val="18"/>
          <w:color w:val="auto"/>
        </w:rPr>
      </w:pPr>
    </w:p>
    <w:p>
      <w:pPr>
        <w:ind w:left="340"/>
        <w:spacing w:after="0" w:line="293" w:lineRule="auto"/>
        <w:rPr>
          <w:rFonts w:ascii="Arial" w:cs="Arial" w:eastAsia="Arial" w:hAnsi="Arial"/>
          <w:sz w:val="18"/>
          <w:szCs w:val="18"/>
          <w:color w:val="auto"/>
        </w:rPr>
      </w:pPr>
      <w:r>
        <w:rPr>
          <w:rFonts w:ascii="Arial" w:cs="Arial" w:eastAsia="Arial" w:hAnsi="Arial"/>
          <w:sz w:val="18"/>
          <w:szCs w:val="18"/>
          <w:color w:val="auto"/>
        </w:rPr>
        <w:t>of a member of the Board of Directors, prior to the end of a full term of office),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and except as set out in subsection 13 (b) below, all RSUs shall immediately cease and be forfeited.</w:t>
      </w:r>
    </w:p>
    <w:p>
      <w:pPr>
        <w:spacing w:after="0" w:line="223" w:lineRule="exact"/>
        <w:rPr>
          <w:rFonts w:ascii="Arial" w:cs="Arial" w:eastAsia="Arial" w:hAnsi="Arial"/>
          <w:sz w:val="18"/>
          <w:szCs w:val="18"/>
          <w:color w:val="auto"/>
        </w:rPr>
      </w:pPr>
    </w:p>
    <w:p>
      <w:pPr>
        <w:jc w:val="both"/>
        <w:ind w:left="340" w:hanging="332"/>
        <w:spacing w:after="0" w:line="284" w:lineRule="auto"/>
        <w:tabs>
          <w:tab w:leader="none" w:pos="330" w:val="left"/>
        </w:tabs>
        <w:numPr>
          <w:ilvl w:val="0"/>
          <w:numId w:val="921"/>
        </w:numPr>
        <w:rPr>
          <w:rFonts w:ascii="Arial" w:cs="Arial" w:eastAsia="Arial" w:hAnsi="Arial"/>
          <w:sz w:val="18"/>
          <w:szCs w:val="18"/>
          <w:color w:val="auto"/>
        </w:rPr>
      </w:pPr>
      <w:r>
        <w:rPr>
          <w:rFonts w:ascii="Arial" w:cs="Arial" w:eastAsia="Arial" w:hAnsi="Arial"/>
          <w:sz w:val="18"/>
          <w:szCs w:val="18"/>
          <w:color w:val="auto"/>
        </w:rPr>
        <w:t>If the Relationship terminates during the first year of the Vesting Period (or, in case of a member of the Board of Directors, prior to the end of a full term of office) by reason of death, permanent illness or disability of the Participant, a pro rata number of RSUs granted to the Participant shall vest immediately with the remaining RSUs lapsing without further effect. The Board of Directors may, at its sole discretion and with final and binding effect, based on a recommendation by the Nomination and Compensation Committee and taking into consideration the objectives of the Plan, grant further exceptions from the forfeiture clause as per section 13 (a) above.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14.Change of Control</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ectPr>
          <w:pgSz w:w="11900" w:h="16838" w:orient="portrait"/>
          <w:cols w:equalWidth="0" w:num="1">
            <w:col w:w="11240"/>
          </w:cols>
          <w:pgMar w:left="320" w:top="180" w:right="339" w:bottom="1440" w:gutter="0" w:footer="0" w:header="0"/>
        </w:sectPr>
      </w:pPr>
    </w:p>
    <w:bookmarkStart w:id="849" w:name="page850"/>
    <w:bookmarkEnd w:id="849"/>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2020</w:t>
            </w:r>
          </w:p>
        </w:tc>
        <w:tc>
          <w:tcPr>
            <w:tcW w:w="4180" w:type="dxa"/>
            <w:vAlign w:val="bottom"/>
          </w:tcPr>
          <w:p>
            <w:pPr>
              <w:jc w:val="right"/>
              <w:spacing w:after="0"/>
              <w:rPr>
                <w:sz w:val="20"/>
                <w:szCs w:val="20"/>
                <w:color w:val="auto"/>
              </w:rPr>
            </w:pPr>
            <w:r>
              <w:rPr>
                <w:rFonts w:ascii="Arial" w:cs="Arial" w:eastAsia="Arial" w:hAnsi="Arial"/>
                <w:sz w:val="13"/>
                <w:szCs w:val="13"/>
                <w:color w:val="auto"/>
              </w:rPr>
              <w:t>7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60" w:hanging="328"/>
        <w:spacing w:after="0" w:line="287" w:lineRule="auto"/>
        <w:tabs>
          <w:tab w:leader="none" w:pos="658"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42" w:lineRule="exact"/>
        <w:rPr>
          <w:rFonts w:ascii="Arial" w:cs="Arial" w:eastAsia="Arial" w:hAnsi="Arial"/>
          <w:sz w:val="18"/>
          <w:szCs w:val="18"/>
          <w:color w:val="auto"/>
        </w:rPr>
      </w:pPr>
    </w:p>
    <w:p>
      <w:pPr>
        <w:ind w:left="660" w:right="20" w:hanging="328"/>
        <w:spacing w:after="0" w:line="293" w:lineRule="auto"/>
        <w:tabs>
          <w:tab w:leader="none" w:pos="657" w:val="left"/>
        </w:tabs>
        <w:numPr>
          <w:ilvl w:val="1"/>
          <w:numId w:val="922"/>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223" w:lineRule="exact"/>
        <w:rPr>
          <w:rFonts w:ascii="Arial" w:cs="Arial" w:eastAsia="Arial" w:hAnsi="Arial"/>
          <w:sz w:val="18"/>
          <w:szCs w:val="18"/>
          <w:color w:val="auto"/>
        </w:rPr>
      </w:pPr>
    </w:p>
    <w:p>
      <w:pPr>
        <w:jc w:val="both"/>
        <w:ind w:left="660" w:hanging="328"/>
        <w:spacing w:after="0" w:line="285" w:lineRule="auto"/>
        <w:tabs>
          <w:tab w:leader="none" w:pos="657" w:val="left"/>
        </w:tabs>
        <w:numPr>
          <w:ilvl w:val="1"/>
          <w:numId w:val="922"/>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45" w:lineRule="exact"/>
        <w:rPr>
          <w:rFonts w:ascii="Arial" w:cs="Arial" w:eastAsia="Arial" w:hAnsi="Arial"/>
          <w:sz w:val="18"/>
          <w:szCs w:val="18"/>
          <w:color w:val="auto"/>
        </w:rPr>
      </w:pPr>
    </w:p>
    <w:p>
      <w:pPr>
        <w:jc w:val="both"/>
        <w:ind w:left="660" w:hanging="328"/>
        <w:spacing w:after="0" w:line="285" w:lineRule="auto"/>
        <w:tabs>
          <w:tab w:leader="none" w:pos="653" w:val="left"/>
        </w:tabs>
        <w:numPr>
          <w:ilvl w:val="1"/>
          <w:numId w:val="922"/>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45" w:lineRule="exact"/>
        <w:rPr>
          <w:rFonts w:ascii="Arial" w:cs="Arial" w:eastAsia="Arial" w:hAnsi="Arial"/>
          <w:sz w:val="18"/>
          <w:szCs w:val="18"/>
          <w:color w:val="auto"/>
        </w:rPr>
      </w:pPr>
    </w:p>
    <w:p>
      <w:pPr>
        <w:ind w:left="340" w:hanging="332"/>
        <w:spacing w:after="0" w:line="293" w:lineRule="auto"/>
        <w:tabs>
          <w:tab w:leader="none" w:pos="330" w:val="left"/>
        </w:tabs>
        <w:numPr>
          <w:ilvl w:val="0"/>
          <w:numId w:val="923"/>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RSUs in respect of which the Vesting Date has not occurred by the date of the Change of Control:</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1"/>
          <w:numId w:val="923"/>
        </w:numPr>
        <w:rPr>
          <w:rFonts w:ascii="Arial" w:cs="Arial" w:eastAsia="Arial" w:hAnsi="Arial"/>
          <w:sz w:val="18"/>
          <w:szCs w:val="18"/>
          <w:color w:val="auto"/>
        </w:rPr>
      </w:pPr>
      <w:r>
        <w:rPr>
          <w:rFonts w:ascii="Arial" w:cs="Arial" w:eastAsia="Arial" w:hAnsi="Arial"/>
          <w:sz w:val="18"/>
          <w:szCs w:val="18"/>
          <w:color w:val="auto"/>
        </w:rPr>
        <w:t>all RSUs will vest immediately; and</w:t>
      </w:r>
    </w:p>
    <w:p>
      <w:pPr>
        <w:spacing w:after="0" w:line="292" w:lineRule="exact"/>
        <w:rPr>
          <w:rFonts w:ascii="Arial" w:cs="Arial" w:eastAsia="Arial" w:hAnsi="Arial"/>
          <w:sz w:val="18"/>
          <w:szCs w:val="18"/>
          <w:color w:val="auto"/>
        </w:rPr>
      </w:pPr>
    </w:p>
    <w:p>
      <w:pPr>
        <w:ind w:left="660" w:hanging="328"/>
        <w:spacing w:after="0" w:line="293" w:lineRule="auto"/>
        <w:tabs>
          <w:tab w:leader="none" w:pos="657" w:val="left"/>
        </w:tabs>
        <w:numPr>
          <w:ilvl w:val="1"/>
          <w:numId w:val="923"/>
        </w:numPr>
        <w:rPr>
          <w:rFonts w:ascii="Arial" w:cs="Arial" w:eastAsia="Arial" w:hAnsi="Arial"/>
          <w:sz w:val="18"/>
          <w:szCs w:val="18"/>
          <w:color w:val="auto"/>
        </w:rPr>
      </w:pPr>
      <w:r>
        <w:rPr>
          <w:rFonts w:ascii="Arial" w:cs="Arial" w:eastAsia="Arial" w:hAnsi="Arial"/>
          <w:sz w:val="18"/>
          <w:szCs w:val="18"/>
          <w:color w:val="auto"/>
        </w:rPr>
        <w:t>the RSUs will be paid out in Shares, unless the Nomination and Compensation Committee resolves to repurchase or exchange RSUs or decides upon another solution to provide the Participants with the vesting value of the RSUs.</w:t>
      </w:r>
    </w:p>
    <w:p>
      <w:pPr>
        <w:spacing w:after="0" w:line="237" w:lineRule="exact"/>
        <w:rPr>
          <w:rFonts w:ascii="Arial" w:cs="Arial" w:eastAsia="Arial" w:hAnsi="Arial"/>
          <w:sz w:val="18"/>
          <w:szCs w:val="18"/>
          <w:color w:val="auto"/>
        </w:rPr>
      </w:pPr>
    </w:p>
    <w:p>
      <w:pPr>
        <w:jc w:val="both"/>
        <w:ind w:left="340" w:hanging="332"/>
        <w:spacing w:after="0" w:line="285" w:lineRule="auto"/>
        <w:tabs>
          <w:tab w:leader="none" w:pos="334" w:val="left"/>
        </w:tabs>
        <w:numPr>
          <w:ilvl w:val="0"/>
          <w:numId w:val="923"/>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31" w:lineRule="exact"/>
        <w:rPr>
          <w:rFonts w:ascii="Arial" w:cs="Arial" w:eastAsia="Arial" w:hAnsi="Arial"/>
          <w:sz w:val="18"/>
          <w:szCs w:val="18"/>
          <w:color w:val="auto"/>
        </w:rPr>
      </w:pPr>
    </w:p>
    <w:p>
      <w:pPr>
        <w:jc w:val="both"/>
        <w:ind w:left="340" w:hanging="332"/>
        <w:spacing w:after="0" w:line="285" w:lineRule="auto"/>
        <w:tabs>
          <w:tab w:leader="none" w:pos="330" w:val="left"/>
        </w:tabs>
        <w:numPr>
          <w:ilvl w:val="0"/>
          <w:numId w:val="923"/>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15.Corporate Events</w:t>
      </w:r>
    </w:p>
    <w:p>
      <w:pPr>
        <w:spacing w:after="0" w:line="33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w:t>
      </w:r>
    </w:p>
    <w:p>
      <w:pPr>
        <w:sectPr>
          <w:pgSz w:w="11900" w:h="16838" w:orient="portrait"/>
          <w:cols w:equalWidth="0" w:num="1">
            <w:col w:w="11240"/>
          </w:cols>
          <w:pgMar w:left="320" w:top="180" w:right="339" w:bottom="1440" w:gutter="0" w:footer="0" w:header="0"/>
        </w:sectPr>
      </w:pPr>
    </w:p>
    <w:bookmarkStart w:id="850" w:name="page851"/>
    <w:bookmarkEnd w:id="850"/>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2020</w:t>
            </w:r>
          </w:p>
        </w:tc>
        <w:tc>
          <w:tcPr>
            <w:tcW w:w="4180" w:type="dxa"/>
            <w:vAlign w:val="bottom"/>
          </w:tcPr>
          <w:p>
            <w:pPr>
              <w:jc w:val="right"/>
              <w:spacing w:after="0"/>
              <w:rPr>
                <w:sz w:val="20"/>
                <w:szCs w:val="20"/>
                <w:color w:val="auto"/>
              </w:rPr>
            </w:pPr>
            <w:r>
              <w:rPr>
                <w:rFonts w:ascii="Arial" w:cs="Arial" w:eastAsia="Arial" w:hAnsi="Arial"/>
                <w:sz w:val="13"/>
                <w:szCs w:val="13"/>
                <w:color w:val="auto"/>
              </w:rPr>
              <w:t>8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or other rights to purchase Shares at a price substantially below fair market value, or other extraordinary corporate events, which significantly dilute the value of the Shares underlying the RSUs such that an adjustment is required in order to preserve the benefits intended to be made available under this Plan, then the RSUs and related terms shall be adjusted and/or, if deemed appropriate, a cash payment to Participants or persons having outstanding RSUs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16.Data Protection</w:t>
      </w:r>
    </w:p>
    <w:p>
      <w:pPr>
        <w:spacing w:after="0" w:line="332" w:lineRule="exact"/>
        <w:rPr>
          <w:sz w:val="20"/>
          <w:szCs w:val="20"/>
          <w:color w:val="auto"/>
        </w:rPr>
      </w:pPr>
    </w:p>
    <w:p>
      <w:pPr>
        <w:jc w:val="both"/>
        <w:ind w:left="340" w:hanging="332"/>
        <w:spacing w:after="0" w:line="284" w:lineRule="auto"/>
        <w:tabs>
          <w:tab w:leader="none" w:pos="33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By accepting a grant of RSUs, each Participant consents to the collection and processing of personal data relating to the Participant in connection with such grant and the performance of this Plan and the RSU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RSUs, to provide for cash-less grants or sale mechanics and to generally administer and manage the Plan or keep records of participation levels.</w:t>
      </w:r>
    </w:p>
    <w:p>
      <w:pPr>
        <w:spacing w:after="0" w:line="231" w:lineRule="exact"/>
        <w:rPr>
          <w:rFonts w:ascii="Arial" w:cs="Arial" w:eastAsia="Arial" w:hAnsi="Arial"/>
          <w:sz w:val="18"/>
          <w:szCs w:val="18"/>
          <w:color w:val="auto"/>
        </w:rPr>
      </w:pPr>
    </w:p>
    <w:p>
      <w:pPr>
        <w:jc w:val="both"/>
        <w:ind w:left="340" w:hanging="332"/>
        <w:spacing w:after="0" w:line="285" w:lineRule="auto"/>
        <w:tabs>
          <w:tab w:leader="none" w:pos="33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relevant Group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17.Legal and regulatory restrictions</w:t>
      </w:r>
    </w:p>
    <w:p>
      <w:pPr>
        <w:spacing w:after="0" w:line="332" w:lineRule="exact"/>
        <w:rPr>
          <w:sz w:val="20"/>
          <w:szCs w:val="20"/>
          <w:color w:val="auto"/>
        </w:rPr>
      </w:pPr>
    </w:p>
    <w:p>
      <w:pPr>
        <w:ind w:left="340" w:right="20" w:hanging="332"/>
        <w:spacing w:after="0" w:line="293" w:lineRule="auto"/>
        <w:tabs>
          <w:tab w:leader="none" w:pos="33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Neither the Shares nor the RSU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340" w:hanging="332"/>
        <w:spacing w:after="0" w:line="281" w:lineRule="auto"/>
        <w:tabs>
          <w:tab w:leader="none" w:pos="330" w:val="left"/>
        </w:tabs>
        <w:numPr>
          <w:ilvl w:val="0"/>
          <w:numId w:val="925"/>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RSUs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w:t>
      </w:r>
    </w:p>
    <w:p>
      <w:pPr>
        <w:spacing w:after="0" w:line="3" w:lineRule="exact"/>
        <w:rPr>
          <w:rFonts w:ascii="Arial" w:cs="Arial" w:eastAsia="Arial" w:hAnsi="Arial"/>
          <w:sz w:val="18"/>
          <w:szCs w:val="18"/>
          <w:color w:val="auto"/>
        </w:rPr>
      </w:pPr>
    </w:p>
    <w:p>
      <w:pPr>
        <w:jc w:val="both"/>
        <w:ind w:left="340"/>
        <w:spacing w:after="0" w:line="285" w:lineRule="auto"/>
        <w:rPr>
          <w:rFonts w:ascii="Arial" w:cs="Arial" w:eastAsia="Arial" w:hAnsi="Arial"/>
          <w:sz w:val="18"/>
          <w:szCs w:val="18"/>
          <w:color w:val="auto"/>
        </w:rPr>
      </w:pPr>
      <w:r>
        <w:rPr>
          <w:rFonts w:ascii="Arial" w:cs="Arial" w:eastAsia="Arial" w:hAnsi="Arial"/>
          <w:sz w:val="18"/>
          <w:szCs w:val="18"/>
          <w:color w:val="auto"/>
        </w:rPr>
        <w:t>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 Company may (without obligation) decide in its own discretion whether and how to compensate the relevant persons in lieu of such grant, delivery or extension.</w:t>
      </w:r>
    </w:p>
    <w:p>
      <w:pPr>
        <w:sectPr>
          <w:pgSz w:w="11900" w:h="16838" w:orient="portrait"/>
          <w:cols w:equalWidth="0" w:num="1">
            <w:col w:w="11240"/>
          </w:cols>
          <w:pgMar w:left="320" w:top="180" w:right="339" w:bottom="1440" w:gutter="0" w:footer="0" w:header="0"/>
        </w:sectPr>
      </w:pPr>
    </w:p>
    <w:bookmarkStart w:id="851" w:name="page852"/>
    <w:bookmarkEnd w:id="851"/>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2020</w:t>
            </w:r>
          </w:p>
        </w:tc>
        <w:tc>
          <w:tcPr>
            <w:tcW w:w="4180" w:type="dxa"/>
            <w:vAlign w:val="bottom"/>
          </w:tcPr>
          <w:p>
            <w:pPr>
              <w:jc w:val="right"/>
              <w:spacing w:after="0"/>
              <w:rPr>
                <w:sz w:val="20"/>
                <w:szCs w:val="20"/>
                <w:color w:val="auto"/>
              </w:rPr>
            </w:pPr>
            <w:r>
              <w:rPr>
                <w:rFonts w:ascii="Arial" w:cs="Arial" w:eastAsia="Arial" w:hAnsi="Arial"/>
                <w:sz w:val="13"/>
                <w:szCs w:val="13"/>
                <w:color w:val="auto"/>
              </w:rPr>
              <w:t>9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hanging="332"/>
        <w:spacing w:after="0" w:line="293" w:lineRule="auto"/>
        <w:tabs>
          <w:tab w:leader="none" w:pos="334" w:val="left"/>
        </w:tabs>
        <w:numPr>
          <w:ilvl w:val="0"/>
          <w:numId w:val="926"/>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RSUs and any shares granted thereunder.</w:t>
      </w:r>
    </w:p>
    <w:p>
      <w:pPr>
        <w:spacing w:after="0" w:line="237" w:lineRule="exact"/>
        <w:rPr>
          <w:rFonts w:ascii="Arial" w:cs="Arial" w:eastAsia="Arial" w:hAnsi="Arial"/>
          <w:sz w:val="18"/>
          <w:szCs w:val="18"/>
          <w:color w:val="auto"/>
        </w:rPr>
      </w:pPr>
    </w:p>
    <w:p>
      <w:pPr>
        <w:ind w:left="340" w:hanging="332"/>
        <w:spacing w:after="0" w:line="293" w:lineRule="auto"/>
        <w:tabs>
          <w:tab w:leader="none" w:pos="330" w:val="left"/>
        </w:tabs>
        <w:numPr>
          <w:ilvl w:val="0"/>
          <w:numId w:val="926"/>
        </w:numPr>
        <w:rPr>
          <w:rFonts w:ascii="Arial" w:cs="Arial" w:eastAsia="Arial" w:hAnsi="Arial"/>
          <w:sz w:val="18"/>
          <w:szCs w:val="18"/>
          <w:color w:val="auto"/>
        </w:rPr>
      </w:pPr>
      <w:r>
        <w:rPr>
          <w:rFonts w:ascii="Arial" w:cs="Arial" w:eastAsia="Arial" w:hAnsi="Arial"/>
          <w:sz w:val="18"/>
          <w:szCs w:val="18"/>
          <w:color w:val="auto"/>
        </w:rPr>
        <w:t>Any grant of RSUs to members of the Board of Directors that qualifies as prohibited payment under the Compensation Ordinance or otherwise, shall be null and void.</w:t>
      </w:r>
    </w:p>
    <w:p>
      <w:pPr>
        <w:spacing w:after="0" w:line="223" w:lineRule="exact"/>
        <w:rPr>
          <w:rFonts w:ascii="Arial" w:cs="Arial" w:eastAsia="Arial" w:hAnsi="Arial"/>
          <w:sz w:val="18"/>
          <w:szCs w:val="18"/>
          <w:color w:val="auto"/>
        </w:rPr>
      </w:pPr>
    </w:p>
    <w:p>
      <w:pPr>
        <w:jc w:val="both"/>
        <w:ind w:left="340" w:hanging="332"/>
        <w:spacing w:after="0" w:line="285" w:lineRule="auto"/>
        <w:tabs>
          <w:tab w:leader="none" w:pos="330" w:val="left"/>
        </w:tabs>
        <w:numPr>
          <w:ilvl w:val="0"/>
          <w:numId w:val="926"/>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particular in case of termination of Relationship or Change of Control, should, at the time of the relevant event, qualify as providing additional value to a member of the Board of Directors in a manner that would violate the Compensation Ordinance or other legal provisions, such additional value shall be otherwise compensated, e.g. by a relevant deduction from cash compensation or other proceeds.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18.Amendment and Termination</w:t>
      </w:r>
    </w:p>
    <w:p>
      <w:pPr>
        <w:spacing w:after="0" w:line="33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RSU grants. Any adverse economic effects of such termination, suspension or amendment on grants already made pursuant to a RSU Agreement shall be fairly compensated in cash, by adjustment of other terms of the grant, by replacement by other grants or benefits, or otherwise.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19.Severability</w:t>
      </w:r>
    </w:p>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20.Governing Law and Jurisdiction</w:t>
      </w:r>
    </w:p>
    <w:p>
      <w:pPr>
        <w:spacing w:after="0" w:line="332" w:lineRule="exact"/>
        <w:rPr>
          <w:sz w:val="20"/>
          <w:szCs w:val="20"/>
          <w:color w:val="auto"/>
        </w:rPr>
      </w:pPr>
    </w:p>
    <w:p>
      <w:pPr>
        <w:ind w:left="320" w:hanging="312"/>
        <w:spacing w:after="0"/>
        <w:tabs>
          <w:tab w:leader="none" w:pos="320" w:val="left"/>
        </w:tabs>
        <w:numPr>
          <w:ilvl w:val="0"/>
          <w:numId w:val="927"/>
        </w:numPr>
        <w:rPr>
          <w:rFonts w:ascii="Arial" w:cs="Arial" w:eastAsia="Arial" w:hAnsi="Arial"/>
          <w:sz w:val="18"/>
          <w:szCs w:val="18"/>
          <w:color w:val="auto"/>
        </w:rPr>
      </w:pPr>
      <w:r>
        <w:rPr>
          <w:rFonts w:ascii="Arial" w:cs="Arial" w:eastAsia="Arial" w:hAnsi="Arial"/>
          <w:sz w:val="18"/>
          <w:szCs w:val="18"/>
          <w:color w:val="auto"/>
        </w:rPr>
        <w:t>This Plan and any RSU Award Agreement shall be governed by, and construed in accordance with, the substantive laws of Switzerland.</w:t>
      </w:r>
    </w:p>
    <w:p>
      <w:pPr>
        <w:spacing w:after="0" w:line="292" w:lineRule="exact"/>
        <w:rPr>
          <w:rFonts w:ascii="Arial" w:cs="Arial" w:eastAsia="Arial" w:hAnsi="Arial"/>
          <w:sz w:val="18"/>
          <w:szCs w:val="18"/>
          <w:color w:val="auto"/>
        </w:rPr>
      </w:pPr>
    </w:p>
    <w:p>
      <w:pPr>
        <w:jc w:val="both"/>
        <w:ind w:left="340" w:hanging="332"/>
        <w:spacing w:after="0" w:line="287" w:lineRule="auto"/>
        <w:tabs>
          <w:tab w:leader="none" w:pos="330" w:val="left"/>
        </w:tabs>
        <w:numPr>
          <w:ilvl w:val="0"/>
          <w:numId w:val="927"/>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RSU Award Agreement shall be submitted to the exclusive jurisdiction of the courts at the domicile of the Company (currently Schlieren, Canton of Zurich, Switzerland).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21.Entry into Force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 per the approval of the Board of Directors, this Plan shall enter into force as of March 18, 2020.</w:t>
      </w:r>
    </w:p>
    <w:p>
      <w:pPr>
        <w:sectPr>
          <w:pgSz w:w="11900" w:h="16838" w:orient="portrait"/>
          <w:cols w:equalWidth="0" w:num="1">
            <w:col w:w="11240"/>
          </w:cols>
          <w:pgMar w:left="320" w:top="180" w:right="339" w:bottom="1440" w:gutter="0" w:footer="0" w:header="0"/>
        </w:sectPr>
      </w:pPr>
    </w:p>
    <w:bookmarkStart w:id="852" w:name="page853"/>
    <w:bookmarkEnd w:id="852"/>
    <w:p>
      <w:pPr>
        <w:ind w:left="20"/>
        <w:spacing w:after="0"/>
        <w:rPr>
          <w:sz w:val="20"/>
          <w:szCs w:val="20"/>
          <w:color w:val="auto"/>
        </w:rPr>
      </w:pPr>
      <w:r>
        <w:rPr>
          <w:rFonts w:ascii="Arial" w:cs="Arial" w:eastAsia="Arial" w:hAnsi="Arial"/>
          <w:sz w:val="13"/>
          <w:szCs w:val="13"/>
          <w:color w:val="auto"/>
        </w:rPr>
        <w:t>Molecular Partners AG: Restricted Share Plan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RSUs through a RSU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Relationship </w:t>
      </w:r>
      <w:r>
        <w:rPr>
          <w:rFonts w:ascii="Arial" w:cs="Arial" w:eastAsia="Arial" w:hAnsi="Arial"/>
          <w:sz w:val="18"/>
          <w:szCs w:val="18"/>
          <w:color w:val="auto"/>
        </w:rPr>
        <w:t>shall mean the board relationship and any relating contractual relationship of a member of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consultancy or other legal or contractual relationship of any other Participant.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40"/>
          </w:cols>
          <w:pgMar w:left="320" w:top="180" w:right="339" w:bottom="1440" w:gutter="0" w:footer="0" w:header="0"/>
        </w:sectPr>
      </w:pPr>
    </w:p>
    <w:bookmarkStart w:id="853" w:name="page854"/>
    <w:bookmarkEnd w:id="853"/>
    <w:p>
      <w:pPr>
        <w:ind w:left="20"/>
        <w:spacing w:after="0"/>
        <w:rPr>
          <w:sz w:val="20"/>
          <w:szCs w:val="20"/>
          <w:color w:val="auto"/>
        </w:rPr>
      </w:pPr>
      <w:r>
        <w:rPr>
          <w:rFonts w:ascii="Arial" w:cs="Arial" w:eastAsia="Arial" w:hAnsi="Arial"/>
          <w:sz w:val="13"/>
          <w:szCs w:val="13"/>
          <w:color w:val="auto"/>
        </w:rPr>
        <w:t>Molecular Partners AG: Restricted Share Plan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Agreement 2020</w:t>
      </w:r>
    </w:p>
    <w:p>
      <w:pPr>
        <w:spacing w:after="0" w:line="25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a Swiss corporation, with its domicile in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Restricted Share Plan 2020 (the </w:t>
      </w:r>
      <w:r>
        <w:rPr>
          <w:rFonts w:ascii="Arial" w:cs="Arial" w:eastAsia="Arial" w:hAnsi="Arial"/>
          <w:sz w:val="18"/>
          <w:szCs w:val="18"/>
          <w:b w:val="1"/>
          <w:bCs w:val="1"/>
          <w:color w:val="auto"/>
        </w:rPr>
        <w:t>RSU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RSU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RSU Plan, the Company hereby grants to you the following RSUs: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351"/>
        </w:trPr>
        <w:tc>
          <w:tcPr>
            <w:tcW w:w="304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486"/>
        </w:trPr>
        <w:tc>
          <w:tcPr>
            <w:tcW w:w="304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7440" w:type="dxa"/>
            <w:vAlign w:val="bottom"/>
            <w:shd w:val="clear" w:color="auto" w:fill="D9D9D9"/>
          </w:tcPr>
          <w:p>
            <w:pPr>
              <w:ind w:left="40"/>
              <w:spacing w:after="0"/>
              <w:rPr>
                <w:sz w:val="20"/>
                <w:szCs w:val="20"/>
                <w:color w:val="auto"/>
              </w:rPr>
            </w:pPr>
            <w:r>
              <w:rPr>
                <w:rFonts w:ascii="Arial" w:cs="Arial" w:eastAsia="Arial" w:hAnsi="Arial"/>
                <w:sz w:val="18"/>
                <w:szCs w:val="18"/>
                <w:color w:val="auto"/>
              </w:rPr>
              <w:t>[■]</w:t>
            </w:r>
          </w:p>
        </w:tc>
      </w:tr>
      <w:tr>
        <w:trPr>
          <w:trHeight w:val="135"/>
        </w:trPr>
        <w:tc>
          <w:tcPr>
            <w:tcW w:w="3040" w:type="dxa"/>
            <w:vAlign w:val="bottom"/>
          </w:tcPr>
          <w:p>
            <w:pPr>
              <w:spacing w:after="0"/>
              <w:rPr>
                <w:sz w:val="11"/>
                <w:szCs w:val="11"/>
                <w:color w:val="auto"/>
              </w:rPr>
            </w:pPr>
          </w:p>
        </w:tc>
        <w:tc>
          <w:tcPr>
            <w:tcW w:w="7440" w:type="dxa"/>
            <w:vAlign w:val="bottom"/>
            <w:shd w:val="clear" w:color="auto" w:fill="D9D9D9"/>
          </w:tcPr>
          <w:p>
            <w:pPr>
              <w:spacing w:after="0"/>
              <w:rPr>
                <w:sz w:val="11"/>
                <w:szCs w:val="11"/>
                <w:color w:val="auto"/>
              </w:rPr>
            </w:pPr>
          </w:p>
        </w:tc>
      </w:tr>
    </w:tbl>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grants and any rights associated therewith are personal and not transferable. Please note that the RSU Plan includes a number of restrictions and conditions, which may lead to a complete loss of any entitlements hereunder. [Any grants made to members of the Board of Directors shall be subject to the approval of relevant compensation amounts for the Board of Directors by the shareholders' meeting for the year 2020.]</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RSUs in accordance with this Agreement and the RSU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RSUs is being made, without obligation, at the sole and unrestricted discretion of the Company. The RSU Plan, your eligibility thereunder, the grant of RSUs or the allocation of Shares in connection therewith shall not confer upon you any right to participate in the RSU Plan or to receive grants of RSUs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200" w:lineRule="exact"/>
        <w:rPr>
          <w:sz w:val="20"/>
          <w:szCs w:val="20"/>
          <w:color w:val="auto"/>
        </w:rPr>
      </w:pPr>
    </w:p>
    <w:p>
      <w:pPr>
        <w:spacing w:after="0" w:line="253"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________________________</w:t>
      </w:r>
      <w:r>
        <w:rPr>
          <w:sz w:val="20"/>
          <w:szCs w:val="20"/>
          <w:color w:val="auto"/>
        </w:rPr>
        <w:tab/>
      </w:r>
      <w:r>
        <w:rPr>
          <w:rFonts w:ascii="Arial" w:cs="Arial" w:eastAsia="Arial" w:hAnsi="Arial"/>
          <w:sz w:val="18"/>
          <w:szCs w:val="18"/>
          <w:color w:val="auto"/>
        </w:rPr>
        <w:t>_________________________</w:t>
      </w:r>
    </w:p>
    <w:p>
      <w:pPr>
        <w:spacing w:after="0"/>
        <w:tabs>
          <w:tab w:leader="none" w:pos="1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by the Participant on ____________________</w:t>
      </w:r>
    </w:p>
    <w:p>
      <w:pPr>
        <w:spacing w:after="0"/>
        <w:rPr>
          <w:sz w:val="20"/>
          <w:szCs w:val="20"/>
          <w:color w:val="auto"/>
        </w:rPr>
      </w:pPr>
      <w:r>
        <w:rPr>
          <w:rFonts w:ascii="Arial" w:cs="Arial" w:eastAsia="Arial" w:hAnsi="Arial"/>
          <w:sz w:val="16"/>
          <w:szCs w:val="16"/>
          <w:color w:val="auto"/>
        </w:rPr>
        <w:t>(Date)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rPr>
          <w:sz w:val="20"/>
          <w:szCs w:val="20"/>
          <w:color w:val="auto"/>
        </w:rPr>
      </w:pPr>
      <w:r>
        <w:rPr>
          <w:rFonts w:ascii="Arial" w:cs="Arial" w:eastAsia="Arial" w:hAnsi="Arial"/>
          <w:sz w:val="16"/>
          <w:szCs w:val="16"/>
          <w:color w:val="auto"/>
        </w:rPr>
        <w:t>(Signature)</w:t>
      </w:r>
    </w:p>
    <w:p>
      <w:pPr>
        <w:sectPr>
          <w:pgSz w:w="11900" w:h="16838" w:orient="portrait"/>
          <w:cols w:equalWidth="0" w:num="1">
            <w:col w:w="11240"/>
          </w:cols>
          <w:pgMar w:left="320" w:top="180" w:right="339" w:bottom="1440" w:gutter="0" w:footer="0" w:header="0"/>
        </w:sectPr>
      </w:pPr>
    </w:p>
    <w:bookmarkStart w:id="854" w:name="page855"/>
    <w:bookmarkEnd w:id="854"/>
    <w:p>
      <w:pPr>
        <w:jc w:val="right"/>
        <w:spacing w:after="0"/>
        <w:rPr>
          <w:sz w:val="20"/>
          <w:szCs w:val="20"/>
          <w:color w:val="auto"/>
        </w:rPr>
      </w:pPr>
      <w:r>
        <w:rPr>
          <w:rFonts w:ascii="Arial" w:cs="Arial" w:eastAsia="Arial" w:hAnsi="Arial"/>
          <w:sz w:val="18"/>
          <w:szCs w:val="18"/>
          <w:b w:val="1"/>
          <w:bCs w:val="1"/>
          <w:color w:val="auto"/>
        </w:rPr>
        <w:t>Exhibit 10.17</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Molecular Partners AG: Restricted Share Plan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Molecular Partners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Restricted Share Plan 2021</w:t>
      </w:r>
    </w:p>
    <w:p>
      <w:pPr>
        <w:sectPr>
          <w:pgSz w:w="11900" w:h="16838" w:orient="portrait"/>
          <w:cols w:equalWidth="0" w:num="1">
            <w:col w:w="11240"/>
          </w:cols>
          <w:pgMar w:left="320" w:top="135" w:right="339" w:bottom="1440" w:gutter="0" w:footer="0" w:header="0"/>
        </w:sectPr>
      </w:pPr>
    </w:p>
    <w:bookmarkStart w:id="855" w:name="page856"/>
    <w:bookmarkEnd w:id="855"/>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2021</w:t>
            </w:r>
          </w:p>
        </w:tc>
        <w:tc>
          <w:tcPr>
            <w:tcW w:w="4180" w:type="dxa"/>
            <w:vAlign w:val="bottom"/>
          </w:tcPr>
          <w:p>
            <w:pPr>
              <w:jc w:val="right"/>
              <w:spacing w:after="0"/>
              <w:rPr>
                <w:sz w:val="20"/>
                <w:szCs w:val="20"/>
                <w:color w:val="auto"/>
              </w:rPr>
            </w:pPr>
            <w:r>
              <w:rPr>
                <w:rFonts w:ascii="Arial" w:cs="Arial" w:eastAsia="Arial" w:hAnsi="Arial"/>
                <w:sz w:val="13"/>
                <w:szCs w:val="13"/>
                <w:color w:val="auto"/>
              </w:rPr>
              <w:t>2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7660" w:type="dxa"/>
            <w:vAlign w:val="bottom"/>
            <w:gridSpan w:val="2"/>
          </w:tcPr>
          <w:p>
            <w:pPr>
              <w:spacing w:after="0"/>
              <w:rPr>
                <w:sz w:val="20"/>
                <w:szCs w:val="20"/>
                <w:color w:val="auto"/>
              </w:rPr>
            </w:pPr>
            <w:r>
              <w:rPr>
                <w:rFonts w:ascii="Arial" w:cs="Arial" w:eastAsia="Arial" w:hAnsi="Arial"/>
                <w:sz w:val="20"/>
                <w:szCs w:val="20"/>
                <w:color w:val="auto"/>
              </w:rPr>
              <w:t>Restricted Share Plan 2021</w:t>
            </w:r>
          </w:p>
        </w:tc>
        <w:tc>
          <w:tcPr>
            <w:tcW w:w="3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w:t>
            </w:r>
          </w:p>
        </w:tc>
        <w:tc>
          <w:tcPr>
            <w:tcW w:w="7140" w:type="dxa"/>
            <w:vAlign w:val="bottom"/>
          </w:tcPr>
          <w:p>
            <w:pPr>
              <w:ind w:left="220"/>
              <w:spacing w:after="0"/>
              <w:rPr>
                <w:sz w:val="20"/>
                <w:szCs w:val="20"/>
                <w:color w:val="auto"/>
              </w:rPr>
            </w:pPr>
            <w:r>
              <w:rPr>
                <w:rFonts w:ascii="Arial" w:cs="Arial" w:eastAsia="Arial" w:hAnsi="Arial"/>
                <w:sz w:val="20"/>
                <w:szCs w:val="20"/>
                <w:color w:val="auto"/>
              </w:rPr>
              <w:t>Purpose</w:t>
            </w:r>
          </w:p>
        </w:tc>
        <w:tc>
          <w:tcPr>
            <w:tcW w:w="3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2.</w:t>
            </w:r>
          </w:p>
        </w:tc>
        <w:tc>
          <w:tcPr>
            <w:tcW w:w="7140" w:type="dxa"/>
            <w:vAlign w:val="bottom"/>
          </w:tcPr>
          <w:p>
            <w:pPr>
              <w:ind w:left="220"/>
              <w:spacing w:after="0"/>
              <w:rPr>
                <w:sz w:val="20"/>
                <w:szCs w:val="20"/>
                <w:color w:val="auto"/>
              </w:rPr>
            </w:pPr>
            <w:r>
              <w:rPr>
                <w:rFonts w:ascii="Arial" w:cs="Arial" w:eastAsia="Arial" w:hAnsi="Arial"/>
                <w:sz w:val="20"/>
                <w:szCs w:val="20"/>
                <w:color w:val="auto"/>
              </w:rPr>
              <w:t>Definitions and Interpretation</w:t>
            </w:r>
          </w:p>
        </w:tc>
        <w:tc>
          <w:tcPr>
            <w:tcW w:w="3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3.</w:t>
            </w:r>
          </w:p>
        </w:tc>
        <w:tc>
          <w:tcPr>
            <w:tcW w:w="7140" w:type="dxa"/>
            <w:vAlign w:val="bottom"/>
          </w:tcPr>
          <w:p>
            <w:pPr>
              <w:ind w:left="220"/>
              <w:spacing w:after="0"/>
              <w:rPr>
                <w:sz w:val="20"/>
                <w:szCs w:val="20"/>
                <w:color w:val="auto"/>
              </w:rPr>
            </w:pPr>
            <w:r>
              <w:rPr>
                <w:rFonts w:ascii="Arial" w:cs="Arial" w:eastAsia="Arial" w:hAnsi="Arial"/>
                <w:sz w:val="20"/>
                <w:szCs w:val="20"/>
                <w:color w:val="auto"/>
              </w:rPr>
              <w:t>Responsibilities and Administration</w:t>
            </w:r>
          </w:p>
        </w:tc>
        <w:tc>
          <w:tcPr>
            <w:tcW w:w="35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4.</w:t>
            </w:r>
          </w:p>
        </w:tc>
        <w:tc>
          <w:tcPr>
            <w:tcW w:w="7140" w:type="dxa"/>
            <w:vAlign w:val="bottom"/>
          </w:tcPr>
          <w:p>
            <w:pPr>
              <w:ind w:left="220"/>
              <w:spacing w:after="0"/>
              <w:rPr>
                <w:sz w:val="20"/>
                <w:szCs w:val="20"/>
                <w:color w:val="auto"/>
              </w:rPr>
            </w:pPr>
            <w:r>
              <w:rPr>
                <w:rFonts w:ascii="Arial" w:cs="Arial" w:eastAsia="Arial" w:hAnsi="Arial"/>
                <w:sz w:val="20"/>
                <w:szCs w:val="20"/>
                <w:color w:val="auto"/>
              </w:rPr>
              <w:t>Eligibility and Participation</w:t>
            </w:r>
          </w:p>
        </w:tc>
        <w:tc>
          <w:tcPr>
            <w:tcW w:w="35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5.</w:t>
            </w:r>
          </w:p>
        </w:tc>
        <w:tc>
          <w:tcPr>
            <w:tcW w:w="7140" w:type="dxa"/>
            <w:vAlign w:val="bottom"/>
          </w:tcPr>
          <w:p>
            <w:pPr>
              <w:ind w:left="220"/>
              <w:spacing w:after="0"/>
              <w:rPr>
                <w:sz w:val="20"/>
                <w:szCs w:val="20"/>
                <w:color w:val="auto"/>
              </w:rPr>
            </w:pPr>
            <w:r>
              <w:rPr>
                <w:rFonts w:ascii="Arial" w:cs="Arial" w:eastAsia="Arial" w:hAnsi="Arial"/>
                <w:sz w:val="20"/>
                <w:szCs w:val="20"/>
                <w:color w:val="auto"/>
              </w:rPr>
              <w:t>Grant of RSUs</w:t>
            </w:r>
          </w:p>
        </w:tc>
        <w:tc>
          <w:tcPr>
            <w:tcW w:w="35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6.</w:t>
            </w:r>
          </w:p>
        </w:tc>
        <w:tc>
          <w:tcPr>
            <w:tcW w:w="7140" w:type="dxa"/>
            <w:vAlign w:val="bottom"/>
          </w:tcPr>
          <w:p>
            <w:pPr>
              <w:ind w:left="220"/>
              <w:spacing w:after="0"/>
              <w:rPr>
                <w:sz w:val="20"/>
                <w:szCs w:val="20"/>
                <w:color w:val="auto"/>
              </w:rPr>
            </w:pPr>
            <w:r>
              <w:rPr>
                <w:rFonts w:ascii="Arial" w:cs="Arial" w:eastAsia="Arial" w:hAnsi="Arial"/>
                <w:sz w:val="20"/>
                <w:szCs w:val="20"/>
                <w:color w:val="auto"/>
              </w:rPr>
              <w:t>No Securities</w:t>
            </w:r>
          </w:p>
        </w:tc>
        <w:tc>
          <w:tcPr>
            <w:tcW w:w="35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7.</w:t>
            </w:r>
          </w:p>
        </w:tc>
        <w:tc>
          <w:tcPr>
            <w:tcW w:w="7140" w:type="dxa"/>
            <w:vAlign w:val="bottom"/>
          </w:tcPr>
          <w:p>
            <w:pPr>
              <w:ind w:left="220"/>
              <w:spacing w:after="0"/>
              <w:rPr>
                <w:sz w:val="20"/>
                <w:szCs w:val="20"/>
                <w:color w:val="auto"/>
              </w:rPr>
            </w:pPr>
            <w:r>
              <w:rPr>
                <w:rFonts w:ascii="Arial" w:cs="Arial" w:eastAsia="Arial" w:hAnsi="Arial"/>
                <w:sz w:val="20"/>
                <w:szCs w:val="20"/>
                <w:color w:val="auto"/>
              </w:rPr>
              <w:t>No Transfer</w:t>
            </w:r>
          </w:p>
        </w:tc>
        <w:tc>
          <w:tcPr>
            <w:tcW w:w="3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8.</w:t>
            </w:r>
          </w:p>
        </w:tc>
        <w:tc>
          <w:tcPr>
            <w:tcW w:w="7140" w:type="dxa"/>
            <w:vAlign w:val="bottom"/>
          </w:tcPr>
          <w:p>
            <w:pPr>
              <w:ind w:left="220"/>
              <w:spacing w:after="0"/>
              <w:rPr>
                <w:sz w:val="20"/>
                <w:szCs w:val="20"/>
                <w:color w:val="auto"/>
              </w:rPr>
            </w:pPr>
            <w:r>
              <w:rPr>
                <w:rFonts w:ascii="Arial" w:cs="Arial" w:eastAsia="Arial" w:hAnsi="Arial"/>
                <w:sz w:val="20"/>
                <w:szCs w:val="20"/>
                <w:color w:val="auto"/>
              </w:rPr>
              <w:t>Vesting and Delivery of Shares</w:t>
            </w:r>
          </w:p>
        </w:tc>
        <w:tc>
          <w:tcPr>
            <w:tcW w:w="3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9.</w:t>
            </w:r>
          </w:p>
        </w:tc>
        <w:tc>
          <w:tcPr>
            <w:tcW w:w="7140" w:type="dxa"/>
            <w:vAlign w:val="bottom"/>
          </w:tcPr>
          <w:p>
            <w:pPr>
              <w:ind w:left="220"/>
              <w:spacing w:after="0"/>
              <w:rPr>
                <w:sz w:val="20"/>
                <w:szCs w:val="20"/>
                <w:color w:val="auto"/>
              </w:rPr>
            </w:pPr>
            <w:r>
              <w:rPr>
                <w:rFonts w:ascii="Arial" w:cs="Arial" w:eastAsia="Arial" w:hAnsi="Arial"/>
                <w:sz w:val="20"/>
                <w:szCs w:val="20"/>
                <w:color w:val="auto"/>
              </w:rPr>
              <w:t>Underlying Shares</w:t>
            </w:r>
          </w:p>
        </w:tc>
        <w:tc>
          <w:tcPr>
            <w:tcW w:w="3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10.</w:t>
            </w:r>
          </w:p>
        </w:tc>
        <w:tc>
          <w:tcPr>
            <w:tcW w:w="7140" w:type="dxa"/>
            <w:vAlign w:val="bottom"/>
          </w:tcPr>
          <w:p>
            <w:pPr>
              <w:ind w:left="220"/>
              <w:spacing w:after="0"/>
              <w:rPr>
                <w:sz w:val="20"/>
                <w:szCs w:val="20"/>
                <w:color w:val="auto"/>
              </w:rPr>
            </w:pPr>
            <w:r>
              <w:rPr>
                <w:rFonts w:ascii="Arial" w:cs="Arial" w:eastAsia="Arial" w:hAnsi="Arial"/>
                <w:sz w:val="20"/>
                <w:szCs w:val="20"/>
                <w:color w:val="auto"/>
              </w:rPr>
              <w:t>Taxes and Social Security Contributions</w:t>
            </w:r>
          </w:p>
        </w:tc>
        <w:tc>
          <w:tcPr>
            <w:tcW w:w="35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11.</w:t>
            </w:r>
          </w:p>
        </w:tc>
        <w:tc>
          <w:tcPr>
            <w:tcW w:w="7140" w:type="dxa"/>
            <w:vAlign w:val="bottom"/>
          </w:tcPr>
          <w:p>
            <w:pPr>
              <w:ind w:left="220"/>
              <w:spacing w:after="0"/>
              <w:rPr>
                <w:sz w:val="20"/>
                <w:szCs w:val="20"/>
                <w:color w:val="auto"/>
              </w:rPr>
            </w:pPr>
            <w:r>
              <w:rPr>
                <w:rFonts w:ascii="Arial" w:cs="Arial" w:eastAsia="Arial" w:hAnsi="Arial"/>
                <w:sz w:val="20"/>
                <w:szCs w:val="20"/>
                <w:color w:val="auto"/>
              </w:rPr>
              <w:t>Disclosure Requirements</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12.</w:t>
            </w:r>
          </w:p>
        </w:tc>
        <w:tc>
          <w:tcPr>
            <w:tcW w:w="7140" w:type="dxa"/>
            <w:vAlign w:val="bottom"/>
          </w:tcPr>
          <w:p>
            <w:pPr>
              <w:ind w:left="220"/>
              <w:spacing w:after="0"/>
              <w:rPr>
                <w:sz w:val="20"/>
                <w:szCs w:val="20"/>
                <w:color w:val="auto"/>
              </w:rPr>
            </w:pPr>
            <w:r>
              <w:rPr>
                <w:rFonts w:ascii="Arial" w:cs="Arial" w:eastAsia="Arial" w:hAnsi="Arial"/>
                <w:sz w:val="20"/>
                <w:szCs w:val="20"/>
                <w:color w:val="auto"/>
              </w:rPr>
              <w:t>Other Obligations of the Participant</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13.</w:t>
            </w:r>
          </w:p>
        </w:tc>
        <w:tc>
          <w:tcPr>
            <w:tcW w:w="7140" w:type="dxa"/>
            <w:vAlign w:val="bottom"/>
          </w:tcPr>
          <w:p>
            <w:pPr>
              <w:ind w:left="220"/>
              <w:spacing w:after="0"/>
              <w:rPr>
                <w:sz w:val="20"/>
                <w:szCs w:val="20"/>
                <w:color w:val="auto"/>
              </w:rPr>
            </w:pPr>
            <w:r>
              <w:rPr>
                <w:rFonts w:ascii="Arial" w:cs="Arial" w:eastAsia="Arial" w:hAnsi="Arial"/>
                <w:sz w:val="20"/>
                <w:szCs w:val="20"/>
                <w:color w:val="auto"/>
              </w:rPr>
              <w:t>Termination of Relationship</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14.</w:t>
            </w:r>
          </w:p>
        </w:tc>
        <w:tc>
          <w:tcPr>
            <w:tcW w:w="7140" w:type="dxa"/>
            <w:vAlign w:val="bottom"/>
          </w:tcPr>
          <w:p>
            <w:pPr>
              <w:ind w:left="220"/>
              <w:spacing w:after="0"/>
              <w:rPr>
                <w:sz w:val="20"/>
                <w:szCs w:val="20"/>
                <w:color w:val="auto"/>
              </w:rPr>
            </w:pPr>
            <w:r>
              <w:rPr>
                <w:rFonts w:ascii="Arial" w:cs="Arial" w:eastAsia="Arial" w:hAnsi="Arial"/>
                <w:sz w:val="20"/>
                <w:szCs w:val="20"/>
                <w:color w:val="auto"/>
              </w:rPr>
              <w:t>Change of Control</w:t>
            </w:r>
          </w:p>
        </w:tc>
        <w:tc>
          <w:tcPr>
            <w:tcW w:w="354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15.</w:t>
            </w:r>
          </w:p>
        </w:tc>
        <w:tc>
          <w:tcPr>
            <w:tcW w:w="7140" w:type="dxa"/>
            <w:vAlign w:val="bottom"/>
          </w:tcPr>
          <w:p>
            <w:pPr>
              <w:ind w:left="220"/>
              <w:spacing w:after="0"/>
              <w:rPr>
                <w:sz w:val="20"/>
                <w:szCs w:val="20"/>
                <w:color w:val="auto"/>
              </w:rPr>
            </w:pPr>
            <w:r>
              <w:rPr>
                <w:rFonts w:ascii="Arial" w:cs="Arial" w:eastAsia="Arial" w:hAnsi="Arial"/>
                <w:sz w:val="20"/>
                <w:szCs w:val="20"/>
                <w:color w:val="auto"/>
              </w:rPr>
              <w:t>Corporate Events</w:t>
            </w:r>
          </w:p>
        </w:tc>
        <w:tc>
          <w:tcPr>
            <w:tcW w:w="35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16.</w:t>
            </w:r>
          </w:p>
        </w:tc>
        <w:tc>
          <w:tcPr>
            <w:tcW w:w="7140" w:type="dxa"/>
            <w:vAlign w:val="bottom"/>
          </w:tcPr>
          <w:p>
            <w:pPr>
              <w:ind w:left="220"/>
              <w:spacing w:after="0"/>
              <w:rPr>
                <w:sz w:val="20"/>
                <w:szCs w:val="20"/>
                <w:color w:val="auto"/>
              </w:rPr>
            </w:pPr>
            <w:r>
              <w:rPr>
                <w:rFonts w:ascii="Arial" w:cs="Arial" w:eastAsia="Arial" w:hAnsi="Arial"/>
                <w:sz w:val="20"/>
                <w:szCs w:val="20"/>
                <w:color w:val="auto"/>
              </w:rPr>
              <w:t>Data Protection</w:t>
            </w:r>
          </w:p>
        </w:tc>
        <w:tc>
          <w:tcPr>
            <w:tcW w:w="35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17.</w:t>
            </w:r>
          </w:p>
        </w:tc>
        <w:tc>
          <w:tcPr>
            <w:tcW w:w="7140" w:type="dxa"/>
            <w:vAlign w:val="bottom"/>
          </w:tcPr>
          <w:p>
            <w:pPr>
              <w:ind w:left="220"/>
              <w:spacing w:after="0"/>
              <w:rPr>
                <w:sz w:val="20"/>
                <w:szCs w:val="20"/>
                <w:color w:val="auto"/>
              </w:rPr>
            </w:pPr>
            <w:r>
              <w:rPr>
                <w:rFonts w:ascii="Arial" w:cs="Arial" w:eastAsia="Arial" w:hAnsi="Arial"/>
                <w:sz w:val="20"/>
                <w:szCs w:val="20"/>
                <w:color w:val="auto"/>
              </w:rPr>
              <w:t>Legal and regulatory restrictions</w:t>
            </w:r>
          </w:p>
        </w:tc>
        <w:tc>
          <w:tcPr>
            <w:tcW w:w="35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18.</w:t>
            </w:r>
          </w:p>
        </w:tc>
        <w:tc>
          <w:tcPr>
            <w:tcW w:w="7140" w:type="dxa"/>
            <w:vAlign w:val="bottom"/>
          </w:tcPr>
          <w:p>
            <w:pPr>
              <w:ind w:left="220"/>
              <w:spacing w:after="0"/>
              <w:rPr>
                <w:sz w:val="20"/>
                <w:szCs w:val="20"/>
                <w:color w:val="auto"/>
              </w:rPr>
            </w:pPr>
            <w:r>
              <w:rPr>
                <w:rFonts w:ascii="Arial" w:cs="Arial" w:eastAsia="Arial" w:hAnsi="Arial"/>
                <w:sz w:val="20"/>
                <w:szCs w:val="20"/>
                <w:color w:val="auto"/>
              </w:rPr>
              <w:t>Amendment and Termination</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19.</w:t>
            </w:r>
          </w:p>
        </w:tc>
        <w:tc>
          <w:tcPr>
            <w:tcW w:w="7140" w:type="dxa"/>
            <w:vAlign w:val="bottom"/>
          </w:tcPr>
          <w:p>
            <w:pPr>
              <w:ind w:left="220"/>
              <w:spacing w:after="0"/>
              <w:rPr>
                <w:sz w:val="20"/>
                <w:szCs w:val="20"/>
                <w:color w:val="auto"/>
              </w:rPr>
            </w:pPr>
            <w:r>
              <w:rPr>
                <w:rFonts w:ascii="Arial" w:cs="Arial" w:eastAsia="Arial" w:hAnsi="Arial"/>
                <w:sz w:val="20"/>
                <w:szCs w:val="20"/>
                <w:color w:val="auto"/>
              </w:rPr>
              <w:t>Severability</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20.</w:t>
            </w:r>
          </w:p>
        </w:tc>
        <w:tc>
          <w:tcPr>
            <w:tcW w:w="7140" w:type="dxa"/>
            <w:vAlign w:val="bottom"/>
          </w:tcPr>
          <w:p>
            <w:pPr>
              <w:ind w:left="220"/>
              <w:spacing w:after="0"/>
              <w:rPr>
                <w:sz w:val="20"/>
                <w:szCs w:val="20"/>
                <w:color w:val="auto"/>
              </w:rPr>
            </w:pPr>
            <w:r>
              <w:rPr>
                <w:rFonts w:ascii="Arial" w:cs="Arial" w:eastAsia="Arial" w:hAnsi="Arial"/>
                <w:sz w:val="20"/>
                <w:szCs w:val="20"/>
                <w:color w:val="auto"/>
              </w:rPr>
              <w:t>Governing Law and Jurisdiction</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43"/>
        </w:trPr>
        <w:tc>
          <w:tcPr>
            <w:tcW w:w="520" w:type="dxa"/>
            <w:vAlign w:val="bottom"/>
          </w:tcPr>
          <w:p>
            <w:pPr>
              <w:spacing w:after="0"/>
              <w:rPr>
                <w:sz w:val="20"/>
                <w:szCs w:val="20"/>
                <w:color w:val="auto"/>
              </w:rPr>
            </w:pPr>
            <w:r>
              <w:rPr>
                <w:rFonts w:ascii="Arial" w:cs="Arial" w:eastAsia="Arial" w:hAnsi="Arial"/>
                <w:sz w:val="20"/>
                <w:szCs w:val="20"/>
                <w:color w:val="auto"/>
              </w:rPr>
              <w:t>21.</w:t>
            </w:r>
          </w:p>
        </w:tc>
        <w:tc>
          <w:tcPr>
            <w:tcW w:w="7140" w:type="dxa"/>
            <w:vAlign w:val="bottom"/>
          </w:tcPr>
          <w:p>
            <w:pPr>
              <w:ind w:left="220"/>
              <w:spacing w:after="0"/>
              <w:rPr>
                <w:sz w:val="20"/>
                <w:szCs w:val="20"/>
                <w:color w:val="auto"/>
              </w:rPr>
            </w:pPr>
            <w:r>
              <w:rPr>
                <w:rFonts w:ascii="Arial" w:cs="Arial" w:eastAsia="Arial" w:hAnsi="Arial"/>
                <w:sz w:val="20"/>
                <w:szCs w:val="20"/>
                <w:color w:val="auto"/>
              </w:rPr>
              <w:t>Entry into Force</w:t>
            </w:r>
          </w:p>
        </w:tc>
        <w:tc>
          <w:tcPr>
            <w:tcW w:w="3540" w:type="dxa"/>
            <w:vAlign w:val="bottom"/>
          </w:tcPr>
          <w:p>
            <w:pPr>
              <w:jc w:val="right"/>
              <w:spacing w:after="0"/>
              <w:rPr>
                <w:sz w:val="20"/>
                <w:szCs w:val="20"/>
                <w:color w:val="auto"/>
              </w:rPr>
            </w:pPr>
            <w:r>
              <w:rPr>
                <w:rFonts w:ascii="Arial" w:cs="Arial" w:eastAsia="Arial" w:hAnsi="Arial"/>
                <w:sz w:val="20"/>
                <w:szCs w:val="20"/>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Annexes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Annex 1: Definitions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Annex 2: Form of RSU Award Agreement</w:t>
      </w:r>
    </w:p>
    <w:p>
      <w:pPr>
        <w:sectPr>
          <w:pgSz w:w="11900" w:h="16838" w:orient="portrait"/>
          <w:cols w:equalWidth="0" w:num="1">
            <w:col w:w="11220"/>
          </w:cols>
          <w:pgMar w:left="320" w:top="180" w:right="359" w:bottom="1440" w:gutter="0" w:footer="0" w:header="0"/>
        </w:sectPr>
      </w:pPr>
    </w:p>
    <w:bookmarkStart w:id="856" w:name="page857"/>
    <w:bookmarkEnd w:id="856"/>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2021</w:t>
            </w:r>
          </w:p>
        </w:tc>
        <w:tc>
          <w:tcPr>
            <w:tcW w:w="4180" w:type="dxa"/>
            <w:vAlign w:val="bottom"/>
          </w:tcPr>
          <w:p>
            <w:pPr>
              <w:jc w:val="right"/>
              <w:spacing w:after="0"/>
              <w:rPr>
                <w:sz w:val="20"/>
                <w:szCs w:val="20"/>
                <w:color w:val="auto"/>
              </w:rPr>
            </w:pPr>
            <w:r>
              <w:rPr>
                <w:rFonts w:ascii="Arial" w:cs="Arial" w:eastAsia="Arial" w:hAnsi="Arial"/>
                <w:sz w:val="13"/>
                <w:szCs w:val="13"/>
                <w:color w:val="auto"/>
              </w:rPr>
              <w:t>3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Share Plan 2021</w:t>
      </w:r>
    </w:p>
    <w:p>
      <w:pPr>
        <w:spacing w:after="0" w:line="264" w:lineRule="exact"/>
        <w:rPr>
          <w:sz w:val="20"/>
          <w:szCs w:val="20"/>
          <w:color w:val="auto"/>
        </w:rPr>
      </w:pPr>
    </w:p>
    <w:p>
      <w:pPr>
        <w:ind w:left="480" w:hanging="472"/>
        <w:spacing w:after="0"/>
        <w:tabs>
          <w:tab w:leader="none" w:pos="480" w:val="left"/>
        </w:tabs>
        <w:numPr>
          <w:ilvl w:val="0"/>
          <w:numId w:val="928"/>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97" w:lineRule="exact"/>
        <w:rPr>
          <w:sz w:val="20"/>
          <w:szCs w:val="20"/>
          <w:color w:val="auto"/>
        </w:rPr>
      </w:pPr>
    </w:p>
    <w:p>
      <w:pPr>
        <w:jc w:val="both"/>
        <w:ind w:left="500"/>
        <w:spacing w:after="0" w:line="300" w:lineRule="auto"/>
        <w:rPr>
          <w:sz w:val="20"/>
          <w:szCs w:val="20"/>
          <w:color w:val="auto"/>
        </w:rPr>
      </w:pPr>
      <w:r>
        <w:rPr>
          <w:rFonts w:ascii="Arial" w:cs="Arial" w:eastAsia="Arial" w:hAnsi="Arial"/>
          <w:sz w:val="18"/>
          <w:szCs w:val="18"/>
          <w:color w:val="auto"/>
        </w:rPr>
        <w:t>The purpose of this restricted share plan (</w:t>
      </w:r>
      <w:r>
        <w:rPr>
          <w:rFonts w:ascii="Arial" w:cs="Arial" w:eastAsia="Arial" w:hAnsi="Arial"/>
          <w:sz w:val="18"/>
          <w:szCs w:val="18"/>
          <w:b w:val="1"/>
          <w:bCs w:val="1"/>
          <w:color w:val="auto"/>
        </w:rPr>
        <w:t>Plan</w:t>
      </w:r>
      <w:r>
        <w:rPr>
          <w:rFonts w:ascii="Arial" w:cs="Arial" w:eastAsia="Arial" w:hAnsi="Arial"/>
          <w:sz w:val="18"/>
          <w:szCs w:val="18"/>
          <w:color w:val="auto"/>
        </w:rPr>
        <w:t xml:space="preserve">) is to establish a framework that enables the Company to provide certain eligible persons with a variable long-term incentive to contribute to the future success and prosperity of the Company and to better align their interests with those of the Company and its shareholders by granting Restricted Share Units (each a </w:t>
      </w:r>
      <w:r>
        <w:rPr>
          <w:rFonts w:ascii="Arial" w:cs="Arial" w:eastAsia="Arial" w:hAnsi="Arial"/>
          <w:sz w:val="18"/>
          <w:szCs w:val="18"/>
          <w:b w:val="1"/>
          <w:bCs w:val="1"/>
          <w:color w:val="auto"/>
        </w:rPr>
        <w:t>RSU</w:t>
      </w:r>
      <w:r>
        <w:rPr>
          <w:rFonts w:ascii="Arial" w:cs="Arial" w:eastAsia="Arial" w:hAnsi="Arial"/>
          <w:sz w:val="18"/>
          <w:szCs w:val="18"/>
          <w:color w:val="auto"/>
        </w:rPr>
        <w:t>) to them.</w:t>
      </w:r>
    </w:p>
    <w:p>
      <w:pPr>
        <w:spacing w:after="0" w:line="200" w:lineRule="exact"/>
        <w:rPr>
          <w:sz w:val="20"/>
          <w:szCs w:val="20"/>
          <w:color w:val="auto"/>
        </w:rPr>
      </w:pPr>
    </w:p>
    <w:p>
      <w:pPr>
        <w:ind w:left="480" w:hanging="472"/>
        <w:spacing w:after="0"/>
        <w:tabs>
          <w:tab w:leader="none" w:pos="480" w:val="left"/>
        </w:tabs>
        <w:numPr>
          <w:ilvl w:val="0"/>
          <w:numId w:val="92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Capitalized terms used in this Plan shall have the meaning set forth in </w:t>
      </w:r>
      <w:r>
        <w:rPr>
          <w:rFonts w:ascii="Arial" w:cs="Arial" w:eastAsia="Arial" w:hAnsi="Arial"/>
          <w:sz w:val="18"/>
          <w:szCs w:val="18"/>
          <w:u w:val="single" w:color="auto"/>
          <w:color w:val="auto"/>
        </w:rPr>
        <w:t>Annex 1</w:t>
      </w:r>
      <w:r>
        <w:rPr>
          <w:rFonts w:ascii="Arial" w:cs="Arial" w:eastAsia="Arial" w:hAnsi="Arial"/>
          <w:sz w:val="18"/>
          <w:szCs w:val="18"/>
          <w:color w:val="auto"/>
        </w:rPr>
        <w:t>.</w:t>
      </w:r>
    </w:p>
    <w:p>
      <w:pPr>
        <w:spacing w:after="0" w:line="247" w:lineRule="exact"/>
        <w:rPr>
          <w:sz w:val="20"/>
          <w:szCs w:val="20"/>
          <w:color w:val="auto"/>
        </w:rPr>
      </w:pPr>
    </w:p>
    <w:p>
      <w:pPr>
        <w:ind w:left="480" w:hanging="472"/>
        <w:spacing w:after="0"/>
        <w:tabs>
          <w:tab w:leader="none" w:pos="480" w:val="left"/>
        </w:tabs>
        <w:numPr>
          <w:ilvl w:val="0"/>
          <w:numId w:val="930"/>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Responsibilities and Administration</w:t>
      </w:r>
    </w:p>
    <w:p>
      <w:pPr>
        <w:spacing w:after="0" w:line="319" w:lineRule="exact"/>
        <w:rPr>
          <w:sz w:val="20"/>
          <w:szCs w:val="20"/>
          <w:color w:val="auto"/>
        </w:rPr>
      </w:pPr>
    </w:p>
    <w:p>
      <w:pPr>
        <w:ind w:left="480" w:hanging="472"/>
        <w:spacing w:after="0"/>
        <w:tabs>
          <w:tab w:leader="none" w:pos="48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This Plan has been approved and issued by the Board of Directors and any amendments or new editions of this Plan or new or other</w:t>
      </w:r>
    </w:p>
    <w:p>
      <w:pPr>
        <w:spacing w:after="0" w:line="36" w:lineRule="exact"/>
        <w:rPr>
          <w:rFonts w:ascii="Arial" w:cs="Arial" w:eastAsia="Arial" w:hAnsi="Arial"/>
          <w:sz w:val="18"/>
          <w:szCs w:val="18"/>
          <w:color w:val="auto"/>
        </w:rPr>
      </w:pPr>
    </w:p>
    <w:p>
      <w:pPr>
        <w:jc w:val="both"/>
        <w:ind w:left="500"/>
        <w:spacing w:after="0" w:line="287" w:lineRule="auto"/>
        <w:rPr>
          <w:rFonts w:ascii="Arial" w:cs="Arial" w:eastAsia="Arial" w:hAnsi="Arial"/>
          <w:sz w:val="18"/>
          <w:szCs w:val="18"/>
          <w:color w:val="auto"/>
        </w:rPr>
      </w:pPr>
      <w:r>
        <w:rPr>
          <w:rFonts w:ascii="Arial" w:cs="Arial" w:eastAsia="Arial" w:hAnsi="Arial"/>
          <w:sz w:val="18"/>
          <w:szCs w:val="18"/>
          <w:color w:val="auto"/>
        </w:rPr>
        <w:t>plans shall require the approval by the Board of Directors. The Board of Directors shall be in charge of approving, upon recommendation of the nomination and compensation committee of the Board of Directors (</w:t>
      </w:r>
      <w:r>
        <w:rPr>
          <w:rFonts w:ascii="Arial" w:cs="Arial" w:eastAsia="Arial" w:hAnsi="Arial"/>
          <w:sz w:val="18"/>
          <w:szCs w:val="18"/>
          <w:b w:val="1"/>
          <w:bCs w:val="1"/>
          <w:color w:val="auto"/>
        </w:rPr>
        <w:t>Nomination and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the maximum number of RSUs that may be granted under this Plan.</w:t>
      </w:r>
    </w:p>
    <w:p>
      <w:pPr>
        <w:spacing w:after="0" w:line="242" w:lineRule="exact"/>
        <w:rPr>
          <w:rFonts w:ascii="Arial" w:cs="Arial" w:eastAsia="Arial" w:hAnsi="Arial"/>
          <w:sz w:val="18"/>
          <w:szCs w:val="18"/>
          <w:color w:val="auto"/>
        </w:rPr>
      </w:pPr>
    </w:p>
    <w:p>
      <w:pPr>
        <w:jc w:val="both"/>
        <w:ind w:left="500" w:hanging="492"/>
        <w:spacing w:after="0" w:line="281" w:lineRule="auto"/>
        <w:tabs>
          <w:tab w:leader="none" w:pos="49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The Nomination and Compensation Committee shall be responsible for the implementation and administration of the Plan and shall make recommendations to amend, renew or terminate the Plan or to replace it with new editions or other plans. It may delegate, under</w:t>
      </w:r>
    </w:p>
    <w:p>
      <w:pPr>
        <w:spacing w:after="0" w:line="1" w:lineRule="exact"/>
        <w:rPr>
          <w:rFonts w:ascii="Arial" w:cs="Arial" w:eastAsia="Arial" w:hAnsi="Arial"/>
          <w:sz w:val="18"/>
          <w:szCs w:val="18"/>
          <w:color w:val="auto"/>
        </w:rPr>
      </w:pPr>
    </w:p>
    <w:p>
      <w:pPr>
        <w:ind w:left="500"/>
        <w:spacing w:after="0" w:line="293" w:lineRule="auto"/>
        <w:rPr>
          <w:rFonts w:ascii="Arial" w:cs="Arial" w:eastAsia="Arial" w:hAnsi="Arial"/>
          <w:sz w:val="18"/>
          <w:szCs w:val="18"/>
          <w:color w:val="auto"/>
        </w:rPr>
      </w:pPr>
      <w:r>
        <w:rPr>
          <w:rFonts w:ascii="Arial" w:cs="Arial" w:eastAsia="Arial" w:hAnsi="Arial"/>
          <w:sz w:val="18"/>
          <w:szCs w:val="18"/>
          <w:color w:val="auto"/>
        </w:rPr>
        <w:t>its supervision, the implementation and administration, as well as grants of RSUs other than to members of the Board of Directors to one or several administrators (</w:t>
      </w:r>
      <w:r>
        <w:rPr>
          <w:rFonts w:ascii="Arial" w:cs="Arial" w:eastAsia="Arial" w:hAnsi="Arial"/>
          <w:sz w:val="18"/>
          <w:szCs w:val="18"/>
          <w:b w:val="1"/>
          <w:bCs w:val="1"/>
          <w:color w:val="auto"/>
        </w:rPr>
        <w:t>Administrator</w:t>
      </w:r>
      <w:r>
        <w:rPr>
          <w:rFonts w:ascii="Arial" w:cs="Arial" w:eastAsia="Arial" w:hAnsi="Arial"/>
          <w:sz w:val="18"/>
          <w:szCs w:val="18"/>
          <w:color w:val="auto"/>
        </w:rPr>
        <w:t>).</w:t>
      </w:r>
    </w:p>
    <w:p>
      <w:pPr>
        <w:spacing w:after="0" w:line="237" w:lineRule="exact"/>
        <w:rPr>
          <w:rFonts w:ascii="Arial" w:cs="Arial" w:eastAsia="Arial" w:hAnsi="Arial"/>
          <w:sz w:val="18"/>
          <w:szCs w:val="18"/>
          <w:color w:val="auto"/>
        </w:rPr>
      </w:pPr>
    </w:p>
    <w:p>
      <w:pPr>
        <w:jc w:val="both"/>
        <w:ind w:left="500" w:hanging="492"/>
        <w:spacing w:after="0" w:line="284" w:lineRule="auto"/>
        <w:tabs>
          <w:tab w:leader="none" w:pos="494" w:val="left"/>
        </w:tabs>
        <w:numPr>
          <w:ilvl w:val="0"/>
          <w:numId w:val="931"/>
        </w:numPr>
        <w:rPr>
          <w:rFonts w:ascii="Arial" w:cs="Arial" w:eastAsia="Arial" w:hAnsi="Arial"/>
          <w:sz w:val="18"/>
          <w:szCs w:val="18"/>
          <w:color w:val="auto"/>
        </w:rPr>
      </w:pPr>
      <w:r>
        <w:rPr>
          <w:rFonts w:ascii="Arial" w:cs="Arial" w:eastAsia="Arial" w:hAnsi="Arial"/>
          <w:sz w:val="18"/>
          <w:szCs w:val="18"/>
          <w:color w:val="auto"/>
        </w:rPr>
        <w:t>Any grants of RSUs to members of the Board of Directors shall be approved by the Board of Directors based on individual recommendations of the Nomination and Compensation Committee and will, as long as shareholder approval for the aggregate amount of compensation is outstanding, be conditional upon such shareholder approval. In case that the amount approved by the shareholders does not cover the full amount of contemplated aggregate compensation for the year of grant, the entitlements to long-term compensation may be reduced by the Nomination and Compensation Committee in its sole discretion.</w:t>
      </w:r>
    </w:p>
    <w:p>
      <w:pPr>
        <w:spacing w:after="0" w:line="233" w:lineRule="exact"/>
        <w:rPr>
          <w:rFonts w:ascii="Arial" w:cs="Arial" w:eastAsia="Arial" w:hAnsi="Arial"/>
          <w:sz w:val="18"/>
          <w:szCs w:val="18"/>
          <w:color w:val="auto"/>
        </w:rPr>
      </w:pPr>
    </w:p>
    <w:p>
      <w:pPr>
        <w:jc w:val="both"/>
        <w:ind w:left="500" w:hanging="492"/>
        <w:spacing w:after="0" w:line="287" w:lineRule="auto"/>
        <w:tabs>
          <w:tab w:leader="none" w:pos="49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All resolutions, decisions, determinations and interpretations made by the Nomination and Compensation Committee or, upon delegation by the Nomination and Compensation Committee, an Administrator pursuant to this Plan, including any amendments or withdrawals of grants, are final and binding, unless approval by the Board of Directors or the shareholders' meeting is required.</w:t>
      </w:r>
    </w:p>
    <w:p>
      <w:pPr>
        <w:spacing w:after="0" w:line="242" w:lineRule="exact"/>
        <w:rPr>
          <w:rFonts w:ascii="Arial" w:cs="Arial" w:eastAsia="Arial" w:hAnsi="Arial"/>
          <w:sz w:val="18"/>
          <w:szCs w:val="18"/>
          <w:color w:val="auto"/>
        </w:rPr>
      </w:pPr>
    </w:p>
    <w:p>
      <w:pPr>
        <w:jc w:val="both"/>
        <w:ind w:left="500" w:hanging="492"/>
        <w:spacing w:after="0" w:line="287" w:lineRule="auto"/>
        <w:tabs>
          <w:tab w:leader="none" w:pos="490" w:val="left"/>
        </w:tabs>
        <w:numPr>
          <w:ilvl w:val="0"/>
          <w:numId w:val="931"/>
        </w:numPr>
        <w:rPr>
          <w:rFonts w:ascii="Arial" w:cs="Arial" w:eastAsia="Arial" w:hAnsi="Arial"/>
          <w:sz w:val="18"/>
          <w:szCs w:val="18"/>
          <w:color w:val="auto"/>
        </w:rPr>
      </w:pPr>
      <w:r>
        <w:rPr>
          <w:rFonts w:ascii="Arial" w:cs="Arial" w:eastAsia="Arial" w:hAnsi="Arial"/>
          <w:sz w:val="18"/>
          <w:szCs w:val="18"/>
          <w:color w:val="auto"/>
        </w:rPr>
        <w:t xml:space="preserve">Any technical or administrative task in connection with the Plan may be outsourced by the Nomination and Compensation Committee or the relevant Administrator to a third party service provider, e.g. the bank in charge with the creation of the Shares (each a </w:t>
      </w:r>
      <w:r>
        <w:rPr>
          <w:rFonts w:ascii="Arial" w:cs="Arial" w:eastAsia="Arial" w:hAnsi="Arial"/>
          <w:sz w:val="18"/>
          <w:szCs w:val="18"/>
          <w:b w:val="1"/>
          <w:bCs w:val="1"/>
          <w:color w:val="auto"/>
        </w:rPr>
        <w:t>Plan</w:t>
      </w:r>
      <w:r>
        <w:rPr>
          <w:rFonts w:ascii="Arial" w:cs="Arial" w:eastAsia="Arial" w:hAnsi="Arial"/>
          <w:sz w:val="18"/>
          <w:szCs w:val="18"/>
          <w:color w:val="auto"/>
        </w:rPr>
        <w:t xml:space="preserve"> </w:t>
      </w:r>
      <w:r>
        <w:rPr>
          <w:rFonts w:ascii="Arial" w:cs="Arial" w:eastAsia="Arial" w:hAnsi="Arial"/>
          <w:sz w:val="18"/>
          <w:szCs w:val="18"/>
          <w:b w:val="1"/>
          <w:bCs w:val="1"/>
          <w:color w:val="auto"/>
        </w:rPr>
        <w:t>Service Provider</w:t>
      </w:r>
      <w:r>
        <w:rPr>
          <w:rFonts w:ascii="Arial" w:cs="Arial" w:eastAsia="Arial" w:hAnsi="Arial"/>
          <w:sz w:val="18"/>
          <w:szCs w:val="18"/>
          <w:color w:val="auto"/>
        </w:rPr>
        <w:t>).</w:t>
      </w:r>
    </w:p>
    <w:p>
      <w:pPr>
        <w:sectPr>
          <w:pgSz w:w="11900" w:h="16838" w:orient="portrait"/>
          <w:cols w:equalWidth="0" w:num="1">
            <w:col w:w="11240"/>
          </w:cols>
          <w:pgMar w:left="320" w:top="180" w:right="339" w:bottom="1440" w:gutter="0" w:footer="0" w:header="0"/>
        </w:sectPr>
      </w:pPr>
    </w:p>
    <w:bookmarkStart w:id="857" w:name="page858"/>
    <w:bookmarkEnd w:id="857"/>
    <w:tbl>
      <w:tblPr>
        <w:tblLayout w:type="fixed"/>
        <w:tblInd w:w="12"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2021</w:t>
            </w:r>
          </w:p>
        </w:tc>
        <w:tc>
          <w:tcPr>
            <w:tcW w:w="4180" w:type="dxa"/>
            <w:vAlign w:val="bottom"/>
          </w:tcPr>
          <w:p>
            <w:pPr>
              <w:jc w:val="right"/>
              <w:spacing w:after="0"/>
              <w:rPr>
                <w:sz w:val="20"/>
                <w:szCs w:val="20"/>
                <w:color w:val="auto"/>
              </w:rPr>
            </w:pPr>
            <w:r>
              <w:rPr>
                <w:rFonts w:ascii="Arial" w:cs="Arial" w:eastAsia="Arial" w:hAnsi="Arial"/>
                <w:sz w:val="13"/>
                <w:szCs w:val="13"/>
                <w:color w:val="auto"/>
              </w:rPr>
              <w:t>4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72" w:hanging="472"/>
        <w:spacing w:after="0"/>
        <w:tabs>
          <w:tab w:leader="none" w:pos="472" w:val="left"/>
        </w:tabs>
        <w:numPr>
          <w:ilvl w:val="0"/>
          <w:numId w:val="932"/>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319" w:lineRule="exact"/>
        <w:rPr>
          <w:sz w:val="20"/>
          <w:szCs w:val="20"/>
          <w:color w:val="auto"/>
        </w:rPr>
      </w:pPr>
    </w:p>
    <w:p>
      <w:pPr>
        <w:jc w:val="both"/>
        <w:ind w:left="492" w:hanging="492"/>
        <w:spacing w:after="0" w:line="287" w:lineRule="auto"/>
        <w:tabs>
          <w:tab w:leader="none" w:pos="482" w:val="left"/>
        </w:tabs>
        <w:numPr>
          <w:ilvl w:val="0"/>
          <w:numId w:val="933"/>
        </w:numPr>
        <w:rPr>
          <w:rFonts w:ascii="Arial" w:cs="Arial" w:eastAsia="Arial" w:hAnsi="Arial"/>
          <w:sz w:val="18"/>
          <w:szCs w:val="18"/>
          <w:color w:val="auto"/>
        </w:rPr>
      </w:pPr>
      <w:r>
        <w:rPr>
          <w:rFonts w:ascii="Arial" w:cs="Arial" w:eastAsia="Arial" w:hAnsi="Arial"/>
          <w:sz w:val="18"/>
          <w:szCs w:val="18"/>
          <w:color w:val="auto"/>
        </w:rPr>
        <w:t>As a rule, members of the Board of Directors and selected consultants may become eligible to participate in this Plan. The decision on eligibility is reserved to the Nomination and Compensation Committee or, other than to members of the Board of Directors, the relevant Administrator.</w:t>
      </w:r>
    </w:p>
    <w:p>
      <w:pPr>
        <w:spacing w:after="0" w:line="242" w:lineRule="exact"/>
        <w:rPr>
          <w:rFonts w:ascii="Arial" w:cs="Arial" w:eastAsia="Arial" w:hAnsi="Arial"/>
          <w:sz w:val="18"/>
          <w:szCs w:val="18"/>
          <w:color w:val="auto"/>
        </w:rPr>
      </w:pPr>
    </w:p>
    <w:p>
      <w:pPr>
        <w:jc w:val="both"/>
        <w:ind w:left="492" w:hanging="492"/>
        <w:spacing w:after="0" w:line="298" w:lineRule="auto"/>
        <w:tabs>
          <w:tab w:leader="none" w:pos="482" w:val="left"/>
        </w:tabs>
        <w:numPr>
          <w:ilvl w:val="0"/>
          <w:numId w:val="933"/>
        </w:numPr>
        <w:rPr>
          <w:rFonts w:ascii="Arial" w:cs="Arial" w:eastAsia="Arial" w:hAnsi="Arial"/>
          <w:sz w:val="17"/>
          <w:szCs w:val="17"/>
          <w:color w:val="auto"/>
        </w:rPr>
      </w:pPr>
      <w:r>
        <w:rPr>
          <w:rFonts w:ascii="Arial" w:cs="Arial" w:eastAsia="Arial" w:hAnsi="Arial"/>
          <w:sz w:val="17"/>
          <w:szCs w:val="17"/>
          <w:color w:val="auto"/>
        </w:rPr>
        <w:t>Nothing in this Plan shall provide any rights to eligible persons or any other person nor create any obligation of the Company to grant RSUs based on this Plan or otherwise. This Plan is only applicable in connection with a mutually signed RSU award agreement (</w:t>
      </w:r>
      <w:r>
        <w:rPr>
          <w:rFonts w:ascii="Arial" w:cs="Arial" w:eastAsia="Arial" w:hAnsi="Arial"/>
          <w:sz w:val="17"/>
          <w:szCs w:val="17"/>
          <w:b w:val="1"/>
          <w:bCs w:val="1"/>
          <w:color w:val="auto"/>
        </w:rPr>
        <w:t>RSU</w:t>
      </w:r>
      <w:r>
        <w:rPr>
          <w:rFonts w:ascii="Arial" w:cs="Arial" w:eastAsia="Arial" w:hAnsi="Arial"/>
          <w:sz w:val="17"/>
          <w:szCs w:val="17"/>
          <w:color w:val="auto"/>
        </w:rPr>
        <w:t xml:space="preserve"> </w:t>
      </w:r>
      <w:r>
        <w:rPr>
          <w:rFonts w:ascii="Arial" w:cs="Arial" w:eastAsia="Arial" w:hAnsi="Arial"/>
          <w:sz w:val="17"/>
          <w:szCs w:val="17"/>
          <w:b w:val="1"/>
          <w:bCs w:val="1"/>
          <w:color w:val="auto"/>
        </w:rPr>
        <w:t>Award Agreement</w:t>
      </w:r>
      <w:r>
        <w:rPr>
          <w:rFonts w:ascii="Arial" w:cs="Arial" w:eastAsia="Arial" w:hAnsi="Arial"/>
          <w:sz w:val="17"/>
          <w:szCs w:val="17"/>
          <w:color w:val="auto"/>
        </w:rPr>
        <w:t>) among the Company (or the relevant Group Company) and the eligible person, substantially in the form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as Annex 2. The right to receive RSUs shall accrue exclusively to those eligible persons who have, in accordance with this Plan,</w:t>
      </w:r>
    </w:p>
    <w:p>
      <w:pPr>
        <w:spacing w:after="0" w:line="1" w:lineRule="exact"/>
        <w:rPr>
          <w:rFonts w:ascii="Arial" w:cs="Arial" w:eastAsia="Arial" w:hAnsi="Arial"/>
          <w:sz w:val="17"/>
          <w:szCs w:val="17"/>
          <w:color w:val="auto"/>
        </w:rPr>
      </w:pPr>
    </w:p>
    <w:p>
      <w:pPr>
        <w:ind w:left="492"/>
        <w:spacing w:after="0" w:line="293" w:lineRule="auto"/>
        <w:rPr>
          <w:rFonts w:ascii="Arial" w:cs="Arial" w:eastAsia="Arial" w:hAnsi="Arial"/>
          <w:sz w:val="17"/>
          <w:szCs w:val="17"/>
          <w:color w:val="auto"/>
        </w:rPr>
      </w:pPr>
      <w:r>
        <w:rPr>
          <w:rFonts w:ascii="Arial" w:cs="Arial" w:eastAsia="Arial" w:hAnsi="Arial"/>
          <w:sz w:val="18"/>
          <w:szCs w:val="18"/>
          <w:color w:val="auto"/>
        </w:rPr>
        <w:t xml:space="preserve">been duly and validly offered and have signed and returned their individual RSU Award Agreement by the relevant due date (each a </w:t>
      </w: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23" w:lineRule="exact"/>
        <w:rPr>
          <w:rFonts w:ascii="Arial" w:cs="Arial" w:eastAsia="Arial" w:hAnsi="Arial"/>
          <w:sz w:val="17"/>
          <w:szCs w:val="17"/>
          <w:color w:val="auto"/>
        </w:rPr>
      </w:pPr>
    </w:p>
    <w:p>
      <w:pPr>
        <w:jc w:val="both"/>
        <w:ind w:left="492" w:hanging="492"/>
        <w:spacing w:after="0" w:line="287" w:lineRule="auto"/>
        <w:tabs>
          <w:tab w:leader="none" w:pos="486" w:val="left"/>
        </w:tabs>
        <w:numPr>
          <w:ilvl w:val="0"/>
          <w:numId w:val="933"/>
        </w:numPr>
        <w:rPr>
          <w:rFonts w:ascii="Arial" w:cs="Arial" w:eastAsia="Arial" w:hAnsi="Arial"/>
          <w:sz w:val="18"/>
          <w:szCs w:val="18"/>
          <w:color w:val="auto"/>
        </w:rPr>
      </w:pPr>
      <w:r>
        <w:rPr>
          <w:rFonts w:ascii="Arial" w:cs="Arial" w:eastAsia="Arial" w:hAnsi="Arial"/>
          <w:sz w:val="18"/>
          <w:szCs w:val="18"/>
          <w:color w:val="auto"/>
        </w:rPr>
        <w:t>Grants of RSUs based on this Plan are discretionary and shall not create any entitlement to participate in future grants or in future participation, incentive or benefit plans, including future restricted share plans, regardless of the length of time a person has previously been allocated RSUs or other entitlements under this Plan or other plans.</w:t>
      </w:r>
    </w:p>
    <w:p>
      <w:pPr>
        <w:spacing w:after="0" w:line="242" w:lineRule="exact"/>
        <w:rPr>
          <w:rFonts w:ascii="Arial" w:cs="Arial" w:eastAsia="Arial" w:hAnsi="Arial"/>
          <w:sz w:val="18"/>
          <w:szCs w:val="18"/>
          <w:color w:val="auto"/>
        </w:rPr>
      </w:pPr>
    </w:p>
    <w:p>
      <w:pPr>
        <w:ind w:left="492" w:hanging="492"/>
        <w:spacing w:after="0" w:line="293" w:lineRule="auto"/>
        <w:tabs>
          <w:tab w:leader="none" w:pos="482" w:val="left"/>
        </w:tabs>
        <w:numPr>
          <w:ilvl w:val="0"/>
          <w:numId w:val="933"/>
        </w:numPr>
        <w:rPr>
          <w:rFonts w:ascii="Arial" w:cs="Arial" w:eastAsia="Arial" w:hAnsi="Arial"/>
          <w:sz w:val="18"/>
          <w:szCs w:val="18"/>
          <w:color w:val="auto"/>
        </w:rPr>
      </w:pPr>
      <w:r>
        <w:rPr>
          <w:rFonts w:ascii="Arial" w:cs="Arial" w:eastAsia="Arial" w:hAnsi="Arial"/>
          <w:sz w:val="18"/>
          <w:szCs w:val="18"/>
          <w:color w:val="auto"/>
        </w:rPr>
        <w:t>Neither the grant of RSUs, nor the transfer of Shares in connection with this Plan shall confer upon any Participant any right to a continued Relationship with any Group Company.</w:t>
      </w:r>
    </w:p>
    <w:p>
      <w:pPr>
        <w:spacing w:after="0" w:line="205" w:lineRule="exact"/>
        <w:rPr>
          <w:sz w:val="20"/>
          <w:szCs w:val="20"/>
          <w:color w:val="auto"/>
        </w:rPr>
      </w:pPr>
    </w:p>
    <w:p>
      <w:pPr>
        <w:ind w:left="472" w:hanging="472"/>
        <w:spacing w:after="0"/>
        <w:tabs>
          <w:tab w:leader="none" w:pos="472" w:val="left"/>
        </w:tabs>
        <w:numPr>
          <w:ilvl w:val="0"/>
          <w:numId w:val="934"/>
        </w:numPr>
        <w:rPr>
          <w:rFonts w:ascii="Arial" w:cs="Arial" w:eastAsia="Arial" w:hAnsi="Arial"/>
          <w:sz w:val="22"/>
          <w:szCs w:val="22"/>
          <w:b w:val="1"/>
          <w:bCs w:val="1"/>
          <w:color w:val="auto"/>
        </w:rPr>
      </w:pPr>
      <w:r>
        <w:rPr>
          <w:rFonts w:ascii="Arial" w:cs="Arial" w:eastAsia="Arial" w:hAnsi="Arial"/>
          <w:sz w:val="22"/>
          <w:szCs w:val="22"/>
          <w:b w:val="1"/>
          <w:bCs w:val="1"/>
          <w:color w:val="auto"/>
        </w:rPr>
        <w:t>Grant of RSUs</w:t>
      </w:r>
    </w:p>
    <w:p>
      <w:pPr>
        <w:spacing w:after="0" w:line="319" w:lineRule="exact"/>
        <w:rPr>
          <w:sz w:val="20"/>
          <w:szCs w:val="20"/>
          <w:color w:val="auto"/>
        </w:rPr>
      </w:pPr>
    </w:p>
    <w:p>
      <w:pPr>
        <w:jc w:val="both"/>
        <w:ind w:left="492" w:hanging="492"/>
        <w:spacing w:after="0" w:line="287" w:lineRule="auto"/>
        <w:tabs>
          <w:tab w:leader="none" w:pos="482" w:val="left"/>
        </w:tabs>
        <w:numPr>
          <w:ilvl w:val="0"/>
          <w:numId w:val="935"/>
        </w:numPr>
        <w:rPr>
          <w:rFonts w:ascii="Arial" w:cs="Arial" w:eastAsia="Arial" w:hAnsi="Arial"/>
          <w:sz w:val="18"/>
          <w:szCs w:val="18"/>
          <w:color w:val="auto"/>
        </w:rPr>
      </w:pPr>
      <w:r>
        <w:rPr>
          <w:rFonts w:ascii="Arial" w:cs="Arial" w:eastAsia="Arial" w:hAnsi="Arial"/>
          <w:sz w:val="18"/>
          <w:szCs w:val="18"/>
          <w:color w:val="auto"/>
        </w:rPr>
        <w:t>Grants of RSUs shall be exclusively made by way of RSU Award Agreements. The RSU Award Agreement shall set forth the number of RSUs and certain other terms and conditions of such grant. Except as otherwise determined in a RSU Award Agreement, RSUs shall be granted to the Participants free of charge.</w:t>
      </w:r>
    </w:p>
    <w:p>
      <w:pPr>
        <w:spacing w:after="0" w:line="229" w:lineRule="exact"/>
        <w:rPr>
          <w:rFonts w:ascii="Arial" w:cs="Arial" w:eastAsia="Arial" w:hAnsi="Arial"/>
          <w:sz w:val="18"/>
          <w:szCs w:val="18"/>
          <w:color w:val="auto"/>
        </w:rPr>
      </w:pPr>
    </w:p>
    <w:p>
      <w:pPr>
        <w:jc w:val="both"/>
        <w:ind w:left="492" w:hanging="492"/>
        <w:spacing w:after="0" w:line="287" w:lineRule="auto"/>
        <w:tabs>
          <w:tab w:leader="none" w:pos="482" w:val="left"/>
        </w:tabs>
        <w:numPr>
          <w:ilvl w:val="0"/>
          <w:numId w:val="935"/>
        </w:numPr>
        <w:rPr>
          <w:rFonts w:ascii="Arial" w:cs="Arial" w:eastAsia="Arial" w:hAnsi="Arial"/>
          <w:sz w:val="18"/>
          <w:szCs w:val="18"/>
          <w:color w:val="auto"/>
        </w:rPr>
      </w:pPr>
      <w:r>
        <w:rPr>
          <w:rFonts w:ascii="Arial" w:cs="Arial" w:eastAsia="Arial" w:hAnsi="Arial"/>
          <w:sz w:val="18"/>
          <w:szCs w:val="18"/>
          <w:color w:val="auto"/>
        </w:rPr>
        <w:t>One RSU represents a conditional entitlement to purchase one Share at the nominal value of the Share. The number of Shares corresponding to the number vested RSUs shall be allocated to a Participant upon vesting, subject to, and in accordance with, the terms and conditions of this Plan and the RSU Award Agreement.</w:t>
      </w:r>
    </w:p>
    <w:p>
      <w:pPr>
        <w:spacing w:after="0" w:line="242" w:lineRule="exact"/>
        <w:rPr>
          <w:rFonts w:ascii="Arial" w:cs="Arial" w:eastAsia="Arial" w:hAnsi="Arial"/>
          <w:sz w:val="18"/>
          <w:szCs w:val="18"/>
          <w:color w:val="auto"/>
        </w:rPr>
      </w:pPr>
    </w:p>
    <w:p>
      <w:pPr>
        <w:ind w:left="492" w:hanging="492"/>
        <w:spacing w:after="0" w:line="293" w:lineRule="auto"/>
        <w:tabs>
          <w:tab w:leader="none" w:pos="486" w:val="left"/>
        </w:tabs>
        <w:numPr>
          <w:ilvl w:val="0"/>
          <w:numId w:val="935"/>
        </w:numPr>
        <w:rPr>
          <w:rFonts w:ascii="Arial" w:cs="Arial" w:eastAsia="Arial" w:hAnsi="Arial"/>
          <w:sz w:val="18"/>
          <w:szCs w:val="18"/>
          <w:color w:val="auto"/>
        </w:rPr>
      </w:pPr>
      <w:r>
        <w:rPr>
          <w:rFonts w:ascii="Arial" w:cs="Arial" w:eastAsia="Arial" w:hAnsi="Arial"/>
          <w:sz w:val="18"/>
          <w:szCs w:val="18"/>
          <w:color w:val="auto"/>
        </w:rPr>
        <w:t xml:space="preserve">The date of grant shall be determined by the Nomination and Compensation Committee or the relevant Administrator and set out in the RSU Award Agreement (the </w:t>
      </w: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05" w:lineRule="exact"/>
        <w:rPr>
          <w:sz w:val="20"/>
          <w:szCs w:val="20"/>
          <w:color w:val="auto"/>
        </w:rPr>
      </w:pPr>
    </w:p>
    <w:p>
      <w:pPr>
        <w:ind w:left="472" w:hanging="472"/>
        <w:spacing w:after="0"/>
        <w:tabs>
          <w:tab w:leader="none" w:pos="472" w:val="left"/>
        </w:tabs>
        <w:numPr>
          <w:ilvl w:val="0"/>
          <w:numId w:val="936"/>
        </w:numPr>
        <w:rPr>
          <w:rFonts w:ascii="Arial" w:cs="Arial" w:eastAsia="Arial" w:hAnsi="Arial"/>
          <w:sz w:val="22"/>
          <w:szCs w:val="22"/>
          <w:b w:val="1"/>
          <w:bCs w:val="1"/>
          <w:color w:val="auto"/>
        </w:rPr>
      </w:pPr>
      <w:r>
        <w:rPr>
          <w:rFonts w:ascii="Arial" w:cs="Arial" w:eastAsia="Arial" w:hAnsi="Arial"/>
          <w:sz w:val="22"/>
          <w:szCs w:val="22"/>
          <w:b w:val="1"/>
          <w:bCs w:val="1"/>
          <w:color w:val="auto"/>
        </w:rPr>
        <w:t>No Securities</w:t>
      </w:r>
    </w:p>
    <w:p>
      <w:pPr>
        <w:spacing w:after="0" w:line="319" w:lineRule="exact"/>
        <w:rPr>
          <w:sz w:val="20"/>
          <w:szCs w:val="20"/>
          <w:color w:val="auto"/>
        </w:rPr>
      </w:pPr>
    </w:p>
    <w:p>
      <w:pPr>
        <w:jc w:val="both"/>
        <w:ind w:left="492"/>
        <w:spacing w:after="0" w:line="285" w:lineRule="auto"/>
        <w:rPr>
          <w:sz w:val="20"/>
          <w:szCs w:val="20"/>
          <w:color w:val="auto"/>
        </w:rPr>
      </w:pPr>
      <w:r>
        <w:rPr>
          <w:rFonts w:ascii="Arial" w:cs="Arial" w:eastAsia="Arial" w:hAnsi="Arial"/>
          <w:sz w:val="18"/>
          <w:szCs w:val="18"/>
          <w:color w:val="auto"/>
        </w:rPr>
        <w:t>RSUs are neither Shares nor securities of any kind and no shareholder rights or similar rights are attached to the RSUs. The Participants will only obtain shareholder rights (including voting and dividend rights) upon actual transfer of Shares, if any, according to the terms and conditions of the Plan and upon entry into the share register, subject to, and in accordance with, article 5 of the Company's articles of incorporation.</w:t>
      </w:r>
    </w:p>
    <w:p>
      <w:pPr>
        <w:sectPr>
          <w:pgSz w:w="11900" w:h="16838" w:orient="portrait"/>
          <w:cols w:equalWidth="0" w:num="1">
            <w:col w:w="11232"/>
          </w:cols>
          <w:pgMar w:left="328" w:top="180" w:right="339" w:bottom="1440" w:gutter="0" w:footer="0" w:header="0"/>
        </w:sectPr>
      </w:pPr>
    </w:p>
    <w:bookmarkStart w:id="858" w:name="page859"/>
    <w:bookmarkEnd w:id="858"/>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2021</w:t>
            </w:r>
          </w:p>
        </w:tc>
        <w:tc>
          <w:tcPr>
            <w:tcW w:w="4180" w:type="dxa"/>
            <w:vAlign w:val="bottom"/>
          </w:tcPr>
          <w:p>
            <w:pPr>
              <w:jc w:val="right"/>
              <w:spacing w:after="0"/>
              <w:rPr>
                <w:sz w:val="20"/>
                <w:szCs w:val="20"/>
                <w:color w:val="auto"/>
              </w:rPr>
            </w:pPr>
            <w:r>
              <w:rPr>
                <w:rFonts w:ascii="Arial" w:cs="Arial" w:eastAsia="Arial" w:hAnsi="Arial"/>
                <w:sz w:val="13"/>
                <w:szCs w:val="13"/>
                <w:color w:val="auto"/>
              </w:rPr>
              <w:t>5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80" w:hanging="472"/>
        <w:spacing w:after="0"/>
        <w:tabs>
          <w:tab w:leader="none" w:pos="480" w:val="left"/>
        </w:tabs>
        <w:numPr>
          <w:ilvl w:val="0"/>
          <w:numId w:val="937"/>
        </w:numPr>
        <w:rPr>
          <w:rFonts w:ascii="Arial" w:cs="Arial" w:eastAsia="Arial" w:hAnsi="Arial"/>
          <w:sz w:val="22"/>
          <w:szCs w:val="22"/>
          <w:b w:val="1"/>
          <w:bCs w:val="1"/>
          <w:color w:val="auto"/>
        </w:rPr>
      </w:pPr>
      <w:r>
        <w:rPr>
          <w:rFonts w:ascii="Arial" w:cs="Arial" w:eastAsia="Arial" w:hAnsi="Arial"/>
          <w:sz w:val="22"/>
          <w:szCs w:val="22"/>
          <w:b w:val="1"/>
          <w:bCs w:val="1"/>
          <w:color w:val="auto"/>
        </w:rPr>
        <w:t>No Transfer</w:t>
      </w:r>
    </w:p>
    <w:p>
      <w:pPr>
        <w:spacing w:after="0" w:line="31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RSUs granted under this Plan and the RSU Award Agreement are personal and non-transferable. Participants shall not be permitted to sell, donate, pledge, assign or otherwise dispose of the RSUs to third parties other than as provided for in the Plan. In case of death of a Participant, Section 13 hereof shall apply.</w:t>
      </w:r>
    </w:p>
    <w:p>
      <w:pPr>
        <w:spacing w:after="0" w:line="211" w:lineRule="exact"/>
        <w:rPr>
          <w:sz w:val="20"/>
          <w:szCs w:val="20"/>
          <w:color w:val="auto"/>
        </w:rPr>
      </w:pPr>
    </w:p>
    <w:p>
      <w:pPr>
        <w:ind w:left="480" w:hanging="472"/>
        <w:spacing w:after="0"/>
        <w:tabs>
          <w:tab w:leader="none" w:pos="480" w:val="left"/>
        </w:tabs>
        <w:numPr>
          <w:ilvl w:val="0"/>
          <w:numId w:val="938"/>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Delivery of Shares</w:t>
      </w:r>
    </w:p>
    <w:p>
      <w:pPr>
        <w:spacing w:after="0" w:line="319" w:lineRule="exact"/>
        <w:rPr>
          <w:sz w:val="20"/>
          <w:szCs w:val="20"/>
          <w:color w:val="auto"/>
        </w:rPr>
      </w:pPr>
    </w:p>
    <w:p>
      <w:pPr>
        <w:jc w:val="both"/>
        <w:ind w:left="500" w:hanging="492"/>
        <w:spacing w:after="0" w:line="287" w:lineRule="auto"/>
        <w:tabs>
          <w:tab w:leader="none" w:pos="49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 xml:space="preserve">Unless otherwise set out in this Plan (in particular in Section 13) or in the RSU Award Agreement, RSUs shall vest in the third calendar year following the year of grant. In such case, vesting shall occur on the third anniversary of the Grant Date (the </w:t>
      </w:r>
      <w:r>
        <w:rPr>
          <w:rFonts w:ascii="Arial" w:cs="Arial" w:eastAsia="Arial" w:hAnsi="Arial"/>
          <w:sz w:val="18"/>
          <w:szCs w:val="18"/>
          <w:b w:val="1"/>
          <w:bCs w:val="1"/>
          <w:color w:val="auto"/>
        </w:rPr>
        <w:t>Vesting Date</w:t>
      </w:r>
      <w:r>
        <w:rPr>
          <w:rFonts w:ascii="Arial" w:cs="Arial" w:eastAsia="Arial" w:hAnsi="Arial"/>
          <w:sz w:val="18"/>
          <w:szCs w:val="18"/>
          <w:color w:val="auto"/>
        </w:rPr>
        <w:t xml:space="preserve">). The period between the Grant Date and the Vesting Date shall be deemed the </w:t>
      </w:r>
      <w:r>
        <w:rPr>
          <w:rFonts w:ascii="Arial" w:cs="Arial" w:eastAsia="Arial" w:hAnsi="Arial"/>
          <w:sz w:val="18"/>
          <w:szCs w:val="18"/>
          <w:b w:val="1"/>
          <w:bCs w:val="1"/>
          <w:color w:val="auto"/>
        </w:rPr>
        <w:t>Vesting Period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80" w:hanging="472"/>
        <w:spacing w:after="0"/>
        <w:tabs>
          <w:tab w:leader="none" w:pos="48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Subject to section 13(b) below, no RSU shall vest if, during the first year of the Vesting Period (or, in case of a member of the Board of</w:t>
      </w:r>
    </w:p>
    <w:p>
      <w:pPr>
        <w:spacing w:after="0" w:line="36" w:lineRule="exact"/>
        <w:rPr>
          <w:rFonts w:ascii="Arial" w:cs="Arial" w:eastAsia="Arial" w:hAnsi="Arial"/>
          <w:sz w:val="18"/>
          <w:szCs w:val="18"/>
          <w:color w:val="auto"/>
        </w:rPr>
      </w:pPr>
    </w:p>
    <w:p>
      <w:pPr>
        <w:ind w:left="500"/>
        <w:spacing w:after="0" w:line="293" w:lineRule="auto"/>
        <w:rPr>
          <w:rFonts w:ascii="Arial" w:cs="Arial" w:eastAsia="Arial" w:hAnsi="Arial"/>
          <w:sz w:val="18"/>
          <w:szCs w:val="18"/>
          <w:color w:val="auto"/>
        </w:rPr>
      </w:pPr>
      <w:r>
        <w:rPr>
          <w:rFonts w:ascii="Arial" w:cs="Arial" w:eastAsia="Arial" w:hAnsi="Arial"/>
          <w:sz w:val="18"/>
          <w:szCs w:val="18"/>
          <w:color w:val="auto"/>
        </w:rPr>
        <w:t>Directors, prior to the end of a full term of office), the relevant Participant's Relationship is terminated or another reason for termination of such Relationship occurs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set by a Group Company.</w:t>
      </w:r>
    </w:p>
    <w:p>
      <w:pPr>
        <w:spacing w:after="0" w:line="237" w:lineRule="exact"/>
        <w:rPr>
          <w:rFonts w:ascii="Arial" w:cs="Arial" w:eastAsia="Arial" w:hAnsi="Arial"/>
          <w:sz w:val="18"/>
          <w:szCs w:val="18"/>
          <w:color w:val="auto"/>
        </w:rPr>
      </w:pPr>
    </w:p>
    <w:p>
      <w:pPr>
        <w:jc w:val="both"/>
        <w:ind w:left="500" w:hanging="492"/>
        <w:spacing w:after="0" w:line="287" w:lineRule="auto"/>
        <w:tabs>
          <w:tab w:leader="none" w:pos="494" w:val="left"/>
        </w:tabs>
        <w:numPr>
          <w:ilvl w:val="0"/>
          <w:numId w:val="939"/>
        </w:numPr>
        <w:rPr>
          <w:rFonts w:ascii="Arial" w:cs="Arial" w:eastAsia="Arial" w:hAnsi="Arial"/>
          <w:sz w:val="18"/>
          <w:szCs w:val="18"/>
          <w:color w:val="auto"/>
        </w:rPr>
      </w:pPr>
      <w:r>
        <w:rPr>
          <w:rFonts w:ascii="Arial" w:cs="Arial" w:eastAsia="Arial" w:hAnsi="Arial"/>
          <w:sz w:val="18"/>
          <w:szCs w:val="18"/>
          <w:color w:val="auto"/>
        </w:rPr>
        <w:t>The Shares shall be delivered by or on behalf of the Company to the Participant upon signing an acquisition declaration and payment of the nominal value of the Shares by the Participant. Instead, the Company may provide for cash-less acquisition or vesting-sale arrangements through a Plan Service Provider or otherwise.</w:t>
      </w:r>
    </w:p>
    <w:p>
      <w:pPr>
        <w:spacing w:after="0" w:line="211" w:lineRule="exact"/>
        <w:rPr>
          <w:sz w:val="20"/>
          <w:szCs w:val="20"/>
          <w:color w:val="auto"/>
        </w:rPr>
      </w:pPr>
    </w:p>
    <w:p>
      <w:pPr>
        <w:ind w:left="480" w:hanging="472"/>
        <w:spacing w:after="0"/>
        <w:tabs>
          <w:tab w:leader="none" w:pos="480" w:val="left"/>
        </w:tabs>
        <w:numPr>
          <w:ilvl w:val="0"/>
          <w:numId w:val="940"/>
        </w:numPr>
        <w:rPr>
          <w:rFonts w:ascii="Arial" w:cs="Arial" w:eastAsia="Arial" w:hAnsi="Arial"/>
          <w:sz w:val="22"/>
          <w:szCs w:val="22"/>
          <w:b w:val="1"/>
          <w:bCs w:val="1"/>
          <w:color w:val="auto"/>
        </w:rPr>
      </w:pPr>
      <w:r>
        <w:rPr>
          <w:rFonts w:ascii="Arial" w:cs="Arial" w:eastAsia="Arial" w:hAnsi="Arial"/>
          <w:sz w:val="22"/>
          <w:szCs w:val="22"/>
          <w:b w:val="1"/>
          <w:bCs w:val="1"/>
          <w:color w:val="auto"/>
        </w:rPr>
        <w:t>Underlying Shares</w:t>
      </w:r>
    </w:p>
    <w:p>
      <w:pPr>
        <w:spacing w:after="0" w:line="319" w:lineRule="exact"/>
        <w:rPr>
          <w:sz w:val="20"/>
          <w:szCs w:val="20"/>
          <w:color w:val="auto"/>
        </w:rPr>
      </w:pPr>
    </w:p>
    <w:p>
      <w:pPr>
        <w:jc w:val="both"/>
        <w:ind w:left="500"/>
        <w:spacing w:after="0" w:line="284" w:lineRule="auto"/>
        <w:rPr>
          <w:sz w:val="20"/>
          <w:szCs w:val="20"/>
          <w:color w:val="auto"/>
        </w:rPr>
      </w:pPr>
      <w:r>
        <w:rPr>
          <w:rFonts w:ascii="Arial" w:cs="Arial" w:eastAsia="Arial" w:hAnsi="Arial"/>
          <w:sz w:val="18"/>
          <w:szCs w:val="18"/>
          <w:color w:val="auto"/>
        </w:rPr>
        <w:t xml:space="preserve">Shares to be delivered to Participants shall, subject to adjustment, if any, pursuant to Section 15, be registered shares of the Company with a nominal value of CHF 0.10 each (each a </w:t>
      </w:r>
      <w:r>
        <w:rPr>
          <w:rFonts w:ascii="Arial" w:cs="Arial" w:eastAsia="Arial" w:hAnsi="Arial"/>
          <w:sz w:val="18"/>
          <w:szCs w:val="18"/>
          <w:b w:val="1"/>
          <w:bCs w:val="1"/>
          <w:color w:val="auto"/>
        </w:rPr>
        <w:t>Share</w:t>
      </w:r>
      <w:r>
        <w:rPr>
          <w:rFonts w:ascii="Arial" w:cs="Arial" w:eastAsia="Arial" w:hAnsi="Arial"/>
          <w:sz w:val="18"/>
          <w:szCs w:val="18"/>
          <w:color w:val="auto"/>
        </w:rPr>
        <w:t>). Such Shares shall, at the discretion of the Nomination and Compensation Committee and the Board of Directors, be sourced from conditional share capital, from treasury shares or from other sources. Unless otherwise determined by the Board of Directors or the Nomination and Compensation Committee, Shares shall be sourced from the Company's conditional share capital and a respective number of Shares out of conditional capital shall be deemed reserved, accordingly.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Taxes and Social Security Contributions</w:t>
      </w:r>
    </w:p>
    <w:p>
      <w:pPr>
        <w:spacing w:after="0" w:line="319" w:lineRule="exact"/>
        <w:rPr>
          <w:sz w:val="20"/>
          <w:szCs w:val="20"/>
          <w:color w:val="auto"/>
        </w:rPr>
      </w:pPr>
    </w:p>
    <w:p>
      <w:pPr>
        <w:jc w:val="both"/>
        <w:ind w:left="500" w:hanging="492"/>
        <w:spacing w:after="0" w:line="287" w:lineRule="auto"/>
        <w:tabs>
          <w:tab w:leader="none" w:pos="49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Any Participant shall be responsible for reporting the receipt of any income under the Plan, however made, to the appropriate tax and social security authorities. Income, capital gain or other taxes due on the granting of RSUs, on the allocation of Shares and the subsequent sale of Shares or a respective cash equivalent are in the sole responsibility of the Participant.</w:t>
      </w:r>
    </w:p>
    <w:p>
      <w:pPr>
        <w:spacing w:after="0" w:line="242" w:lineRule="exact"/>
        <w:rPr>
          <w:rFonts w:ascii="Arial" w:cs="Arial" w:eastAsia="Arial" w:hAnsi="Arial"/>
          <w:sz w:val="18"/>
          <w:szCs w:val="18"/>
          <w:color w:val="auto"/>
        </w:rPr>
      </w:pPr>
    </w:p>
    <w:p>
      <w:pPr>
        <w:jc w:val="both"/>
        <w:ind w:left="500" w:hanging="492"/>
        <w:spacing w:after="0" w:line="285" w:lineRule="auto"/>
        <w:tabs>
          <w:tab w:leader="none" w:pos="490" w:val="left"/>
        </w:tabs>
        <w:numPr>
          <w:ilvl w:val="0"/>
          <w:numId w:val="941"/>
        </w:numPr>
        <w:rPr>
          <w:rFonts w:ascii="Arial" w:cs="Arial" w:eastAsia="Arial" w:hAnsi="Arial"/>
          <w:sz w:val="18"/>
          <w:szCs w:val="18"/>
          <w:color w:val="auto"/>
        </w:rPr>
      </w:pPr>
      <w:r>
        <w:rPr>
          <w:rFonts w:ascii="Arial" w:cs="Arial" w:eastAsia="Arial" w:hAnsi="Arial"/>
          <w:sz w:val="18"/>
          <w:szCs w:val="18"/>
          <w:color w:val="auto"/>
        </w:rPr>
        <w:t>The grant, vesting, delivery or sale of Shares or other relevant event in connection with the RSUs may be subject to the withholding of tax and social security contributions by the Company or, if different, the relevant Group Company. The Company and the relevant Group Company, shall be entitled to deduct or withhold a sufficient portion of the value otherwise due to be released under this Plan or of any other payment to the relevant</w:t>
      </w:r>
    </w:p>
    <w:p>
      <w:pPr>
        <w:sectPr>
          <w:pgSz w:w="11900" w:h="16838" w:orient="portrait"/>
          <w:cols w:equalWidth="0" w:num="1">
            <w:col w:w="11240"/>
          </w:cols>
          <w:pgMar w:left="320" w:top="180" w:right="339" w:bottom="1440" w:gutter="0" w:footer="0" w:header="0"/>
        </w:sectPr>
      </w:pPr>
    </w:p>
    <w:bookmarkStart w:id="859" w:name="page860"/>
    <w:bookmarkEnd w:id="859"/>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2021</w:t>
            </w:r>
          </w:p>
        </w:tc>
        <w:tc>
          <w:tcPr>
            <w:tcW w:w="4180" w:type="dxa"/>
            <w:vAlign w:val="bottom"/>
          </w:tcPr>
          <w:p>
            <w:pPr>
              <w:jc w:val="right"/>
              <w:spacing w:after="0"/>
              <w:rPr>
                <w:sz w:val="20"/>
                <w:szCs w:val="20"/>
                <w:color w:val="auto"/>
              </w:rPr>
            </w:pPr>
            <w:r>
              <w:rPr>
                <w:rFonts w:ascii="Arial" w:cs="Arial" w:eastAsia="Arial" w:hAnsi="Arial"/>
                <w:sz w:val="13"/>
                <w:szCs w:val="13"/>
                <w:color w:val="auto"/>
              </w:rPr>
              <w:t>6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500"/>
        <w:spacing w:after="0" w:line="285" w:lineRule="auto"/>
        <w:rPr>
          <w:sz w:val="20"/>
          <w:szCs w:val="20"/>
          <w:color w:val="auto"/>
        </w:rPr>
      </w:pPr>
      <w:r>
        <w:rPr>
          <w:rFonts w:ascii="Arial" w:cs="Arial" w:eastAsia="Arial" w:hAnsi="Arial"/>
          <w:sz w:val="18"/>
          <w:szCs w:val="18"/>
          <w:color w:val="auto"/>
        </w:rPr>
        <w:t>Participant to satisfy any withholding requirement in connection therewith. Without limitation, withholding arrangements may include the sale of Shares to be delivered for RSU awards on behalf of a Participant and withholding of proceeds or deductions from salary or bonus payments, or require a payment from the Participant to the Company or the relevant Group Company before settlement of the RSU awards.</w:t>
      </w:r>
    </w:p>
    <w:p>
      <w:pPr>
        <w:spacing w:after="0" w:line="245" w:lineRule="exact"/>
        <w:rPr>
          <w:sz w:val="20"/>
          <w:szCs w:val="20"/>
          <w:color w:val="auto"/>
        </w:rPr>
      </w:pPr>
    </w:p>
    <w:p>
      <w:pPr>
        <w:ind w:left="500" w:hanging="492"/>
        <w:spacing w:after="0" w:line="293" w:lineRule="auto"/>
        <w:tabs>
          <w:tab w:leader="none" w:pos="494" w:val="left"/>
        </w:tabs>
        <w:numPr>
          <w:ilvl w:val="0"/>
          <w:numId w:val="942"/>
        </w:numPr>
        <w:rPr>
          <w:rFonts w:ascii="Arial" w:cs="Arial" w:eastAsia="Arial" w:hAnsi="Arial"/>
          <w:sz w:val="18"/>
          <w:szCs w:val="18"/>
          <w:color w:val="auto"/>
        </w:rPr>
      </w:pPr>
      <w:r>
        <w:rPr>
          <w:rFonts w:ascii="Arial" w:cs="Arial" w:eastAsia="Arial" w:hAnsi="Arial"/>
          <w:sz w:val="18"/>
          <w:szCs w:val="18"/>
          <w:color w:val="auto"/>
        </w:rPr>
        <w:t>The Company shall have the right (but no obligation, unless required by applicable law) to notify the tax and social security authorities of the grant of RSU awards, Shares or related events.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Disclosure Requirements</w:t>
      </w:r>
    </w:p>
    <w:p>
      <w:pPr>
        <w:spacing w:after="0" w:line="319" w:lineRule="exact"/>
        <w:rPr>
          <w:sz w:val="20"/>
          <w:szCs w:val="20"/>
          <w:color w:val="auto"/>
        </w:rPr>
      </w:pPr>
    </w:p>
    <w:p>
      <w:pPr>
        <w:jc w:val="both"/>
        <w:ind w:left="500"/>
        <w:spacing w:after="0" w:line="284" w:lineRule="auto"/>
        <w:rPr>
          <w:sz w:val="20"/>
          <w:szCs w:val="20"/>
          <w:color w:val="auto"/>
        </w:rPr>
      </w:pPr>
      <w:r>
        <w:rPr>
          <w:rFonts w:ascii="Arial" w:cs="Arial" w:eastAsia="Arial" w:hAnsi="Arial"/>
          <w:sz w:val="18"/>
          <w:szCs w:val="18"/>
          <w:color w:val="auto"/>
        </w:rPr>
        <w:t>Any Participant shall be responsible to promptly comply with any applicable disclosure requirements under securities law and stock exchange regulations in connection with the receipt of grants of RSUs or Shares or upon the sale of Shares, including any disclosure requirements triggered by the thresholds for the ownership of shares and|or rights to obtain shares under Article 120 Financial Market Infrastructure Act and any management transaction notifications under Article 56 of the SIX Swiss Exchange listing rules. See also the Company's public disclosure, reporting and securities trading policy.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Other Obligations of the Participant</w:t>
      </w:r>
    </w:p>
    <w:p>
      <w:pPr>
        <w:spacing w:after="0" w:line="31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Company is entitled to block or prohibit the issuance or release of Shares otherwise due to be issued or released if the Participant has any outstanding obligations (whether in connection with the Plan or otherwise arising in connection with the Participant's Relationship with the Company) to any Group Company, until the Participant has satisfied such outstanding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Termination of Relationship</w:t>
      </w:r>
    </w:p>
    <w:p>
      <w:pPr>
        <w:spacing w:after="0" w:line="319" w:lineRule="exact"/>
        <w:rPr>
          <w:sz w:val="20"/>
          <w:szCs w:val="20"/>
          <w:color w:val="auto"/>
        </w:rPr>
      </w:pPr>
    </w:p>
    <w:p>
      <w:pPr>
        <w:ind w:left="480" w:hanging="472"/>
        <w:spacing w:after="0"/>
        <w:tabs>
          <w:tab w:leader="none" w:pos="480" w:val="left"/>
        </w:tabs>
        <w:numPr>
          <w:ilvl w:val="0"/>
          <w:numId w:val="943"/>
        </w:numPr>
        <w:rPr>
          <w:rFonts w:ascii="Arial" w:cs="Arial" w:eastAsia="Arial" w:hAnsi="Arial"/>
          <w:sz w:val="18"/>
          <w:szCs w:val="18"/>
          <w:color w:val="auto"/>
        </w:rPr>
      </w:pPr>
      <w:r>
        <w:rPr>
          <w:rFonts w:ascii="Arial" w:cs="Arial" w:eastAsia="Arial" w:hAnsi="Arial"/>
          <w:sz w:val="18"/>
          <w:szCs w:val="18"/>
          <w:color w:val="auto"/>
        </w:rPr>
        <w:t>If a Participant's Relationship is terminated or another reason for termination occurs during the first year of the Vesting Period (or, in</w:t>
      </w:r>
    </w:p>
    <w:p>
      <w:pPr>
        <w:spacing w:after="0" w:line="36" w:lineRule="exact"/>
        <w:rPr>
          <w:rFonts w:ascii="Arial" w:cs="Arial" w:eastAsia="Arial" w:hAnsi="Arial"/>
          <w:sz w:val="18"/>
          <w:szCs w:val="18"/>
          <w:color w:val="auto"/>
        </w:rPr>
      </w:pPr>
    </w:p>
    <w:p>
      <w:pPr>
        <w:ind w:left="500"/>
        <w:spacing w:after="0" w:line="293" w:lineRule="auto"/>
        <w:rPr>
          <w:rFonts w:ascii="Arial" w:cs="Arial" w:eastAsia="Arial" w:hAnsi="Arial"/>
          <w:sz w:val="18"/>
          <w:szCs w:val="18"/>
          <w:color w:val="auto"/>
        </w:rPr>
      </w:pPr>
      <w:r>
        <w:rPr>
          <w:rFonts w:ascii="Arial" w:cs="Arial" w:eastAsia="Arial" w:hAnsi="Arial"/>
          <w:sz w:val="18"/>
          <w:szCs w:val="18"/>
          <w:color w:val="auto"/>
        </w:rPr>
        <w:t>case of a member of the Board of Directors, prior to the end of a full term of office), other than through termination by the Participant for cause (</w:t>
      </w:r>
      <w:r>
        <w:rPr>
          <w:rFonts w:ascii="Arial" w:cs="Arial" w:eastAsia="Arial" w:hAnsi="Arial"/>
          <w:sz w:val="18"/>
          <w:szCs w:val="18"/>
          <w:i w:val="1"/>
          <w:iCs w:val="1"/>
          <w:color w:val="auto"/>
        </w:rPr>
        <w:t>wichtige Gründe</w:t>
      </w:r>
      <w:r>
        <w:rPr>
          <w:rFonts w:ascii="Arial" w:cs="Arial" w:eastAsia="Arial" w:hAnsi="Arial"/>
          <w:sz w:val="18"/>
          <w:szCs w:val="18"/>
          <w:color w:val="auto"/>
        </w:rPr>
        <w:t>) and except as set out in subsection 13 (b) below, all RSUs shall immediately cease and be forfeited.</w:t>
      </w:r>
    </w:p>
    <w:p>
      <w:pPr>
        <w:spacing w:after="0" w:line="223" w:lineRule="exact"/>
        <w:rPr>
          <w:rFonts w:ascii="Arial" w:cs="Arial" w:eastAsia="Arial" w:hAnsi="Arial"/>
          <w:sz w:val="18"/>
          <w:szCs w:val="18"/>
          <w:color w:val="auto"/>
        </w:rPr>
      </w:pPr>
    </w:p>
    <w:p>
      <w:pPr>
        <w:jc w:val="both"/>
        <w:ind w:left="500" w:hanging="492"/>
        <w:spacing w:after="0" w:line="284" w:lineRule="auto"/>
        <w:tabs>
          <w:tab w:leader="none" w:pos="490" w:val="left"/>
        </w:tabs>
        <w:numPr>
          <w:ilvl w:val="0"/>
          <w:numId w:val="943"/>
        </w:numPr>
        <w:rPr>
          <w:rFonts w:ascii="Arial" w:cs="Arial" w:eastAsia="Arial" w:hAnsi="Arial"/>
          <w:sz w:val="18"/>
          <w:szCs w:val="18"/>
          <w:color w:val="auto"/>
        </w:rPr>
      </w:pPr>
      <w:r>
        <w:rPr>
          <w:rFonts w:ascii="Arial" w:cs="Arial" w:eastAsia="Arial" w:hAnsi="Arial"/>
          <w:sz w:val="18"/>
          <w:szCs w:val="18"/>
          <w:color w:val="auto"/>
        </w:rPr>
        <w:t>If the Relationship terminates during the first year of the Vesting Period (or, in case of a member of the Board of Directors, prior to the end of a full term of office) by reason of death, permanent illness or disability of the Participant, a pro rata number of RSUs granted to the Participant shall vest immediately with the remaining RSUs lapsing without further effect. The Board of Directors may, at its sole discretion and with final and binding effect, based on a recommendation by the Nomination and Compensation Committee and taking into consideration the objectives of the Plan, grant further exceptions from the forfeiture clause as per section 13 (a) 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Change of Control</w:t>
      </w:r>
    </w:p>
    <w:p>
      <w:pPr>
        <w:spacing w:after="0" w:line="297" w:lineRule="exact"/>
        <w:rPr>
          <w:sz w:val="20"/>
          <w:szCs w:val="20"/>
          <w:color w:val="auto"/>
        </w:rPr>
      </w:pPr>
    </w:p>
    <w:p>
      <w:pPr>
        <w:ind w:left="480" w:hanging="472"/>
        <w:spacing w:after="0"/>
        <w:tabs>
          <w:tab w:leader="none" w:pos="480" w:val="left"/>
        </w:tabs>
        <w:numPr>
          <w:ilvl w:val="0"/>
          <w:numId w:val="944"/>
        </w:numPr>
        <w:rPr>
          <w:rFonts w:ascii="Arial" w:cs="Arial" w:eastAsia="Arial" w:hAnsi="Arial"/>
          <w:sz w:val="18"/>
          <w:szCs w:val="18"/>
          <w:color w:val="auto"/>
        </w:rPr>
      </w:pPr>
      <w:r>
        <w:rPr>
          <w:rFonts w:ascii="Arial" w:cs="Arial" w:eastAsia="Arial" w:hAnsi="Arial"/>
          <w:sz w:val="18"/>
          <w:szCs w:val="18"/>
          <w:color w:val="auto"/>
        </w:rPr>
        <w:t xml:space="preserve">For purposes of this Plan, a change of control shall mean the occurrence of any of the following events (each a </w:t>
      </w:r>
      <w:r>
        <w:rPr>
          <w:rFonts w:ascii="Arial" w:cs="Arial" w:eastAsia="Arial" w:hAnsi="Arial"/>
          <w:sz w:val="18"/>
          <w:szCs w:val="18"/>
          <w:b w:val="1"/>
          <w:bCs w:val="1"/>
          <w:color w:val="auto"/>
        </w:rPr>
        <w:t>Change of Control</w:t>
      </w:r>
      <w:r>
        <w:rPr>
          <w:rFonts w:ascii="Arial" w:cs="Arial" w:eastAsia="Arial" w:hAnsi="Arial"/>
          <w:sz w:val="18"/>
          <w:szCs w:val="18"/>
          <w:color w:val="auto"/>
        </w:rPr>
        <w:t>):</w:t>
      </w:r>
    </w:p>
    <w:p>
      <w:pPr>
        <w:sectPr>
          <w:pgSz w:w="11900" w:h="16838" w:orient="portrait"/>
          <w:cols w:equalWidth="0" w:num="1">
            <w:col w:w="11240"/>
          </w:cols>
          <w:pgMar w:left="320" w:top="180" w:right="339" w:bottom="1440" w:gutter="0" w:footer="0" w:header="0"/>
        </w:sectPr>
      </w:pPr>
    </w:p>
    <w:bookmarkStart w:id="860" w:name="page861"/>
    <w:bookmarkEnd w:id="860"/>
    <w:tbl>
      <w:tblPr>
        <w:tblLayout w:type="fixed"/>
        <w:tblInd w:w="12"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2021</w:t>
            </w:r>
          </w:p>
        </w:tc>
        <w:tc>
          <w:tcPr>
            <w:tcW w:w="4180" w:type="dxa"/>
            <w:vAlign w:val="bottom"/>
          </w:tcPr>
          <w:p>
            <w:pPr>
              <w:jc w:val="right"/>
              <w:spacing w:after="0"/>
              <w:rPr>
                <w:sz w:val="20"/>
                <w:szCs w:val="20"/>
                <w:color w:val="auto"/>
              </w:rPr>
            </w:pPr>
            <w:r>
              <w:rPr>
                <w:rFonts w:ascii="Arial" w:cs="Arial" w:eastAsia="Arial" w:hAnsi="Arial"/>
                <w:sz w:val="13"/>
                <w:szCs w:val="13"/>
                <w:color w:val="auto"/>
              </w:rPr>
              <w:t>7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972" w:hanging="486"/>
        <w:spacing w:after="0" w:line="287" w:lineRule="auto"/>
        <w:tabs>
          <w:tab w:leader="none" w:pos="970" w:val="left"/>
        </w:tabs>
        <w:numPr>
          <w:ilvl w:val="1"/>
          <w:numId w:val="945"/>
        </w:numPr>
        <w:rPr>
          <w:rFonts w:ascii="Arial" w:cs="Arial" w:eastAsia="Arial" w:hAnsi="Arial"/>
          <w:sz w:val="18"/>
          <w:szCs w:val="18"/>
          <w:color w:val="auto"/>
        </w:rPr>
      </w:pPr>
      <w:r>
        <w:rPr>
          <w:rFonts w:ascii="Arial" w:cs="Arial" w:eastAsia="Arial" w:hAnsi="Arial"/>
          <w:sz w:val="18"/>
          <w:szCs w:val="18"/>
          <w:color w:val="auto"/>
        </w:rPr>
        <w:t>the acquisition in one or more transaction by any person or group of persons acting in concert, directly or indirectly, of the beneficial ownership of Shares and | or rights to acquire Shares representing 50% or more of the voting rights pertaining to the total number of Shares issued and registered in the commercial register;</w:t>
      </w:r>
    </w:p>
    <w:p>
      <w:pPr>
        <w:spacing w:after="0" w:line="242" w:lineRule="exact"/>
        <w:rPr>
          <w:rFonts w:ascii="Arial" w:cs="Arial" w:eastAsia="Arial" w:hAnsi="Arial"/>
          <w:sz w:val="18"/>
          <w:szCs w:val="18"/>
          <w:color w:val="auto"/>
        </w:rPr>
      </w:pPr>
    </w:p>
    <w:p>
      <w:pPr>
        <w:ind w:left="972" w:right="20" w:hanging="486"/>
        <w:spacing w:after="0" w:line="293" w:lineRule="auto"/>
        <w:tabs>
          <w:tab w:leader="none" w:pos="969" w:val="left"/>
        </w:tabs>
        <w:numPr>
          <w:ilvl w:val="1"/>
          <w:numId w:val="945"/>
        </w:numPr>
        <w:rPr>
          <w:rFonts w:ascii="Arial" w:cs="Arial" w:eastAsia="Arial" w:hAnsi="Arial"/>
          <w:sz w:val="18"/>
          <w:szCs w:val="18"/>
          <w:color w:val="auto"/>
        </w:rPr>
      </w:pPr>
      <w:r>
        <w:rPr>
          <w:rFonts w:ascii="Arial" w:cs="Arial" w:eastAsia="Arial" w:hAnsi="Arial"/>
          <w:sz w:val="18"/>
          <w:szCs w:val="18"/>
          <w:color w:val="auto"/>
        </w:rPr>
        <w:t>any facts or circumstances that require any person or group of persons acting in concert to launch a mandatory offer within the meaning of applicable takeover regulations;</w:t>
      </w:r>
    </w:p>
    <w:p>
      <w:pPr>
        <w:spacing w:after="0" w:line="223" w:lineRule="exact"/>
        <w:rPr>
          <w:rFonts w:ascii="Arial" w:cs="Arial" w:eastAsia="Arial" w:hAnsi="Arial"/>
          <w:sz w:val="18"/>
          <w:szCs w:val="18"/>
          <w:color w:val="auto"/>
        </w:rPr>
      </w:pPr>
    </w:p>
    <w:p>
      <w:pPr>
        <w:jc w:val="both"/>
        <w:ind w:left="972" w:hanging="486"/>
        <w:spacing w:after="0" w:line="285" w:lineRule="auto"/>
        <w:tabs>
          <w:tab w:leader="none" w:pos="969" w:val="left"/>
        </w:tabs>
        <w:numPr>
          <w:ilvl w:val="1"/>
          <w:numId w:val="945"/>
        </w:numPr>
        <w:rPr>
          <w:rFonts w:ascii="Arial" w:cs="Arial" w:eastAsia="Arial" w:hAnsi="Arial"/>
          <w:sz w:val="18"/>
          <w:szCs w:val="18"/>
          <w:color w:val="auto"/>
        </w:rPr>
      </w:pPr>
      <w:r>
        <w:rPr>
          <w:rFonts w:ascii="Arial" w:cs="Arial" w:eastAsia="Arial" w:hAnsi="Arial"/>
          <w:sz w:val="18"/>
          <w:szCs w:val="18"/>
          <w:color w:val="auto"/>
        </w:rPr>
        <w:t>a public offer for Shares by any person or persons (other than in order to implement a new parent company held by the same owners of Shares), for such number of Shares that, by itself or together with Shares already held, triggers the duty to extend the offer to all Shares outstanding, if and when such offer becomes unconditional (subject only to conditions, if any, that survive following the regular offer period);</w:t>
      </w:r>
    </w:p>
    <w:p>
      <w:pPr>
        <w:spacing w:after="0" w:line="245" w:lineRule="exact"/>
        <w:rPr>
          <w:rFonts w:ascii="Arial" w:cs="Arial" w:eastAsia="Arial" w:hAnsi="Arial"/>
          <w:sz w:val="18"/>
          <w:szCs w:val="18"/>
          <w:color w:val="auto"/>
        </w:rPr>
      </w:pPr>
    </w:p>
    <w:p>
      <w:pPr>
        <w:jc w:val="both"/>
        <w:ind w:left="972" w:hanging="486"/>
        <w:spacing w:after="0" w:line="284" w:lineRule="auto"/>
        <w:tabs>
          <w:tab w:leader="none" w:pos="965" w:val="left"/>
        </w:tabs>
        <w:numPr>
          <w:ilvl w:val="1"/>
          <w:numId w:val="945"/>
        </w:numPr>
        <w:rPr>
          <w:rFonts w:ascii="Arial" w:cs="Arial" w:eastAsia="Arial" w:hAnsi="Arial"/>
          <w:sz w:val="18"/>
          <w:szCs w:val="18"/>
          <w:color w:val="auto"/>
        </w:rPr>
      </w:pPr>
      <w:r>
        <w:rPr>
          <w:rFonts w:ascii="Arial" w:cs="Arial" w:eastAsia="Arial" w:hAnsi="Arial"/>
          <w:sz w:val="18"/>
          <w:szCs w:val="18"/>
          <w:color w:val="auto"/>
        </w:rPr>
        <w:t>the reorganization, merger, scheme of arrangement, consolidation, liquidation or similar transaction of the Company otherwise than through a transaction by which the persons who beneficially held Shares representing 100% of the voting rights pertaining to the total number of Shares issued and registered in the commercial register prior to such transaction receive or continue to hold shares representing more than 50% of the voting rights pertaining to the total number of outstanding shares of the new or continuing entity.</w:t>
      </w:r>
    </w:p>
    <w:p>
      <w:pPr>
        <w:spacing w:after="0" w:line="246" w:lineRule="exact"/>
        <w:rPr>
          <w:rFonts w:ascii="Arial" w:cs="Arial" w:eastAsia="Arial" w:hAnsi="Arial"/>
          <w:sz w:val="18"/>
          <w:szCs w:val="18"/>
          <w:color w:val="auto"/>
        </w:rPr>
      </w:pPr>
    </w:p>
    <w:p>
      <w:pPr>
        <w:ind w:left="492" w:hanging="492"/>
        <w:spacing w:after="0" w:line="293" w:lineRule="auto"/>
        <w:tabs>
          <w:tab w:leader="none" w:pos="482" w:val="left"/>
        </w:tabs>
        <w:numPr>
          <w:ilvl w:val="0"/>
          <w:numId w:val="946"/>
        </w:numPr>
        <w:rPr>
          <w:rFonts w:ascii="Arial" w:cs="Arial" w:eastAsia="Arial" w:hAnsi="Arial"/>
          <w:sz w:val="18"/>
          <w:szCs w:val="18"/>
          <w:color w:val="auto"/>
        </w:rPr>
      </w:pPr>
      <w:r>
        <w:rPr>
          <w:rFonts w:ascii="Arial" w:cs="Arial" w:eastAsia="Arial" w:hAnsi="Arial"/>
          <w:sz w:val="18"/>
          <w:szCs w:val="18"/>
          <w:color w:val="auto"/>
        </w:rPr>
        <w:t>In the event of a Change of Control of the Company, the following shall apply for all RSUs in respect of which the Vesting Date has not occurred by the date of the Change of Control:</w:t>
      </w:r>
    </w:p>
    <w:p>
      <w:pPr>
        <w:spacing w:after="0" w:line="223" w:lineRule="exact"/>
        <w:rPr>
          <w:rFonts w:ascii="Arial" w:cs="Arial" w:eastAsia="Arial" w:hAnsi="Arial"/>
          <w:sz w:val="18"/>
          <w:szCs w:val="18"/>
          <w:color w:val="auto"/>
        </w:rPr>
      </w:pPr>
    </w:p>
    <w:p>
      <w:pPr>
        <w:ind w:left="972" w:hanging="486"/>
        <w:spacing w:after="0"/>
        <w:tabs>
          <w:tab w:leader="none" w:pos="972" w:val="left"/>
        </w:tabs>
        <w:numPr>
          <w:ilvl w:val="1"/>
          <w:numId w:val="946"/>
        </w:numPr>
        <w:rPr>
          <w:rFonts w:ascii="Arial" w:cs="Arial" w:eastAsia="Arial" w:hAnsi="Arial"/>
          <w:sz w:val="18"/>
          <w:szCs w:val="18"/>
          <w:color w:val="auto"/>
        </w:rPr>
      </w:pPr>
      <w:r>
        <w:rPr>
          <w:rFonts w:ascii="Arial" w:cs="Arial" w:eastAsia="Arial" w:hAnsi="Arial"/>
          <w:sz w:val="18"/>
          <w:szCs w:val="18"/>
          <w:color w:val="auto"/>
        </w:rPr>
        <w:t>all RSUs will vest immediately; and</w:t>
      </w:r>
    </w:p>
    <w:p>
      <w:pPr>
        <w:spacing w:after="0" w:line="292" w:lineRule="exact"/>
        <w:rPr>
          <w:rFonts w:ascii="Arial" w:cs="Arial" w:eastAsia="Arial" w:hAnsi="Arial"/>
          <w:sz w:val="18"/>
          <w:szCs w:val="18"/>
          <w:color w:val="auto"/>
        </w:rPr>
      </w:pPr>
    </w:p>
    <w:p>
      <w:pPr>
        <w:ind w:left="972" w:hanging="486"/>
        <w:spacing w:after="0" w:line="293" w:lineRule="auto"/>
        <w:tabs>
          <w:tab w:leader="none" w:pos="969" w:val="left"/>
        </w:tabs>
        <w:numPr>
          <w:ilvl w:val="1"/>
          <w:numId w:val="946"/>
        </w:numPr>
        <w:rPr>
          <w:rFonts w:ascii="Arial" w:cs="Arial" w:eastAsia="Arial" w:hAnsi="Arial"/>
          <w:sz w:val="18"/>
          <w:szCs w:val="18"/>
          <w:color w:val="auto"/>
        </w:rPr>
      </w:pPr>
      <w:r>
        <w:rPr>
          <w:rFonts w:ascii="Arial" w:cs="Arial" w:eastAsia="Arial" w:hAnsi="Arial"/>
          <w:sz w:val="18"/>
          <w:szCs w:val="18"/>
          <w:color w:val="auto"/>
        </w:rPr>
        <w:t>the RSUs will be paid out in Shares, unless the Nomination and Compensation Committee resolves to repurchase or exchange RSUs or decides upon another solution to provide the Participants with the vesting value of the RSUs.</w:t>
      </w:r>
    </w:p>
    <w:p>
      <w:pPr>
        <w:spacing w:after="0" w:line="237" w:lineRule="exact"/>
        <w:rPr>
          <w:rFonts w:ascii="Arial" w:cs="Arial" w:eastAsia="Arial" w:hAnsi="Arial"/>
          <w:sz w:val="18"/>
          <w:szCs w:val="18"/>
          <w:color w:val="auto"/>
        </w:rPr>
      </w:pPr>
    </w:p>
    <w:p>
      <w:pPr>
        <w:jc w:val="both"/>
        <w:ind w:left="492" w:hanging="492"/>
        <w:spacing w:after="0" w:line="284" w:lineRule="auto"/>
        <w:tabs>
          <w:tab w:leader="none" w:pos="486" w:val="left"/>
        </w:tabs>
        <w:numPr>
          <w:ilvl w:val="0"/>
          <w:numId w:val="946"/>
        </w:numPr>
        <w:rPr>
          <w:rFonts w:ascii="Arial" w:cs="Arial" w:eastAsia="Arial" w:hAnsi="Arial"/>
          <w:sz w:val="18"/>
          <w:szCs w:val="18"/>
          <w:color w:val="auto"/>
        </w:rPr>
      </w:pPr>
      <w:r>
        <w:rPr>
          <w:rFonts w:ascii="Arial" w:cs="Arial" w:eastAsia="Arial" w:hAnsi="Arial"/>
          <w:sz w:val="18"/>
          <w:szCs w:val="18"/>
          <w:color w:val="auto"/>
        </w:rPr>
        <w:t>If based on a good faith assessment of the particular circumstances and effects of a Change of Control event, such event does not fall into the category and nature of cases, circumstances and consequences addressed by the definition of Change of Control, which are deemed to justify an early vesting, the Board of Directors may, based on a recommendation by the Nomination and Compensation Committee, decide to replace the consequences set forth above, by other terms that more appropriately and fairly address the situation.</w:t>
      </w:r>
    </w:p>
    <w:p>
      <w:pPr>
        <w:spacing w:after="0" w:line="233" w:lineRule="exact"/>
        <w:rPr>
          <w:rFonts w:ascii="Arial" w:cs="Arial" w:eastAsia="Arial" w:hAnsi="Arial"/>
          <w:sz w:val="18"/>
          <w:szCs w:val="18"/>
          <w:color w:val="auto"/>
        </w:rPr>
      </w:pPr>
    </w:p>
    <w:p>
      <w:pPr>
        <w:jc w:val="both"/>
        <w:ind w:left="492" w:hanging="492"/>
        <w:spacing w:after="0" w:line="285" w:lineRule="auto"/>
        <w:tabs>
          <w:tab w:leader="none" w:pos="482" w:val="left"/>
        </w:tabs>
        <w:numPr>
          <w:ilvl w:val="0"/>
          <w:numId w:val="946"/>
        </w:numPr>
        <w:rPr>
          <w:rFonts w:ascii="Arial" w:cs="Arial" w:eastAsia="Arial" w:hAnsi="Arial"/>
          <w:sz w:val="18"/>
          <w:szCs w:val="18"/>
          <w:color w:val="auto"/>
        </w:rPr>
      </w:pPr>
      <w:r>
        <w:rPr>
          <w:rFonts w:ascii="Arial" w:cs="Arial" w:eastAsia="Arial" w:hAnsi="Arial"/>
          <w:sz w:val="18"/>
          <w:szCs w:val="18"/>
          <w:color w:val="auto"/>
        </w:rPr>
        <w:t>If an event does not fall under the definition of Change of Control, but has substantially comparable effects as a Change of Control event, the Board of Directors may, based on a recommendation by the Nomination and Compensation Committee, decide to treat such event like a Change of Control event, providing, however, such adjustments to the consequences set forth above, that adequately and fairly address the differences to an actual Change of Control.</w:t>
      </w:r>
    </w:p>
    <w:p>
      <w:pPr>
        <w:sectPr>
          <w:pgSz w:w="11900" w:h="16838" w:orient="portrait"/>
          <w:cols w:equalWidth="0" w:num="1">
            <w:col w:w="11232"/>
          </w:cols>
          <w:pgMar w:left="328" w:top="180" w:right="339" w:bottom="1440" w:gutter="0" w:footer="0" w:header="0"/>
        </w:sectPr>
      </w:pPr>
    </w:p>
    <w:bookmarkStart w:id="861" w:name="page862"/>
    <w:bookmarkEnd w:id="861"/>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2021</w:t>
            </w:r>
          </w:p>
        </w:tc>
        <w:tc>
          <w:tcPr>
            <w:tcW w:w="4180" w:type="dxa"/>
            <w:vAlign w:val="bottom"/>
          </w:tcPr>
          <w:p>
            <w:pPr>
              <w:jc w:val="right"/>
              <w:spacing w:after="0"/>
              <w:rPr>
                <w:sz w:val="20"/>
                <w:szCs w:val="20"/>
                <w:color w:val="auto"/>
              </w:rPr>
            </w:pPr>
            <w:r>
              <w:rPr>
                <w:rFonts w:ascii="Arial" w:cs="Arial" w:eastAsia="Arial" w:hAnsi="Arial"/>
                <w:sz w:val="13"/>
                <w:szCs w:val="13"/>
                <w:color w:val="auto"/>
              </w:rPr>
              <w:t>8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Corporate Events</w:t>
      </w:r>
    </w:p>
    <w:p>
      <w:pPr>
        <w:spacing w:after="0" w:line="319" w:lineRule="exact"/>
        <w:rPr>
          <w:sz w:val="20"/>
          <w:szCs w:val="20"/>
          <w:color w:val="auto"/>
        </w:rPr>
      </w:pPr>
    </w:p>
    <w:p>
      <w:pPr>
        <w:jc w:val="both"/>
        <w:ind w:left="500"/>
        <w:spacing w:after="0" w:line="283" w:lineRule="auto"/>
        <w:rPr>
          <w:sz w:val="20"/>
          <w:szCs w:val="20"/>
          <w:color w:val="auto"/>
        </w:rPr>
      </w:pPr>
      <w:r>
        <w:rPr>
          <w:rFonts w:ascii="Arial" w:cs="Arial" w:eastAsia="Arial" w:hAnsi="Arial"/>
          <w:sz w:val="18"/>
          <w:szCs w:val="18"/>
          <w:color w:val="auto"/>
        </w:rPr>
        <w:t>In the event of a stock dividend, extraordinary cash dividend, recapitalization, reorganization, merger, consolidation, split-up, spin-off, combination, exchange of shares, issuance of options or other rights to purchase Shares at a price substantially below fair market value, or other extraordinary corporate events, which significantly dilute the value of the Shares underlying the RSUs such that an adjustment is required in order to preserve the benefits intended to be made available under this Plan, then the RSUs and related terms shall be adjusted and/or, if deemed appropriate, a cash payment to Participants or persons having outstanding RSUs shall be made to compensate such dilution. Such adjustment shall be resolved by the Board of Directors at its sole discretion with final and binding effect, based on a recommendation by the Nomination and Compensation Committee and taking into consideration the acquired rights of the Participants and the objectives of the Plan.</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Data Protection</w:t>
      </w:r>
    </w:p>
    <w:p>
      <w:pPr>
        <w:spacing w:after="0" w:line="319" w:lineRule="exact"/>
        <w:rPr>
          <w:sz w:val="20"/>
          <w:szCs w:val="20"/>
          <w:color w:val="auto"/>
        </w:rPr>
      </w:pPr>
    </w:p>
    <w:p>
      <w:pPr>
        <w:jc w:val="both"/>
        <w:ind w:left="500" w:hanging="492"/>
        <w:spacing w:after="0" w:line="284" w:lineRule="auto"/>
        <w:tabs>
          <w:tab w:leader="none" w:pos="49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By accepting a grant of RSUs, each Participant consents to the collection and processing of personal data relating to the Participant in connection with such grant and the performance of this Plan and the RSU Award Agreement by the Company, the Board of Directors, the Administrator and any other person or entity the Company may find appropriate for the administration of the Plan. The data may be used for the aforementioned parties to perform their rights and obligations in connection with this Plan, issue certificates (if any), issue statements, disclosure and communications relating to the Plan and the RSUs, to provide for cash-less grants or sale mechanics and to generally administer and manage the Plan or keep records of participation levels.</w:t>
      </w:r>
    </w:p>
    <w:p>
      <w:pPr>
        <w:spacing w:after="0" w:line="231" w:lineRule="exact"/>
        <w:rPr>
          <w:rFonts w:ascii="Arial" w:cs="Arial" w:eastAsia="Arial" w:hAnsi="Arial"/>
          <w:sz w:val="18"/>
          <w:szCs w:val="18"/>
          <w:color w:val="auto"/>
        </w:rPr>
      </w:pPr>
    </w:p>
    <w:p>
      <w:pPr>
        <w:jc w:val="both"/>
        <w:ind w:left="500" w:hanging="492"/>
        <w:spacing w:after="0" w:line="285" w:lineRule="auto"/>
        <w:tabs>
          <w:tab w:leader="none" w:pos="490" w:val="left"/>
        </w:tabs>
        <w:numPr>
          <w:ilvl w:val="0"/>
          <w:numId w:val="947"/>
        </w:numPr>
        <w:rPr>
          <w:rFonts w:ascii="Arial" w:cs="Arial" w:eastAsia="Arial" w:hAnsi="Arial"/>
          <w:sz w:val="18"/>
          <w:szCs w:val="18"/>
          <w:color w:val="auto"/>
        </w:rPr>
      </w:pPr>
      <w:r>
        <w:rPr>
          <w:rFonts w:ascii="Arial" w:cs="Arial" w:eastAsia="Arial" w:hAnsi="Arial"/>
          <w:sz w:val="18"/>
          <w:szCs w:val="18"/>
          <w:color w:val="auto"/>
        </w:rPr>
        <w:t>Each Participant consents to the disclosure of such personal data by any Group Company to the Board of Directors, any Administrator or any Plan Service Provider and any other person or entity (including, without limitation, to third parties for due diligence purposes, or to tax authorities) as the Company may find appropriate. Such disclosure may include the transfer or processing of such personal data in jurisdictions other than Switzerland or the jurisdiction of the relevant Group Company.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Legal and regulatory restrictions</w:t>
      </w:r>
    </w:p>
    <w:p>
      <w:pPr>
        <w:spacing w:after="0" w:line="319" w:lineRule="exact"/>
        <w:rPr>
          <w:sz w:val="20"/>
          <w:szCs w:val="20"/>
          <w:color w:val="auto"/>
        </w:rPr>
      </w:pPr>
    </w:p>
    <w:p>
      <w:pPr>
        <w:ind w:left="500" w:right="20" w:hanging="492"/>
        <w:spacing w:after="0" w:line="293" w:lineRule="auto"/>
        <w:tabs>
          <w:tab w:leader="none" w:pos="490" w:val="left"/>
        </w:tabs>
        <w:numPr>
          <w:ilvl w:val="0"/>
          <w:numId w:val="948"/>
        </w:numPr>
        <w:rPr>
          <w:rFonts w:ascii="Arial" w:cs="Arial" w:eastAsia="Arial" w:hAnsi="Arial"/>
          <w:sz w:val="18"/>
          <w:szCs w:val="18"/>
          <w:color w:val="auto"/>
        </w:rPr>
      </w:pPr>
      <w:r>
        <w:rPr>
          <w:rFonts w:ascii="Arial" w:cs="Arial" w:eastAsia="Arial" w:hAnsi="Arial"/>
          <w:sz w:val="18"/>
          <w:szCs w:val="18"/>
          <w:color w:val="auto"/>
        </w:rPr>
        <w:t>Neither the Shares nor the RSU have been or will be registered or listed in any jurisdiction other than, if and to the extent required, Switzerland.</w:t>
      </w:r>
    </w:p>
    <w:p>
      <w:pPr>
        <w:spacing w:after="0" w:line="237" w:lineRule="exact"/>
        <w:rPr>
          <w:rFonts w:ascii="Arial" w:cs="Arial" w:eastAsia="Arial" w:hAnsi="Arial"/>
          <w:sz w:val="18"/>
          <w:szCs w:val="18"/>
          <w:color w:val="auto"/>
        </w:rPr>
      </w:pPr>
    </w:p>
    <w:p>
      <w:pPr>
        <w:jc w:val="both"/>
        <w:ind w:left="500" w:hanging="492"/>
        <w:spacing w:after="0" w:line="281" w:lineRule="auto"/>
        <w:tabs>
          <w:tab w:leader="none" w:pos="490" w:val="left"/>
        </w:tabs>
        <w:numPr>
          <w:ilvl w:val="0"/>
          <w:numId w:val="948"/>
        </w:numPr>
        <w:rPr>
          <w:rFonts w:ascii="Arial" w:cs="Arial" w:eastAsia="Arial" w:hAnsi="Arial"/>
          <w:sz w:val="18"/>
          <w:szCs w:val="18"/>
          <w:color w:val="auto"/>
        </w:rPr>
      </w:pPr>
      <w:r>
        <w:rPr>
          <w:rFonts w:ascii="Arial" w:cs="Arial" w:eastAsia="Arial" w:hAnsi="Arial"/>
          <w:sz w:val="18"/>
          <w:szCs w:val="18"/>
          <w:color w:val="auto"/>
        </w:rPr>
        <w:t>Nothing in this Plan is intended to be deemed a public offering of, or solicitation of investments in, securities of the Company nor a private offering of securities into any jurisdiction or to any person in circumstances that would require compliance with licensing, filing, prospectus, registration or similar requirements in connection therewith. If and to the extent that the grant of RSUs or the delivery of Shares pursuant to this Plan or the extension of eligibility under this Plan into any jurisdiction or to any person conflicts with any securities, stock exchange or other laws and regulations or would trigger any licensing, filing, prospectus, registration or similar</w:t>
      </w:r>
    </w:p>
    <w:p>
      <w:pPr>
        <w:spacing w:after="0" w:line="3" w:lineRule="exact"/>
        <w:rPr>
          <w:rFonts w:ascii="Arial" w:cs="Arial" w:eastAsia="Arial" w:hAnsi="Arial"/>
          <w:sz w:val="18"/>
          <w:szCs w:val="18"/>
          <w:color w:val="auto"/>
        </w:rPr>
      </w:pPr>
    </w:p>
    <w:p>
      <w:pPr>
        <w:jc w:val="both"/>
        <w:ind w:left="500"/>
        <w:spacing w:after="0" w:line="287" w:lineRule="auto"/>
        <w:rPr>
          <w:rFonts w:ascii="Arial" w:cs="Arial" w:eastAsia="Arial" w:hAnsi="Arial"/>
          <w:sz w:val="18"/>
          <w:szCs w:val="18"/>
          <w:color w:val="auto"/>
        </w:rPr>
      </w:pPr>
      <w:r>
        <w:rPr>
          <w:rFonts w:ascii="Arial" w:cs="Arial" w:eastAsia="Arial" w:hAnsi="Arial"/>
          <w:sz w:val="18"/>
          <w:szCs w:val="18"/>
          <w:color w:val="auto"/>
        </w:rPr>
        <w:t>requirement (other than the regular listing of the Shares at SIX Swiss Exchange and their registration in the commercial register and in the book entry system to create intermediated securities (</w:t>
      </w:r>
      <w:r>
        <w:rPr>
          <w:rFonts w:ascii="Arial" w:cs="Arial" w:eastAsia="Arial" w:hAnsi="Arial"/>
          <w:sz w:val="18"/>
          <w:szCs w:val="18"/>
          <w:i w:val="1"/>
          <w:iCs w:val="1"/>
          <w:color w:val="auto"/>
        </w:rPr>
        <w:t>Bucheffekten</w:t>
      </w:r>
      <w:r>
        <w:rPr>
          <w:rFonts w:ascii="Arial" w:cs="Arial" w:eastAsia="Arial" w:hAnsi="Arial"/>
          <w:sz w:val="18"/>
          <w:szCs w:val="18"/>
          <w:color w:val="auto"/>
        </w:rPr>
        <w:t>)), such grant, delivery or extension shall be deemed null and void. In such case, the</w:t>
      </w:r>
    </w:p>
    <w:p>
      <w:pPr>
        <w:sectPr>
          <w:pgSz w:w="11900" w:h="16838" w:orient="portrait"/>
          <w:cols w:equalWidth="0" w:num="1">
            <w:col w:w="11240"/>
          </w:cols>
          <w:pgMar w:left="320" w:top="180" w:right="339" w:bottom="1440" w:gutter="0" w:footer="0" w:header="0"/>
        </w:sectPr>
      </w:pPr>
    </w:p>
    <w:bookmarkStart w:id="862" w:name="page863"/>
    <w:bookmarkEnd w:id="862"/>
    <w:tbl>
      <w:tblPr>
        <w:tblLayout w:type="fixed"/>
        <w:tblInd w:w="20" w:type="dxa"/>
        <w:tblCellMar>
          <w:top w:w="0" w:type="dxa"/>
          <w:left w:w="0" w:type="dxa"/>
          <w:bottom w:w="0" w:type="dxa"/>
          <w:right w:w="0" w:type="dxa"/>
        </w:tblCellMar>
      </w:tblPr>
      <w:tr>
        <w:trPr>
          <w:trHeight w:val="187"/>
        </w:trPr>
        <w:tc>
          <w:tcPr>
            <w:tcW w:w="7020" w:type="dxa"/>
            <w:vAlign w:val="bottom"/>
          </w:tcPr>
          <w:p>
            <w:pPr>
              <w:spacing w:after="0"/>
              <w:rPr>
                <w:sz w:val="20"/>
                <w:szCs w:val="20"/>
                <w:color w:val="auto"/>
              </w:rPr>
            </w:pPr>
            <w:r>
              <w:rPr>
                <w:rFonts w:ascii="Arial" w:cs="Arial" w:eastAsia="Arial" w:hAnsi="Arial"/>
                <w:sz w:val="13"/>
                <w:szCs w:val="13"/>
                <w:color w:val="auto"/>
              </w:rPr>
              <w:t>Molecular Partners AG: Restricted Share Plan 2021</w:t>
            </w:r>
          </w:p>
        </w:tc>
        <w:tc>
          <w:tcPr>
            <w:tcW w:w="4180" w:type="dxa"/>
            <w:vAlign w:val="bottom"/>
          </w:tcPr>
          <w:p>
            <w:pPr>
              <w:jc w:val="right"/>
              <w:spacing w:after="0"/>
              <w:rPr>
                <w:sz w:val="20"/>
                <w:szCs w:val="20"/>
                <w:color w:val="auto"/>
              </w:rPr>
            </w:pPr>
            <w:r>
              <w:rPr>
                <w:rFonts w:ascii="Arial" w:cs="Arial" w:eastAsia="Arial" w:hAnsi="Arial"/>
                <w:sz w:val="13"/>
                <w:szCs w:val="13"/>
                <w:color w:val="auto"/>
              </w:rPr>
              <w:t>9 | 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0"/>
        <w:spacing w:after="0" w:line="293" w:lineRule="auto"/>
        <w:rPr>
          <w:sz w:val="20"/>
          <w:szCs w:val="20"/>
          <w:color w:val="auto"/>
        </w:rPr>
      </w:pPr>
      <w:r>
        <w:rPr>
          <w:rFonts w:ascii="Arial" w:cs="Arial" w:eastAsia="Arial" w:hAnsi="Arial"/>
          <w:sz w:val="18"/>
          <w:szCs w:val="18"/>
          <w:color w:val="auto"/>
        </w:rPr>
        <w:t>Company may (without obligation) decide in its own discretion whether and how to compensate the relevant persons in lieu of such grant, delivery or extension.</w:t>
      </w:r>
    </w:p>
    <w:p>
      <w:pPr>
        <w:spacing w:after="0" w:line="237" w:lineRule="exact"/>
        <w:rPr>
          <w:sz w:val="20"/>
          <w:szCs w:val="20"/>
          <w:color w:val="auto"/>
        </w:rPr>
      </w:pPr>
    </w:p>
    <w:p>
      <w:pPr>
        <w:ind w:left="500" w:hanging="492"/>
        <w:spacing w:after="0" w:line="293" w:lineRule="auto"/>
        <w:tabs>
          <w:tab w:leader="none" w:pos="494" w:val="left"/>
        </w:tabs>
        <w:numPr>
          <w:ilvl w:val="0"/>
          <w:numId w:val="949"/>
        </w:numPr>
        <w:rPr>
          <w:rFonts w:ascii="Arial" w:cs="Arial" w:eastAsia="Arial" w:hAnsi="Arial"/>
          <w:sz w:val="18"/>
          <w:szCs w:val="18"/>
          <w:color w:val="auto"/>
        </w:rPr>
      </w:pPr>
      <w:r>
        <w:rPr>
          <w:rFonts w:ascii="Arial" w:cs="Arial" w:eastAsia="Arial" w:hAnsi="Arial"/>
          <w:sz w:val="18"/>
          <w:szCs w:val="18"/>
          <w:color w:val="auto"/>
        </w:rPr>
        <w:t>Any Participant shall be required to observe trading or other bans as well as the prohibitions of insider trading and market manipulation in connection with the RSUs and any shares granted thereunder.</w:t>
      </w:r>
    </w:p>
    <w:p>
      <w:pPr>
        <w:spacing w:after="0" w:line="223" w:lineRule="exact"/>
        <w:rPr>
          <w:rFonts w:ascii="Arial" w:cs="Arial" w:eastAsia="Arial" w:hAnsi="Arial"/>
          <w:sz w:val="18"/>
          <w:szCs w:val="18"/>
          <w:color w:val="auto"/>
        </w:rPr>
      </w:pPr>
    </w:p>
    <w:p>
      <w:pPr>
        <w:ind w:left="500" w:hanging="492"/>
        <w:spacing w:after="0" w:line="293" w:lineRule="auto"/>
        <w:tabs>
          <w:tab w:leader="none" w:pos="490" w:val="left"/>
        </w:tabs>
        <w:numPr>
          <w:ilvl w:val="0"/>
          <w:numId w:val="949"/>
        </w:numPr>
        <w:rPr>
          <w:rFonts w:ascii="Arial" w:cs="Arial" w:eastAsia="Arial" w:hAnsi="Arial"/>
          <w:sz w:val="18"/>
          <w:szCs w:val="18"/>
          <w:color w:val="auto"/>
        </w:rPr>
      </w:pPr>
      <w:r>
        <w:rPr>
          <w:rFonts w:ascii="Arial" w:cs="Arial" w:eastAsia="Arial" w:hAnsi="Arial"/>
          <w:sz w:val="18"/>
          <w:szCs w:val="18"/>
          <w:color w:val="auto"/>
        </w:rPr>
        <w:t>Any grant of RSUs to members of the Board of Directors that qualifies as prohibited payment under the Compensation Ordinance or otherwise, shall be null and void.</w:t>
      </w:r>
    </w:p>
    <w:p>
      <w:pPr>
        <w:spacing w:after="0" w:line="237" w:lineRule="exact"/>
        <w:rPr>
          <w:rFonts w:ascii="Arial" w:cs="Arial" w:eastAsia="Arial" w:hAnsi="Arial"/>
          <w:sz w:val="18"/>
          <w:szCs w:val="18"/>
          <w:color w:val="auto"/>
        </w:rPr>
      </w:pPr>
    </w:p>
    <w:p>
      <w:pPr>
        <w:jc w:val="both"/>
        <w:ind w:left="500" w:hanging="492"/>
        <w:spacing w:after="0" w:line="285" w:lineRule="auto"/>
        <w:tabs>
          <w:tab w:leader="none" w:pos="490" w:val="left"/>
        </w:tabs>
        <w:numPr>
          <w:ilvl w:val="0"/>
          <w:numId w:val="949"/>
        </w:numPr>
        <w:rPr>
          <w:rFonts w:ascii="Arial" w:cs="Arial" w:eastAsia="Arial" w:hAnsi="Arial"/>
          <w:sz w:val="18"/>
          <w:szCs w:val="18"/>
          <w:color w:val="auto"/>
        </w:rPr>
      </w:pPr>
      <w:r>
        <w:rPr>
          <w:rFonts w:ascii="Arial" w:cs="Arial" w:eastAsia="Arial" w:hAnsi="Arial"/>
          <w:sz w:val="18"/>
          <w:szCs w:val="18"/>
          <w:color w:val="auto"/>
        </w:rPr>
        <w:t>If and to the extent that any term of this Plan, such as terms providing for early vesting, in particular in case of termination of Relationship or Change of Control, should, at the time of the relevant event, qualify as providing additional value to a member of the Board of Directors in a manner that would violate the Compensation Ordinance or other legal provisions, such additional value shall be otherwise compensated, e.g. by a relevant deduction from cash compensation or other proceeds.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Amendment and Termination</w:t>
      </w:r>
    </w:p>
    <w:p>
      <w:pPr>
        <w:spacing w:after="0" w:line="319" w:lineRule="exact"/>
        <w:rPr>
          <w:sz w:val="20"/>
          <w:szCs w:val="20"/>
          <w:color w:val="auto"/>
        </w:rPr>
      </w:pPr>
    </w:p>
    <w:p>
      <w:pPr>
        <w:jc w:val="both"/>
        <w:ind w:left="500"/>
        <w:spacing w:after="0" w:line="285" w:lineRule="auto"/>
        <w:rPr>
          <w:sz w:val="20"/>
          <w:szCs w:val="20"/>
          <w:color w:val="auto"/>
        </w:rPr>
      </w:pPr>
      <w:r>
        <w:rPr>
          <w:rFonts w:ascii="Arial" w:cs="Arial" w:eastAsia="Arial" w:hAnsi="Arial"/>
          <w:sz w:val="18"/>
          <w:szCs w:val="18"/>
          <w:color w:val="auto"/>
        </w:rPr>
        <w:t>In exceptional cases, the Board of Directors may terminate, suspend or amend this Plan at its sole discretion with regard to all or some future or past RSU grants. Any adverse economic effects of such termination, suspension or amendment on grants already made pursuant to a RSU Agreement shall be fairly compensated in cash, by adjustment of other terms of the grant, by replacement by other grants or benefits,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Severability</w:t>
      </w:r>
    </w:p>
    <w:p>
      <w:pPr>
        <w:spacing w:after="0" w:line="31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invalidity or non-enforceability of any one or more provisions of this Plan shall not affect the validity or enforceability of any other provisions of this Plan, which shall remain in full force and effect. The invalid provisions shall be replaced by valid provisions that economically come as close as possible to the original (invalid) provisions.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  Governing Law and Jurisdiction</w:t>
      </w:r>
    </w:p>
    <w:p>
      <w:pPr>
        <w:spacing w:after="0" w:line="319" w:lineRule="exact"/>
        <w:rPr>
          <w:sz w:val="20"/>
          <w:szCs w:val="20"/>
          <w:color w:val="auto"/>
        </w:rPr>
      </w:pPr>
    </w:p>
    <w:p>
      <w:pPr>
        <w:ind w:left="500" w:hanging="492"/>
        <w:spacing w:after="0" w:line="293" w:lineRule="auto"/>
        <w:tabs>
          <w:tab w:leader="none" w:pos="49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This Plan and any RSU Award Agreement shall be governed by, and construed in accordance with, the substantive laws of Switzerland.</w:t>
      </w:r>
    </w:p>
    <w:p>
      <w:pPr>
        <w:spacing w:after="0" w:line="237" w:lineRule="exact"/>
        <w:rPr>
          <w:rFonts w:ascii="Arial" w:cs="Arial" w:eastAsia="Arial" w:hAnsi="Arial"/>
          <w:sz w:val="18"/>
          <w:szCs w:val="18"/>
          <w:color w:val="auto"/>
        </w:rPr>
      </w:pPr>
    </w:p>
    <w:p>
      <w:pPr>
        <w:jc w:val="both"/>
        <w:ind w:left="500" w:hanging="492"/>
        <w:spacing w:after="0" w:line="287" w:lineRule="auto"/>
        <w:tabs>
          <w:tab w:leader="none" w:pos="490" w:val="left"/>
        </w:tabs>
        <w:numPr>
          <w:ilvl w:val="0"/>
          <w:numId w:val="950"/>
        </w:numPr>
        <w:rPr>
          <w:rFonts w:ascii="Arial" w:cs="Arial" w:eastAsia="Arial" w:hAnsi="Arial"/>
          <w:sz w:val="18"/>
          <w:szCs w:val="18"/>
          <w:color w:val="auto"/>
        </w:rPr>
      </w:pPr>
      <w:r>
        <w:rPr>
          <w:rFonts w:ascii="Arial" w:cs="Arial" w:eastAsia="Arial" w:hAnsi="Arial"/>
          <w:sz w:val="18"/>
          <w:szCs w:val="18"/>
          <w:color w:val="auto"/>
        </w:rPr>
        <w:t>Any disputes arising under or in connection with this Plan, including any disputes under or in connection with the RSU Award Agreement shall be submitted to the exclusive jurisdiction of the courts at the domicile of the Company (currently Schlieren, Canton of Zurich,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21.  Entry into Force</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per the approval of the Board of Directors, this Plan shall enter into force as of March 24, 2021.</w:t>
      </w:r>
    </w:p>
    <w:p>
      <w:pPr>
        <w:sectPr>
          <w:pgSz w:w="11900" w:h="16838" w:orient="portrait"/>
          <w:cols w:equalWidth="0" w:num="1">
            <w:col w:w="11240"/>
          </w:cols>
          <w:pgMar w:left="320" w:top="180" w:right="339" w:bottom="1440" w:gutter="0" w:footer="0" w:header="0"/>
        </w:sectPr>
      </w:pPr>
    </w:p>
    <w:bookmarkStart w:id="863" w:name="page864"/>
    <w:bookmarkEnd w:id="863"/>
    <w:p>
      <w:pPr>
        <w:ind w:left="20"/>
        <w:spacing w:after="0"/>
        <w:rPr>
          <w:sz w:val="20"/>
          <w:szCs w:val="20"/>
          <w:color w:val="auto"/>
        </w:rPr>
      </w:pPr>
      <w:r>
        <w:rPr>
          <w:rFonts w:ascii="Arial" w:cs="Arial" w:eastAsia="Arial" w:hAnsi="Arial"/>
          <w:sz w:val="13"/>
          <w:szCs w:val="13"/>
          <w:color w:val="auto"/>
        </w:rPr>
        <w:t>Molecular Partners AG: Restricted Share Plan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1</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in capitalized form, the following terms shall have the following meaning: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shall have the meaning set forth in Section 14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 </w:t>
      </w:r>
      <w:r>
        <w:rPr>
          <w:rFonts w:ascii="Arial" w:cs="Arial" w:eastAsia="Arial" w:hAnsi="Arial"/>
          <w:sz w:val="18"/>
          <w:szCs w:val="18"/>
          <w:color w:val="auto"/>
        </w:rPr>
        <w:t>shall mean the Swiss Code of Obligations as amended.</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Molecular Partners AG or any successor or replacement company or a new parent company, all as may be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Nomination and Compensation Committee </w:t>
      </w:r>
      <w:r>
        <w:rPr>
          <w:rFonts w:ascii="Arial" w:cs="Arial" w:eastAsia="Arial" w:hAnsi="Arial"/>
          <w:sz w:val="18"/>
          <w:szCs w:val="18"/>
          <w:color w:val="auto"/>
        </w:rPr>
        <w:t>shall have the meaning set forth in Section 3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Compensation Ordinance </w:t>
      </w:r>
      <w:r>
        <w:rPr>
          <w:rFonts w:ascii="Arial" w:cs="Arial" w:eastAsia="Arial" w:hAnsi="Arial"/>
          <w:sz w:val="18"/>
          <w:szCs w:val="18"/>
          <w:color w:val="auto"/>
        </w:rPr>
        <w:t>shall mean the Federal Ordinance against Excessive Compensation in Listed Companies of November 20, 2013,</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amended or replaced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shall have the meaning set forth in Section 5 above.</w:t>
      </w:r>
    </w:p>
    <w:p>
      <w:pPr>
        <w:spacing w:after="0" w:line="144" w:lineRule="exact"/>
        <w:rPr>
          <w:sz w:val="20"/>
          <w:szCs w:val="20"/>
          <w:color w:val="auto"/>
        </w:rPr>
      </w:pPr>
    </w:p>
    <w:p>
      <w:pPr>
        <w:spacing w:after="0" w:line="318" w:lineRule="auto"/>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shall mean the Company and any company or entity of which at least 50% of the ownership or voting rights are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owned or otherwise controlled by the Company.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any eligible person to whom the Company has granted RSUs through a RSU Award Agreement based on this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Service Provider </w:t>
      </w:r>
      <w:r>
        <w:rPr>
          <w:rFonts w:ascii="Arial" w:cs="Arial" w:eastAsia="Arial" w:hAnsi="Arial"/>
          <w:sz w:val="18"/>
          <w:szCs w:val="18"/>
          <w:color w:val="auto"/>
        </w:rPr>
        <w:t>shall have the meaning set forth in Section 3 (e) above.</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Relationship </w:t>
      </w:r>
      <w:r>
        <w:rPr>
          <w:rFonts w:ascii="Arial" w:cs="Arial" w:eastAsia="Arial" w:hAnsi="Arial"/>
          <w:sz w:val="18"/>
          <w:szCs w:val="18"/>
          <w:color w:val="auto"/>
        </w:rPr>
        <w:t>shall mean the board relationship and any relating contractual relationship of a member of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consultancy or other legal or contractual relationship of any other Participant.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shall have the meaning set forth in Section 1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Award Agreement </w:t>
      </w:r>
      <w:r>
        <w:rPr>
          <w:rFonts w:ascii="Arial" w:cs="Arial" w:eastAsia="Arial" w:hAnsi="Arial"/>
          <w:sz w:val="18"/>
          <w:szCs w:val="18"/>
          <w:color w:val="auto"/>
        </w:rPr>
        <w:t>shall have the meaning set forth in Section 4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shall have the meaning set forth in Section 9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shall have the meaning set forth in Section 8 above.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Vesting Period </w:t>
      </w:r>
      <w:r>
        <w:rPr>
          <w:rFonts w:ascii="Arial" w:cs="Arial" w:eastAsia="Arial" w:hAnsi="Arial"/>
          <w:sz w:val="18"/>
          <w:szCs w:val="18"/>
          <w:color w:val="auto"/>
        </w:rPr>
        <w:t>shall have the meaning set forth in Section 8 above.</w:t>
      </w:r>
    </w:p>
    <w:p>
      <w:pPr>
        <w:sectPr>
          <w:pgSz w:w="11900" w:h="16838" w:orient="portrait"/>
          <w:cols w:equalWidth="0" w:num="1">
            <w:col w:w="11240"/>
          </w:cols>
          <w:pgMar w:left="320" w:top="180" w:right="339" w:bottom="1440" w:gutter="0" w:footer="0" w:header="0"/>
        </w:sectPr>
      </w:pPr>
    </w:p>
    <w:bookmarkStart w:id="864" w:name="page865"/>
    <w:bookmarkEnd w:id="864"/>
    <w:p>
      <w:pPr>
        <w:ind w:left="20"/>
        <w:spacing w:after="0"/>
        <w:rPr>
          <w:sz w:val="20"/>
          <w:szCs w:val="20"/>
          <w:color w:val="auto"/>
        </w:rPr>
      </w:pPr>
      <w:r>
        <w:rPr>
          <w:rFonts w:ascii="Arial" w:cs="Arial" w:eastAsia="Arial" w:hAnsi="Arial"/>
          <w:sz w:val="13"/>
          <w:szCs w:val="13"/>
          <w:color w:val="auto"/>
        </w:rPr>
        <w:t>Molecular Partners AG: Restricted Share Plan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 2</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RSU Award Agreement 2021</w:t>
      </w:r>
    </w:p>
    <w:p>
      <w:pPr>
        <w:spacing w:after="0" w:line="25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as of the Grant Date set forth below by and between Molecular Partners AG (the </w:t>
      </w:r>
      <w:r>
        <w:rPr>
          <w:rFonts w:ascii="Arial" w:cs="Arial" w:eastAsia="Arial" w:hAnsi="Arial"/>
          <w:sz w:val="18"/>
          <w:szCs w:val="18"/>
          <w:b w:val="1"/>
          <w:bCs w:val="1"/>
          <w:color w:val="auto"/>
        </w:rPr>
        <w:t>Company</w:t>
      </w:r>
      <w:r>
        <w:rPr>
          <w:rFonts w:ascii="Arial" w:cs="Arial" w:eastAsia="Arial" w:hAnsi="Arial"/>
          <w:sz w:val="18"/>
          <w:szCs w:val="18"/>
          <w:color w:val="auto"/>
        </w:rPr>
        <w:t>), a Swiss corporation, with its domicile in Schlieren, Canton of Zurich, Switzerland and [</w:t>
      </w:r>
      <w:r>
        <w:rPr>
          <w:rFonts w:ascii="Arial" w:cs="Arial" w:eastAsia="Arial" w:hAnsi="Arial"/>
          <w:sz w:val="18"/>
          <w:szCs w:val="18"/>
          <w:i w:val="1"/>
          <w:iCs w:val="1"/>
          <w:color w:val="auto"/>
        </w:rPr>
        <w:t>Name, Address</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in connection with the Restricted Share Plan 2021 (the </w:t>
      </w:r>
      <w:r>
        <w:rPr>
          <w:rFonts w:ascii="Arial" w:cs="Arial" w:eastAsia="Arial" w:hAnsi="Arial"/>
          <w:sz w:val="18"/>
          <w:szCs w:val="18"/>
          <w:b w:val="1"/>
          <w:bCs w:val="1"/>
          <w:color w:val="auto"/>
        </w:rPr>
        <w:t>RSU Plan</w:t>
      </w:r>
      <w:r>
        <w:rPr>
          <w:rFonts w:ascii="Arial" w:cs="Arial" w:eastAsia="Arial" w:hAnsi="Arial"/>
          <w:sz w:val="18"/>
          <w:szCs w:val="18"/>
          <w:color w:val="auto"/>
        </w:rPr>
        <w:t>), issued by the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shall have the meaning assigned to them in the RSU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of the RSU Plan, the Company hereby grants to you the following RSUs:</w:t>
      </w:r>
    </w:p>
    <w:p>
      <w:pPr>
        <w:spacing w:after="0" w:line="293" w:lineRule="exact"/>
        <w:rPr>
          <w:sz w:val="20"/>
          <w:szCs w:val="20"/>
          <w:color w:val="auto"/>
        </w:rPr>
      </w:pPr>
    </w:p>
    <w:tbl>
      <w:tblPr>
        <w:tblLayout w:type="fixed"/>
        <w:tblInd w:w="360" w:type="dxa"/>
        <w:tblCellMar>
          <w:top w:w="0" w:type="dxa"/>
          <w:left w:w="0" w:type="dxa"/>
          <w:bottom w:w="0" w:type="dxa"/>
          <w:right w:w="0" w:type="dxa"/>
        </w:tblCellMar>
      </w:tblPr>
      <w:tr>
        <w:trPr>
          <w:trHeight w:val="351"/>
        </w:trPr>
        <w:tc>
          <w:tcPr>
            <w:tcW w:w="292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7240" w:type="dxa"/>
            <w:vAlign w:val="bottom"/>
            <w:shd w:val="clear" w:color="auto" w:fill="D9D9D9"/>
          </w:tcPr>
          <w:p>
            <w:pPr>
              <w:ind w:left="60"/>
              <w:spacing w:after="0"/>
              <w:rPr>
                <w:sz w:val="20"/>
                <w:szCs w:val="20"/>
                <w:color w:val="auto"/>
              </w:rPr>
            </w:pPr>
            <w:r>
              <w:rPr>
                <w:rFonts w:ascii="Arial" w:cs="Arial" w:eastAsia="Arial" w:hAnsi="Arial"/>
                <w:sz w:val="18"/>
                <w:szCs w:val="18"/>
                <w:color w:val="auto"/>
              </w:rPr>
              <w:t>[■]</w:t>
            </w:r>
          </w:p>
        </w:tc>
      </w:tr>
      <w:tr>
        <w:trPr>
          <w:trHeight w:val="742"/>
        </w:trPr>
        <w:tc>
          <w:tcPr>
            <w:tcW w:w="292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7240" w:type="dxa"/>
            <w:vAlign w:val="bottom"/>
            <w:shd w:val="clear" w:color="auto" w:fill="D9D9D9"/>
          </w:tcPr>
          <w:p>
            <w:pPr>
              <w:ind w:left="60"/>
              <w:spacing w:after="0"/>
              <w:rPr>
                <w:sz w:val="20"/>
                <w:szCs w:val="20"/>
                <w:color w:val="auto"/>
              </w:rPr>
            </w:pPr>
            <w:r>
              <w:rPr>
                <w:rFonts w:ascii="Arial" w:cs="Arial" w:eastAsia="Arial" w:hAnsi="Arial"/>
                <w:sz w:val="18"/>
                <w:szCs w:val="18"/>
                <w:color w:val="auto"/>
              </w:rPr>
              <w:t>[■]</w:t>
            </w:r>
          </w:p>
        </w:tc>
      </w:tr>
      <w:tr>
        <w:trPr>
          <w:trHeight w:val="743"/>
        </w:trPr>
        <w:tc>
          <w:tcPr>
            <w:tcW w:w="2920" w:type="dxa"/>
            <w:vAlign w:val="bottom"/>
          </w:tcPr>
          <w:p>
            <w:pPr>
              <w:spacing w:after="0"/>
              <w:rPr>
                <w:sz w:val="20"/>
                <w:szCs w:val="20"/>
                <w:color w:val="auto"/>
              </w:rPr>
            </w:pPr>
            <w:r>
              <w:rPr>
                <w:rFonts w:ascii="Arial" w:cs="Arial" w:eastAsia="Arial" w:hAnsi="Arial"/>
                <w:sz w:val="18"/>
                <w:szCs w:val="18"/>
                <w:b w:val="1"/>
                <w:bCs w:val="1"/>
                <w:color w:val="auto"/>
              </w:rPr>
              <w:t>Year of regular Vesting</w:t>
            </w:r>
          </w:p>
        </w:tc>
        <w:tc>
          <w:tcPr>
            <w:tcW w:w="7240" w:type="dxa"/>
            <w:vAlign w:val="bottom"/>
            <w:shd w:val="clear" w:color="auto" w:fill="D9D9D9"/>
          </w:tcPr>
          <w:p>
            <w:pPr>
              <w:ind w:left="60"/>
              <w:spacing w:after="0"/>
              <w:rPr>
                <w:sz w:val="20"/>
                <w:szCs w:val="20"/>
                <w:color w:val="auto"/>
              </w:rPr>
            </w:pPr>
            <w:r>
              <w:rPr>
                <w:rFonts w:ascii="Arial" w:cs="Arial" w:eastAsia="Arial" w:hAnsi="Arial"/>
                <w:sz w:val="18"/>
                <w:szCs w:val="18"/>
                <w:color w:val="auto"/>
              </w:rPr>
              <w:t>[■]</w:t>
            </w:r>
          </w:p>
        </w:tc>
      </w:tr>
      <w:tr>
        <w:trPr>
          <w:trHeight w:val="135"/>
        </w:trPr>
        <w:tc>
          <w:tcPr>
            <w:tcW w:w="2920" w:type="dxa"/>
            <w:vAlign w:val="bottom"/>
          </w:tcPr>
          <w:p>
            <w:pPr>
              <w:spacing w:after="0"/>
              <w:rPr>
                <w:sz w:val="11"/>
                <w:szCs w:val="11"/>
                <w:color w:val="auto"/>
              </w:rPr>
            </w:pPr>
          </w:p>
        </w:tc>
        <w:tc>
          <w:tcPr>
            <w:tcW w:w="7240" w:type="dxa"/>
            <w:vAlign w:val="bottom"/>
            <w:shd w:val="clear" w:color="auto" w:fill="D9D9D9"/>
          </w:tcPr>
          <w:p>
            <w:pPr>
              <w:spacing w:after="0"/>
              <w:rPr>
                <w:sz w:val="11"/>
                <w:szCs w:val="11"/>
                <w:color w:val="auto"/>
              </w:rPr>
            </w:pPr>
          </w:p>
        </w:tc>
      </w:tr>
    </w:tbl>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grants and any rights associated therewith are personal and not transferable. Please note that the RSU Plan includes a number of restrictions and conditions, which may lead to a complete loss of any entitlements hereunder. [Any grants made to members of the Board of Directors shall be subject to the approval of relevant compensation amounts for the Board of Directors by the shareholders' meeting for the year 2021.]</w:t>
      </w: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By entering this Agreement, you accept the grant of the RSUs in accordance with this Agreement and the RSU Plan. In order to do so, please sign and return this Agreement no later than by [</w:t>
      </w:r>
      <w:r>
        <w:rPr>
          <w:rFonts w:ascii="Arial" w:cs="Arial" w:eastAsia="Arial" w:hAnsi="Arial"/>
          <w:sz w:val="18"/>
          <w:szCs w:val="18"/>
          <w:i w:val="1"/>
          <w:iCs w:val="1"/>
          <w:color w:val="auto"/>
        </w:rPr>
        <w:t>Date</w:t>
      </w:r>
      <w:r>
        <w:rPr>
          <w:rFonts w:ascii="Arial" w:cs="Arial" w:eastAsia="Arial" w:hAnsi="Arial"/>
          <w:sz w:val="18"/>
          <w:szCs w:val="18"/>
          <w:color w:val="auto"/>
        </w:rPr>
        <w:t>] to [</w:t>
      </w:r>
      <w:r>
        <w:rPr>
          <w:rFonts w:ascii="Arial" w:cs="Arial" w:eastAsia="Arial" w:hAnsi="Arial"/>
          <w:sz w:val="18"/>
          <w:szCs w:val="18"/>
          <w:i w:val="1"/>
          <w:iCs w:val="1"/>
          <w:color w:val="auto"/>
        </w:rPr>
        <w:t>Name</w:t>
      </w:r>
      <w:r>
        <w:rPr>
          <w:rFonts w:ascii="Arial" w:cs="Arial" w:eastAsia="Arial" w:hAnsi="Arial"/>
          <w:sz w:val="18"/>
          <w:szCs w:val="18"/>
          <w:color w:val="auto"/>
        </w:rPr>
        <w:t>] and keep a copy for your files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grant of RSUs is being made, without obligation, at the sole and unrestricted discretion of the Company. The RSU Plan, your eligibility thereunder, the grant of RSUs or the allocation of Shares in connection therewith shall not confer upon you any right to participate in the RSU Plan or to receive grants of RSUs or Shares in the future.</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Agreement shall be governed by, and construed in accordance with, the substantive laws of Switzerland. Any disputes arising under or in connection with this Agreement shall be submitted to the exclusive jurisdiction of the courts at the domicile of the Company (currently Schlieren, Canton of Zurich, Switzerland).</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Molecular Partners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53663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52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By:</w:t>
      </w:r>
    </w:p>
    <w:p>
      <w:pPr>
        <w:spacing w:after="0" w:line="2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and agreed by the Participant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6350</wp:posOffset>
            </wp:positionV>
            <wp:extent cx="20142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1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33515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240"/>
          </w:cols>
          <w:pgMar w:left="320" w:top="180" w:right="339" w:bottom="1440" w:gutter="0" w:footer="0" w:header="0"/>
        </w:sectPr>
      </w:pPr>
    </w:p>
    <w:bookmarkStart w:id="865" w:name="page866"/>
    <w:bookmarkEnd w:id="86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380" w:type="dxa"/>
            <w:vAlign w:val="bottom"/>
            <w:gridSpan w:val="3"/>
          </w:tcPr>
          <w:p>
            <w:pPr>
              <w:ind w:left="280"/>
              <w:spacing w:after="0"/>
              <w:rPr>
                <w:sz w:val="20"/>
                <w:szCs w:val="20"/>
                <w:color w:val="auto"/>
              </w:rPr>
            </w:pPr>
            <w:r>
              <w:rPr>
                <w:rFonts w:ascii="Arial" w:cs="Arial" w:eastAsia="Arial" w:hAnsi="Arial"/>
                <w:sz w:val="18"/>
                <w:szCs w:val="18"/>
                <w:b w:val="1"/>
                <w:bCs w:val="1"/>
                <w:color w:val="auto"/>
              </w:rPr>
              <w:t>Principal Subsidiaries of the registrant</w:t>
            </w:r>
          </w:p>
        </w:tc>
      </w:tr>
      <w:tr>
        <w:trPr>
          <w:trHeight w:val="243"/>
        </w:trPr>
        <w:tc>
          <w:tcPr>
            <w:tcW w:w="38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80" w:type="dxa"/>
            <w:vAlign w:val="bottom"/>
            <w:tcBorders>
              <w:bottom w:val="single" w:sz="8" w:color="auto"/>
            </w:tcBorders>
          </w:tcPr>
          <w:p>
            <w:pPr>
              <w:spacing w:after="0"/>
              <w:rPr>
                <w:sz w:val="21"/>
                <w:szCs w:val="21"/>
                <w:color w:val="auto"/>
              </w:rPr>
            </w:pPr>
          </w:p>
        </w:tc>
      </w:tr>
      <w:tr>
        <w:trPr>
          <w:trHeight w:val="237"/>
        </w:trPr>
        <w:tc>
          <w:tcPr>
            <w:tcW w:w="3860" w:type="dxa"/>
            <w:vAlign w:val="bottom"/>
            <w:tcBorders>
              <w:left w:val="single" w:sz="8" w:color="auto"/>
            </w:tcBorders>
          </w:tcPr>
          <w:p>
            <w:pPr>
              <w:jc w:val="center"/>
              <w:ind w:left="1550"/>
              <w:spacing w:after="0"/>
              <w:rPr>
                <w:sz w:val="20"/>
                <w:szCs w:val="20"/>
                <w:color w:val="auto"/>
              </w:rPr>
            </w:pPr>
            <w:r>
              <w:rPr>
                <w:rFonts w:ascii="Arial" w:cs="Arial" w:eastAsia="Arial" w:hAnsi="Arial"/>
                <w:sz w:val="18"/>
                <w:szCs w:val="18"/>
                <w:b w:val="1"/>
                <w:bCs w:val="1"/>
                <w:color w:val="auto"/>
                <w:w w:val="90"/>
              </w:rPr>
              <w:t>Name of subsidiary</w:t>
            </w:r>
          </w:p>
        </w:tc>
        <w:tc>
          <w:tcPr>
            <w:tcW w:w="164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Country of incorporation</w:t>
            </w:r>
          </w:p>
        </w:tc>
      </w:tr>
      <w:tr>
        <w:trPr>
          <w:trHeight w:val="27"/>
        </w:trPr>
        <w:tc>
          <w:tcPr>
            <w:tcW w:w="386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43"/>
        </w:trPr>
        <w:tc>
          <w:tcPr>
            <w:tcW w:w="3860" w:type="dxa"/>
            <w:vAlign w:val="bottom"/>
            <w:tcBorders>
              <w:left w:val="single" w:sz="8" w:color="auto"/>
              <w:bottom w:val="single" w:sz="8" w:color="CCEEFF"/>
            </w:tcBorders>
            <w:shd w:val="clear" w:color="auto" w:fill="CCEEFF"/>
          </w:tcPr>
          <w:p>
            <w:pPr>
              <w:jc w:val="center"/>
              <w:ind w:left="1550"/>
              <w:spacing w:after="0"/>
              <w:rPr>
                <w:sz w:val="20"/>
                <w:szCs w:val="20"/>
                <w:color w:val="auto"/>
              </w:rPr>
            </w:pPr>
            <w:r>
              <w:rPr>
                <w:rFonts w:ascii="Arial" w:cs="Arial" w:eastAsia="Arial" w:hAnsi="Arial"/>
                <w:sz w:val="18"/>
                <w:szCs w:val="18"/>
                <w:color w:val="auto"/>
                <w:w w:val="91"/>
              </w:rPr>
              <w:t>Molecular Partners Inc.</w:t>
            </w:r>
          </w:p>
        </w:tc>
        <w:tc>
          <w:tcPr>
            <w:tcW w:w="1640" w:type="dxa"/>
            <w:vAlign w:val="bottom"/>
            <w:tcBorders>
              <w:bottom w:val="single" w:sz="8" w:color="CCEEFF"/>
              <w:right w:val="single" w:sz="8" w:color="auto"/>
            </w:tcBorders>
            <w:shd w:val="clear" w:color="auto" w:fill="CCEEFF"/>
          </w:tcPr>
          <w:p>
            <w:pPr>
              <w:spacing w:after="0"/>
              <w:rPr>
                <w:sz w:val="21"/>
                <w:szCs w:val="21"/>
                <w:color w:val="auto"/>
              </w:rPr>
            </w:pPr>
          </w:p>
        </w:tc>
        <w:tc>
          <w:tcPr>
            <w:tcW w:w="260" w:type="dxa"/>
            <w:vAlign w:val="bottom"/>
            <w:tcBorders>
              <w:bottom w:val="single" w:sz="8" w:color="CCEEFF"/>
              <w:right w:val="single" w:sz="8" w:color="auto"/>
            </w:tcBorders>
            <w:shd w:val="clear" w:color="auto" w:fill="CCEEFF"/>
          </w:tcPr>
          <w:p>
            <w:pPr>
              <w:spacing w:after="0"/>
              <w:rPr>
                <w:sz w:val="21"/>
                <w:szCs w:val="21"/>
                <w:color w:val="auto"/>
              </w:rPr>
            </w:pPr>
          </w:p>
        </w:tc>
        <w:tc>
          <w:tcPr>
            <w:tcW w:w="54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United States of America</w:t>
            </w:r>
          </w:p>
        </w:tc>
      </w:tr>
      <w:tr>
        <w:trPr>
          <w:trHeight w:val="20"/>
        </w:trPr>
        <w:tc>
          <w:tcPr>
            <w:tcW w:w="3860" w:type="dxa"/>
            <w:vAlign w:val="bottom"/>
            <w:tcBorders>
              <w:left w:val="single" w:sz="8" w:color="auto"/>
            </w:tcBorders>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48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22" w:right="339" w:bottom="1440" w:gutter="0" w:footer="0" w:header="0"/>
        </w:sectPr>
      </w:pPr>
    </w:p>
    <w:bookmarkStart w:id="866" w:name="page867"/>
    <w:bookmarkEnd w:id="866"/>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5949315" cy="711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4931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Molecular Partners AG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KMPG AG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Zurich,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sectPr>
      <w:pgSz w:w="11900" w:h="16838" w:orient="portrait"/>
      <w:cols w:equalWidth="0" w:num="1">
        <w:col w:w="11220"/>
      </w:cols>
      <w:pgMar w:left="320" w:top="1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C1263B"/>
    <w:multiLevelType w:val="hybridMultilevel"/>
    <w:lvl w:ilvl="0">
      <w:lvlJc w:val="left"/>
      <w:lvlText w:val="†"/>
      <w:numFmt w:val="bullet"/>
      <w:start w:val="1"/>
    </w:lvl>
  </w:abstractNum>
  <w:abstractNum w:abstractNumId="1">
    <w:nsid w:val="8BBEB1D"/>
    <w:multiLevelType w:val="hybridMultilevel"/>
    <w:lvl w:ilvl="0">
      <w:lvlJc w:val="left"/>
      <w:lvlText w:val="(%1)"/>
      <w:numFmt w:val="decimal"/>
      <w:start w:val="1"/>
    </w:lvl>
  </w:abstractNum>
  <w:abstractNum w:abstractNumId="2">
    <w:nsid w:val="7365F1EE"/>
    <w:multiLevelType w:val="hybridMultilevel"/>
    <w:lvl w:ilvl="0">
      <w:lvlJc w:val="left"/>
      <w:lvlText w:val="$"/>
      <w:numFmt w:val="bullet"/>
      <w:start w:val="1"/>
    </w:lvl>
  </w:abstractNum>
  <w:abstractNum w:abstractNumId="3">
    <w:nsid w:val="37524CF0"/>
    <w:multiLevelType w:val="hybridMultilevel"/>
    <w:lvl w:ilvl="0">
      <w:lvlJc w:val="left"/>
      <w:lvlText w:val="•"/>
      <w:numFmt w:val="bullet"/>
      <w:start w:val="1"/>
    </w:lvl>
  </w:abstractNum>
  <w:abstractNum w:abstractNumId="4">
    <w:nsid w:val="70CC332F"/>
    <w:multiLevelType w:val="hybridMultilevel"/>
    <w:lvl w:ilvl="0">
      <w:lvlJc w:val="left"/>
      <w:lvlText w:val="•"/>
      <w:numFmt w:val="bullet"/>
      <w:start w:val="1"/>
    </w:lvl>
  </w:abstractNum>
  <w:abstractNum w:abstractNumId="5">
    <w:nsid w:val="5661786E"/>
    <w:multiLevelType w:val="hybridMultilevel"/>
    <w:lvl w:ilvl="0">
      <w:lvlJc w:val="left"/>
      <w:lvlText w:val="•"/>
      <w:numFmt w:val="bullet"/>
      <w:start w:val="1"/>
    </w:lvl>
  </w:abstractNum>
  <w:abstractNum w:abstractNumId="6">
    <w:nsid w:val="3AF6A220"/>
    <w:multiLevelType w:val="hybridMultilevel"/>
    <w:lvl w:ilvl="0">
      <w:lvlJc w:val="left"/>
      <w:lvlText w:val="•"/>
      <w:numFmt w:val="bullet"/>
      <w:start w:val="1"/>
    </w:lvl>
  </w:abstractNum>
  <w:abstractNum w:abstractNumId="7">
    <w:nsid w:val="3C5EA902"/>
    <w:multiLevelType w:val="hybridMultilevel"/>
    <w:lvl w:ilvl="0">
      <w:lvlJc w:val="left"/>
      <w:lvlText w:val="•"/>
      <w:numFmt w:val="bullet"/>
      <w:start w:val="1"/>
    </w:lvl>
  </w:abstractNum>
  <w:abstractNum w:abstractNumId="8">
    <w:nsid w:val="256E6749"/>
    <w:multiLevelType w:val="hybridMultilevel"/>
    <w:lvl w:ilvl="0">
      <w:lvlJc w:val="left"/>
      <w:lvlText w:val="•"/>
      <w:numFmt w:val="bullet"/>
      <w:start w:val="1"/>
    </w:lvl>
  </w:abstractNum>
  <w:abstractNum w:abstractNumId="9">
    <w:nsid w:val="1CB9A581"/>
    <w:multiLevelType w:val="hybridMultilevel"/>
    <w:lvl w:ilvl="0">
      <w:lvlJc w:val="left"/>
      <w:lvlText w:val="•"/>
      <w:numFmt w:val="bullet"/>
      <w:start w:val="1"/>
    </w:lvl>
  </w:abstractNum>
  <w:abstractNum w:abstractNumId="10">
    <w:nsid w:val="1F7F42E2"/>
    <w:multiLevelType w:val="hybridMultilevel"/>
    <w:lvl w:ilvl="0">
      <w:lvlJc w:val="left"/>
      <w:lvlText w:val="•"/>
      <w:numFmt w:val="bullet"/>
      <w:start w:val="1"/>
    </w:lvl>
  </w:abstractNum>
  <w:abstractNum w:abstractNumId="11">
    <w:nsid w:val="49D1FEA0"/>
    <w:multiLevelType w:val="hybridMultilevel"/>
    <w:lvl w:ilvl="0">
      <w:lvlJc w:val="left"/>
      <w:lvlText w:val="•"/>
      <w:numFmt w:val="bullet"/>
      <w:start w:val="1"/>
    </w:lvl>
  </w:abstractNum>
  <w:abstractNum w:abstractNumId="12">
    <w:nsid w:val="268CB37F"/>
    <w:multiLevelType w:val="hybridMultilevel"/>
    <w:lvl w:ilvl="0">
      <w:lvlJc w:val="left"/>
      <w:lvlText w:val="(%1)"/>
      <w:numFmt w:val="decimal"/>
      <w:start w:val="1"/>
    </w:lvl>
  </w:abstractNum>
  <w:abstractNum w:abstractNumId="13">
    <w:nsid w:val="102362F8"/>
    <w:multiLevelType w:val="hybridMultilevel"/>
    <w:lvl w:ilvl="0">
      <w:lvlJc w:val="left"/>
      <w:lvlText w:val="•"/>
      <w:numFmt w:val="bullet"/>
      <w:start w:val="1"/>
    </w:lvl>
  </w:abstractNum>
  <w:abstractNum w:abstractNumId="14">
    <w:nsid w:val="5FEDC0E3"/>
    <w:multiLevelType w:val="hybridMultilevel"/>
    <w:lvl w:ilvl="0">
      <w:lvlJc w:val="left"/>
      <w:lvlText w:val="•"/>
      <w:numFmt w:val="bullet"/>
      <w:start w:val="1"/>
    </w:lvl>
  </w:abstractNum>
  <w:abstractNum w:abstractNumId="15">
    <w:nsid w:val="3D75BC47"/>
    <w:multiLevelType w:val="hybridMultilevel"/>
    <w:lvl w:ilvl="0">
      <w:lvlJc w:val="left"/>
      <w:lvlText w:val="•"/>
      <w:numFmt w:val="bullet"/>
      <w:start w:val="1"/>
    </w:lvl>
  </w:abstractNum>
  <w:abstractNum w:abstractNumId="16">
    <w:nsid w:val="3E30D969"/>
    <w:multiLevelType w:val="hybridMultilevel"/>
    <w:lvl w:ilvl="0">
      <w:lvlJc w:val="left"/>
      <w:lvlText w:val="•"/>
      <w:numFmt w:val="bullet"/>
      <w:start w:val="1"/>
    </w:lvl>
  </w:abstractNum>
  <w:abstractNum w:abstractNumId="17">
    <w:nsid w:val="18A35FE3"/>
    <w:multiLevelType w:val="hybridMultilevel"/>
    <w:lvl w:ilvl="0">
      <w:lvlJc w:val="left"/>
      <w:lvlText w:val="•"/>
      <w:numFmt w:val="bullet"/>
      <w:start w:val="1"/>
    </w:lvl>
  </w:abstractNum>
  <w:abstractNum w:abstractNumId="18">
    <w:nsid w:val="6DEF5211"/>
    <w:multiLevelType w:val="hybridMultilevel"/>
    <w:lvl w:ilvl="0">
      <w:lvlJc w:val="left"/>
      <w:lvlText w:val="•"/>
      <w:numFmt w:val="bullet"/>
      <w:start w:val="1"/>
    </w:lvl>
  </w:abstractNum>
  <w:abstractNum w:abstractNumId="19">
    <w:nsid w:val="1112DBB6"/>
    <w:multiLevelType w:val="hybridMultilevel"/>
    <w:lvl w:ilvl="0">
      <w:lvlJc w:val="left"/>
      <w:lvlText w:val="•"/>
      <w:numFmt w:val="bullet"/>
      <w:start w:val="1"/>
    </w:lvl>
  </w:abstractNum>
  <w:abstractNum w:abstractNumId="20">
    <w:nsid w:val="2586A498"/>
    <w:multiLevelType w:val="hybridMultilevel"/>
    <w:lvl w:ilvl="0">
      <w:lvlJc w:val="left"/>
      <w:lvlText w:val="•"/>
      <w:numFmt w:val="bullet"/>
      <w:start w:val="1"/>
    </w:lvl>
  </w:abstractNum>
  <w:abstractNum w:abstractNumId="21">
    <w:nsid w:val="17A03BB9"/>
    <w:multiLevelType w:val="hybridMultilevel"/>
    <w:lvl w:ilvl="0">
      <w:lvlJc w:val="left"/>
      <w:lvlText w:val="•"/>
      <w:numFmt w:val="bullet"/>
      <w:start w:val="1"/>
    </w:lvl>
  </w:abstractNum>
  <w:abstractNum w:abstractNumId="22">
    <w:nsid w:val="5CA941"/>
    <w:multiLevelType w:val="hybridMultilevel"/>
    <w:lvl w:ilvl="0">
      <w:lvlJc w:val="left"/>
      <w:lvlText w:val="•"/>
      <w:numFmt w:val="bullet"/>
      <w:start w:val="1"/>
    </w:lvl>
  </w:abstractNum>
  <w:abstractNum w:abstractNumId="23">
    <w:nsid w:val="734C7D9F"/>
    <w:multiLevelType w:val="hybridMultilevel"/>
    <w:lvl w:ilvl="0">
      <w:lvlJc w:val="left"/>
      <w:lvlText w:val="•"/>
      <w:numFmt w:val="bullet"/>
      <w:start w:val="1"/>
    </w:lvl>
  </w:abstractNum>
  <w:abstractNum w:abstractNumId="24">
    <w:nsid w:val="24F5D018"/>
    <w:multiLevelType w:val="hybridMultilevel"/>
    <w:lvl w:ilvl="0">
      <w:lvlJc w:val="left"/>
      <w:lvlText w:val="•"/>
      <w:numFmt w:val="bullet"/>
      <w:start w:val="1"/>
    </w:lvl>
  </w:abstractNum>
  <w:abstractNum w:abstractNumId="25">
    <w:nsid w:val="6780C122"/>
    <w:multiLevelType w:val="hybridMultilevel"/>
    <w:lvl w:ilvl="0">
      <w:lvlJc w:val="left"/>
      <w:lvlText w:val="•"/>
      <w:numFmt w:val="bullet"/>
      <w:start w:val="1"/>
    </w:lvl>
  </w:abstractNum>
  <w:abstractNum w:abstractNumId="26">
    <w:nsid w:val="534347A8"/>
    <w:multiLevelType w:val="hybridMultilevel"/>
    <w:lvl w:ilvl="0">
      <w:lvlJc w:val="left"/>
      <w:lvlText w:val="•"/>
      <w:numFmt w:val="bullet"/>
      <w:start w:val="1"/>
    </w:lvl>
  </w:abstractNum>
  <w:abstractNum w:abstractNumId="27">
    <w:nsid w:val="5800E34B"/>
    <w:multiLevelType w:val="hybridMultilevel"/>
    <w:lvl w:ilvl="0">
      <w:lvlJc w:val="left"/>
      <w:lvlText w:val="•"/>
      <w:numFmt w:val="bullet"/>
      <w:start w:val="1"/>
    </w:lvl>
  </w:abstractNum>
  <w:abstractNum w:abstractNumId="28">
    <w:nsid w:val="1673EFC8"/>
    <w:multiLevelType w:val="hybridMultilevel"/>
    <w:lvl w:ilvl="0">
      <w:lvlJc w:val="left"/>
      <w:lvlText w:val="•"/>
      <w:numFmt w:val="bullet"/>
      <w:start w:val="1"/>
    </w:lvl>
  </w:abstractNum>
  <w:abstractNum w:abstractNumId="29">
    <w:nsid w:val="5B9B1FD"/>
    <w:multiLevelType w:val="hybridMultilevel"/>
    <w:lvl w:ilvl="0">
      <w:lvlJc w:val="left"/>
      <w:lvlText w:val="•"/>
      <w:numFmt w:val="bullet"/>
      <w:start w:val="1"/>
    </w:lvl>
  </w:abstractNum>
  <w:abstractNum w:abstractNumId="30">
    <w:nsid w:val="7AD7FCA2"/>
    <w:multiLevelType w:val="hybridMultilevel"/>
    <w:lvl w:ilvl="0">
      <w:lvlJc w:val="left"/>
      <w:lvlText w:val="•"/>
      <w:numFmt w:val="bullet"/>
      <w:start w:val="1"/>
    </w:lvl>
  </w:abstractNum>
  <w:abstractNum w:abstractNumId="31">
    <w:nsid w:val="63351604"/>
    <w:multiLevelType w:val="hybridMultilevel"/>
    <w:lvl w:ilvl="0">
      <w:lvlJc w:val="left"/>
      <w:lvlText w:val="•"/>
      <w:numFmt w:val="bullet"/>
      <w:start w:val="1"/>
    </w:lvl>
  </w:abstractNum>
  <w:abstractNum w:abstractNumId="32">
    <w:nsid w:val="E759D1A"/>
    <w:multiLevelType w:val="hybridMultilevel"/>
    <w:lvl w:ilvl="0">
      <w:lvlJc w:val="left"/>
      <w:lvlText w:val="•"/>
      <w:numFmt w:val="bullet"/>
      <w:start w:val="1"/>
    </w:lvl>
  </w:abstractNum>
  <w:abstractNum w:abstractNumId="33">
    <w:nsid w:val="6E3DEE90"/>
    <w:multiLevelType w:val="hybridMultilevel"/>
    <w:lvl w:ilvl="0">
      <w:lvlJc w:val="left"/>
      <w:lvlText w:val="•"/>
      <w:numFmt w:val="bullet"/>
      <w:start w:val="1"/>
    </w:lvl>
  </w:abstractNum>
  <w:abstractNum w:abstractNumId="34">
    <w:nsid w:val="1A8762F4"/>
    <w:multiLevelType w:val="hybridMultilevel"/>
    <w:lvl w:ilvl="0">
      <w:lvlJc w:val="left"/>
      <w:lvlText w:val="•"/>
      <w:numFmt w:val="bullet"/>
      <w:start w:val="1"/>
    </w:lvl>
  </w:abstractNum>
  <w:abstractNum w:abstractNumId="35">
    <w:nsid w:val="7F41D049"/>
    <w:multiLevelType w:val="hybridMultilevel"/>
    <w:lvl w:ilvl="0">
      <w:lvlJc w:val="left"/>
      <w:lvlText w:val="•"/>
      <w:numFmt w:val="bullet"/>
      <w:start w:val="1"/>
    </w:lvl>
  </w:abstractNum>
  <w:abstractNum w:abstractNumId="36">
    <w:nsid w:val="449F66FE"/>
    <w:multiLevelType w:val="hybridMultilevel"/>
    <w:lvl w:ilvl="0">
      <w:lvlJc w:val="left"/>
      <w:lvlText w:val="•"/>
      <w:numFmt w:val="bullet"/>
      <w:start w:val="1"/>
    </w:lvl>
  </w:abstractNum>
  <w:abstractNum w:abstractNumId="37">
    <w:nsid w:val="557E0515"/>
    <w:multiLevelType w:val="hybridMultilevel"/>
    <w:lvl w:ilvl="0">
      <w:lvlJc w:val="left"/>
      <w:lvlText w:val="•"/>
      <w:numFmt w:val="bullet"/>
      <w:start w:val="1"/>
    </w:lvl>
  </w:abstractNum>
  <w:abstractNum w:abstractNumId="38">
    <w:nsid w:val="3BA0794B"/>
    <w:multiLevelType w:val="hybridMultilevel"/>
    <w:lvl w:ilvl="0">
      <w:lvlJc w:val="left"/>
      <w:lvlText w:val="•"/>
      <w:numFmt w:val="bullet"/>
      <w:start w:val="1"/>
    </w:lvl>
  </w:abstractNum>
  <w:abstractNum w:abstractNumId="39">
    <w:nsid w:val="6A0DCE48"/>
    <w:multiLevelType w:val="hybridMultilevel"/>
    <w:lvl w:ilvl="0">
      <w:lvlJc w:val="left"/>
      <w:lvlText w:val="•"/>
      <w:numFmt w:val="bullet"/>
      <w:start w:val="1"/>
    </w:lvl>
  </w:abstractNum>
  <w:abstractNum w:abstractNumId="40">
    <w:nsid w:val="7237AA96"/>
    <w:multiLevelType w:val="hybridMultilevel"/>
    <w:lvl w:ilvl="0">
      <w:lvlJc w:val="left"/>
      <w:lvlText w:val="•"/>
      <w:numFmt w:val="bullet"/>
      <w:start w:val="1"/>
    </w:lvl>
  </w:abstractNum>
  <w:abstractNum w:abstractNumId="41">
    <w:nsid w:val="5B1FBC2D"/>
    <w:multiLevelType w:val="hybridMultilevel"/>
    <w:lvl w:ilvl="0">
      <w:lvlJc w:val="left"/>
      <w:lvlText w:val="•"/>
      <w:numFmt w:val="bullet"/>
      <w:start w:val="1"/>
    </w:lvl>
  </w:abstractNum>
  <w:abstractNum w:abstractNumId="42">
    <w:nsid w:val="33DFCCE8"/>
    <w:multiLevelType w:val="hybridMultilevel"/>
    <w:lvl w:ilvl="0">
      <w:lvlJc w:val="left"/>
      <w:lvlText w:val="•"/>
      <w:numFmt w:val="bullet"/>
      <w:start w:val="1"/>
    </w:lvl>
  </w:abstractNum>
  <w:abstractNum w:abstractNumId="43">
    <w:nsid w:val="18C45E15"/>
    <w:multiLevelType w:val="hybridMultilevel"/>
    <w:lvl w:ilvl="0">
      <w:lvlJc w:val="left"/>
      <w:lvlText w:val="•"/>
      <w:numFmt w:val="bullet"/>
      <w:start w:val="1"/>
    </w:lvl>
  </w:abstractNum>
  <w:abstractNum w:abstractNumId="44">
    <w:nsid w:val="6B431F25"/>
    <w:multiLevelType w:val="hybridMultilevel"/>
    <w:lvl w:ilvl="0">
      <w:lvlJc w:val="left"/>
      <w:lvlText w:val="•"/>
      <w:numFmt w:val="bullet"/>
      <w:start w:val="1"/>
    </w:lvl>
  </w:abstractNum>
  <w:abstractNum w:abstractNumId="45">
    <w:nsid w:val="13CD8DCB"/>
    <w:multiLevelType w:val="hybridMultilevel"/>
    <w:lvl w:ilvl="0">
      <w:lvlJc w:val="left"/>
      <w:lvlText w:val="•"/>
      <w:numFmt w:val="bullet"/>
      <w:start w:val="1"/>
    </w:lvl>
  </w:abstractNum>
  <w:abstractNum w:abstractNumId="46">
    <w:nsid w:val="563A1A5C"/>
    <w:multiLevelType w:val="hybridMultilevel"/>
    <w:lvl w:ilvl="0">
      <w:lvlJc w:val="left"/>
      <w:lvlText w:val="•"/>
      <w:numFmt w:val="bullet"/>
      <w:start w:val="1"/>
    </w:lvl>
  </w:abstractNum>
  <w:abstractNum w:abstractNumId="47">
    <w:nsid w:val="2973F88F"/>
    <w:multiLevelType w:val="hybridMultilevel"/>
    <w:lvl w:ilvl="0">
      <w:lvlJc w:val="left"/>
      <w:lvlText w:val="•"/>
      <w:numFmt w:val="bullet"/>
      <w:start w:val="1"/>
    </w:lvl>
  </w:abstractNum>
  <w:abstractNum w:abstractNumId="48">
    <w:nsid w:val="2C70EDAE"/>
    <w:multiLevelType w:val="hybridMultilevel"/>
    <w:lvl w:ilvl="0">
      <w:lvlJc w:val="left"/>
      <w:lvlText w:val="•"/>
      <w:numFmt w:val="bullet"/>
      <w:start w:val="1"/>
    </w:lvl>
  </w:abstractNum>
  <w:abstractNum w:abstractNumId="49">
    <w:nsid w:val="44296C6D"/>
    <w:multiLevelType w:val="hybridMultilevel"/>
    <w:lvl w:ilvl="0">
      <w:lvlJc w:val="left"/>
      <w:lvlText w:val="(%1)"/>
      <w:numFmt w:val="decimal"/>
      <w:start w:val="1"/>
    </w:lvl>
  </w:abstractNum>
  <w:abstractNum w:abstractNumId="50">
    <w:nsid w:val="3A86D445"/>
    <w:multiLevelType w:val="hybridMultilevel"/>
    <w:lvl w:ilvl="0">
      <w:lvlJc w:val="left"/>
      <w:lvlText w:val="•"/>
      <w:numFmt w:val="bullet"/>
      <w:start w:val="1"/>
    </w:lvl>
  </w:abstractNum>
  <w:abstractNum w:abstractNumId="51">
    <w:nsid w:val="51F79246"/>
    <w:multiLevelType w:val="hybridMultilevel"/>
    <w:lvl w:ilvl="0">
      <w:lvlJc w:val="left"/>
      <w:lvlText w:val="•"/>
      <w:numFmt w:val="bullet"/>
      <w:start w:val="1"/>
    </w:lvl>
  </w:abstractNum>
  <w:abstractNum w:abstractNumId="52">
    <w:nsid w:val="5BC9A827"/>
    <w:multiLevelType w:val="hybridMultilevel"/>
    <w:lvl w:ilvl="0">
      <w:lvlJc w:val="left"/>
      <w:lvlText w:val="•"/>
      <w:numFmt w:val="bullet"/>
      <w:start w:val="1"/>
    </w:lvl>
  </w:abstractNum>
  <w:abstractNum w:abstractNumId="53">
    <w:nsid w:val="3AE37D86"/>
    <w:multiLevelType w:val="hybridMultilevel"/>
    <w:lvl w:ilvl="0">
      <w:lvlJc w:val="left"/>
      <w:lvlText w:val="•"/>
      <w:numFmt w:val="bullet"/>
      <w:start w:val="1"/>
    </w:lvl>
  </w:abstractNum>
  <w:abstractNum w:abstractNumId="54">
    <w:nsid w:val="45440FE5"/>
    <w:multiLevelType w:val="hybridMultilevel"/>
    <w:lvl w:ilvl="0">
      <w:lvlJc w:val="left"/>
      <w:lvlText w:val="•"/>
      <w:numFmt w:val="bullet"/>
      <w:start w:val="1"/>
    </w:lvl>
  </w:abstractNum>
  <w:abstractNum w:abstractNumId="55">
    <w:nsid w:val="BF783F"/>
    <w:multiLevelType w:val="hybridMultilevel"/>
    <w:lvl w:ilvl="0">
      <w:lvlJc w:val="left"/>
      <w:lvlText w:val="."/>
      <w:numFmt w:val="bullet"/>
      <w:start w:val="1"/>
    </w:lvl>
  </w:abstractNum>
  <w:abstractNum w:abstractNumId="56">
    <w:nsid w:val="22643EA9"/>
    <w:multiLevelType w:val="hybridMultilevel"/>
    <w:lvl w:ilvl="0">
      <w:lvlJc w:val="left"/>
      <w:lvlText w:val="•"/>
      <w:numFmt w:val="bullet"/>
      <w:start w:val="1"/>
    </w:lvl>
  </w:abstractNum>
  <w:abstractNum w:abstractNumId="57">
    <w:nsid w:val="1887578D"/>
    <w:multiLevelType w:val="hybridMultilevel"/>
    <w:lvl w:ilvl="0">
      <w:lvlJc w:val="left"/>
      <w:lvlText w:val="•"/>
      <w:numFmt w:val="bullet"/>
      <w:start w:val="1"/>
    </w:lvl>
  </w:abstractNum>
  <w:abstractNum w:abstractNumId="58">
    <w:nsid w:val="58C05B8A"/>
    <w:multiLevelType w:val="hybridMultilevel"/>
    <w:lvl w:ilvl="0">
      <w:lvlJc w:val="left"/>
      <w:lvlText w:val="•"/>
      <w:numFmt w:val="bullet"/>
      <w:start w:val="1"/>
    </w:lvl>
  </w:abstractNum>
  <w:abstractNum w:abstractNumId="59">
    <w:nsid w:val="38D82E71"/>
    <w:multiLevelType w:val="hybridMultilevel"/>
    <w:lvl w:ilvl="0">
      <w:lvlJc w:val="left"/>
      <w:lvlText w:val="."/>
      <w:numFmt w:val="bullet"/>
      <w:start w:val="1"/>
    </w:lvl>
  </w:abstractNum>
  <w:abstractNum w:abstractNumId="60">
    <w:nsid w:val="1E41098A"/>
    <w:multiLevelType w:val="hybridMultilevel"/>
    <w:lvl w:ilvl="0">
      <w:lvlJc w:val="left"/>
      <w:lvlText w:val="•"/>
      <w:numFmt w:val="bullet"/>
      <w:start w:val="1"/>
    </w:lvl>
  </w:abstractNum>
  <w:abstractNum w:abstractNumId="61">
    <w:nsid w:val="5398582C"/>
    <w:multiLevelType w:val="hybridMultilevel"/>
    <w:lvl w:ilvl="0">
      <w:lvlJc w:val="left"/>
      <w:lvlText w:val="•"/>
      <w:numFmt w:val="bullet"/>
      <w:start w:val="1"/>
    </w:lvl>
  </w:abstractNum>
  <w:abstractNum w:abstractNumId="62">
    <w:nsid w:val="1C0D4475"/>
    <w:multiLevelType w:val="hybridMultilevel"/>
    <w:lvl w:ilvl="0">
      <w:lvlJc w:val="left"/>
      <w:lvlText w:val="•"/>
      <w:numFmt w:val="bullet"/>
      <w:start w:val="1"/>
    </w:lvl>
  </w:abstractNum>
  <w:abstractNum w:abstractNumId="63">
    <w:nsid w:val="2CB6A6A4"/>
    <w:multiLevelType w:val="hybridMultilevel"/>
    <w:lvl w:ilvl="0">
      <w:lvlJc w:val="left"/>
      <w:lvlText w:val="•"/>
      <w:numFmt w:val="bullet"/>
      <w:start w:val="1"/>
    </w:lvl>
  </w:abstractNum>
  <w:abstractNum w:abstractNumId="64">
    <w:nsid w:val="41D646BC"/>
    <w:multiLevelType w:val="hybridMultilevel"/>
    <w:lvl w:ilvl="0">
      <w:lvlJc w:val="left"/>
      <w:lvlText w:val="•"/>
      <w:numFmt w:val="bullet"/>
      <w:start w:val="1"/>
    </w:lvl>
  </w:abstractNum>
  <w:abstractNum w:abstractNumId="65">
    <w:nsid w:val="3694A76A"/>
    <w:multiLevelType w:val="hybridMultilevel"/>
    <w:lvl w:ilvl="0">
      <w:lvlJc w:val="left"/>
      <w:lvlText w:val="•"/>
      <w:numFmt w:val="bullet"/>
      <w:start w:val="1"/>
    </w:lvl>
  </w:abstractNum>
  <w:abstractNum w:abstractNumId="66">
    <w:nsid w:val="2BF876EE"/>
    <w:multiLevelType w:val="hybridMultilevel"/>
    <w:lvl w:ilvl="0">
      <w:lvlJc w:val="left"/>
      <w:lvlText w:val="•"/>
      <w:numFmt w:val="bullet"/>
      <w:start w:val="1"/>
    </w:lvl>
  </w:abstractNum>
  <w:abstractNum w:abstractNumId="67">
    <w:nsid w:val="675ADBA"/>
    <w:multiLevelType w:val="hybridMultilevel"/>
    <w:lvl w:ilvl="0">
      <w:lvlJc w:val="left"/>
      <w:lvlText w:val="•"/>
      <w:numFmt w:val="bullet"/>
      <w:start w:val="1"/>
    </w:lvl>
  </w:abstractNum>
  <w:abstractNum w:abstractNumId="68">
    <w:nsid w:val="C12AC7F"/>
    <w:multiLevelType w:val="hybridMultilevel"/>
    <w:lvl w:ilvl="0">
      <w:lvlJc w:val="left"/>
      <w:lvlText w:val="•"/>
      <w:numFmt w:val="bullet"/>
      <w:start w:val="1"/>
    </w:lvl>
  </w:abstractNum>
  <w:abstractNum w:abstractNumId="69">
    <w:nsid w:val="6798F039"/>
    <w:multiLevelType w:val="hybridMultilevel"/>
    <w:lvl w:ilvl="0">
      <w:lvlJc w:val="left"/>
      <w:lvlText w:val="•"/>
      <w:numFmt w:val="bullet"/>
      <w:start w:val="1"/>
    </w:lvl>
  </w:abstractNum>
  <w:abstractNum w:abstractNumId="70">
    <w:nsid w:val="70837C02"/>
    <w:multiLevelType w:val="hybridMultilevel"/>
    <w:lvl w:ilvl="0">
      <w:lvlJc w:val="left"/>
      <w:lvlText w:val="•"/>
      <w:numFmt w:val="bullet"/>
      <w:start w:val="1"/>
    </w:lvl>
  </w:abstractNum>
  <w:abstractNum w:abstractNumId="71">
    <w:nsid w:val="7E4A5715"/>
    <w:multiLevelType w:val="hybridMultilevel"/>
    <w:lvl w:ilvl="0">
      <w:lvlJc w:val="left"/>
      <w:lvlText w:val="•"/>
      <w:numFmt w:val="bullet"/>
      <w:start w:val="1"/>
    </w:lvl>
  </w:abstractNum>
  <w:abstractNum w:abstractNumId="72">
    <w:nsid w:val="42B8AC67"/>
    <w:multiLevelType w:val="hybridMultilevel"/>
    <w:lvl w:ilvl="0">
      <w:lvlJc w:val="left"/>
      <w:lvlText w:val="•"/>
      <w:numFmt w:val="bullet"/>
      <w:start w:val="1"/>
    </w:lvl>
  </w:abstractNum>
  <w:abstractNum w:abstractNumId="73">
    <w:nsid w:val="246348EA"/>
    <w:multiLevelType w:val="hybridMultilevel"/>
    <w:lvl w:ilvl="0">
      <w:lvlJc w:val="left"/>
      <w:lvlText w:val="•"/>
      <w:numFmt w:val="bullet"/>
      <w:start w:val="1"/>
    </w:lvl>
  </w:abstractNum>
  <w:abstractNum w:abstractNumId="74">
    <w:nsid w:val="170EB52B"/>
    <w:multiLevelType w:val="hybridMultilevel"/>
    <w:lvl w:ilvl="0">
      <w:lvlJc w:val="left"/>
      <w:lvlText w:val="•"/>
      <w:numFmt w:val="bullet"/>
      <w:start w:val="1"/>
    </w:lvl>
  </w:abstractNum>
  <w:abstractNum w:abstractNumId="75">
    <w:nsid w:val="2DFBCB8C"/>
    <w:multiLevelType w:val="hybridMultilevel"/>
    <w:lvl w:ilvl="0">
      <w:lvlJc w:val="left"/>
      <w:lvlText w:val="•"/>
      <w:numFmt w:val="bullet"/>
      <w:start w:val="1"/>
    </w:lvl>
  </w:abstractNum>
  <w:abstractNum w:abstractNumId="76">
    <w:nsid w:val="3830D6B6"/>
    <w:multiLevelType w:val="hybridMultilevel"/>
    <w:lvl w:ilvl="0">
      <w:lvlJc w:val="left"/>
      <w:lvlText w:val="•"/>
      <w:numFmt w:val="bullet"/>
      <w:start w:val="1"/>
    </w:lvl>
  </w:abstractNum>
  <w:abstractNum w:abstractNumId="77">
    <w:nsid w:val="6D48CF87"/>
    <w:multiLevelType w:val="hybridMultilevel"/>
    <w:lvl w:ilvl="0">
      <w:lvlJc w:val="left"/>
      <w:lvlText w:val="•"/>
      <w:numFmt w:val="bullet"/>
      <w:start w:val="1"/>
    </w:lvl>
  </w:abstractNum>
  <w:abstractNum w:abstractNumId="78">
    <w:nsid w:val="576FC41B"/>
    <w:multiLevelType w:val="hybridMultilevel"/>
    <w:lvl w:ilvl="0">
      <w:lvlJc w:val="left"/>
      <w:lvlText w:val="•"/>
      <w:numFmt w:val="bullet"/>
      <w:start w:val="1"/>
    </w:lvl>
  </w:abstractNum>
  <w:abstractNum w:abstractNumId="79">
    <w:nsid w:val="64A1C464"/>
    <w:multiLevelType w:val="hybridMultilevel"/>
    <w:lvl w:ilvl="0">
      <w:lvlJc w:val="left"/>
      <w:lvlText w:val="•"/>
      <w:numFmt w:val="bullet"/>
      <w:start w:val="1"/>
    </w:lvl>
  </w:abstractNum>
  <w:abstractNum w:abstractNumId="80">
    <w:nsid w:val="31723BF5"/>
    <w:multiLevelType w:val="hybridMultilevel"/>
    <w:lvl w:ilvl="0">
      <w:lvlJc w:val="left"/>
      <w:lvlText w:val="•"/>
      <w:numFmt w:val="bullet"/>
      <w:start w:val="1"/>
    </w:lvl>
  </w:abstractNum>
  <w:abstractNum w:abstractNumId="81">
    <w:nsid w:val="11F69861"/>
    <w:multiLevelType w:val="hybridMultilevel"/>
    <w:lvl w:ilvl="0">
      <w:lvlJc w:val="left"/>
      <w:lvlText w:val="•"/>
      <w:numFmt w:val="bullet"/>
      <w:start w:val="1"/>
    </w:lvl>
  </w:abstractNum>
  <w:abstractNum w:abstractNumId="82">
    <w:nsid w:val="369956AB"/>
    <w:multiLevelType w:val="hybridMultilevel"/>
    <w:lvl w:ilvl="0">
      <w:lvlJc w:val="left"/>
      <w:lvlText w:val="•"/>
      <w:numFmt w:val="bullet"/>
      <w:start w:val="1"/>
    </w:lvl>
  </w:abstractNum>
  <w:abstractNum w:abstractNumId="83">
    <w:nsid w:val="D3BE41C"/>
    <w:multiLevelType w:val="hybridMultilevel"/>
    <w:lvl w:ilvl="0">
      <w:lvlJc w:val="left"/>
      <w:lvlText w:val="•"/>
      <w:numFmt w:val="bullet"/>
      <w:start w:val="1"/>
    </w:lvl>
  </w:abstractNum>
  <w:abstractNum w:abstractNumId="84">
    <w:nsid w:val="4CDA15E7"/>
    <w:multiLevelType w:val="hybridMultilevel"/>
    <w:lvl w:ilvl="0">
      <w:lvlJc w:val="left"/>
      <w:lvlText w:val="(%1)"/>
      <w:numFmt w:val="decimal"/>
      <w:start w:val="1"/>
    </w:lvl>
  </w:abstractNum>
  <w:abstractNum w:abstractNumId="85">
    <w:nsid w:val="7BDD6690"/>
    <w:multiLevelType w:val="hybridMultilevel"/>
    <w:lvl w:ilvl="0">
      <w:lvlJc w:val="left"/>
      <w:lvlText w:val="•"/>
      <w:numFmt w:val="bullet"/>
      <w:start w:val="1"/>
    </w:lvl>
  </w:abstractNum>
  <w:abstractNum w:abstractNumId="86">
    <w:nsid w:val="DFB5C5B"/>
    <w:multiLevelType w:val="hybridMultilevel"/>
    <w:lvl w:ilvl="0">
      <w:lvlJc w:val="left"/>
      <w:lvlText w:val="•"/>
      <w:numFmt w:val="bullet"/>
      <w:start w:val="1"/>
    </w:lvl>
  </w:abstractNum>
  <w:abstractNum w:abstractNumId="87">
    <w:nsid w:val="6F3E5490"/>
    <w:multiLevelType w:val="hybridMultilevel"/>
    <w:lvl w:ilvl="0">
      <w:lvlJc w:val="left"/>
      <w:lvlText w:val="•"/>
      <w:numFmt w:val="bullet"/>
      <w:start w:val="1"/>
    </w:lvl>
  </w:abstractNum>
  <w:abstractNum w:abstractNumId="88">
    <w:nsid w:val="1464BE1E"/>
    <w:multiLevelType w:val="hybridMultilevel"/>
    <w:lvl w:ilvl="0">
      <w:lvlJc w:val="left"/>
      <w:lvlText w:val="(%1)"/>
      <w:numFmt w:val="decimal"/>
      <w:start w:val="1"/>
    </w:lvl>
  </w:abstractNum>
  <w:abstractNum w:abstractNumId="89">
    <w:nsid w:val="66BBB7E5"/>
    <w:multiLevelType w:val="hybridMultilevel"/>
    <w:lvl w:ilvl="0">
      <w:lvlJc w:val="left"/>
      <w:lvlText w:val="(%1)"/>
      <w:numFmt w:val="decimal"/>
      <w:start w:val="10"/>
    </w:lvl>
  </w:abstractNum>
  <w:abstractNum w:abstractNumId="90">
    <w:nsid w:val="28168302"/>
    <w:multiLevelType w:val="hybridMultilevel"/>
    <w:lvl w:ilvl="0">
      <w:lvlJc w:val="left"/>
      <w:lvlText w:val="•"/>
      <w:numFmt w:val="bullet"/>
      <w:start w:val="1"/>
    </w:lvl>
  </w:abstractNum>
  <w:abstractNum w:abstractNumId="91">
    <w:nsid w:val="32A5C7A8"/>
    <w:multiLevelType w:val="hybridMultilevel"/>
    <w:lvl w:ilvl="0">
      <w:lvlJc w:val="left"/>
      <w:lvlText w:val="(%1)"/>
      <w:numFmt w:val="decimal"/>
      <w:start w:val="1"/>
    </w:lvl>
  </w:abstractNum>
  <w:abstractNum w:abstractNumId="92">
    <w:nsid w:val="3A541011"/>
    <w:multiLevelType w:val="hybridMultilevel"/>
    <w:lvl w:ilvl="0">
      <w:lvlJc w:val="left"/>
      <w:lvlText w:val="•"/>
      <w:numFmt w:val="bullet"/>
      <w:start w:val="1"/>
    </w:lvl>
  </w:abstractNum>
  <w:abstractNum w:abstractNumId="93">
    <w:nsid w:val="4423C777"/>
    <w:multiLevelType w:val="hybridMultilevel"/>
    <w:lvl w:ilvl="0">
      <w:lvlJc w:val="left"/>
      <w:lvlText w:val="•"/>
      <w:numFmt w:val="bullet"/>
      <w:start w:val="1"/>
    </w:lvl>
  </w:abstractNum>
  <w:abstractNum w:abstractNumId="94">
    <w:nsid w:val="5F5C6E4D"/>
    <w:multiLevelType w:val="hybridMultilevel"/>
    <w:lvl w:ilvl="0">
      <w:lvlJc w:val="left"/>
      <w:lvlText w:val="•"/>
      <w:numFmt w:val="bullet"/>
      <w:start w:val="1"/>
    </w:lvl>
  </w:abstractNum>
  <w:abstractNum w:abstractNumId="95">
    <w:nsid w:val="7C2A56CD"/>
    <w:multiLevelType w:val="hybridMultilevel"/>
    <w:lvl w:ilvl="0">
      <w:lvlJc w:val="left"/>
      <w:lvlText w:val="•"/>
      <w:numFmt w:val="bullet"/>
      <w:start w:val="1"/>
    </w:lvl>
  </w:abstractNum>
  <w:abstractNum w:abstractNumId="96">
    <w:nsid w:val="7AB86EE1"/>
    <w:multiLevelType w:val="hybridMultilevel"/>
    <w:lvl w:ilvl="0">
      <w:lvlJc w:val="left"/>
      <w:lvlText w:val="(%1)"/>
      <w:numFmt w:val="decimal"/>
      <w:start w:val="1"/>
    </w:lvl>
  </w:abstractNum>
  <w:abstractNum w:abstractNumId="97">
    <w:nsid w:val="B54E53B"/>
    <w:multiLevelType w:val="hybridMultilevel"/>
    <w:lvl w:ilvl="0">
      <w:lvlJc w:val="left"/>
      <w:lvlText w:val="•"/>
      <w:numFmt w:val="bullet"/>
      <w:start w:val="1"/>
    </w:lvl>
  </w:abstractNum>
  <w:abstractNum w:abstractNumId="98">
    <w:nsid w:val="2A00487"/>
    <w:multiLevelType w:val="hybridMultilevel"/>
    <w:lvl w:ilvl="0">
      <w:lvlJc w:val="left"/>
      <w:lvlText w:val="•"/>
      <w:numFmt w:val="bullet"/>
      <w:start w:val="1"/>
    </w:lvl>
  </w:abstractNum>
  <w:abstractNum w:abstractNumId="99">
    <w:nsid w:val="6CB1B60"/>
    <w:multiLevelType w:val="hybridMultilevel"/>
    <w:lvl w:ilvl="0">
      <w:lvlJc w:val="left"/>
      <w:lvlText w:val="•"/>
      <w:numFmt w:val="bullet"/>
      <w:start w:val="1"/>
    </w:lvl>
  </w:abstractNum>
  <w:abstractNum w:abstractNumId="100">
    <w:nsid w:val="72EDD574"/>
    <w:multiLevelType w:val="hybridMultilevel"/>
    <w:lvl w:ilvl="0">
      <w:lvlJc w:val="left"/>
      <w:lvlText w:val="•"/>
      <w:numFmt w:val="bullet"/>
      <w:start w:val="1"/>
    </w:lvl>
  </w:abstractNum>
  <w:abstractNum w:abstractNumId="101">
    <w:nsid w:val="7323808A"/>
    <w:multiLevelType w:val="hybridMultilevel"/>
    <w:lvl w:ilvl="0">
      <w:lvlJc w:val="left"/>
      <w:lvlText w:val="•"/>
      <w:numFmt w:val="bullet"/>
      <w:start w:val="1"/>
    </w:lvl>
  </w:abstractNum>
  <w:abstractNum w:abstractNumId="102">
    <w:nsid w:val="5157276"/>
    <w:multiLevelType w:val="hybridMultilevel"/>
    <w:lvl w:ilvl="0">
      <w:lvlJc w:val="left"/>
      <w:lvlText w:val="•"/>
      <w:numFmt w:val="bullet"/>
      <w:start w:val="1"/>
    </w:lvl>
  </w:abstractNum>
  <w:abstractNum w:abstractNumId="103">
    <w:nsid w:val="35A681DB"/>
    <w:multiLevelType w:val="hybridMultilevel"/>
    <w:lvl w:ilvl="0">
      <w:lvlJc w:val="left"/>
      <w:lvlText w:val="•"/>
      <w:numFmt w:val="bullet"/>
      <w:start w:val="1"/>
    </w:lvl>
  </w:abstractNum>
  <w:abstractNum w:abstractNumId="104">
    <w:nsid w:val="1786C974"/>
    <w:multiLevelType w:val="hybridMultilevel"/>
    <w:lvl w:ilvl="0">
      <w:lvlJc w:val="left"/>
      <w:lvlText w:val="•"/>
      <w:numFmt w:val="bullet"/>
      <w:start w:val="1"/>
    </w:lvl>
  </w:abstractNum>
  <w:abstractNum w:abstractNumId="105">
    <w:nsid w:val="1C2427A1"/>
    <w:multiLevelType w:val="hybridMultilevel"/>
    <w:lvl w:ilvl="0">
      <w:lvlJc w:val="left"/>
      <w:lvlText w:val="•"/>
      <w:numFmt w:val="bullet"/>
      <w:start w:val="1"/>
    </w:lvl>
  </w:abstractNum>
  <w:abstractNum w:abstractNumId="106">
    <w:nsid w:val="63A24D68"/>
    <w:multiLevelType w:val="hybridMultilevel"/>
    <w:lvl w:ilvl="0">
      <w:lvlJc w:val="left"/>
      <w:lvlText w:val="•"/>
      <w:numFmt w:val="bullet"/>
      <w:start w:val="1"/>
    </w:lvl>
  </w:abstractNum>
  <w:abstractNum w:abstractNumId="107">
    <w:nsid w:val="4FB7A02A"/>
    <w:multiLevelType w:val="hybridMultilevel"/>
    <w:lvl w:ilvl="0">
      <w:lvlJc w:val="left"/>
      <w:lvlText w:val="•"/>
      <w:numFmt w:val="bullet"/>
      <w:start w:val="1"/>
    </w:lvl>
  </w:abstractNum>
  <w:abstractNum w:abstractNumId="108">
    <w:nsid w:val="96CF728"/>
    <w:multiLevelType w:val="hybridMultilevel"/>
    <w:lvl w:ilvl="0">
      <w:lvlJc w:val="left"/>
      <w:lvlText w:val="•"/>
      <w:numFmt w:val="bullet"/>
      <w:start w:val="1"/>
    </w:lvl>
  </w:abstractNum>
  <w:abstractNum w:abstractNumId="109">
    <w:nsid w:val="3B121183"/>
    <w:multiLevelType w:val="hybridMultilevel"/>
    <w:lvl w:ilvl="0">
      <w:lvlJc w:val="left"/>
      <w:lvlText w:val="•"/>
      <w:numFmt w:val="bullet"/>
      <w:start w:val="1"/>
    </w:lvl>
  </w:abstractNum>
  <w:abstractNum w:abstractNumId="110">
    <w:nsid w:val="3459648F"/>
    <w:multiLevelType w:val="hybridMultilevel"/>
    <w:lvl w:ilvl="0">
      <w:lvlJc w:val="left"/>
      <w:lvlText w:val="•"/>
      <w:numFmt w:val="bullet"/>
      <w:start w:val="1"/>
    </w:lvl>
  </w:abstractNum>
  <w:abstractNum w:abstractNumId="111">
    <w:nsid w:val="3ADF331D"/>
    <w:multiLevelType w:val="hybridMultilevel"/>
    <w:lvl w:ilvl="0">
      <w:lvlJc w:val="left"/>
      <w:lvlText w:val="•"/>
      <w:numFmt w:val="bullet"/>
      <w:start w:val="1"/>
    </w:lvl>
  </w:abstractNum>
  <w:abstractNum w:abstractNumId="112">
    <w:nsid w:val="4D08A9E4"/>
    <w:multiLevelType w:val="hybridMultilevel"/>
    <w:lvl w:ilvl="0">
      <w:lvlJc w:val="left"/>
      <w:lvlText w:val="•"/>
      <w:numFmt w:val="bullet"/>
      <w:start w:val="1"/>
    </w:lvl>
  </w:abstractNum>
  <w:abstractNum w:abstractNumId="113">
    <w:nsid w:val="6AF2BB3A"/>
    <w:multiLevelType w:val="hybridMultilevel"/>
    <w:lvl w:ilvl="0">
      <w:lvlJc w:val="left"/>
      <w:lvlText w:val="•"/>
      <w:numFmt w:val="bullet"/>
      <w:start w:val="1"/>
    </w:lvl>
  </w:abstractNum>
  <w:abstractNum w:abstractNumId="114">
    <w:nsid w:val="481B1739"/>
    <w:multiLevelType w:val="hybridMultilevel"/>
    <w:lvl w:ilvl="0">
      <w:lvlJc w:val="left"/>
      <w:lvlText w:val="•"/>
      <w:numFmt w:val="bullet"/>
      <w:start w:val="1"/>
    </w:lvl>
  </w:abstractNum>
  <w:abstractNum w:abstractNumId="115">
    <w:nsid w:val="19E2BFCC"/>
    <w:multiLevelType w:val="hybridMultilevel"/>
    <w:lvl w:ilvl="0">
      <w:lvlJc w:val="left"/>
      <w:lvlText w:val="•"/>
      <w:numFmt w:val="bullet"/>
      <w:start w:val="1"/>
    </w:lvl>
  </w:abstractNum>
  <w:abstractNum w:abstractNumId="116">
    <w:nsid w:val="66D021CA"/>
    <w:multiLevelType w:val="hybridMultilevel"/>
    <w:lvl w:ilvl="0">
      <w:lvlJc w:val="left"/>
      <w:lvlText w:val="•"/>
      <w:numFmt w:val="bullet"/>
      <w:start w:val="1"/>
    </w:lvl>
  </w:abstractNum>
  <w:abstractNum w:abstractNumId="117">
    <w:nsid w:val="56167394"/>
    <w:multiLevelType w:val="hybridMultilevel"/>
    <w:lvl w:ilvl="0">
      <w:lvlJc w:val="left"/>
      <w:lvlText w:val="•"/>
      <w:numFmt w:val="bullet"/>
      <w:start w:val="1"/>
    </w:lvl>
  </w:abstractNum>
  <w:abstractNum w:abstractNumId="118">
    <w:nsid w:val="921145C"/>
    <w:multiLevelType w:val="hybridMultilevel"/>
    <w:lvl w:ilvl="0">
      <w:lvlJc w:val="left"/>
      <w:lvlText w:val="•"/>
      <w:numFmt w:val="bullet"/>
      <w:start w:val="1"/>
    </w:lvl>
  </w:abstractNum>
  <w:abstractNum w:abstractNumId="119">
    <w:nsid w:val="7B34DFE8"/>
    <w:multiLevelType w:val="hybridMultilevel"/>
    <w:lvl w:ilvl="0">
      <w:lvlJc w:val="left"/>
      <w:lvlText w:val="•"/>
      <w:numFmt w:val="bullet"/>
      <w:start w:val="1"/>
    </w:lvl>
  </w:abstractNum>
  <w:abstractNum w:abstractNumId="120">
    <w:nsid w:val="3CD22B79"/>
    <w:multiLevelType w:val="hybridMultilevel"/>
    <w:lvl w:ilvl="0">
      <w:lvlJc w:val="left"/>
      <w:lvlText w:val="•"/>
      <w:numFmt w:val="bullet"/>
      <w:start w:val="1"/>
    </w:lvl>
  </w:abstractNum>
  <w:abstractNum w:abstractNumId="121">
    <w:nsid w:val="3137975E"/>
    <w:multiLevelType w:val="hybridMultilevel"/>
    <w:lvl w:ilvl="0">
      <w:lvlJc w:val="left"/>
      <w:lvlText w:val="•"/>
      <w:numFmt w:val="bullet"/>
      <w:start w:val="1"/>
    </w:lvl>
  </w:abstractNum>
  <w:abstractNum w:abstractNumId="122">
    <w:nsid w:val="2DDAA791"/>
    <w:multiLevelType w:val="hybridMultilevel"/>
    <w:lvl w:ilvl="0">
      <w:lvlJc w:val="left"/>
      <w:lvlText w:val="•"/>
      <w:numFmt w:val="bullet"/>
      <w:start w:val="1"/>
    </w:lvl>
  </w:abstractNum>
  <w:abstractNum w:abstractNumId="123">
    <w:nsid w:val="77263B8A"/>
    <w:multiLevelType w:val="hybridMultilevel"/>
    <w:lvl w:ilvl="0">
      <w:lvlJc w:val="left"/>
      <w:lvlText w:val="•"/>
      <w:numFmt w:val="bullet"/>
      <w:start w:val="1"/>
    </w:lvl>
  </w:abstractNum>
  <w:abstractNum w:abstractNumId="124">
    <w:nsid w:val="755B5ED6"/>
    <w:multiLevelType w:val="hybridMultilevel"/>
    <w:lvl w:ilvl="0">
      <w:lvlJc w:val="left"/>
      <w:lvlText w:val="•"/>
      <w:numFmt w:val="bullet"/>
      <w:start w:val="1"/>
    </w:lvl>
  </w:abstractNum>
  <w:abstractNum w:abstractNumId="125">
    <w:nsid w:val="D3715DE"/>
    <w:multiLevelType w:val="hybridMultilevel"/>
    <w:lvl w:ilvl="0">
      <w:lvlJc w:val="left"/>
      <w:lvlText w:val="•"/>
      <w:numFmt w:val="bullet"/>
      <w:start w:val="1"/>
    </w:lvl>
  </w:abstractNum>
  <w:abstractNum w:abstractNumId="126">
    <w:nsid w:val="73509257"/>
    <w:multiLevelType w:val="hybridMultilevel"/>
    <w:lvl w:ilvl="0">
      <w:lvlJc w:val="left"/>
      <w:lvlText w:val="•"/>
      <w:numFmt w:val="bullet"/>
      <w:start w:val="1"/>
    </w:lvl>
  </w:abstractNum>
  <w:abstractNum w:abstractNumId="127">
    <w:nsid w:val="7013CDB7"/>
    <w:multiLevelType w:val="hybridMultilevel"/>
    <w:lvl w:ilvl="0">
      <w:lvlJc w:val="left"/>
      <w:lvlText w:val="•"/>
      <w:numFmt w:val="bullet"/>
      <w:start w:val="1"/>
    </w:lvl>
  </w:abstractNum>
  <w:abstractNum w:abstractNumId="128">
    <w:nsid w:val="188BFB19"/>
    <w:multiLevelType w:val="hybridMultilevel"/>
    <w:lvl w:ilvl="0">
      <w:lvlJc w:val="left"/>
      <w:lvlText w:val="•"/>
      <w:numFmt w:val="bullet"/>
      <w:start w:val="1"/>
    </w:lvl>
  </w:abstractNum>
  <w:abstractNum w:abstractNumId="129">
    <w:nsid w:val="75F096DF"/>
    <w:multiLevelType w:val="hybridMultilevel"/>
    <w:lvl w:ilvl="0">
      <w:lvlJc w:val="left"/>
      <w:lvlText w:val="•"/>
      <w:numFmt w:val="bullet"/>
      <w:start w:val="1"/>
    </w:lvl>
  </w:abstractNum>
  <w:abstractNum w:abstractNumId="130">
    <w:nsid w:val="76DEE918"/>
    <w:multiLevelType w:val="hybridMultilevel"/>
    <w:lvl w:ilvl="0">
      <w:lvlJc w:val="left"/>
      <w:lvlText w:val="(%1)"/>
      <w:numFmt w:val="upperLetter"/>
      <w:start w:val="3"/>
    </w:lvl>
  </w:abstractNum>
  <w:abstractNum w:abstractNumId="131">
    <w:nsid w:val="B79D08D"/>
    <w:multiLevelType w:val="hybridMultilevel"/>
    <w:lvl w:ilvl="0">
      <w:lvlJc w:val="left"/>
      <w:lvlText w:val="•"/>
      <w:numFmt w:val="bullet"/>
      <w:start w:val="1"/>
    </w:lvl>
  </w:abstractNum>
  <w:abstractNum w:abstractNumId="132">
    <w:nsid w:val="69141769"/>
    <w:multiLevelType w:val="hybridMultilevel"/>
    <w:lvl w:ilvl="0">
      <w:lvlJc w:val="left"/>
      <w:lvlText w:val="•"/>
      <w:numFmt w:val="bullet"/>
      <w:start w:val="1"/>
    </w:lvl>
  </w:abstractNum>
  <w:abstractNum w:abstractNumId="133">
    <w:nsid w:val="7BF45B8E"/>
    <w:multiLevelType w:val="hybridMultilevel"/>
    <w:lvl w:ilvl="0">
      <w:lvlJc w:val="left"/>
      <w:lvlText w:val="•"/>
      <w:numFmt w:val="bullet"/>
      <w:start w:val="1"/>
    </w:lvl>
  </w:abstractNum>
  <w:abstractNum w:abstractNumId="134">
    <w:nsid w:val="41205269"/>
    <w:multiLevelType w:val="hybridMultilevel"/>
    <w:lvl w:ilvl="0">
      <w:lvlJc w:val="left"/>
      <w:lvlText w:val="•"/>
      <w:numFmt w:val="bullet"/>
      <w:start w:val="1"/>
    </w:lvl>
  </w:abstractNum>
  <w:abstractNum w:abstractNumId="135">
    <w:nsid w:val="9AE0DD"/>
    <w:multiLevelType w:val="hybridMultilevel"/>
    <w:lvl w:ilvl="0">
      <w:lvlJc w:val="left"/>
      <w:lvlText w:val="•"/>
      <w:numFmt w:val="bullet"/>
      <w:start w:val="1"/>
    </w:lvl>
  </w:abstractNum>
  <w:abstractNum w:abstractNumId="136">
    <w:nsid w:val="1818832F"/>
    <w:multiLevelType w:val="hybridMultilevel"/>
    <w:lvl w:ilvl="0">
      <w:lvlJc w:val="left"/>
      <w:lvlText w:val="•"/>
      <w:numFmt w:val="bullet"/>
      <w:start w:val="1"/>
    </w:lvl>
  </w:abstractNum>
  <w:abstractNum w:abstractNumId="137">
    <w:nsid w:val="24C29FD1"/>
    <w:multiLevelType w:val="hybridMultilevel"/>
    <w:lvl w:ilvl="0">
      <w:lvlJc w:val="left"/>
      <w:lvlText w:val="•"/>
      <w:numFmt w:val="bullet"/>
      <w:start w:val="1"/>
    </w:lvl>
  </w:abstractNum>
  <w:abstractNum w:abstractNumId="138">
    <w:nsid w:val="50528108"/>
    <w:multiLevelType w:val="hybridMultilevel"/>
    <w:lvl w:ilvl="0">
      <w:lvlJc w:val="left"/>
      <w:lvlText w:val="\endash "/>
      <w:numFmt w:val="bullet"/>
      <w:start w:val="1"/>
    </w:lvl>
  </w:abstractNum>
  <w:abstractNum w:abstractNumId="139">
    <w:nsid w:val="21857A57"/>
    <w:multiLevelType w:val="hybridMultilevel"/>
    <w:lvl w:ilvl="0">
      <w:lvlJc w:val="left"/>
      <w:lvlText w:val="(%1)"/>
      <w:numFmt w:val="decimal"/>
      <w:start w:val="1"/>
    </w:lvl>
  </w:abstractNum>
  <w:abstractNum w:abstractNumId="140">
    <w:nsid w:val="5FD4B154"/>
    <w:multiLevelType w:val="hybridMultilevel"/>
    <w:lvl w:ilvl="0">
      <w:lvlJc w:val="left"/>
      <w:lvlText w:val="%1."/>
      <w:numFmt w:val="decimal"/>
      <w:start w:val="1"/>
    </w:lvl>
  </w:abstractNum>
  <w:abstractNum w:abstractNumId="141">
    <w:nsid w:val="4ABE597"/>
    <w:multiLevelType w:val="hybridMultilevel"/>
    <w:lvl w:ilvl="0">
      <w:lvlJc w:val="left"/>
      <w:lvlText w:val="%1."/>
      <w:numFmt w:val="decimal"/>
      <w:start w:val="2"/>
    </w:lvl>
  </w:abstractNum>
  <w:abstractNum w:abstractNumId="142">
    <w:nsid w:val="5C64AD75"/>
    <w:multiLevelType w:val="hybridMultilevel"/>
    <w:lvl w:ilvl="0">
      <w:lvlJc w:val="left"/>
      <w:lvlText w:val="•"/>
      <w:numFmt w:val="bullet"/>
      <w:start w:val="1"/>
    </w:lvl>
  </w:abstractNum>
  <w:abstractNum w:abstractNumId="143">
    <w:nsid w:val="2CDD5B39"/>
    <w:multiLevelType w:val="hybridMultilevel"/>
    <w:lvl w:ilvl="0">
      <w:lvlJc w:val="left"/>
      <w:lvlText w:val="•"/>
      <w:numFmt w:val="bullet"/>
      <w:start w:val="1"/>
    </w:lvl>
  </w:abstractNum>
  <w:abstractNum w:abstractNumId="144">
    <w:nsid w:val="6F9EA0D1"/>
    <w:multiLevelType w:val="hybridMultilevel"/>
    <w:lvl w:ilvl="0">
      <w:lvlJc w:val="left"/>
      <w:lvlText w:val="•"/>
      <w:numFmt w:val="bullet"/>
      <w:start w:val="1"/>
    </w:lvl>
  </w:abstractNum>
  <w:abstractNum w:abstractNumId="145">
    <w:nsid w:val="247FC4AE"/>
    <w:multiLevelType w:val="hybridMultilevel"/>
    <w:lvl w:ilvl="0">
      <w:lvlJc w:val="left"/>
      <w:lvlText w:val="%1."/>
      <w:numFmt w:val="decimal"/>
      <w:start w:val="3"/>
    </w:lvl>
  </w:abstractNum>
  <w:abstractNum w:abstractNumId="146">
    <w:nsid w:val="46C01B05"/>
    <w:multiLevelType w:val="hybridMultilevel"/>
    <w:lvl w:ilvl="0">
      <w:lvlJc w:val="left"/>
      <w:lvlText w:val="%1."/>
      <w:numFmt w:val="decimal"/>
      <w:start w:val="4"/>
    </w:lvl>
  </w:abstractNum>
  <w:abstractNum w:abstractNumId="147">
    <w:nsid w:val="566EC29B"/>
    <w:multiLevelType w:val="hybridMultilevel"/>
    <w:lvl w:ilvl="0">
      <w:lvlJc w:val="left"/>
      <w:lvlText w:val="%1."/>
      <w:numFmt w:val="decimal"/>
      <w:start w:val="5"/>
    </w:lvl>
  </w:abstractNum>
  <w:abstractNum w:abstractNumId="148">
    <w:nsid w:val="7A963843"/>
    <w:multiLevelType w:val="hybridMultilevel"/>
    <w:lvl w:ilvl="0">
      <w:lvlJc w:val="left"/>
      <w:lvlText w:val="%1."/>
      <w:numFmt w:val="decimal"/>
      <w:start w:val="6"/>
    </w:lvl>
  </w:abstractNum>
  <w:abstractNum w:abstractNumId="149">
    <w:nsid w:val="4FE12F61"/>
    <w:multiLevelType w:val="hybridMultilevel"/>
    <w:lvl w:ilvl="0">
      <w:lvlJc w:val="left"/>
      <w:lvlText w:val="%1."/>
      <w:numFmt w:val="decimal"/>
      <w:start w:val="8"/>
    </w:lvl>
  </w:abstractNum>
  <w:abstractNum w:abstractNumId="150">
    <w:nsid w:val="51A3A284"/>
    <w:multiLevelType w:val="hybridMultilevel"/>
    <w:lvl w:ilvl="0">
      <w:lvlJc w:val="left"/>
      <w:lvlText w:val="%1."/>
      <w:numFmt w:val="decimal"/>
      <w:start w:val="11"/>
    </w:lvl>
  </w:abstractNum>
  <w:abstractNum w:abstractNumId="151">
    <w:nsid w:val="376863BC"/>
    <w:multiLevelType w:val="hybridMultilevel"/>
    <w:lvl w:ilvl="0">
      <w:lvlJc w:val="left"/>
      <w:lvlText w:val="%1."/>
      <w:numFmt w:val="decimal"/>
      <w:start w:val="12"/>
    </w:lvl>
  </w:abstractNum>
  <w:abstractNum w:abstractNumId="152">
    <w:nsid w:val="118C6C0"/>
    <w:multiLevelType w:val="hybridMultilevel"/>
    <w:lvl w:ilvl="0">
      <w:lvlJc w:val="left"/>
      <w:lvlText w:val="%1."/>
      <w:numFmt w:val="decimal"/>
      <w:start w:val="15"/>
    </w:lvl>
  </w:abstractNum>
  <w:abstractNum w:abstractNumId="153">
    <w:nsid w:val="7F7E4A15"/>
    <w:multiLevelType w:val="hybridMultilevel"/>
    <w:lvl w:ilvl="0">
      <w:lvlJc w:val="left"/>
      <w:lvlText w:val="(%1)"/>
      <w:numFmt w:val="decimal"/>
      <w:start w:val="1"/>
    </w:lvl>
  </w:abstractNum>
  <w:abstractNum w:abstractNumId="154">
    <w:nsid w:val="2E8E9F47"/>
    <w:multiLevelType w:val="hybridMultilevel"/>
    <w:lvl w:ilvl="0">
      <w:lvlJc w:val="left"/>
      <w:lvlText w:val="%1."/>
      <w:numFmt w:val="decimal"/>
      <w:start w:val="17"/>
    </w:lvl>
  </w:abstractNum>
  <w:abstractNum w:abstractNumId="155">
    <w:nsid w:val="76742596"/>
    <w:multiLevelType w:val="hybridMultilevel"/>
    <w:lvl w:ilvl="0">
      <w:lvlJc w:val="left"/>
      <w:lvlText w:val="(%1)"/>
      <w:numFmt w:val="decimal"/>
      <w:start w:val="1"/>
    </w:lvl>
  </w:abstractNum>
  <w:abstractNum w:abstractNumId="156">
    <w:nsid w:val="CB55FF3"/>
    <w:multiLevelType w:val="hybridMultilevel"/>
    <w:lvl w:ilvl="0">
      <w:lvlJc w:val="left"/>
      <w:lvlText w:val="%1."/>
      <w:numFmt w:val="decimal"/>
      <w:start w:val="1"/>
    </w:lvl>
  </w:abstractNum>
  <w:abstractNum w:abstractNumId="157">
    <w:nsid w:val="21DF319E"/>
    <w:multiLevelType w:val="hybridMultilevel"/>
    <w:lvl w:ilvl="0">
      <w:lvlJc w:val="left"/>
      <w:lvlText w:val="\endash "/>
      <w:numFmt w:val="bullet"/>
      <w:start w:val="1"/>
    </w:lvl>
  </w:abstractNum>
  <w:abstractNum w:abstractNumId="158">
    <w:nsid w:val="6687F34D"/>
    <w:multiLevelType w:val="hybridMultilevel"/>
    <w:lvl w:ilvl="0">
      <w:lvlJc w:val="left"/>
      <w:lvlText w:val="\endash "/>
      <w:numFmt w:val="bullet"/>
      <w:start w:val="1"/>
    </w:lvl>
  </w:abstractNum>
  <w:abstractNum w:abstractNumId="159">
    <w:nsid w:val="25415B0C"/>
    <w:multiLevelType w:val="hybridMultilevel"/>
    <w:lvl w:ilvl="0">
      <w:lvlJc w:val="left"/>
      <w:lvlText w:val="•"/>
      <w:numFmt w:val="bullet"/>
      <w:start w:val="1"/>
    </w:lvl>
  </w:abstractNum>
  <w:abstractNum w:abstractNumId="160">
    <w:nsid w:val="17CFC87D"/>
    <w:multiLevelType w:val="hybridMultilevel"/>
    <w:lvl w:ilvl="0">
      <w:lvlJc w:val="left"/>
      <w:lvlText w:val="(%1)"/>
      <w:numFmt w:val="decimal"/>
      <w:start w:val="1"/>
    </w:lvl>
  </w:abstractNum>
  <w:abstractNum w:abstractNumId="161">
    <w:nsid w:val="5D66DC65"/>
    <w:multiLevelType w:val="hybridMultilevel"/>
    <w:lvl w:ilvl="0">
      <w:lvlJc w:val="left"/>
      <w:lvlText w:val="%1."/>
      <w:numFmt w:val="decimal"/>
      <w:start w:val="21"/>
    </w:lvl>
  </w:abstractNum>
  <w:abstractNum w:abstractNumId="162">
    <w:nsid w:val="30BB2B99"/>
    <w:multiLevelType w:val="hybridMultilevel"/>
    <w:lvl w:ilvl="0">
      <w:lvlJc w:val="left"/>
      <w:lvlText w:val="%1."/>
      <w:numFmt w:val="decimal"/>
      <w:start w:val="22"/>
    </w:lvl>
  </w:abstractNum>
  <w:abstractNum w:abstractNumId="163">
    <w:nsid w:val="E3DFE6"/>
    <w:multiLevelType w:val="hybridMultilevel"/>
    <w:lvl w:ilvl="0">
      <w:lvlJc w:val="left"/>
      <w:lvlText w:val="(%1)"/>
      <w:numFmt w:val="decimal"/>
      <w:start w:val="1"/>
    </w:lvl>
  </w:abstractNum>
  <w:abstractNum w:abstractNumId="164">
    <w:nsid w:val="595B37F3"/>
    <w:multiLevelType w:val="hybridMultilevel"/>
    <w:lvl w:ilvl="0">
      <w:lvlJc w:val="left"/>
      <w:lvlText w:val="%1."/>
      <w:numFmt w:val="decimal"/>
      <w:start w:val="24"/>
    </w:lvl>
  </w:abstractNum>
  <w:abstractNum w:abstractNumId="165">
    <w:nsid w:val="71DB7E02"/>
    <w:multiLevelType w:val="hybridMultilevel"/>
    <w:lvl w:ilvl="0">
      <w:lvlJc w:val="left"/>
      <w:lvlText w:val="%1."/>
      <w:numFmt w:val="decimal"/>
      <w:start w:val="25"/>
    </w:lvl>
  </w:abstractNum>
  <w:abstractNum w:abstractNumId="166">
    <w:nsid w:val="17EC0C4"/>
    <w:multiLevelType w:val="hybridMultilevel"/>
    <w:lvl w:ilvl="0">
      <w:lvlJc w:val="left"/>
      <w:lvlText w:val="%1."/>
      <w:numFmt w:val="decimal"/>
      <w:start w:val="26"/>
    </w:lvl>
  </w:abstractNum>
  <w:abstractNum w:abstractNumId="167">
    <w:nsid w:val="7173BB22"/>
    <w:multiLevelType w:val="hybridMultilevel"/>
    <w:lvl w:ilvl="0">
      <w:lvlJc w:val="left"/>
      <w:lvlText w:val="•"/>
      <w:numFmt w:val="bullet"/>
      <w:start w:val="1"/>
    </w:lvl>
  </w:abstractNum>
  <w:abstractNum w:abstractNumId="168">
    <w:nsid w:val="169E1DD3"/>
    <w:multiLevelType w:val="hybridMultilevel"/>
    <w:lvl w:ilvl="0">
      <w:lvlJc w:val="left"/>
      <w:lvlText w:val="(%1)"/>
      <w:numFmt w:val="lowerLetter"/>
      <w:start w:val="1"/>
    </w:lvl>
  </w:abstractNum>
  <w:abstractNum w:abstractNumId="169">
    <w:nsid w:val="51D141CC"/>
    <w:multiLevelType w:val="hybridMultilevel"/>
    <w:lvl w:ilvl="0">
      <w:lvlJc w:val="left"/>
      <w:lvlText w:val="†"/>
      <w:numFmt w:val="bullet"/>
      <w:start w:val="1"/>
    </w:lvl>
  </w:abstractNum>
  <w:abstractNum w:abstractNumId="170">
    <w:nsid w:val="12F9357A"/>
    <w:multiLevelType w:val="hybridMultilevel"/>
    <w:lvl w:ilvl="0">
      <w:lvlJc w:val="left"/>
      <w:lvlText w:val="(%1)"/>
      <w:numFmt w:val="lowerLetter"/>
      <w:start w:val="2"/>
    </w:lvl>
  </w:abstractNum>
  <w:abstractNum w:abstractNumId="171">
    <w:nsid w:val="7672CF28"/>
    <w:multiLevelType w:val="hybridMultilevel"/>
    <w:lvl w:ilvl="0">
      <w:lvlJc w:val="left"/>
      <w:lvlText w:val="(%1)"/>
      <w:numFmt w:val="lowerLetter"/>
      <w:start w:val="1"/>
    </w:lvl>
    <w:lvl w:ilvl="1">
      <w:lvlJc w:val="left"/>
      <w:lvlText w:val="(%2)"/>
      <w:numFmt w:val="decimal"/>
      <w:start w:val="1"/>
    </w:lvl>
  </w:abstractNum>
  <w:abstractNum w:abstractNumId="172">
    <w:nsid w:val="567D2763"/>
    <w:multiLevelType w:val="hybridMultilevel"/>
    <w:lvl w:ilvl="0">
      <w:lvlJc w:val="left"/>
      <w:lvlText w:val="2"/>
      <w:numFmt w:val="bullet"/>
      <w:start w:val="1"/>
    </w:lvl>
  </w:abstractNum>
  <w:abstractNum w:abstractNumId="173">
    <w:nsid w:val="6F5DE2EF"/>
    <w:multiLevelType w:val="hybridMultilevel"/>
    <w:lvl w:ilvl="0">
      <w:lvlJc w:val="left"/>
      <w:lvlText w:val="2"/>
      <w:numFmt w:val="bullet"/>
      <w:start w:val="1"/>
    </w:lvl>
  </w:abstractNum>
  <w:abstractNum w:abstractNumId="174">
    <w:nsid w:val="23502A61"/>
    <w:multiLevelType w:val="hybridMultilevel"/>
    <w:lvl w:ilvl="0">
      <w:lvlJc w:val="left"/>
      <w:lvlText w:val="(%1)"/>
      <w:numFmt w:val="lowerLetter"/>
      <w:start w:val="5"/>
    </w:lvl>
  </w:abstractNum>
  <w:abstractNum w:abstractNumId="175">
    <w:nsid w:val="461BC834"/>
    <w:multiLevelType w:val="hybridMultilevel"/>
    <w:lvl w:ilvl="0">
      <w:lvlJc w:val="left"/>
      <w:lvlText w:val="(%1)"/>
      <w:numFmt w:val="lowerLetter"/>
      <w:start w:val="4"/>
    </w:lvl>
  </w:abstractNum>
  <w:abstractNum w:abstractNumId="176">
    <w:nsid w:val="13DDA79D"/>
    <w:multiLevelType w:val="hybridMultilevel"/>
    <w:lvl w:ilvl="0">
      <w:lvlJc w:val="left"/>
      <w:lvlText w:val="2"/>
      <w:numFmt w:val="bullet"/>
      <w:start w:val="1"/>
    </w:lvl>
  </w:abstractNum>
  <w:abstractNum w:abstractNumId="177">
    <w:nsid w:val="6A104566"/>
    <w:multiLevelType w:val="hybridMultilevel"/>
    <w:lvl w:ilvl="0">
      <w:lvlJc w:val="left"/>
      <w:lvlText w:val="(%1)"/>
      <w:numFmt w:val="lowerLetter"/>
      <w:start w:val="2"/>
    </w:lvl>
  </w:abstractNum>
  <w:abstractNum w:abstractNumId="178">
    <w:nsid w:val="1C8A8ACF"/>
    <w:multiLevelType w:val="hybridMultilevel"/>
    <w:lvl w:ilvl="0">
      <w:lvlJc w:val="left"/>
      <w:lvlText w:val="2"/>
      <w:numFmt w:val="bullet"/>
      <w:start w:val="1"/>
    </w:lvl>
  </w:abstractNum>
  <w:abstractNum w:abstractNumId="179">
    <w:nsid w:val="E73DFE0"/>
    <w:multiLevelType w:val="hybridMultilevel"/>
    <w:lvl w:ilvl="0">
      <w:lvlJc w:val="left"/>
      <w:lvlText w:val="3"/>
      <w:numFmt w:val="bullet"/>
      <w:start w:val="1"/>
    </w:lvl>
  </w:abstractNum>
  <w:abstractNum w:abstractNumId="180">
    <w:nsid w:val="39F174C7"/>
    <w:multiLevelType w:val="hybridMultilevel"/>
    <w:lvl w:ilvl="0">
      <w:lvlJc w:val="left"/>
      <w:lvlText w:val="(%1)"/>
      <w:numFmt w:val="lowerLetter"/>
      <w:start w:val="1"/>
    </w:lvl>
  </w:abstractNum>
  <w:abstractNum w:abstractNumId="181">
    <w:nsid w:val="6E2E2D53"/>
    <w:multiLevelType w:val="hybridMultilevel"/>
    <w:lvl w:ilvl="0">
      <w:lvlJc w:val="left"/>
      <w:lvlText w:val="4"/>
      <w:numFmt w:val="bullet"/>
      <w:start w:val="1"/>
    </w:lvl>
  </w:abstractNum>
  <w:abstractNum w:abstractNumId="182">
    <w:nsid w:val="45DC439D"/>
    <w:multiLevelType w:val="hybridMultilevel"/>
    <w:lvl w:ilvl="0">
      <w:lvlJc w:val="left"/>
      <w:lvlText w:val="4"/>
      <w:numFmt w:val="bullet"/>
      <w:start w:val="1"/>
    </w:lvl>
  </w:abstractNum>
  <w:abstractNum w:abstractNumId="183">
    <w:nsid w:val="3B0A3B87"/>
    <w:multiLevelType w:val="hybridMultilevel"/>
    <w:lvl w:ilvl="0">
      <w:lvlJc w:val="left"/>
      <w:lvlText w:val="2"/>
      <w:numFmt w:val="bullet"/>
      <w:start w:val="1"/>
    </w:lvl>
  </w:abstractNum>
  <w:abstractNum w:abstractNumId="184">
    <w:nsid w:val="6DAC7768"/>
    <w:multiLevelType w:val="hybridMultilevel"/>
    <w:lvl w:ilvl="0">
      <w:lvlJc w:val="left"/>
      <w:lvlText w:val="3"/>
      <w:numFmt w:val="bullet"/>
      <w:start w:val="1"/>
    </w:lvl>
  </w:abstractNum>
  <w:abstractNum w:abstractNumId="185">
    <w:nsid w:val="746AE2E4"/>
    <w:multiLevelType w:val="hybridMultilevel"/>
    <w:lvl w:ilvl="0">
      <w:lvlJc w:val="left"/>
      <w:lvlText w:val="2"/>
      <w:numFmt w:val="bullet"/>
      <w:start w:val="1"/>
    </w:lvl>
  </w:abstractNum>
  <w:abstractNum w:abstractNumId="186">
    <w:nsid w:val="317E611D"/>
    <w:multiLevelType w:val="hybridMultilevel"/>
    <w:lvl w:ilvl="0">
      <w:lvlJc w:val="left"/>
      <w:lvlText w:val="3"/>
      <w:numFmt w:val="bullet"/>
      <w:start w:val="1"/>
    </w:lvl>
  </w:abstractNum>
  <w:abstractNum w:abstractNumId="187">
    <w:nsid w:val="7A61D75B"/>
    <w:multiLevelType w:val="hybridMultilevel"/>
    <w:lvl w:ilvl="0">
      <w:lvlJc w:val="left"/>
      <w:lvlText w:val="(%1)"/>
      <w:numFmt w:val="lowerLetter"/>
      <w:start w:val="1"/>
    </w:lvl>
  </w:abstractNum>
  <w:abstractNum w:abstractNumId="188">
    <w:nsid w:val="164A1482"/>
    <w:multiLevelType w:val="hybridMultilevel"/>
    <w:lvl w:ilvl="0">
      <w:lvlJc w:val="left"/>
      <w:lvlText w:val="(%1)"/>
      <w:numFmt w:val="lowerLetter"/>
      <w:start w:val="1"/>
    </w:lvl>
  </w:abstractNum>
  <w:abstractNum w:abstractNumId="189">
    <w:nsid w:val="1806546B"/>
    <w:multiLevelType w:val="hybridMultilevel"/>
    <w:lvl w:ilvl="0">
      <w:lvlJc w:val="left"/>
      <w:lvlText w:val="(%1)"/>
      <w:numFmt w:val="lowerLetter"/>
      <w:start w:val="5"/>
    </w:lvl>
  </w:abstractNum>
  <w:abstractNum w:abstractNumId="190">
    <w:nsid w:val="1FA33267"/>
    <w:multiLevelType w:val="hybridMultilevel"/>
    <w:lvl w:ilvl="0">
      <w:lvlJc w:val="left"/>
      <w:lvlText w:val="(%1)"/>
      <w:numFmt w:val="lowerLetter"/>
      <w:start w:val="5"/>
    </w:lvl>
  </w:abstractNum>
  <w:abstractNum w:abstractNumId="191">
    <w:nsid w:val="2E19DD00"/>
    <w:multiLevelType w:val="hybridMultilevel"/>
    <w:lvl w:ilvl="0">
      <w:lvlJc w:val="left"/>
      <w:lvlText w:val="2"/>
      <w:numFmt w:val="bullet"/>
      <w:start w:val="1"/>
    </w:lvl>
  </w:abstractNum>
  <w:abstractNum w:abstractNumId="192">
    <w:nsid w:val="756D30D0"/>
    <w:multiLevelType w:val="hybridMultilevel"/>
    <w:lvl w:ilvl="0">
      <w:lvlJc w:val="left"/>
      <w:lvlText w:val="2"/>
      <w:numFmt w:val="bullet"/>
      <w:start w:val="1"/>
    </w:lvl>
  </w:abstractNum>
  <w:abstractNum w:abstractNumId="193">
    <w:nsid w:val="505E5E01"/>
    <w:multiLevelType w:val="hybridMultilevel"/>
    <w:lvl w:ilvl="0">
      <w:lvlJc w:val="left"/>
      <w:lvlText w:val="2"/>
      <w:numFmt w:val="bullet"/>
      <w:start w:val="1"/>
    </w:lvl>
  </w:abstractNum>
  <w:abstractNum w:abstractNumId="194">
    <w:nsid w:val="2EFDBCE6"/>
    <w:multiLevelType w:val="hybridMultilevel"/>
    <w:lvl w:ilvl="0">
      <w:lvlJc w:val="left"/>
      <w:lvlText w:val="1"/>
      <w:numFmt w:val="bullet"/>
      <w:start w:val="1"/>
    </w:lvl>
  </w:abstractNum>
  <w:abstractNum w:abstractNumId="195">
    <w:nsid w:val="4EC868C4"/>
    <w:multiLevelType w:val="hybridMultilevel"/>
    <w:lvl w:ilvl="0">
      <w:lvlJc w:val="left"/>
      <w:lvlText w:val="2"/>
      <w:numFmt w:val="bullet"/>
      <w:start w:val="1"/>
    </w:lvl>
  </w:abstractNum>
  <w:abstractNum w:abstractNumId="196">
    <w:nsid w:val="4239DC03"/>
    <w:multiLevelType w:val="hybridMultilevel"/>
    <w:lvl w:ilvl="0">
      <w:lvlJc w:val="left"/>
      <w:lvlText w:val="2"/>
      <w:numFmt w:val="bullet"/>
      <w:start w:val="1"/>
    </w:lvl>
  </w:abstractNum>
  <w:abstractNum w:abstractNumId="197">
    <w:nsid w:val="307C7DAA"/>
    <w:multiLevelType w:val="hybridMultilevel"/>
    <w:lvl w:ilvl="0">
      <w:lvlJc w:val="left"/>
      <w:lvlText w:val="2"/>
      <w:numFmt w:val="bullet"/>
      <w:start w:val="1"/>
    </w:lvl>
  </w:abstractNum>
  <w:abstractNum w:abstractNumId="198">
    <w:nsid w:val="403C23E6"/>
    <w:multiLevelType w:val="hybridMultilevel"/>
    <w:lvl w:ilvl="0">
      <w:lvlJc w:val="left"/>
      <w:lvlText w:val="2"/>
      <w:numFmt w:val="bullet"/>
      <w:start w:val="1"/>
    </w:lvl>
  </w:abstractNum>
  <w:abstractNum w:abstractNumId="199">
    <w:nsid w:val="58D7F9D7"/>
    <w:multiLevelType w:val="hybridMultilevel"/>
    <w:lvl w:ilvl="0">
      <w:lvlJc w:val="left"/>
      <w:lvlText w:val="2"/>
      <w:numFmt w:val="bullet"/>
      <w:start w:val="1"/>
    </w:lvl>
  </w:abstractNum>
  <w:abstractNum w:abstractNumId="200">
    <w:nsid w:val="24DBF76"/>
    <w:multiLevelType w:val="hybridMultilevel"/>
    <w:lvl w:ilvl="0">
      <w:lvlJc w:val="left"/>
      <w:lvlText w:val="3"/>
      <w:numFmt w:val="bullet"/>
      <w:start w:val="1"/>
    </w:lvl>
  </w:abstractNum>
  <w:abstractNum w:abstractNumId="201">
    <w:nsid w:val="53355960"/>
    <w:multiLevelType w:val="hybridMultilevel"/>
    <w:lvl w:ilvl="0">
      <w:lvlJc w:val="left"/>
      <w:lvlText w:val="3"/>
      <w:numFmt w:val="bullet"/>
      <w:start w:val="1"/>
    </w:lvl>
  </w:abstractNum>
  <w:abstractNum w:abstractNumId="202">
    <w:nsid w:val="4F4AC8FF"/>
    <w:multiLevelType w:val="hybridMultilevel"/>
    <w:lvl w:ilvl="0">
      <w:lvlJc w:val="left"/>
      <w:lvlText w:val="(%1)"/>
      <w:numFmt w:val="lowerLetter"/>
      <w:start w:val="1"/>
    </w:lvl>
  </w:abstractNum>
  <w:abstractNum w:abstractNumId="203">
    <w:nsid w:val="58CAE6D9"/>
    <w:multiLevelType w:val="hybridMultilevel"/>
    <w:lvl w:ilvl="0">
      <w:lvlJc w:val="left"/>
      <w:lvlText w:val="2"/>
      <w:numFmt w:val="bullet"/>
      <w:start w:val="1"/>
    </w:lvl>
    <w:lvl w:ilvl="1">
      <w:lvlJc w:val="left"/>
      <w:lvlText w:val="(%2)"/>
      <w:numFmt w:val="lowerLetter"/>
      <w:start w:val="1"/>
    </w:lvl>
  </w:abstractNum>
  <w:abstractNum w:abstractNumId="204">
    <w:nsid w:val="42933C4F"/>
    <w:multiLevelType w:val="hybridMultilevel"/>
    <w:lvl w:ilvl="0">
      <w:lvlJc w:val="left"/>
      <w:lvlText w:val="3"/>
      <w:numFmt w:val="bullet"/>
      <w:start w:val="1"/>
    </w:lvl>
  </w:abstractNum>
  <w:abstractNum w:abstractNumId="205">
    <w:nsid w:val="729AF360"/>
    <w:multiLevelType w:val="hybridMultilevel"/>
    <w:lvl w:ilvl="0">
      <w:lvlJc w:val="left"/>
      <w:lvlText w:val="2"/>
      <w:numFmt w:val="bullet"/>
      <w:start w:val="1"/>
    </w:lvl>
  </w:abstractNum>
  <w:abstractNum w:abstractNumId="206">
    <w:nsid w:val="1EE6AF0D"/>
    <w:multiLevelType w:val="hybridMultilevel"/>
    <w:lvl w:ilvl="0">
      <w:lvlJc w:val="left"/>
      <w:lvlText w:val="3"/>
      <w:numFmt w:val="bullet"/>
      <w:start w:val="1"/>
    </w:lvl>
  </w:abstractNum>
  <w:abstractNum w:abstractNumId="207">
    <w:nsid w:val="5670E3ED"/>
    <w:multiLevelType w:val="hybridMultilevel"/>
    <w:lvl w:ilvl="0">
      <w:lvlJc w:val="left"/>
      <w:lvlText w:val="2"/>
      <w:numFmt w:val="bullet"/>
      <w:start w:val="1"/>
    </w:lvl>
  </w:abstractNum>
  <w:abstractNum w:abstractNumId="208">
    <w:nsid w:val="5CAB38C6"/>
    <w:multiLevelType w:val="hybridMultilevel"/>
    <w:lvl w:ilvl="0">
      <w:lvlJc w:val="left"/>
      <w:lvlText w:val="3"/>
      <w:numFmt w:val="bullet"/>
      <w:start w:val="1"/>
    </w:lvl>
  </w:abstractNum>
  <w:abstractNum w:abstractNumId="209">
    <w:nsid w:val="3B7139DD"/>
    <w:multiLevelType w:val="hybridMultilevel"/>
    <w:lvl w:ilvl="0">
      <w:lvlJc w:val="left"/>
      <w:lvlText w:val="(%1)"/>
      <w:numFmt w:val="lowerLetter"/>
      <w:start w:val="5"/>
    </w:lvl>
  </w:abstractNum>
  <w:abstractNum w:abstractNumId="210">
    <w:nsid w:val="64E4C3CD"/>
    <w:multiLevelType w:val="hybridMultilevel"/>
    <w:lvl w:ilvl="0">
      <w:lvlJc w:val="left"/>
      <w:lvlText w:val="(%1)"/>
      <w:numFmt w:val="lowerLetter"/>
      <w:start w:val="5"/>
    </w:lvl>
  </w:abstractNum>
  <w:abstractNum w:abstractNumId="211">
    <w:nsid w:val="169CAD8D"/>
    <w:multiLevelType w:val="hybridMultilevel"/>
    <w:lvl w:ilvl="0">
      <w:lvlJc w:val="left"/>
      <w:lvlText w:val="2"/>
      <w:numFmt w:val="bullet"/>
      <w:start w:val="1"/>
    </w:lvl>
  </w:abstractNum>
  <w:abstractNum w:abstractNumId="212">
    <w:nsid w:val="299F6730"/>
    <w:multiLevelType w:val="hybridMultilevel"/>
    <w:lvl w:ilvl="0">
      <w:lvlJc w:val="left"/>
      <w:lvlText w:val="3"/>
      <w:numFmt w:val="bullet"/>
      <w:start w:val="1"/>
    </w:lvl>
  </w:abstractNum>
  <w:abstractNum w:abstractNumId="213">
    <w:nsid w:val="2AC1076A"/>
    <w:multiLevelType w:val="hybridMultilevel"/>
    <w:lvl w:ilvl="0">
      <w:lvlJc w:val="left"/>
      <w:lvlText w:val="2"/>
      <w:numFmt w:val="bullet"/>
      <w:start w:val="1"/>
    </w:lvl>
  </w:abstractNum>
  <w:abstractNum w:abstractNumId="214">
    <w:nsid w:val="51A6E915"/>
    <w:multiLevelType w:val="hybridMultilevel"/>
    <w:lvl w:ilvl="0">
      <w:lvlJc w:val="left"/>
      <w:lvlText w:val="3"/>
      <w:numFmt w:val="bullet"/>
      <w:start w:val="1"/>
    </w:lvl>
  </w:abstractNum>
  <w:abstractNum w:abstractNumId="215">
    <w:nsid w:val="174BDE99"/>
    <w:multiLevelType w:val="hybridMultilevel"/>
    <w:lvl w:ilvl="0">
      <w:lvlJc w:val="left"/>
      <w:lvlText w:val="2"/>
      <w:numFmt w:val="bullet"/>
      <w:start w:val="1"/>
    </w:lvl>
  </w:abstractNum>
  <w:abstractNum w:abstractNumId="216">
    <w:nsid w:val="1F2BEA4E"/>
    <w:multiLevelType w:val="hybridMultilevel"/>
    <w:lvl w:ilvl="0">
      <w:lvlJc w:val="left"/>
      <w:lvlText w:val="2"/>
      <w:numFmt w:val="bullet"/>
      <w:start w:val="1"/>
    </w:lvl>
  </w:abstractNum>
  <w:abstractNum w:abstractNumId="217">
    <w:nsid w:val="3254A32"/>
    <w:multiLevelType w:val="hybridMultilevel"/>
    <w:lvl w:ilvl="0">
      <w:lvlJc w:val="left"/>
      <w:lvlText w:val="2"/>
      <w:numFmt w:val="bullet"/>
      <w:start w:val="1"/>
    </w:lvl>
  </w:abstractNum>
  <w:abstractNum w:abstractNumId="218">
    <w:nsid w:val="11ADB5F4"/>
    <w:multiLevelType w:val="hybridMultilevel"/>
    <w:lvl w:ilvl="0">
      <w:lvlJc w:val="left"/>
      <w:lvlText w:val="2"/>
      <w:numFmt w:val="bullet"/>
      <w:start w:val="1"/>
    </w:lvl>
  </w:abstractNum>
  <w:abstractNum w:abstractNumId="219">
    <w:nsid w:val="3575FED1"/>
    <w:multiLevelType w:val="hybridMultilevel"/>
    <w:lvl w:ilvl="0">
      <w:lvlJc w:val="left"/>
      <w:lvlText w:val="3"/>
      <w:numFmt w:val="bullet"/>
      <w:start w:val="1"/>
    </w:lvl>
  </w:abstractNum>
  <w:abstractNum w:abstractNumId="220">
    <w:nsid w:val="1B2B9E9D"/>
    <w:multiLevelType w:val="hybridMultilevel"/>
    <w:lvl w:ilvl="0">
      <w:lvlJc w:val="left"/>
      <w:lvlText w:val="3"/>
      <w:numFmt w:val="bullet"/>
      <w:start w:val="1"/>
    </w:lvl>
  </w:abstractNum>
  <w:abstractNum w:abstractNumId="221">
    <w:nsid w:val="3150E85C"/>
    <w:multiLevelType w:val="hybridMultilevel"/>
    <w:lvl w:ilvl="0">
      <w:lvlJc w:val="left"/>
      <w:lvlText w:val="2"/>
      <w:numFmt w:val="bullet"/>
      <w:start w:val="1"/>
    </w:lvl>
  </w:abstractNum>
  <w:abstractNum w:abstractNumId="222">
    <w:nsid w:val="638FDBD1"/>
    <w:multiLevelType w:val="hybridMultilevel"/>
    <w:lvl w:ilvl="0">
      <w:lvlJc w:val="left"/>
      <w:lvlText w:val="3"/>
      <w:numFmt w:val="bullet"/>
      <w:start w:val="1"/>
    </w:lvl>
  </w:abstractNum>
  <w:abstractNum w:abstractNumId="223">
    <w:nsid w:val="1098CF6E"/>
    <w:multiLevelType w:val="hybridMultilevel"/>
    <w:lvl w:ilvl="0">
      <w:lvlJc w:val="left"/>
      <w:lvlText w:val="2"/>
      <w:numFmt w:val="bullet"/>
      <w:start w:val="1"/>
    </w:lvl>
  </w:abstractNum>
  <w:abstractNum w:abstractNumId="224">
    <w:nsid w:val="1AF465D"/>
    <w:multiLevelType w:val="hybridMultilevel"/>
    <w:lvl w:ilvl="0">
      <w:lvlJc w:val="left"/>
      <w:lvlText w:val="3"/>
      <w:numFmt w:val="bullet"/>
      <w:start w:val="1"/>
    </w:lvl>
  </w:abstractNum>
  <w:abstractNum w:abstractNumId="225">
    <w:nsid w:val="128D98B7"/>
    <w:multiLevelType w:val="hybridMultilevel"/>
    <w:lvl w:ilvl="0">
      <w:lvlJc w:val="left"/>
      <w:lvlText w:val="4"/>
      <w:numFmt w:val="bullet"/>
      <w:start w:val="1"/>
    </w:lvl>
  </w:abstractNum>
  <w:abstractNum w:abstractNumId="226">
    <w:nsid w:val="5F613832"/>
    <w:multiLevelType w:val="hybridMultilevel"/>
    <w:lvl w:ilvl="0">
      <w:lvlJc w:val="left"/>
      <w:lvlText w:val="5"/>
      <w:numFmt w:val="bullet"/>
      <w:start w:val="1"/>
    </w:lvl>
  </w:abstractNum>
  <w:abstractNum w:abstractNumId="227">
    <w:nsid w:val="43E92260"/>
    <w:multiLevelType w:val="hybridMultilevel"/>
    <w:lvl w:ilvl="0">
      <w:lvlJc w:val="left"/>
      <w:lvlText w:val="6"/>
      <w:numFmt w:val="bullet"/>
      <w:start w:val="1"/>
    </w:lvl>
  </w:abstractNum>
  <w:abstractNum w:abstractNumId="228">
    <w:nsid w:val="430A1662"/>
    <w:multiLevelType w:val="hybridMultilevel"/>
    <w:lvl w:ilvl="0">
      <w:lvlJc w:val="left"/>
      <w:lvlText w:val="4"/>
      <w:numFmt w:val="bullet"/>
      <w:start w:val="1"/>
    </w:lvl>
  </w:abstractNum>
  <w:abstractNum w:abstractNumId="229">
    <w:nsid w:val="1F9D5C18"/>
    <w:multiLevelType w:val="hybridMultilevel"/>
    <w:lvl w:ilvl="0">
      <w:lvlJc w:val="left"/>
      <w:lvlText w:val="5"/>
      <w:numFmt w:val="bullet"/>
      <w:start w:val="1"/>
    </w:lvl>
  </w:abstractNum>
  <w:abstractNum w:abstractNumId="230">
    <w:nsid w:val="1CC11C37"/>
    <w:multiLevelType w:val="hybridMultilevel"/>
    <w:lvl w:ilvl="0">
      <w:lvlJc w:val="left"/>
      <w:lvlText w:val="6"/>
      <w:numFmt w:val="bullet"/>
      <w:start w:val="1"/>
    </w:lvl>
  </w:abstractNum>
  <w:abstractNum w:abstractNumId="231">
    <w:nsid w:val="4557D5D8"/>
    <w:multiLevelType w:val="hybridMultilevel"/>
    <w:lvl w:ilvl="0">
      <w:lvlJc w:val="left"/>
      <w:lvlText w:val="(%1)"/>
      <w:numFmt w:val="lowerLetter"/>
      <w:start w:val="1"/>
    </w:lvl>
  </w:abstractNum>
  <w:abstractNum w:abstractNumId="232">
    <w:nsid w:val="72D2B579"/>
    <w:multiLevelType w:val="hybridMultilevel"/>
    <w:lvl w:ilvl="0">
      <w:lvlJc w:val="left"/>
      <w:lvlText w:val="(%1)"/>
      <w:numFmt w:val="lowerLetter"/>
      <w:start w:val="1"/>
    </w:lvl>
  </w:abstractNum>
  <w:abstractNum w:abstractNumId="233">
    <w:nsid w:val="6C0BE536"/>
    <w:multiLevelType w:val="hybridMultilevel"/>
    <w:lvl w:ilvl="0">
      <w:lvlJc w:val="left"/>
      <w:lvlText w:val="2"/>
      <w:numFmt w:val="bullet"/>
      <w:start w:val="1"/>
    </w:lvl>
  </w:abstractNum>
  <w:abstractNum w:abstractNumId="234">
    <w:nsid w:val="1E22BCB2"/>
    <w:multiLevelType w:val="hybridMultilevel"/>
    <w:lvl w:ilvl="0">
      <w:lvlJc w:val="left"/>
      <w:lvlText w:val="3"/>
      <w:numFmt w:val="bullet"/>
      <w:start w:val="1"/>
    </w:lvl>
  </w:abstractNum>
  <w:abstractNum w:abstractNumId="235">
    <w:nsid w:val="3565F1C8"/>
    <w:multiLevelType w:val="hybridMultilevel"/>
    <w:lvl w:ilvl="0">
      <w:lvlJc w:val="left"/>
      <w:lvlText w:val="2"/>
      <w:numFmt w:val="bullet"/>
      <w:start w:val="1"/>
    </w:lvl>
  </w:abstractNum>
  <w:abstractNum w:abstractNumId="236">
    <w:nsid w:val="5EA6D896"/>
    <w:multiLevelType w:val="hybridMultilevel"/>
    <w:lvl w:ilvl="0">
      <w:lvlJc w:val="left"/>
      <w:lvlText w:val="3"/>
      <w:numFmt w:val="bullet"/>
      <w:start w:val="1"/>
    </w:lvl>
  </w:abstractNum>
  <w:abstractNum w:abstractNumId="237">
    <w:nsid w:val="3D096BBF"/>
    <w:multiLevelType w:val="hybridMultilevel"/>
    <w:lvl w:ilvl="0">
      <w:lvlJc w:val="left"/>
      <w:lvlText w:val="1"/>
      <w:numFmt w:val="bullet"/>
      <w:start w:val="1"/>
    </w:lvl>
  </w:abstractNum>
  <w:abstractNum w:abstractNumId="238">
    <w:nsid w:val="BD6D5B5"/>
    <w:multiLevelType w:val="hybridMultilevel"/>
    <w:lvl w:ilvl="0">
      <w:lvlJc w:val="left"/>
      <w:lvlText w:val="2"/>
      <w:numFmt w:val="bullet"/>
      <w:start w:val="1"/>
    </w:lvl>
  </w:abstractNum>
  <w:abstractNum w:abstractNumId="239">
    <w:nsid w:val="3B52115C"/>
    <w:multiLevelType w:val="hybridMultilevel"/>
    <w:lvl w:ilvl="0">
      <w:lvlJc w:val="left"/>
      <w:lvlText w:val="3"/>
      <w:numFmt w:val="bullet"/>
      <w:start w:val="1"/>
    </w:lvl>
  </w:abstractNum>
  <w:abstractNum w:abstractNumId="240">
    <w:nsid w:val="787AA59C"/>
    <w:multiLevelType w:val="hybridMultilevel"/>
    <w:lvl w:ilvl="0">
      <w:lvlJc w:val="left"/>
      <w:lvlText w:val="4"/>
      <w:numFmt w:val="bullet"/>
      <w:start w:val="1"/>
    </w:lvl>
  </w:abstractNum>
  <w:abstractNum w:abstractNumId="241">
    <w:nsid w:val="70BB9983"/>
    <w:multiLevelType w:val="hybridMultilevel"/>
    <w:lvl w:ilvl="0">
      <w:lvlJc w:val="left"/>
      <w:lvlText w:val="2"/>
      <w:numFmt w:val="bullet"/>
      <w:start w:val="1"/>
    </w:lvl>
  </w:abstractNum>
  <w:abstractNum w:abstractNumId="242">
    <w:nsid w:val="51EEBEEA"/>
    <w:multiLevelType w:val="hybridMultilevel"/>
    <w:lvl w:ilvl="0">
      <w:lvlJc w:val="left"/>
      <w:lvlText w:val="4"/>
      <w:numFmt w:val="bullet"/>
      <w:start w:val="1"/>
    </w:lvl>
  </w:abstractNum>
  <w:abstractNum w:abstractNumId="243">
    <w:nsid w:val="221A0CCD"/>
    <w:multiLevelType w:val="hybridMultilevel"/>
    <w:lvl w:ilvl="0">
      <w:lvlJc w:val="left"/>
      <w:lvlText w:val="%1."/>
      <w:numFmt w:val="upperLetter"/>
      <w:start w:val="9"/>
    </w:lvl>
  </w:abstractNum>
  <w:abstractNum w:abstractNumId="244">
    <w:nsid w:val="1B7CA0ED"/>
    <w:multiLevelType w:val="hybridMultilevel"/>
    <w:lvl w:ilvl="0">
      <w:lvlJc w:val="left"/>
      <w:lvlText w:val="%1."/>
      <w:numFmt w:val="decimal"/>
      <w:start w:val="1"/>
    </w:lvl>
  </w:abstractNum>
  <w:abstractNum w:abstractNumId="245">
    <w:nsid w:val="2395A7FF"/>
    <w:multiLevelType w:val="hybridMultilevel"/>
    <w:lvl w:ilvl="0">
      <w:lvlJc w:val="left"/>
      <w:lvlText w:val="%1"/>
      <w:numFmt w:val="decimal"/>
      <w:start w:val="1"/>
    </w:lvl>
    <w:lvl w:ilvl="1">
      <w:lvlJc w:val="left"/>
      <w:lvlText w:val="(%2)"/>
      <w:numFmt w:val="lowerRoman"/>
      <w:start w:val="1"/>
    </w:lvl>
  </w:abstractNum>
  <w:abstractNum w:abstractNumId="246">
    <w:nsid w:val="3965EB66"/>
    <w:multiLevelType w:val="hybridMultilevel"/>
    <w:lvl w:ilvl="0">
      <w:lvlJc w:val="left"/>
      <w:lvlText w:val="%1."/>
      <w:numFmt w:val="decimal"/>
      <w:start w:val="2"/>
    </w:lvl>
    <w:lvl w:ilvl="1">
      <w:lvlJc w:val="left"/>
      <w:lvlText w:val="%2"/>
      <w:numFmt w:val="lowerRoman"/>
      <w:start w:val="1"/>
    </w:lvl>
  </w:abstractNum>
  <w:abstractNum w:abstractNumId="247">
    <w:nsid w:val="3AA88B3C"/>
    <w:multiLevelType w:val="hybridMultilevel"/>
    <w:lvl w:ilvl="0">
      <w:lvlJc w:val="left"/>
      <w:lvlText w:val="%1."/>
      <w:numFmt w:val="upperLetter"/>
      <w:start w:val="35"/>
    </w:lvl>
  </w:abstractNum>
  <w:abstractNum w:abstractNumId="248">
    <w:nsid w:val="26BAF231"/>
    <w:multiLevelType w:val="hybridMultilevel"/>
    <w:lvl w:ilvl="0">
      <w:lvlJc w:val="left"/>
      <w:lvlText w:val="%1."/>
      <w:numFmt w:val="decimal"/>
      <w:start w:val="3"/>
    </w:lvl>
  </w:abstractNum>
  <w:abstractNum w:abstractNumId="249">
    <w:nsid w:val="4B13A15A"/>
    <w:multiLevelType w:val="hybridMultilevel"/>
    <w:lvl w:ilvl="0">
      <w:lvlJc w:val="left"/>
      <w:lvlText w:val="%1."/>
      <w:numFmt w:val="decimal"/>
      <w:start w:val="4"/>
    </w:lvl>
  </w:abstractNum>
  <w:abstractNum w:abstractNumId="250">
    <w:nsid w:val="701E8A0D"/>
    <w:multiLevelType w:val="hybridMultilevel"/>
    <w:lvl w:ilvl="0">
      <w:lvlJc w:val="left"/>
      <w:lvlText w:val="%1."/>
      <w:numFmt w:val="decimal"/>
      <w:start w:val="5"/>
    </w:lvl>
  </w:abstractNum>
  <w:abstractNum w:abstractNumId="251">
    <w:nsid w:val="41E690CF"/>
    <w:multiLevelType w:val="hybridMultilevel"/>
    <w:lvl w:ilvl="0">
      <w:lvlJc w:val="left"/>
      <w:lvlText w:val="(%1)"/>
      <w:numFmt w:val="lowerRoman"/>
      <w:start w:val="1"/>
    </w:lvl>
  </w:abstractNum>
  <w:abstractNum w:abstractNumId="252">
    <w:nsid w:val="7C6489B6"/>
    <w:multiLevelType w:val="hybridMultilevel"/>
    <w:lvl w:ilvl="0">
      <w:lvlJc w:val="left"/>
      <w:lvlText w:val="(%1)"/>
      <w:numFmt w:val="lowerRoman"/>
      <w:start w:val="8"/>
    </w:lvl>
  </w:abstractNum>
  <w:abstractNum w:abstractNumId="253">
    <w:nsid w:val="53AE65DE"/>
    <w:multiLevelType w:val="hybridMultilevel"/>
    <w:lvl w:ilvl="0">
      <w:lvlJc w:val="left"/>
      <w:lvlText w:val="(%1)"/>
      <w:numFmt w:val="lowerRoman"/>
      <w:start w:val="1"/>
    </w:lvl>
  </w:abstractNum>
  <w:abstractNum w:abstractNumId="254">
    <w:nsid w:val="527F603D"/>
    <w:multiLevelType w:val="hybridMultilevel"/>
    <w:lvl w:ilvl="0">
      <w:lvlJc w:val="left"/>
      <w:lvlText w:val="%1."/>
      <w:numFmt w:val="decimal"/>
      <w:start w:val="6"/>
    </w:lvl>
  </w:abstractNum>
  <w:abstractNum w:abstractNumId="255">
    <w:nsid w:val="7E13D013"/>
    <w:multiLevelType w:val="hybridMultilevel"/>
    <w:lvl w:ilvl="0">
      <w:lvlJc w:val="left"/>
      <w:lvlText w:val="%1."/>
      <w:numFmt w:val="decimal"/>
      <w:start w:val="7"/>
    </w:lvl>
  </w:abstractNum>
  <w:abstractNum w:abstractNumId="256">
    <w:nsid w:val="663BFE95"/>
    <w:multiLevelType w:val="hybridMultilevel"/>
    <w:lvl w:ilvl="0">
      <w:lvlJc w:val="left"/>
      <w:lvlText w:val="%1."/>
      <w:numFmt w:val="decimal"/>
      <w:start w:val="8"/>
    </w:lvl>
  </w:abstractNum>
  <w:abstractNum w:abstractNumId="257">
    <w:nsid w:val="31E0986F"/>
    <w:multiLevelType w:val="hybridMultilevel"/>
    <w:lvl w:ilvl="0">
      <w:lvlJc w:val="left"/>
      <w:lvlText w:val="%1."/>
      <w:numFmt w:val="decimal"/>
      <w:start w:val="9"/>
    </w:lvl>
  </w:abstractNum>
  <w:abstractNum w:abstractNumId="258">
    <w:nsid w:val="41FCF274"/>
    <w:multiLevelType w:val="hybridMultilevel"/>
    <w:lvl w:ilvl="0">
      <w:lvlJc w:val="left"/>
      <w:lvlText w:val="%1."/>
      <w:numFmt w:val="decimal"/>
      <w:start w:val="10"/>
    </w:lvl>
  </w:abstractNum>
  <w:abstractNum w:abstractNumId="259">
    <w:nsid w:val="294614F7"/>
    <w:multiLevelType w:val="hybridMultilevel"/>
    <w:lvl w:ilvl="0">
      <w:lvlJc w:val="left"/>
      <w:lvlText w:val="%1."/>
      <w:numFmt w:val="decimal"/>
      <w:start w:val="11"/>
    </w:lvl>
  </w:abstractNum>
  <w:abstractNum w:abstractNumId="260">
    <w:nsid w:val="517DF487"/>
    <w:multiLevelType w:val="hybridMultilevel"/>
    <w:lvl w:ilvl="0">
      <w:lvlJc w:val="left"/>
      <w:lvlText w:val="%1"/>
      <w:numFmt w:val="decimal"/>
      <w:start w:val="1"/>
    </w:lvl>
    <w:lvl w:ilvl="1">
      <w:lvlJc w:val="left"/>
      <w:lvlText w:val="%2."/>
      <w:numFmt w:val="upperLetter"/>
      <w:start w:val="61"/>
    </w:lvl>
  </w:abstractNum>
  <w:abstractNum w:abstractNumId="261">
    <w:nsid w:val="5EBE0EAB"/>
    <w:multiLevelType w:val="hybridMultilevel"/>
    <w:lvl w:ilvl="0">
      <w:lvlJc w:val="left"/>
      <w:lvlText w:val="%1."/>
      <w:numFmt w:val="decimal"/>
      <w:start w:val="12"/>
    </w:lvl>
    <w:lvl w:ilvl="1">
      <w:lvlJc w:val="left"/>
      <w:lvlText w:val="%2"/>
      <w:numFmt w:val="upperLetter"/>
      <w:start w:val="1"/>
    </w:lvl>
  </w:abstractNum>
  <w:abstractNum w:abstractNumId="262">
    <w:nsid w:val="6E9DEAD0"/>
    <w:multiLevelType w:val="hybridMultilevel"/>
    <w:lvl w:ilvl="0">
      <w:lvlJc w:val="left"/>
      <w:lvlText w:val="%1."/>
      <w:numFmt w:val="decimal"/>
      <w:start w:val="13"/>
    </w:lvl>
  </w:abstractNum>
  <w:abstractNum w:abstractNumId="263">
    <w:nsid w:val="4450AA00"/>
    <w:multiLevelType w:val="hybridMultilevel"/>
    <w:lvl w:ilvl="0">
      <w:lvlJc w:val="left"/>
      <w:lvlText w:val="%1."/>
      <w:numFmt w:val="decimal"/>
      <w:start w:val="14"/>
    </w:lvl>
  </w:abstractNum>
  <w:abstractNum w:abstractNumId="264">
    <w:nsid w:val="4AC9F3E2"/>
    <w:multiLevelType w:val="hybridMultilevel"/>
    <w:lvl w:ilvl="0">
      <w:lvlJc w:val="left"/>
      <w:lvlText w:val="(%1)"/>
      <w:numFmt w:val="lowerRoman"/>
      <w:start w:val="1"/>
    </w:lvl>
  </w:abstractNum>
  <w:abstractNum w:abstractNumId="265">
    <w:nsid w:val="CC0A782"/>
    <w:multiLevelType w:val="hybridMultilevel"/>
    <w:lvl w:ilvl="0">
      <w:lvlJc w:val="left"/>
      <w:lvlText w:val="(%1)"/>
      <w:numFmt w:val="lowerRoman"/>
      <w:start w:val="3"/>
    </w:lvl>
  </w:abstractNum>
  <w:abstractNum w:abstractNumId="266">
    <w:nsid w:val="79B69BC9"/>
    <w:multiLevelType w:val="hybridMultilevel"/>
    <w:lvl w:ilvl="0">
      <w:lvlJc w:val="left"/>
      <w:lvlText w:val="%1."/>
      <w:numFmt w:val="decimal"/>
      <w:start w:val="15"/>
    </w:lvl>
  </w:abstractNum>
  <w:abstractNum w:abstractNumId="267">
    <w:nsid w:val="2970CC78"/>
    <w:multiLevelType w:val="hybridMultilevel"/>
    <w:lvl w:ilvl="0">
      <w:lvlJc w:val="left"/>
      <w:lvlText w:val="(%1)"/>
      <w:numFmt w:val="lowerRoman"/>
      <w:start w:val="1"/>
    </w:lvl>
    <w:lvl w:ilvl="1">
      <w:lvlJc w:val="left"/>
      <w:lvlText w:val="-"/>
      <w:numFmt w:val="bullet"/>
      <w:start w:val="1"/>
    </w:lvl>
  </w:abstractNum>
  <w:abstractNum w:abstractNumId="268">
    <w:nsid w:val="49CA1341"/>
    <w:multiLevelType w:val="hybridMultilevel"/>
    <w:lvl w:ilvl="0">
      <w:lvlJc w:val="left"/>
      <w:lvlText w:val="(%1)"/>
      <w:numFmt w:val="lowerRoman"/>
      <w:start w:val="4"/>
    </w:lvl>
  </w:abstractNum>
  <w:abstractNum w:abstractNumId="269">
    <w:nsid w:val="58D717E"/>
    <w:multiLevelType w:val="hybridMultilevel"/>
    <w:lvl w:ilvl="0">
      <w:lvlJc w:val="left"/>
      <w:lvlText w:val="%1."/>
      <w:numFmt w:val="decimal"/>
      <w:start w:val="16"/>
    </w:lvl>
  </w:abstractNum>
  <w:abstractNum w:abstractNumId="270">
    <w:nsid w:val="64C2DDD5"/>
    <w:multiLevelType w:val="hybridMultilevel"/>
    <w:lvl w:ilvl="0">
      <w:lvlJc w:val="left"/>
      <w:lvlText w:val="%1."/>
      <w:numFmt w:val="decimal"/>
      <w:start w:val="17"/>
    </w:lvl>
  </w:abstractNum>
  <w:abstractNum w:abstractNumId="271">
    <w:nsid w:val="4244B8DE"/>
    <w:multiLevelType w:val="hybridMultilevel"/>
    <w:lvl w:ilvl="0">
      <w:lvlJc w:val="left"/>
      <w:lvlText w:val="%1."/>
      <w:numFmt w:val="upperLetter"/>
      <w:start w:val="22"/>
    </w:lvl>
  </w:abstractNum>
  <w:abstractNum w:abstractNumId="272">
    <w:nsid w:val="76490B01"/>
    <w:multiLevelType w:val="hybridMultilevel"/>
    <w:lvl w:ilvl="0">
      <w:lvlJc w:val="left"/>
      <w:lvlText w:val="%1."/>
      <w:numFmt w:val="decimal"/>
      <w:start w:val="18"/>
    </w:lvl>
  </w:abstractNum>
  <w:abstractNum w:abstractNumId="273">
    <w:nsid w:val="36B19CBF"/>
    <w:multiLevelType w:val="hybridMultilevel"/>
    <w:lvl w:ilvl="0">
      <w:lvlJc w:val="left"/>
      <w:lvlText w:val="%1."/>
      <w:numFmt w:val="decimal"/>
      <w:start w:val="19"/>
    </w:lvl>
  </w:abstractNum>
  <w:abstractNum w:abstractNumId="274">
    <w:nsid w:val="645EC5AB"/>
    <w:multiLevelType w:val="hybridMultilevel"/>
    <w:lvl w:ilvl="0">
      <w:lvlJc w:val="left"/>
      <w:lvlText w:val="%1."/>
      <w:numFmt w:val="decimal"/>
      <w:start w:val="20"/>
    </w:lvl>
  </w:abstractNum>
  <w:abstractNum w:abstractNumId="275">
    <w:nsid w:val="11C5ABEF"/>
    <w:multiLevelType w:val="hybridMultilevel"/>
    <w:lvl w:ilvl="0">
      <w:lvlJc w:val="left"/>
      <w:lvlText w:val="%1."/>
      <w:numFmt w:val="decimal"/>
      <w:start w:val="21"/>
    </w:lvl>
  </w:abstractNum>
  <w:abstractNum w:abstractNumId="276">
    <w:nsid w:val="5A4744BE"/>
    <w:multiLevelType w:val="hybridMultilevel"/>
    <w:lvl w:ilvl="0">
      <w:lvlJc w:val="left"/>
      <w:lvlText w:val="%1."/>
      <w:numFmt w:val="decimal"/>
      <w:start w:val="22"/>
    </w:lvl>
  </w:abstractNum>
  <w:abstractNum w:abstractNumId="277">
    <w:nsid w:val="1DC4B111"/>
    <w:multiLevelType w:val="hybridMultilevel"/>
    <w:lvl w:ilvl="0">
      <w:lvlJc w:val="left"/>
      <w:lvlText w:val="%1."/>
      <w:numFmt w:val="decimal"/>
      <w:start w:val="23"/>
    </w:lvl>
  </w:abstractNum>
  <w:abstractNum w:abstractNumId="278">
    <w:nsid w:val="4C6E372B"/>
    <w:multiLevelType w:val="hybridMultilevel"/>
    <w:lvl w:ilvl="0">
      <w:lvlJc w:val="left"/>
      <w:lvlText w:val="%1."/>
      <w:numFmt w:val="decimal"/>
      <w:start w:val="24"/>
    </w:lvl>
  </w:abstractNum>
  <w:abstractNum w:abstractNumId="279">
    <w:nsid w:val="10236EF"/>
    <w:multiLevelType w:val="hybridMultilevel"/>
    <w:lvl w:ilvl="0">
      <w:lvlJc w:val="left"/>
      <w:lvlText w:val="%1."/>
      <w:numFmt w:val="decimal"/>
      <w:start w:val="1"/>
    </w:lvl>
  </w:abstractNum>
  <w:abstractNum w:abstractNumId="280">
    <w:nsid w:val="68D8526B"/>
    <w:multiLevelType w:val="hybridMultilevel"/>
    <w:lvl w:ilvl="0">
      <w:lvlJc w:val="left"/>
      <w:lvlText w:val="%1."/>
      <w:numFmt w:val="decimal"/>
      <w:start w:val="2"/>
    </w:lvl>
  </w:abstractNum>
  <w:abstractNum w:abstractNumId="281">
    <w:nsid w:val="3C8CC138"/>
    <w:multiLevelType w:val="hybridMultilevel"/>
    <w:lvl w:ilvl="0">
      <w:lvlJc w:val="left"/>
      <w:lvlText w:val="%1."/>
      <w:numFmt w:val="decimal"/>
      <w:start w:val="3"/>
    </w:lvl>
  </w:abstractNum>
  <w:abstractNum w:abstractNumId="282">
    <w:nsid w:val="42E8C7BE"/>
    <w:multiLevelType w:val="hybridMultilevel"/>
    <w:lvl w:ilvl="0">
      <w:lvlJc w:val="left"/>
      <w:lvlText w:val="%1."/>
      <w:numFmt w:val="decimal"/>
      <w:start w:val="4"/>
    </w:lvl>
  </w:abstractNum>
  <w:abstractNum w:abstractNumId="283">
    <w:nsid w:val="653CDC22"/>
    <w:multiLevelType w:val="hybridMultilevel"/>
    <w:lvl w:ilvl="0">
      <w:lvlJc w:val="left"/>
      <w:lvlText w:val="%1."/>
      <w:numFmt w:val="decimal"/>
      <w:start w:val="5"/>
    </w:lvl>
  </w:abstractNum>
  <w:abstractNum w:abstractNumId="284">
    <w:nsid w:val="103B2716"/>
    <w:multiLevelType w:val="hybridMultilevel"/>
    <w:lvl w:ilvl="0">
      <w:lvlJc w:val="left"/>
      <w:lvlText w:val="%1."/>
      <w:numFmt w:val="decimal"/>
      <w:start w:val="6"/>
    </w:lvl>
  </w:abstractNum>
  <w:abstractNum w:abstractNumId="285">
    <w:nsid w:val="156827FB"/>
    <w:multiLevelType w:val="hybridMultilevel"/>
    <w:lvl w:ilvl="0">
      <w:lvlJc w:val="left"/>
      <w:lvlText w:val="%1."/>
      <w:numFmt w:val="decimal"/>
      <w:start w:val="7"/>
    </w:lvl>
  </w:abstractNum>
  <w:abstractNum w:abstractNumId="286">
    <w:nsid w:val="6350AC35"/>
    <w:multiLevelType w:val="hybridMultilevel"/>
    <w:lvl w:ilvl="0">
      <w:lvlJc w:val="left"/>
      <w:lvlText w:val="%1."/>
      <w:numFmt w:val="decimal"/>
      <w:start w:val="8"/>
    </w:lvl>
  </w:abstractNum>
  <w:abstractNum w:abstractNumId="287">
    <w:nsid w:val="767725AB"/>
    <w:multiLevelType w:val="hybridMultilevel"/>
    <w:lvl w:ilvl="0">
      <w:lvlJc w:val="left"/>
      <w:lvlText w:val="%1."/>
      <w:numFmt w:val="decimal"/>
      <w:start w:val="9"/>
    </w:lvl>
  </w:abstractNum>
  <w:abstractNum w:abstractNumId="288">
    <w:nsid w:val="4748C06A"/>
    <w:multiLevelType w:val="hybridMultilevel"/>
    <w:lvl w:ilvl="0">
      <w:lvlJc w:val="left"/>
      <w:lvlText w:val="%1."/>
      <w:numFmt w:val="upperLetter"/>
      <w:start w:val="1"/>
    </w:lvl>
  </w:abstractNum>
  <w:abstractNum w:abstractNumId="289">
    <w:nsid w:val="254D9EA9"/>
    <w:multiLevelType w:val="hybridMultilevel"/>
    <w:lvl w:ilvl="0">
      <w:lvlJc w:val="left"/>
      <w:lvlText w:val="%1."/>
      <w:numFmt w:val="decimal"/>
      <w:start w:val="1"/>
    </w:lvl>
  </w:abstractNum>
  <w:abstractNum w:abstractNumId="290">
    <w:nsid w:val="1FBD3AA3"/>
    <w:multiLevelType w:val="hybridMultilevel"/>
    <w:lvl w:ilvl="0">
      <w:lvlJc w:val="left"/>
      <w:lvlText w:val="%1."/>
      <w:numFmt w:val="decimal"/>
      <w:start w:val="2"/>
    </w:lvl>
  </w:abstractNum>
  <w:abstractNum w:abstractNumId="291">
    <w:nsid w:val="18C6B4F2"/>
    <w:multiLevelType w:val="hybridMultilevel"/>
    <w:lvl w:ilvl="0">
      <w:lvlJc w:val="left"/>
      <w:lvlText w:val="(%1)"/>
      <w:numFmt w:val="lowerLetter"/>
      <w:start w:val="1"/>
    </w:lvl>
    <w:lvl w:ilvl="1">
      <w:lvlJc w:val="left"/>
      <w:lvlText w:val="(%2)"/>
      <w:numFmt w:val="lowerRoman"/>
      <w:start w:val="1"/>
    </w:lvl>
  </w:abstractNum>
  <w:abstractNum w:abstractNumId="292">
    <w:nsid w:val="40BAD55"/>
    <w:multiLevelType w:val="hybridMultilevel"/>
    <w:lvl w:ilvl="0">
      <w:lvlJc w:val="left"/>
      <w:lvlText w:val="(%1)"/>
      <w:numFmt w:val="decimal"/>
      <w:start w:val="1"/>
    </w:lvl>
  </w:abstractNum>
  <w:abstractNum w:abstractNumId="293">
    <w:nsid w:val="E5B2573"/>
    <w:multiLevelType w:val="hybridMultilevel"/>
    <w:lvl w:ilvl="0">
      <w:lvlJc w:val="left"/>
      <w:lvlText w:val="(%1)"/>
      <w:numFmt w:val="lowerLetter"/>
      <w:start w:val="2"/>
    </w:lvl>
    <w:lvl w:ilvl="1">
      <w:lvlJc w:val="left"/>
      <w:lvlText w:val="(%2)"/>
      <w:numFmt w:val="lowerRoman"/>
      <w:start w:val="1"/>
    </w:lvl>
  </w:abstractNum>
  <w:abstractNum w:abstractNumId="294">
    <w:nsid w:val="5D175EF2"/>
    <w:multiLevelType w:val="hybridMultilevel"/>
    <w:lvl w:ilvl="0">
      <w:lvlJc w:val="left"/>
      <w:lvlText w:val="%1."/>
      <w:numFmt w:val="decimal"/>
      <w:start w:val="3"/>
    </w:lvl>
  </w:abstractNum>
  <w:abstractNum w:abstractNumId="295">
    <w:nsid w:val="4ED5A137"/>
    <w:multiLevelType w:val="hybridMultilevel"/>
    <w:lvl w:ilvl="0">
      <w:lvlJc w:val="left"/>
      <w:lvlText w:val="(%1)"/>
      <w:numFmt w:val="lowerLetter"/>
      <w:start w:val="1"/>
    </w:lvl>
  </w:abstractNum>
  <w:abstractNum w:abstractNumId="296">
    <w:nsid w:val="1B1BCCF5"/>
    <w:multiLevelType w:val="hybridMultilevel"/>
    <w:lvl w:ilvl="0">
      <w:lvlJc w:val="left"/>
      <w:lvlText w:val="%1."/>
      <w:numFmt w:val="decimal"/>
      <w:start w:val="4"/>
    </w:lvl>
  </w:abstractNum>
  <w:abstractNum w:abstractNumId="297">
    <w:nsid w:val="56CDFABB"/>
    <w:multiLevelType w:val="hybridMultilevel"/>
    <w:lvl w:ilvl="0">
      <w:lvlJc w:val="left"/>
      <w:lvlText w:val="(%1)"/>
      <w:numFmt w:val="lowerLetter"/>
      <w:start w:val="1"/>
    </w:lvl>
  </w:abstractNum>
  <w:abstractNum w:abstractNumId="298">
    <w:nsid w:val="78466DAF"/>
    <w:multiLevelType w:val="hybridMultilevel"/>
    <w:lvl w:ilvl="0">
      <w:lvlJc w:val="left"/>
      <w:lvlText w:val="(%1)"/>
      <w:numFmt w:val="lowerLetter"/>
      <w:start w:val="1"/>
    </w:lvl>
  </w:abstractNum>
  <w:abstractNum w:abstractNumId="299">
    <w:nsid w:val="64E5E036"/>
    <w:multiLevelType w:val="hybridMultilevel"/>
    <w:lvl w:ilvl="0">
      <w:lvlJc w:val="left"/>
      <w:lvlText w:val="(%1)"/>
      <w:numFmt w:val="lowerLetter"/>
      <w:start w:val="2"/>
    </w:lvl>
  </w:abstractNum>
  <w:abstractNum w:abstractNumId="300">
    <w:nsid w:val="5C5B6C3A"/>
    <w:multiLevelType w:val="hybridMultilevel"/>
    <w:lvl w:ilvl="0">
      <w:lvlJc w:val="left"/>
      <w:lvlText w:val="%1."/>
      <w:numFmt w:val="decimal"/>
      <w:start w:val="5"/>
    </w:lvl>
  </w:abstractNum>
  <w:abstractNum w:abstractNumId="301">
    <w:nsid w:val="5D094B84"/>
    <w:multiLevelType w:val="hybridMultilevel"/>
    <w:lvl w:ilvl="0">
      <w:lvlJc w:val="left"/>
      <w:lvlText w:val="(%1)"/>
      <w:numFmt w:val="lowerLetter"/>
      <w:start w:val="1"/>
    </w:lvl>
  </w:abstractNum>
  <w:abstractNum w:abstractNumId="302">
    <w:nsid w:val="272A9914"/>
    <w:multiLevelType w:val="hybridMultilevel"/>
    <w:lvl w:ilvl="0">
      <w:lvlJc w:val="left"/>
      <w:lvlText w:val="(%1)"/>
      <w:numFmt w:val="lowerLetter"/>
      <w:start w:val="6"/>
    </w:lvl>
  </w:abstractNum>
  <w:abstractNum w:abstractNumId="303">
    <w:nsid w:val="52A4773B"/>
    <w:multiLevelType w:val="hybridMultilevel"/>
    <w:lvl w:ilvl="0">
      <w:lvlJc w:val="left"/>
      <w:lvlText w:val="%1."/>
      <w:numFmt w:val="decimal"/>
      <w:start w:val="6"/>
    </w:lvl>
  </w:abstractNum>
  <w:abstractNum w:abstractNumId="304">
    <w:nsid w:val="13BAE843"/>
    <w:multiLevelType w:val="hybridMultilevel"/>
    <w:lvl w:ilvl="0">
      <w:lvlJc w:val="left"/>
      <w:lvlText w:val="%1."/>
      <w:numFmt w:val="decimal"/>
      <w:start w:val="7"/>
    </w:lvl>
  </w:abstractNum>
  <w:abstractNum w:abstractNumId="305">
    <w:nsid w:val="B895EBF"/>
    <w:multiLevelType w:val="hybridMultilevel"/>
    <w:lvl w:ilvl="0">
      <w:lvlJc w:val="left"/>
      <w:lvlText w:val="(%1)"/>
      <w:numFmt w:val="lowerLetter"/>
      <w:start w:val="1"/>
    </w:lvl>
  </w:abstractNum>
  <w:abstractNum w:abstractNumId="306">
    <w:nsid w:val="646A232A"/>
    <w:multiLevelType w:val="hybridMultilevel"/>
    <w:lvl w:ilvl="0">
      <w:lvlJc w:val="left"/>
      <w:lvlText w:val="(%1)"/>
      <w:numFmt w:val="lowerLetter"/>
      <w:start w:val="4"/>
    </w:lvl>
  </w:abstractNum>
  <w:abstractNum w:abstractNumId="307">
    <w:nsid w:val="6E022D01"/>
    <w:multiLevelType w:val="hybridMultilevel"/>
    <w:lvl w:ilvl="0">
      <w:lvlJc w:val="left"/>
      <w:lvlText w:val="%1."/>
      <w:numFmt w:val="decimal"/>
      <w:start w:val="8"/>
    </w:lvl>
  </w:abstractNum>
  <w:abstractNum w:abstractNumId="308">
    <w:nsid w:val="294E0FD0"/>
    <w:multiLevelType w:val="hybridMultilevel"/>
    <w:lvl w:ilvl="0">
      <w:lvlJc w:val="left"/>
      <w:lvlText w:val="(%1)"/>
      <w:numFmt w:val="lowerLetter"/>
      <w:start w:val="1"/>
    </w:lvl>
  </w:abstractNum>
  <w:abstractNum w:abstractNumId="309">
    <w:nsid w:val="30D85A55"/>
    <w:multiLevelType w:val="hybridMultilevel"/>
    <w:lvl w:ilvl="0">
      <w:lvlJc w:val="left"/>
      <w:lvlText w:val="%1."/>
      <w:numFmt w:val="decimal"/>
      <w:start w:val="9"/>
    </w:lvl>
  </w:abstractNum>
  <w:abstractNum w:abstractNumId="310">
    <w:nsid w:val="6F0463F1"/>
    <w:multiLevelType w:val="hybridMultilevel"/>
    <w:lvl w:ilvl="0">
      <w:lvlJc w:val="left"/>
      <w:lvlText w:val="%1."/>
      <w:numFmt w:val="decimal"/>
      <w:start w:val="10"/>
    </w:lvl>
  </w:abstractNum>
  <w:abstractNum w:abstractNumId="311">
    <w:nsid w:val="1226623C"/>
    <w:multiLevelType w:val="hybridMultilevel"/>
    <w:lvl w:ilvl="0">
      <w:lvlJc w:val="left"/>
      <w:lvlText w:val="%1."/>
      <w:numFmt w:val="decimal"/>
      <w:start w:val="11"/>
    </w:lvl>
  </w:abstractNum>
  <w:abstractNum w:abstractNumId="312">
    <w:nsid w:val="6D651B8D"/>
    <w:multiLevelType w:val="hybridMultilevel"/>
    <w:lvl w:ilvl="0">
      <w:lvlJc w:val="left"/>
      <w:lvlText w:val="[***]"/>
      <w:numFmt w:val="bullet"/>
      <w:start w:val="1"/>
    </w:lvl>
  </w:abstractNum>
  <w:abstractNum w:abstractNumId="313">
    <w:nsid w:val="31ED2BAF"/>
    <w:multiLevelType w:val="hybridMultilevel"/>
    <w:lvl w:ilvl="0">
      <w:lvlJc w:val="left"/>
      <w:lvlText w:val="(%1)"/>
      <w:numFmt w:val="lowerLetter"/>
      <w:start w:val="1"/>
    </w:lvl>
    <w:lvl w:ilvl="1">
      <w:lvlJc w:val="left"/>
      <w:lvlText w:val="(%2)"/>
      <w:numFmt w:val="decimal"/>
      <w:start w:val="1"/>
    </w:lvl>
  </w:abstractNum>
  <w:abstractNum w:abstractNumId="314">
    <w:nsid w:val="77633E5E"/>
    <w:multiLevelType w:val="hybridMultilevel"/>
    <w:lvl w:ilvl="0">
      <w:lvlJc w:val="left"/>
      <w:lvlText w:val="(%1)"/>
      <w:numFmt w:val="lowerLetter"/>
      <w:start w:val="1"/>
    </w:lvl>
    <w:lvl w:ilvl="1">
      <w:lvlJc w:val="left"/>
      <w:lvlText w:val="(%2)"/>
      <w:numFmt w:val="lowerRoman"/>
      <w:start w:val="1"/>
    </w:lvl>
  </w:abstractNum>
  <w:abstractNum w:abstractNumId="315">
    <w:nsid w:val="7DA042A3"/>
    <w:multiLevelType w:val="hybridMultilevel"/>
    <w:lvl w:ilvl="0">
      <w:lvlJc w:val="left"/>
      <w:lvlText w:val="-"/>
      <w:numFmt w:val="bullet"/>
      <w:start w:val="1"/>
    </w:lvl>
  </w:abstractNum>
  <w:abstractNum w:abstractNumId="316">
    <w:nsid w:val="475553AB"/>
    <w:multiLevelType w:val="hybridMultilevel"/>
    <w:lvl w:ilvl="0">
      <w:lvlJc w:val="left"/>
      <w:lvlText w:val="•"/>
      <w:numFmt w:val="bullet"/>
      <w:start w:val="1"/>
    </w:lvl>
    <w:lvl w:ilvl="1">
      <w:lvlJc w:val="left"/>
      <w:lvlText w:val="(%2)"/>
      <w:numFmt w:val="lowerLetter"/>
      <w:start w:val="4"/>
    </w:lvl>
  </w:abstractNum>
  <w:abstractNum w:abstractNumId="317">
    <w:nsid w:val="5AB3EA9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318">
    <w:nsid w:val="7417684F"/>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319">
    <w:nsid w:val="E9E1415"/>
    <w:multiLevelType w:val="hybridMultilevel"/>
    <w:lvl w:ilvl="0">
      <w:lvlJc w:val="left"/>
      <w:lvlText w:val="(%1)"/>
      <w:numFmt w:val="lowerLetter"/>
      <w:start w:val="1"/>
    </w:lvl>
    <w:lvl w:ilvl="1">
      <w:lvlJc w:val="left"/>
      <w:lvlText w:val="(%2)"/>
      <w:numFmt w:val="decimal"/>
      <w:start w:val="1"/>
    </w:lvl>
  </w:abstractNum>
  <w:abstractNum w:abstractNumId="320">
    <w:nsid w:val="1893D"/>
    <w:multiLevelType w:val="hybridMultilevel"/>
    <w:lvl w:ilvl="0">
      <w:lvlJc w:val="left"/>
      <w:lvlText w:val="(%1)"/>
      <w:numFmt w:val="lowerLetter"/>
      <w:start w:val="1"/>
    </w:lvl>
    <w:lvl w:ilvl="1">
      <w:lvlJc w:val="left"/>
      <w:lvlText w:val="(%2)"/>
      <w:numFmt w:val="decimal"/>
      <w:start w:val="1"/>
    </w:lvl>
  </w:abstractNum>
  <w:abstractNum w:abstractNumId="321">
    <w:nsid w:val="13D4A2F2"/>
    <w:multiLevelType w:val="hybridMultilevel"/>
    <w:lvl w:ilvl="0">
      <w:lvlJc w:val="left"/>
      <w:lvlText w:val="%1"/>
      <w:numFmt w:val="lowerLetter"/>
      <w:start w:val="1"/>
    </w:lvl>
    <w:lvl w:ilvl="1">
      <w:lvlJc w:val="left"/>
      <w:lvlText w:val="(%2)"/>
      <w:numFmt w:val="decimal"/>
      <w:start w:val="2"/>
    </w:lvl>
  </w:abstractNum>
  <w:abstractNum w:abstractNumId="322">
    <w:nsid w:val="2764C907"/>
    <w:multiLevelType w:val="hybridMultilevel"/>
    <w:lvl w:ilvl="0">
      <w:lvlJc w:val="left"/>
      <w:lvlText w:val="(%1)"/>
      <w:numFmt w:val="lowerLetter"/>
      <w:start w:val="2"/>
    </w:lvl>
    <w:lvl w:ilvl="1">
      <w:lvlJc w:val="left"/>
      <w:lvlText w:val="(%2)"/>
      <w:numFmt w:val="decimal"/>
      <w:start w:val="1"/>
    </w:lvl>
  </w:abstractNum>
  <w:abstractNum w:abstractNumId="323">
    <w:nsid w:val="40D3692"/>
    <w:multiLevelType w:val="hybridMultilevel"/>
    <w:lvl w:ilvl="0">
      <w:lvlJc w:val="left"/>
      <w:lvlText w:val="[***]"/>
      <w:numFmt w:val="bullet"/>
      <w:start w:val="1"/>
    </w:lvl>
    <w:lvl w:ilvl="1">
      <w:lvlJc w:val="left"/>
      <w:lvlText w:val="(%2)"/>
      <w:numFmt w:val="lowerLetter"/>
      <w:start w:val="1"/>
    </w:lvl>
  </w:abstractNum>
  <w:abstractNum w:abstractNumId="324">
    <w:nsid w:val="222FC865"/>
    <w:multiLevelType w:val="hybridMultilevel"/>
    <w:lvl w:ilvl="0">
      <w:lvlJc w:val="left"/>
      <w:lvlText w:val="(%1)"/>
      <w:numFmt w:val="lowerLetter"/>
      <w:start w:val="1"/>
    </w:lvl>
  </w:abstractNum>
  <w:abstractNum w:abstractNumId="325">
    <w:nsid w:val="47C27FA"/>
    <w:multiLevelType w:val="hybridMultilevel"/>
    <w:lvl w:ilvl="0">
      <w:lvlJc w:val="left"/>
      <w:lvlText w:val="(%1)"/>
      <w:numFmt w:val="lowerLetter"/>
      <w:start w:val="2"/>
    </w:lvl>
    <w:lvl w:ilvl="1">
      <w:lvlJc w:val="left"/>
      <w:lvlText w:val="(%2)"/>
      <w:numFmt w:val="decimal"/>
      <w:start w:val="1"/>
    </w:lvl>
  </w:abstractNum>
  <w:abstractNum w:abstractNumId="326">
    <w:nsid w:val="52E2D7C9"/>
    <w:multiLevelType w:val="hybridMultilevel"/>
    <w:lvl w:ilvl="0">
      <w:lvlJc w:val="left"/>
      <w:lvlText w:val="(%1)"/>
      <w:numFmt w:val="lowerLetter"/>
      <w:start w:val="1"/>
    </w:lvl>
  </w:abstractNum>
  <w:abstractNum w:abstractNumId="327">
    <w:nsid w:val="3D4B955A"/>
    <w:multiLevelType w:val="hybridMultilevel"/>
    <w:lvl w:ilvl="0">
      <w:lvlJc w:val="left"/>
      <w:lvlText w:val="(%1)"/>
      <w:numFmt w:val="lowerLetter"/>
      <w:start w:val="4"/>
    </w:lvl>
  </w:abstractNum>
  <w:abstractNum w:abstractNumId="328">
    <w:nsid w:val="5B4A22B5"/>
    <w:multiLevelType w:val="hybridMultilevel"/>
    <w:lvl w:ilvl="0">
      <w:lvlJc w:val="left"/>
      <w:lvlText w:val="(%1)"/>
      <w:numFmt w:val="lowerLetter"/>
      <w:start w:val="1"/>
    </w:lvl>
  </w:abstractNum>
  <w:abstractNum w:abstractNumId="329">
    <w:nsid w:val="4B294578"/>
    <w:multiLevelType w:val="hybridMultilevel"/>
    <w:lvl w:ilvl="0">
      <w:lvlJc w:val="left"/>
      <w:lvlText w:val="(%1)"/>
      <w:numFmt w:val="lowerLetter"/>
      <w:start w:val="1"/>
    </w:lvl>
  </w:abstractNum>
  <w:abstractNum w:abstractNumId="330">
    <w:nsid w:val="22317590"/>
    <w:multiLevelType w:val="hybridMultilevel"/>
    <w:lvl w:ilvl="0">
      <w:lvlJc w:val="left"/>
      <w:lvlText w:val="(%1)"/>
      <w:numFmt w:val="lowerLetter"/>
      <w:start w:val="1"/>
    </w:lvl>
  </w:abstractNum>
  <w:abstractNum w:abstractNumId="331">
    <w:nsid w:val="37A58EEF"/>
    <w:multiLevelType w:val="hybridMultilevel"/>
    <w:lvl w:ilvl="0">
      <w:lvlJc w:val="left"/>
      <w:lvlText w:val="(%1)"/>
      <w:numFmt w:val="lowerLetter"/>
      <w:start w:val="1"/>
    </w:lvl>
    <w:lvl w:ilvl="1">
      <w:lvlJc w:val="left"/>
      <w:lvlText w:val="(%2)"/>
      <w:numFmt w:val="decimal"/>
      <w:start w:val="1"/>
    </w:lvl>
  </w:abstractNum>
  <w:abstractNum w:abstractNumId="332">
    <w:nsid w:val="283290FD"/>
    <w:multiLevelType w:val="hybridMultilevel"/>
    <w:lvl w:ilvl="0">
      <w:lvlJc w:val="left"/>
      <w:lvlText w:val="(%1)"/>
      <w:numFmt w:val="lowerLetter"/>
      <w:start w:val="1"/>
    </w:lvl>
  </w:abstractNum>
  <w:abstractNum w:abstractNumId="333">
    <w:nsid w:val="495C0EA5"/>
    <w:multiLevelType w:val="hybridMultilevel"/>
    <w:lvl w:ilvl="0">
      <w:lvlJc w:val="left"/>
      <w:lvlText w:val="(%1)"/>
      <w:numFmt w:val="lowerLetter"/>
      <w:start w:val="1"/>
    </w:lvl>
  </w:abstractNum>
  <w:abstractNum w:abstractNumId="334">
    <w:nsid w:val="A4A062B"/>
    <w:multiLevelType w:val="hybridMultilevel"/>
    <w:lvl w:ilvl="0">
      <w:lvlJc w:val="left"/>
      <w:lvlText w:val="[***]"/>
      <w:numFmt w:val="bullet"/>
      <w:start w:val="1"/>
    </w:lvl>
  </w:abstractNum>
  <w:abstractNum w:abstractNumId="335">
    <w:nsid w:val="3BED7940"/>
    <w:multiLevelType w:val="hybridMultilevel"/>
    <w:lvl w:ilvl="0">
      <w:lvlJc w:val="left"/>
      <w:lvlText w:val="%1."/>
      <w:numFmt w:val="lowerLetter"/>
      <w:start w:val="1"/>
    </w:lvl>
  </w:abstractNum>
  <w:abstractNum w:abstractNumId="336">
    <w:nsid w:val="54E56D64"/>
    <w:multiLevelType w:val="hybridMultilevel"/>
    <w:lvl w:ilvl="0">
      <w:lvlJc w:val="left"/>
      <w:lvlText w:val="%1."/>
      <w:numFmt w:val="decimal"/>
      <w:start w:val="1"/>
    </w:lvl>
    <w:lvl w:ilvl="1">
      <w:lvlJc w:val="left"/>
      <w:lvlText w:val="*"/>
      <w:numFmt w:val="bullet"/>
      <w:start w:val="1"/>
    </w:lvl>
  </w:abstractNum>
  <w:abstractNum w:abstractNumId="337">
    <w:nsid w:val="6EB42955"/>
    <w:multiLevelType w:val="hybridMultilevel"/>
    <w:lvl w:ilvl="0">
      <w:lvlJc w:val="left"/>
      <w:lvlText w:val="[***]"/>
      <w:numFmt w:val="bullet"/>
      <w:start w:val="1"/>
    </w:lvl>
  </w:abstractNum>
  <w:abstractNum w:abstractNumId="338">
    <w:nsid w:val="29EFA642"/>
    <w:multiLevelType w:val="hybridMultilevel"/>
    <w:lvl w:ilvl="0">
      <w:lvlJc w:val="left"/>
      <w:lvlText w:val="%1."/>
      <w:numFmt w:val="lowerLetter"/>
      <w:start w:val="1"/>
    </w:lvl>
  </w:abstractNum>
  <w:abstractNum w:abstractNumId="339">
    <w:nsid w:val="7E337D35"/>
    <w:multiLevelType w:val="hybridMultilevel"/>
    <w:lvl w:ilvl="0">
      <w:lvlJc w:val="left"/>
      <w:lvlText w:val="%1."/>
      <w:numFmt w:val="decimal"/>
      <w:start w:val="1"/>
    </w:lvl>
  </w:abstractNum>
  <w:abstractNum w:abstractNumId="340">
    <w:nsid w:val="1F8C83AB"/>
    <w:multiLevelType w:val="hybridMultilevel"/>
    <w:lvl w:ilvl="0">
      <w:lvlJc w:val="left"/>
      <w:lvlText w:val="%1."/>
      <w:numFmt w:val="decimal"/>
      <w:start w:val="2"/>
    </w:lvl>
    <w:lvl w:ilvl="1">
      <w:lvlJc w:val="left"/>
      <w:lvlText w:val="(%2)"/>
      <w:numFmt w:val="lowerLetter"/>
      <w:start w:val="2"/>
    </w:lvl>
  </w:abstractNum>
  <w:abstractNum w:abstractNumId="341">
    <w:nsid w:val="18F40A33"/>
    <w:multiLevelType w:val="hybridMultilevel"/>
    <w:lvl w:ilvl="0">
      <w:lvlJc w:val="left"/>
      <w:lvlText w:val="%1."/>
      <w:numFmt w:val="decimal"/>
      <w:start w:val="10"/>
    </w:lvl>
  </w:abstractNum>
  <w:abstractNum w:abstractNumId="342">
    <w:nsid w:val="1059DF71"/>
    <w:multiLevelType w:val="hybridMultilevel"/>
    <w:lvl w:ilvl="0">
      <w:lvlJc w:val="left"/>
      <w:lvlText w:val="%1."/>
      <w:numFmt w:val="decimal"/>
      <w:start w:val="11"/>
    </w:lvl>
    <w:lvl w:ilvl="1">
      <w:lvlJc w:val="left"/>
      <w:lvlText w:val="(%2)"/>
      <w:numFmt w:val="lowerLetter"/>
      <w:start w:val="1"/>
    </w:lvl>
  </w:abstractNum>
  <w:abstractNum w:abstractNumId="343">
    <w:nsid w:val="CF19F38"/>
    <w:multiLevelType w:val="hybridMultilevel"/>
    <w:lvl w:ilvl="0">
      <w:lvlJc w:val="left"/>
      <w:lvlText w:val="%1."/>
      <w:numFmt w:val="decimal"/>
      <w:start w:val="14"/>
    </w:lvl>
    <w:lvl w:ilvl="1">
      <w:lvlJc w:val="left"/>
      <w:lvlText w:val="*"/>
      <w:numFmt w:val="bullet"/>
      <w:start w:val="1"/>
    </w:lvl>
  </w:abstractNum>
  <w:abstractNum w:abstractNumId="344">
    <w:nsid w:val="4AE135E2"/>
    <w:multiLevelType w:val="hybridMultilevel"/>
    <w:lvl w:ilvl="0">
      <w:lvlJc w:val="left"/>
      <w:lvlText w:val="[***]"/>
      <w:numFmt w:val="bullet"/>
      <w:start w:val="1"/>
    </w:lvl>
  </w:abstractNum>
  <w:abstractNum w:abstractNumId="345">
    <w:nsid w:val="7BD1DCF"/>
    <w:multiLevelType w:val="hybridMultilevel"/>
    <w:lvl w:ilvl="0">
      <w:lvlJc w:val="left"/>
      <w:lvlText w:val="%1."/>
      <w:numFmt w:val="decimal"/>
      <w:start w:val="1"/>
    </w:lvl>
    <w:lvl w:ilvl="1">
      <w:lvlJc w:val="left"/>
      <w:lvlText w:val="(%2)"/>
      <w:numFmt w:val="lowerLetter"/>
      <w:start w:val="1"/>
    </w:lvl>
  </w:abstractNum>
  <w:abstractNum w:abstractNumId="346">
    <w:nsid w:val="A91E1DC"/>
    <w:multiLevelType w:val="hybridMultilevel"/>
    <w:lvl w:ilvl="0">
      <w:lvlJc w:val="left"/>
      <w:lvlText w:val="%1."/>
      <w:numFmt w:val="decimal"/>
      <w:start w:val="4"/>
    </w:lvl>
    <w:lvl w:ilvl="1">
      <w:lvlJc w:val="left"/>
      <w:lvlText w:val="(%2)"/>
      <w:numFmt w:val="lowerLetter"/>
      <w:start w:val="2"/>
    </w:lvl>
  </w:abstractNum>
  <w:abstractNum w:abstractNumId="347">
    <w:nsid w:val="1236898D"/>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348">
    <w:nsid w:val="62710862"/>
    <w:multiLevelType w:val="hybridMultilevel"/>
    <w:lvl w:ilvl="0">
      <w:lvlJc w:val="left"/>
      <w:lvlText w:val="[***]"/>
      <w:numFmt w:val="bullet"/>
      <w:start w:val="1"/>
    </w:lvl>
  </w:abstractNum>
  <w:abstractNum w:abstractNumId="349">
    <w:nsid w:val="7EA94A2B"/>
    <w:multiLevelType w:val="hybridMultilevel"/>
    <w:lvl w:ilvl="0">
      <w:lvlJc w:val="left"/>
      <w:lvlText w:val="%1."/>
      <w:numFmt w:val="lowerLetter"/>
      <w:start w:val="1"/>
    </w:lvl>
  </w:abstractNum>
  <w:abstractNum w:abstractNumId="350">
    <w:nsid w:val="20D49DA3"/>
    <w:multiLevelType w:val="hybridMultilevel"/>
    <w:lvl w:ilvl="0">
      <w:lvlJc w:val="left"/>
      <w:lvlText w:val="%1."/>
      <w:numFmt w:val="decimal"/>
      <w:start w:val="1"/>
    </w:lvl>
    <w:lvl w:ilvl="1">
      <w:lvlJc w:val="left"/>
      <w:lvlText w:val="-"/>
      <w:numFmt w:val="bullet"/>
      <w:start w:val="1"/>
    </w:lvl>
  </w:abstractNum>
  <w:abstractNum w:abstractNumId="351">
    <w:nsid w:val="6272919F"/>
    <w:multiLevelType w:val="hybridMultilevel"/>
    <w:lvl w:ilvl="0">
      <w:lvlJc w:val="left"/>
      <w:lvlText w:val="[***]"/>
      <w:numFmt w:val="bullet"/>
      <w:start w:val="1"/>
    </w:lvl>
  </w:abstractNum>
  <w:abstractNum w:abstractNumId="352">
    <w:nsid w:val="127DED1D"/>
    <w:multiLevelType w:val="hybridMultilevel"/>
    <w:lvl w:ilvl="0">
      <w:lvlJc w:val="left"/>
      <w:lvlText w:val="%1."/>
      <w:numFmt w:val="decimal"/>
      <w:start w:val="3"/>
    </w:lvl>
    <w:lvl w:ilvl="1">
      <w:lvlJc w:val="left"/>
      <w:lvlText w:val="-"/>
      <w:numFmt w:val="bullet"/>
      <w:start w:val="1"/>
    </w:lvl>
  </w:abstractNum>
  <w:abstractNum w:abstractNumId="353">
    <w:nsid w:val="483966AA"/>
    <w:multiLevelType w:val="hybridMultilevel"/>
    <w:lvl w:ilvl="0">
      <w:lvlJc w:val="left"/>
      <w:lvlText w:val="%1."/>
      <w:numFmt w:val="decimal"/>
      <w:start w:val="4"/>
    </w:lvl>
    <w:lvl w:ilvl="1">
      <w:lvlJc w:val="left"/>
      <w:lvlText w:val="(%2)"/>
      <w:numFmt w:val="lowerLetter"/>
      <w:start w:val="1"/>
    </w:lvl>
  </w:abstractNum>
  <w:abstractNum w:abstractNumId="354">
    <w:nsid w:val="667FC831"/>
    <w:multiLevelType w:val="hybridMultilevel"/>
    <w:lvl w:ilvl="0">
      <w:lvlJc w:val="left"/>
      <w:lvlText w:val="[***]"/>
      <w:numFmt w:val="bullet"/>
      <w:start w:val="1"/>
    </w:lvl>
  </w:abstractNum>
  <w:abstractNum w:abstractNumId="355">
    <w:nsid w:val="34ADB582"/>
    <w:multiLevelType w:val="hybridMultilevel"/>
    <w:lvl w:ilvl="0">
      <w:lvlJc w:val="left"/>
      <w:lvlText w:val="%1."/>
      <w:numFmt w:val="decimal"/>
      <w:start w:val="7"/>
    </w:lvl>
  </w:abstractNum>
  <w:abstractNum w:abstractNumId="356">
    <w:nsid w:val="4CB58EA4"/>
    <w:multiLevelType w:val="hybridMultilevel"/>
    <w:lvl w:ilvl="0">
      <w:lvlJc w:val="left"/>
      <w:lvlText w:val="[***]"/>
      <w:numFmt w:val="bullet"/>
      <w:start w:val="1"/>
    </w:lvl>
  </w:abstractNum>
  <w:abstractNum w:abstractNumId="357">
    <w:nsid w:val="39629FFA"/>
    <w:multiLevelType w:val="hybridMultilevel"/>
    <w:lvl w:ilvl="0">
      <w:lvlJc w:val="left"/>
      <w:lvlText w:val="[***]"/>
      <w:numFmt w:val="bullet"/>
      <w:start w:val="1"/>
    </w:lvl>
  </w:abstractNum>
  <w:abstractNum w:abstractNumId="358">
    <w:nsid w:val="71F94ADC"/>
    <w:multiLevelType w:val="hybridMultilevel"/>
    <w:lvl w:ilvl="0">
      <w:lvlJc w:val="left"/>
      <w:lvlText w:val="%1."/>
      <w:numFmt w:val="lowerLetter"/>
      <w:start w:val="1"/>
    </w:lvl>
  </w:abstractNum>
  <w:abstractNum w:abstractNumId="359">
    <w:nsid w:val="27FFB15A"/>
    <w:multiLevelType w:val="hybridMultilevel"/>
    <w:lvl w:ilvl="0">
      <w:lvlJc w:val="left"/>
      <w:lvlText w:val="%1."/>
      <w:numFmt w:val="decimal"/>
      <w:start w:val="1"/>
    </w:lvl>
  </w:abstractNum>
  <w:abstractNum w:abstractNumId="360">
    <w:nsid w:val="48BE573"/>
    <w:multiLevelType w:val="hybridMultilevel"/>
    <w:lvl w:ilvl="0">
      <w:lvlJc w:val="left"/>
      <w:lvlText w:val="[***]"/>
      <w:numFmt w:val="bullet"/>
      <w:start w:val="1"/>
    </w:lvl>
  </w:abstractNum>
  <w:abstractNum w:abstractNumId="361">
    <w:nsid w:val="142AC06C"/>
    <w:multiLevelType w:val="hybridMultilevel"/>
    <w:lvl w:ilvl="0">
      <w:lvlJc w:val="left"/>
      <w:lvlText w:val="%1."/>
      <w:numFmt w:val="lowerLetter"/>
      <w:start w:val="1"/>
    </w:lvl>
  </w:abstractNum>
  <w:abstractNum w:abstractNumId="362">
    <w:nsid w:val="5FA54049"/>
    <w:multiLevelType w:val="hybridMultilevel"/>
    <w:lvl w:ilvl="0">
      <w:lvlJc w:val="left"/>
      <w:lvlText w:val="%1."/>
      <w:numFmt w:val="decimal"/>
      <w:start w:val="1"/>
    </w:lvl>
  </w:abstractNum>
  <w:abstractNum w:abstractNumId="363">
    <w:nsid w:val="2CBE7670"/>
    <w:multiLevelType w:val="hybridMultilevel"/>
    <w:lvl w:ilvl="0">
      <w:lvlJc w:val="left"/>
      <w:lvlText w:val="-"/>
      <w:numFmt w:val="bullet"/>
      <w:start w:val="1"/>
    </w:lvl>
  </w:abstractNum>
  <w:abstractNum w:abstractNumId="364">
    <w:nsid w:val="5D86CF11"/>
    <w:multiLevelType w:val="hybridMultilevel"/>
    <w:lvl w:ilvl="0">
      <w:lvlJc w:val="left"/>
      <w:lvlText w:val="%1."/>
      <w:numFmt w:val="decimal"/>
      <w:start w:val="2"/>
    </w:lvl>
  </w:abstractNum>
  <w:abstractNum w:abstractNumId="365">
    <w:nsid w:val="69EF4674"/>
    <w:multiLevelType w:val="hybridMultilevel"/>
    <w:lvl w:ilvl="0">
      <w:lvlJc w:val="left"/>
      <w:lvlText w:val="%1."/>
      <w:numFmt w:val="decimal"/>
      <w:start w:val="3"/>
    </w:lvl>
  </w:abstractNum>
  <w:abstractNum w:abstractNumId="366">
    <w:nsid w:val="68ABEFB0"/>
    <w:multiLevelType w:val="hybridMultilevel"/>
    <w:lvl w:ilvl="0">
      <w:lvlJc w:val="left"/>
      <w:lvlText w:val="[***]"/>
      <w:numFmt w:val="bullet"/>
      <w:start w:val="1"/>
    </w:lvl>
  </w:abstractNum>
  <w:abstractNum w:abstractNumId="367">
    <w:nsid w:val="326C3C76"/>
    <w:multiLevelType w:val="hybridMultilevel"/>
    <w:lvl w:ilvl="0">
      <w:lvlJc w:val="left"/>
      <w:lvlText w:val="%1."/>
      <w:numFmt w:val="decimal"/>
      <w:start w:val="1"/>
    </w:lvl>
    <w:lvl w:ilvl="1">
      <w:lvlJc w:val="left"/>
      <w:lvlText w:val="(%2)"/>
      <w:numFmt w:val="lowerRoman"/>
      <w:start w:val="2"/>
    </w:lvl>
  </w:abstractNum>
  <w:abstractNum w:abstractNumId="368">
    <w:nsid w:val="58A36FCA"/>
    <w:multiLevelType w:val="hybridMultilevel"/>
    <w:lvl w:ilvl="0">
      <w:lvlJc w:val="left"/>
      <w:lvlText w:val="%1."/>
      <w:numFmt w:val="decimal"/>
      <w:start w:val="2"/>
    </w:lvl>
  </w:abstractNum>
  <w:abstractNum w:abstractNumId="369">
    <w:nsid w:val="129B95F2"/>
    <w:multiLevelType w:val="hybridMultilevel"/>
    <w:lvl w:ilvl="0">
      <w:lvlJc w:val="left"/>
      <w:lvlText w:val="[***]"/>
      <w:numFmt w:val="bullet"/>
      <w:start w:val="1"/>
    </w:lvl>
    <w:lvl w:ilvl="1">
      <w:lvlJc w:val="left"/>
      <w:lvlText w:val="%2."/>
      <w:numFmt w:val="decimal"/>
      <w:start w:val="4"/>
    </w:lvl>
  </w:abstractNum>
  <w:abstractNum w:abstractNumId="370">
    <w:nsid w:val="309FB9AB"/>
    <w:multiLevelType w:val="hybridMultilevel"/>
    <w:lvl w:ilvl="0">
      <w:lvlJc w:val="left"/>
      <w:lvlText w:val="***"/>
      <w:numFmt w:val="bullet"/>
      <w:start w:val="1"/>
    </w:lvl>
  </w:abstractNum>
  <w:abstractNum w:abstractNumId="371">
    <w:nsid w:val="782FF375"/>
    <w:multiLevelType w:val="hybridMultilevel"/>
    <w:lvl w:ilvl="0">
      <w:lvlJc w:val="left"/>
      <w:lvlText w:val="(%1)"/>
      <w:numFmt w:val="lowerLetter"/>
      <w:start w:val="1"/>
    </w:lvl>
  </w:abstractNum>
  <w:abstractNum w:abstractNumId="372">
    <w:nsid w:val="2B8FA025"/>
    <w:multiLevelType w:val="hybridMultilevel"/>
    <w:lvl w:ilvl="0">
      <w:lvlJc w:val="left"/>
      <w:lvlText w:val="(%1)"/>
      <w:numFmt w:val="lowerRoman"/>
      <w:start w:val="1"/>
    </w:lvl>
  </w:abstractNum>
  <w:abstractNum w:abstractNumId="373">
    <w:nsid w:val="40F9991C"/>
    <w:multiLevelType w:val="hybridMultilevel"/>
    <w:lvl w:ilvl="0">
      <w:lvlJc w:val="left"/>
      <w:lvlText w:val="(%1)"/>
      <w:numFmt w:val="lowerRoman"/>
      <w:start w:val="2"/>
    </w:lvl>
  </w:abstractNum>
  <w:abstractNum w:abstractNumId="374">
    <w:nsid w:val="52192AD"/>
    <w:multiLevelType w:val="hybridMultilevel"/>
    <w:lvl w:ilvl="0">
      <w:lvlJc w:val="left"/>
      <w:lvlText w:val="***"/>
      <w:numFmt w:val="bullet"/>
      <w:start w:val="1"/>
    </w:lvl>
  </w:abstractNum>
  <w:abstractNum w:abstractNumId="375">
    <w:nsid w:val="7670D608"/>
    <w:multiLevelType w:val="hybridMultilevel"/>
    <w:lvl w:ilvl="0">
      <w:lvlJc w:val="left"/>
      <w:lvlText w:val="(%1)"/>
      <w:numFmt w:val="lowerLetter"/>
      <w:start w:val="1"/>
    </w:lvl>
  </w:abstractNum>
  <w:abstractNum w:abstractNumId="376">
    <w:nsid w:val="48B6B6EB"/>
    <w:multiLevelType w:val="hybridMultilevel"/>
    <w:lvl w:ilvl="0">
      <w:lvlJc w:val="left"/>
      <w:lvlText w:val="(%1)"/>
      <w:numFmt w:val="lowerLetter"/>
      <w:start w:val="1"/>
    </w:lvl>
  </w:abstractNum>
  <w:abstractNum w:abstractNumId="377">
    <w:nsid w:val="FB37489"/>
    <w:multiLevelType w:val="hybridMultilevel"/>
    <w:lvl w:ilvl="0">
      <w:lvlJc w:val="left"/>
      <w:lvlText w:val="(%1)"/>
      <w:numFmt w:val="lowerLetter"/>
      <w:start w:val="1"/>
    </w:lvl>
    <w:lvl w:ilvl="1">
      <w:lvlJc w:val="left"/>
      <w:lvlText w:val="(%2)"/>
      <w:numFmt w:val="lowerRoman"/>
      <w:start w:val="1"/>
    </w:lvl>
  </w:abstractNum>
  <w:abstractNum w:abstractNumId="378">
    <w:nsid w:val="8A75F95"/>
    <w:multiLevelType w:val="hybridMultilevel"/>
    <w:lvl w:ilvl="0">
      <w:lvlJc w:val="left"/>
      <w:lvlText w:val="(%1)"/>
      <w:numFmt w:val="lowerRoman"/>
      <w:start w:val="3"/>
    </w:lvl>
  </w:abstractNum>
  <w:abstractNum w:abstractNumId="379">
    <w:nsid w:val="2B27BF4D"/>
    <w:multiLevelType w:val="hybridMultilevel"/>
    <w:lvl w:ilvl="0">
      <w:lvlJc w:val="left"/>
      <w:lvlText w:val="(%1)"/>
      <w:numFmt w:val="lowerLetter"/>
      <w:start w:val="2"/>
    </w:lvl>
  </w:abstractNum>
  <w:abstractNum w:abstractNumId="380">
    <w:nsid w:val="E5CBEB4"/>
    <w:multiLevelType w:val="hybridMultilevel"/>
    <w:lvl w:ilvl="0">
      <w:lvlJc w:val="left"/>
      <w:lvlText w:val="(%1)"/>
      <w:numFmt w:val="lowerLetter"/>
      <w:start w:val="1"/>
    </w:lvl>
  </w:abstractNum>
  <w:abstractNum w:abstractNumId="381">
    <w:nsid w:val="297BFD38"/>
    <w:multiLevelType w:val="hybridMultilevel"/>
    <w:lvl w:ilvl="0">
      <w:lvlJc w:val="left"/>
      <w:lvlText w:val="(%1)"/>
      <w:numFmt w:val="lowerLetter"/>
      <w:start w:val="4"/>
    </w:lvl>
  </w:abstractNum>
  <w:abstractNum w:abstractNumId="382">
    <w:nsid w:val="D9A50ED"/>
    <w:multiLevelType w:val="hybridMultilevel"/>
    <w:lvl w:ilvl="0">
      <w:lvlJc w:val="left"/>
      <w:lvlText w:val="%1"/>
      <w:numFmt w:val="lowerLetter"/>
      <w:start w:val="1"/>
    </w:lvl>
    <w:lvl w:ilvl="1">
      <w:lvlJc w:val="left"/>
      <w:lvlText w:val="(%2)"/>
      <w:numFmt w:val="lowerLetter"/>
      <w:start w:val="1"/>
    </w:lvl>
  </w:abstractNum>
  <w:abstractNum w:abstractNumId="383">
    <w:nsid w:val="20DAABD1"/>
    <w:multiLevelType w:val="hybridMultilevel"/>
    <w:lvl w:ilvl="0">
      <w:lvlJc w:val="left"/>
      <w:lvlText w:val="(%1)"/>
      <w:numFmt w:val="lowerLetter"/>
      <w:start w:val="4"/>
    </w:lvl>
    <w:lvl w:ilvl="1">
      <w:lvlJc w:val="left"/>
      <w:lvlText w:val="%2"/>
      <w:numFmt w:val="lowerLetter"/>
      <w:start w:val="1"/>
    </w:lvl>
  </w:abstractNum>
  <w:abstractNum w:abstractNumId="384">
    <w:nsid w:val="71B563E3"/>
    <w:multiLevelType w:val="hybridMultilevel"/>
    <w:lvl w:ilvl="0">
      <w:lvlJc w:val="left"/>
      <w:lvlText w:val="(%1)"/>
      <w:numFmt w:val="lowerLetter"/>
      <w:start w:val="4"/>
    </w:lvl>
  </w:abstractNum>
  <w:abstractNum w:abstractNumId="385">
    <w:nsid w:val="741A191E"/>
    <w:multiLevelType w:val="hybridMultilevel"/>
    <w:lvl w:ilvl="0">
      <w:lvlJc w:val="left"/>
      <w:lvlText w:val="(%1)"/>
      <w:numFmt w:val="lowerLetter"/>
      <w:start w:val="1"/>
    </w:lvl>
  </w:abstractNum>
  <w:abstractNum w:abstractNumId="386">
    <w:nsid w:val="55886153"/>
    <w:multiLevelType w:val="hybridMultilevel"/>
    <w:lvl w:ilvl="0">
      <w:lvlJc w:val="left"/>
      <w:lvlText w:val="(%1)"/>
      <w:numFmt w:val="lowerLetter"/>
      <w:start w:val="2"/>
    </w:lvl>
  </w:abstractNum>
  <w:abstractNum w:abstractNumId="387">
    <w:nsid w:val="3E6AF287"/>
    <w:multiLevelType w:val="hybridMultilevel"/>
    <w:lvl w:ilvl="0">
      <w:lvlJc w:val="left"/>
      <w:lvlText w:val="(%1)"/>
      <w:numFmt w:val="lowerLetter"/>
      <w:start w:val="1"/>
    </w:lvl>
  </w:abstractNum>
  <w:abstractNum w:abstractNumId="388">
    <w:nsid w:val="2D7CB919"/>
    <w:multiLevelType w:val="hybridMultilevel"/>
    <w:lvl w:ilvl="0">
      <w:lvlJc w:val="left"/>
      <w:lvlText w:val="(%1)"/>
      <w:numFmt w:val="lowerLetter"/>
      <w:start w:val="2"/>
    </w:lvl>
  </w:abstractNum>
  <w:abstractNum w:abstractNumId="389">
    <w:nsid w:val="4781AC2F"/>
    <w:multiLevelType w:val="hybridMultilevel"/>
    <w:lvl w:ilvl="0">
      <w:lvlJc w:val="left"/>
      <w:lvlText w:val="(%1)"/>
      <w:numFmt w:val="lowerRoman"/>
      <w:start w:val="1"/>
    </w:lvl>
  </w:abstractNum>
  <w:abstractNum w:abstractNumId="390">
    <w:nsid w:val="666AA3E1"/>
    <w:multiLevelType w:val="hybridMultilevel"/>
    <w:lvl w:ilvl="0">
      <w:lvlJc w:val="left"/>
      <w:lvlText w:val="(%1)"/>
      <w:numFmt w:val="lowerLetter"/>
      <w:start w:val="5"/>
    </w:lvl>
  </w:abstractNum>
  <w:abstractNum w:abstractNumId="391">
    <w:nsid w:val="32089E8C"/>
    <w:multiLevelType w:val="hybridMultilevel"/>
    <w:lvl w:ilvl="0">
      <w:lvlJc w:val="left"/>
      <w:lvlText w:val="(%1)"/>
      <w:numFmt w:val="lowerLetter"/>
      <w:start w:val="1"/>
    </w:lvl>
  </w:abstractNum>
  <w:abstractNum w:abstractNumId="392">
    <w:nsid w:val="5BAC6C9C"/>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93">
    <w:nsid w:val="460FE42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94">
    <w:nsid w:val="5EC714FC"/>
    <w:multiLevelType w:val="hybridMultilevel"/>
    <w:lvl w:ilvl="0">
      <w:lvlJc w:val="left"/>
      <w:lvlText w:val="(%1)"/>
      <w:numFmt w:val="lowerLetter"/>
      <w:start w:val="1"/>
    </w:lvl>
  </w:abstractNum>
  <w:abstractNum w:abstractNumId="395">
    <w:nsid w:val="39333BAD"/>
    <w:multiLevelType w:val="hybridMultilevel"/>
    <w:lvl w:ilvl="0">
      <w:lvlJc w:val="left"/>
      <w:lvlText w:val="(%1)"/>
      <w:numFmt w:val="lowerLetter"/>
      <w:start w:val="3"/>
    </w:lvl>
  </w:abstractNum>
  <w:abstractNum w:abstractNumId="396">
    <w:nsid w:val="2FFF2A9F"/>
    <w:multiLevelType w:val="hybridMultilevel"/>
    <w:lvl w:ilvl="0">
      <w:lvlJc w:val="left"/>
      <w:lvlText w:val="(%1)"/>
      <w:numFmt w:val="lowerLetter"/>
      <w:start w:val="1"/>
    </w:lvl>
    <w:lvl w:ilvl="1">
      <w:lvlJc w:val="left"/>
      <w:lvlText w:val="(%2)"/>
      <w:numFmt w:val="lowerRoman"/>
      <w:start w:val="1"/>
    </w:lvl>
  </w:abstractNum>
  <w:abstractNum w:abstractNumId="397">
    <w:nsid w:val="477304AC"/>
    <w:multiLevelType w:val="hybridMultilevel"/>
    <w:lvl w:ilvl="0">
      <w:lvlJc w:val="left"/>
      <w:lvlText w:val="%1"/>
      <w:numFmt w:val="lowerLetter"/>
      <w:start w:val="1"/>
    </w:lvl>
    <w:lvl w:ilvl="1">
      <w:lvlJc w:val="left"/>
      <w:lvlText w:val="(%2)"/>
      <w:numFmt w:val="lowerRoman"/>
      <w:start w:val="4"/>
    </w:lvl>
  </w:abstractNum>
  <w:abstractNum w:abstractNumId="398">
    <w:nsid w:val="6B9F7823"/>
    <w:multiLevelType w:val="hybridMultilevel"/>
    <w:lvl w:ilvl="0">
      <w:lvlJc w:val="left"/>
      <w:lvlText w:val="(%1)"/>
      <w:numFmt w:val="lowerLetter"/>
      <w:start w:val="2"/>
    </w:lvl>
    <w:lvl w:ilvl="1">
      <w:lvlJc w:val="left"/>
      <w:lvlText w:val="%2"/>
      <w:numFmt w:val="lowerRoman"/>
      <w:start w:val="1"/>
    </w:lvl>
  </w:abstractNum>
  <w:abstractNum w:abstractNumId="399">
    <w:nsid w:val="8A29A69"/>
    <w:multiLevelType w:val="hybridMultilevel"/>
    <w:lvl w:ilvl="0">
      <w:lvlJc w:val="left"/>
      <w:lvlText w:val="(%1)"/>
      <w:numFmt w:val="lowerLetter"/>
      <w:start w:val="1"/>
    </w:lvl>
    <w:lvl w:ilvl="1">
      <w:lvlJc w:val="left"/>
      <w:lvlText w:val="(%2)"/>
      <w:numFmt w:val="lowerRoman"/>
      <w:start w:val="1"/>
    </w:lvl>
  </w:abstractNum>
  <w:abstractNum w:abstractNumId="400">
    <w:nsid w:val="5A0E9A9F"/>
    <w:multiLevelType w:val="hybridMultilevel"/>
    <w:lvl w:ilvl="0">
      <w:lvlJc w:val="left"/>
      <w:lvlText w:val="(%1)"/>
      <w:numFmt w:val="lowerRoman"/>
      <w:start w:val="3"/>
    </w:lvl>
  </w:abstractNum>
  <w:abstractNum w:abstractNumId="401">
    <w:nsid w:val="1C3F31CE"/>
    <w:multiLevelType w:val="hybridMultilevel"/>
    <w:lvl w:ilvl="0">
      <w:lvlJc w:val="left"/>
      <w:lvlText w:val="(%1)"/>
      <w:numFmt w:val="lowerRoman"/>
      <w:start w:val="5"/>
    </w:lvl>
    <w:lvl w:ilvl="1">
      <w:lvlJc w:val="left"/>
      <w:lvlText w:val="(%2)"/>
      <w:numFmt w:val="upperLetter"/>
      <w:start w:val="1"/>
    </w:lvl>
  </w:abstractNum>
  <w:abstractNum w:abstractNumId="402">
    <w:nsid w:val="D28DDE"/>
    <w:multiLevelType w:val="hybridMultilevel"/>
    <w:lvl w:ilvl="0">
      <w:lvlJc w:val="left"/>
      <w:lvlText w:val="(%1)"/>
      <w:numFmt w:val="lowerLetter"/>
      <w:start w:val="3"/>
    </w:lvl>
  </w:abstractNum>
  <w:abstractNum w:abstractNumId="403">
    <w:nsid w:val="59E3AC4"/>
    <w:multiLevelType w:val="hybridMultilevel"/>
    <w:lvl w:ilvl="0">
      <w:lvlJc w:val="left"/>
      <w:lvlText w:val="(%1)"/>
      <w:numFmt w:val="lowerLetter"/>
      <w:start w:val="1"/>
    </w:lvl>
  </w:abstractNum>
  <w:abstractNum w:abstractNumId="404">
    <w:nsid w:val="5D38CAEA"/>
    <w:multiLevelType w:val="hybridMultilevel"/>
    <w:lvl w:ilvl="0">
      <w:lvlJc w:val="left"/>
      <w:lvlText w:val="(%1)"/>
      <w:numFmt w:val="lowerLetter"/>
      <w:start w:val="2"/>
    </w:lvl>
  </w:abstractNum>
  <w:abstractNum w:abstractNumId="405">
    <w:nsid w:val="5F4208C"/>
    <w:multiLevelType w:val="hybridMultilevel"/>
    <w:lvl w:ilvl="0">
      <w:lvlJc w:val="left"/>
      <w:lvlText w:val="(%1)"/>
      <w:numFmt w:val="lowerLetter"/>
      <w:start w:val="1"/>
    </w:lvl>
  </w:abstractNum>
  <w:abstractNum w:abstractNumId="406">
    <w:nsid w:val="7C0F10CC"/>
    <w:multiLevelType w:val="hybridMultilevel"/>
    <w:lvl w:ilvl="0">
      <w:lvlJc w:val="left"/>
      <w:lvlText w:val="(%1)"/>
      <w:numFmt w:val="lowerLetter"/>
      <w:start w:val="1"/>
    </w:lvl>
  </w:abstractNum>
  <w:abstractNum w:abstractNumId="407">
    <w:nsid w:val="25EF81D5"/>
    <w:multiLevelType w:val="hybridMultilevel"/>
    <w:lvl w:ilvl="0">
      <w:lvlJc w:val="left"/>
      <w:lvlText w:val="(%1)"/>
      <w:numFmt w:val="lowerLetter"/>
      <w:start w:val="2"/>
    </w:lvl>
  </w:abstractNum>
  <w:abstractNum w:abstractNumId="408">
    <w:nsid w:val="15A79515"/>
    <w:multiLevelType w:val="hybridMultilevel"/>
    <w:lvl w:ilvl="0">
      <w:lvlJc w:val="left"/>
      <w:lvlText w:val="(%1)"/>
      <w:numFmt w:val="lowerLetter"/>
      <w:start w:val="22"/>
    </w:lvl>
    <w:lvl w:ilvl="1">
      <w:lvlJc w:val="left"/>
      <w:lvlText w:val="(%2)"/>
      <w:numFmt w:val="lowerLetter"/>
      <w:start w:val="6"/>
    </w:lvl>
  </w:abstractNum>
  <w:abstractNum w:abstractNumId="409">
    <w:nsid w:val="4B67062"/>
    <w:multiLevelType w:val="hybridMultilevel"/>
    <w:lvl w:ilvl="0">
      <w:lvlJc w:val="left"/>
      <w:lvlText w:val="(%1)"/>
      <w:numFmt w:val="lowerLetter"/>
      <w:start w:val="13"/>
    </w:lvl>
  </w:abstractNum>
  <w:abstractNum w:abstractNumId="410">
    <w:nsid w:val="51174123"/>
    <w:multiLevelType w:val="hybridMultilevel"/>
    <w:lvl w:ilvl="0">
      <w:lvlJc w:val="left"/>
      <w:lvlText w:val="(%1)"/>
      <w:numFmt w:val="lowerLetter"/>
      <w:start w:val="1"/>
    </w:lvl>
  </w:abstractNum>
  <w:abstractNum w:abstractNumId="411">
    <w:nsid w:val="240453CA"/>
    <w:multiLevelType w:val="hybridMultilevel"/>
    <w:lvl w:ilvl="0">
      <w:lvlJc w:val="left"/>
      <w:lvlText w:val="(%1)"/>
      <w:numFmt w:val="lowerLetter"/>
      <w:start w:val="1"/>
    </w:lvl>
  </w:abstractNum>
  <w:abstractNum w:abstractNumId="412">
    <w:nsid w:val="2E326D9A"/>
    <w:multiLevelType w:val="hybridMultilevel"/>
    <w:lvl w:ilvl="0">
      <w:lvlJc w:val="left"/>
      <w:lvlText w:val="(%1)"/>
      <w:numFmt w:val="lowerLetter"/>
      <w:start w:val="2"/>
    </w:lvl>
  </w:abstractNum>
  <w:abstractNum w:abstractNumId="413">
    <w:nsid w:val="5EB19210"/>
    <w:multiLevelType w:val="hybridMultilevel"/>
    <w:lvl w:ilvl="0">
      <w:lvlJc w:val="left"/>
      <w:lvlText w:val="(%1)"/>
      <w:numFmt w:val="lowerLetter"/>
      <w:start w:val="1"/>
    </w:lvl>
  </w:abstractNum>
  <w:abstractNum w:abstractNumId="414">
    <w:nsid w:val="44DEFF9B"/>
    <w:multiLevelType w:val="hybridMultilevel"/>
    <w:lvl w:ilvl="0">
      <w:lvlJc w:val="left"/>
      <w:lvlText w:val="(%1)"/>
      <w:numFmt w:val="lowerLetter"/>
      <w:start w:val="1"/>
    </w:lvl>
  </w:abstractNum>
  <w:abstractNum w:abstractNumId="415">
    <w:nsid w:val="1FE7D17D"/>
    <w:multiLevelType w:val="hybridMultilevel"/>
    <w:lvl w:ilvl="0">
      <w:lvlJc w:val="left"/>
      <w:lvlText w:val="(%1)"/>
      <w:numFmt w:val="lowerLetter"/>
      <w:start w:val="3"/>
    </w:lvl>
  </w:abstractNum>
  <w:abstractNum w:abstractNumId="416">
    <w:nsid w:val="52CBAB2E"/>
    <w:multiLevelType w:val="hybridMultilevel"/>
    <w:lvl w:ilvl="0">
      <w:lvlJc w:val="left"/>
      <w:lvlText w:val="(%1)"/>
      <w:numFmt w:val="lowerLetter"/>
      <w:start w:val="1"/>
    </w:lvl>
  </w:abstractNum>
  <w:abstractNum w:abstractNumId="417">
    <w:nsid w:val="1A6760EF"/>
    <w:multiLevelType w:val="hybridMultilevel"/>
    <w:lvl w:ilvl="0">
      <w:lvlJc w:val="left"/>
      <w:lvlText w:val="(%1)"/>
      <w:numFmt w:val="lowerLetter"/>
      <w:start w:val="1"/>
    </w:lvl>
  </w:abstractNum>
  <w:abstractNum w:abstractNumId="418">
    <w:nsid w:val="5E52C405"/>
    <w:multiLevelType w:val="hybridMultilevel"/>
    <w:lvl w:ilvl="0">
      <w:lvlJc w:val="left"/>
      <w:lvlText w:val="(%1)"/>
      <w:numFmt w:val="lowerLetter"/>
      <w:start w:val="1"/>
    </w:lvl>
    <w:lvl w:ilvl="1">
      <w:lvlJc w:val="left"/>
      <w:lvlText w:val="(%2)"/>
      <w:numFmt w:val="lowerLetter"/>
      <w:start w:val="9"/>
    </w:lvl>
  </w:abstractNum>
  <w:abstractNum w:abstractNumId="419">
    <w:nsid w:val="486447"/>
    <w:multiLevelType w:val="hybridMultilevel"/>
    <w:lvl w:ilvl="0">
      <w:lvlJc w:val="left"/>
      <w:lvlText w:val="(%1)"/>
      <w:numFmt w:val="lowerRoman"/>
      <w:start w:val="2"/>
    </w:lvl>
  </w:abstractNum>
  <w:abstractNum w:abstractNumId="420">
    <w:nsid w:val="61E90D1E"/>
    <w:multiLevelType w:val="hybridMultilevel"/>
    <w:lvl w:ilvl="0">
      <w:lvlJc w:val="left"/>
      <w:lvlText w:val="(%1)"/>
      <w:numFmt w:val="lowerRoman"/>
      <w:start w:val="6"/>
    </w:lvl>
  </w:abstractNum>
  <w:abstractNum w:abstractNumId="421">
    <w:nsid w:val="44BD67E6"/>
    <w:multiLevelType w:val="hybridMultilevel"/>
    <w:lvl w:ilvl="0">
      <w:lvlJc w:val="left"/>
      <w:lvlText w:val="(%1)"/>
      <w:numFmt w:val="decimal"/>
      <w:start w:val="12"/>
    </w:lvl>
  </w:abstractNum>
  <w:abstractNum w:abstractNumId="422">
    <w:nsid w:val="325102D3"/>
    <w:multiLevelType w:val="hybridMultilevel"/>
    <w:lvl w:ilvl="0">
      <w:lvlJc w:val="left"/>
      <w:lvlText w:val="(%1)"/>
      <w:numFmt w:val="lowerLetter"/>
      <w:start w:val="1"/>
    </w:lvl>
  </w:abstractNum>
  <w:abstractNum w:abstractNumId="423">
    <w:nsid w:val="3D9579BA"/>
    <w:multiLevelType w:val="hybridMultilevel"/>
    <w:lvl w:ilvl="0">
      <w:lvlJc w:val="left"/>
      <w:lvlText w:val="(%1)"/>
      <w:numFmt w:val="lowerLetter"/>
      <w:start w:val="2"/>
    </w:lvl>
  </w:abstractNum>
  <w:abstractNum w:abstractNumId="424">
    <w:nsid w:val="ACD4C11"/>
    <w:multiLevelType w:val="hybridMultilevel"/>
    <w:lvl w:ilvl="0">
      <w:lvlJc w:val="left"/>
      <w:lvlText w:val="[***]"/>
      <w:numFmt w:val="bullet"/>
      <w:start w:val="1"/>
    </w:lvl>
  </w:abstractNum>
  <w:abstractNum w:abstractNumId="425">
    <w:nsid w:val="111817CF"/>
    <w:multiLevelType w:val="hybridMultilevel"/>
    <w:lvl w:ilvl="0">
      <w:lvlJc w:val="left"/>
      <w:lvlText w:val="[***]"/>
      <w:numFmt w:val="bullet"/>
      <w:start w:val="1"/>
    </w:lvl>
  </w:abstractNum>
  <w:abstractNum w:abstractNumId="426">
    <w:nsid w:val="76C8B568"/>
    <w:multiLevelType w:val="hybridMultilevel"/>
    <w:lvl w:ilvl="0">
      <w:lvlJc w:val="left"/>
      <w:lvlText w:val="(%1)"/>
      <w:numFmt w:val="decimal"/>
      <w:start w:val="1"/>
    </w:lvl>
  </w:abstractNum>
  <w:abstractNum w:abstractNumId="427">
    <w:nsid w:val="3ACC76B1"/>
    <w:multiLevelType w:val="hybridMultilevel"/>
    <w:lvl w:ilvl="0">
      <w:lvlJc w:val="left"/>
      <w:lvlText w:val="(%1)"/>
      <w:numFmt w:val="lowerLetter"/>
      <w:start w:val="1"/>
    </w:lvl>
  </w:abstractNum>
  <w:abstractNum w:abstractNumId="428">
    <w:nsid w:val="588B1C7C"/>
    <w:multiLevelType w:val="hybridMultilevel"/>
    <w:lvl w:ilvl="0">
      <w:lvlJc w:val="left"/>
      <w:lvlText w:val="(%1)"/>
      <w:numFmt w:val="lowerLetter"/>
      <w:start w:val="4"/>
    </w:lvl>
  </w:abstractNum>
  <w:abstractNum w:abstractNumId="429">
    <w:nsid w:val="62682D8B"/>
    <w:multiLevelType w:val="hybridMultilevel"/>
    <w:lvl w:ilvl="0">
      <w:lvlJc w:val="left"/>
      <w:lvlText w:val="(%1)"/>
      <w:numFmt w:val="lowerRoman"/>
      <w:start w:val="1"/>
    </w:lvl>
  </w:abstractNum>
  <w:abstractNum w:abstractNumId="430">
    <w:nsid w:val="436F111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431">
    <w:nsid w:val="3299B71B"/>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9"/>
    </w:lvl>
  </w:abstractNum>
  <w:abstractNum w:abstractNumId="432">
    <w:nsid w:val="7EA75F5A"/>
    <w:multiLevelType w:val="hybridMultilevel"/>
    <w:lvl w:ilvl="0">
      <w:lvlJc w:val="left"/>
      <w:lvlText w:val="(%1)"/>
      <w:numFmt w:val="lowerRoman"/>
      <w:start w:val="2"/>
    </w:lvl>
  </w:abstractNum>
  <w:abstractNum w:abstractNumId="433">
    <w:nsid w:val="44419EF9"/>
    <w:multiLevelType w:val="hybridMultilevel"/>
    <w:lvl w:ilvl="0">
      <w:lvlJc w:val="left"/>
      <w:lvlText w:val="(%1)"/>
      <w:numFmt w:val="lowerLetter"/>
      <w:start w:val="4"/>
    </w:lvl>
  </w:abstractNum>
  <w:abstractNum w:abstractNumId="434">
    <w:nsid w:val="3837F1DF"/>
    <w:multiLevelType w:val="hybridMultilevel"/>
    <w:lvl w:ilvl="0">
      <w:lvlJc w:val="left"/>
      <w:lvlText w:val="[***]"/>
      <w:numFmt w:val="bullet"/>
      <w:start w:val="1"/>
    </w:lvl>
    <w:lvl w:ilvl="1">
      <w:lvlJc w:val="left"/>
      <w:lvlText w:val="(%2)"/>
      <w:numFmt w:val="lowerLetter"/>
      <w:start w:val="1"/>
    </w:lvl>
  </w:abstractNum>
  <w:abstractNum w:abstractNumId="435">
    <w:nsid w:val="5BE02A44"/>
    <w:multiLevelType w:val="hybridMultilevel"/>
    <w:lvl w:ilvl="0">
      <w:lvlJc w:val="left"/>
      <w:lvlText w:val="(%1)"/>
      <w:numFmt w:val="lowerLetter"/>
      <w:start w:val="1"/>
    </w:lvl>
  </w:abstractNum>
  <w:abstractNum w:abstractNumId="436">
    <w:nsid w:val="4A35BF85"/>
    <w:multiLevelType w:val="hybridMultilevel"/>
    <w:lvl w:ilvl="0">
      <w:lvlJc w:val="left"/>
      <w:lvlText w:val="(%1)"/>
      <w:numFmt w:val="lowerLetter"/>
      <w:start w:val="3"/>
    </w:lvl>
  </w:abstractNum>
  <w:abstractNum w:abstractNumId="437">
    <w:nsid w:val="344702AC"/>
    <w:multiLevelType w:val="hybridMultilevel"/>
    <w:lvl w:ilvl="0">
      <w:lvlJc w:val="left"/>
      <w:lvlText w:val="(%1)"/>
      <w:numFmt w:val="lowerLetter"/>
      <w:start w:val="1"/>
    </w:lvl>
  </w:abstractNum>
  <w:abstractNum w:abstractNumId="438">
    <w:nsid w:val="1CFAC1A"/>
    <w:multiLevelType w:val="hybridMultilevel"/>
    <w:lvl w:ilvl="0">
      <w:lvlJc w:val="left"/>
      <w:lvlText w:val="(%1)"/>
      <w:numFmt w:val="lowerLetter"/>
      <w:start w:val="1"/>
    </w:lvl>
    <w:lvl w:ilvl="1">
      <w:lvlJc w:val="left"/>
      <w:lvlText w:val="(%2)"/>
      <w:numFmt w:val="lowerRoman"/>
      <w:start w:val="1"/>
    </w:lvl>
  </w:abstractNum>
  <w:abstractNum w:abstractNumId="439">
    <w:nsid w:val="5FDD549A"/>
    <w:multiLevelType w:val="hybridMultilevel"/>
    <w:lvl w:ilvl="0">
      <w:lvlJc w:val="left"/>
      <w:lvlText w:val="%1"/>
      <w:numFmt w:val="lowerLetter"/>
      <w:start w:val="1"/>
    </w:lvl>
    <w:lvl w:ilvl="1">
      <w:lvlJc w:val="left"/>
      <w:lvlText w:val="(%2)"/>
      <w:numFmt w:val="lowerLetter"/>
      <w:start w:val="22"/>
    </w:lvl>
  </w:abstractNum>
  <w:abstractNum w:abstractNumId="440">
    <w:nsid w:val="38FD730E"/>
    <w:multiLevelType w:val="hybridMultilevel"/>
    <w:lvl w:ilvl="0">
      <w:lvlJc w:val="left"/>
      <w:lvlText w:val="(%1)"/>
      <w:numFmt w:val="lowerLetter"/>
      <w:start w:val="2"/>
    </w:lvl>
    <w:lvl w:ilvl="1">
      <w:lvlJc w:val="left"/>
      <w:lvlText w:val="%2"/>
      <w:numFmt w:val="lowerLetter"/>
      <w:start w:val="1"/>
    </w:lvl>
  </w:abstractNum>
  <w:abstractNum w:abstractNumId="441">
    <w:nsid w:val="52E6ED3D"/>
    <w:multiLevelType w:val="hybridMultilevel"/>
    <w:lvl w:ilvl="0">
      <w:lvlJc w:val="left"/>
      <w:lvlText w:val="(%1)"/>
      <w:numFmt w:val="lowerLetter"/>
      <w:start w:val="1"/>
    </w:lvl>
  </w:abstractNum>
  <w:abstractNum w:abstractNumId="442">
    <w:nsid w:val="3E1A864"/>
    <w:multiLevelType w:val="hybridMultilevel"/>
    <w:lvl w:ilvl="0">
      <w:lvlJc w:val="left"/>
      <w:lvlText w:val="(%1)"/>
      <w:numFmt w:val="lowerLetter"/>
      <w:start w:val="2"/>
    </w:lvl>
  </w:abstractNum>
  <w:abstractNum w:abstractNumId="443">
    <w:nsid w:val="672FE0A8"/>
    <w:multiLevelType w:val="hybridMultilevel"/>
    <w:lvl w:ilvl="0">
      <w:lvlJc w:val="left"/>
      <w:lvlText w:val="(%1)"/>
      <w:numFmt w:val="lowerLetter"/>
      <w:start w:val="1"/>
    </w:lvl>
    <w:lvl w:ilvl="1">
      <w:lvlJc w:val="left"/>
      <w:lvlText w:val="(%2)"/>
      <w:numFmt w:val="lowerRoman"/>
      <w:start w:val="1"/>
    </w:lvl>
  </w:abstractNum>
  <w:abstractNum w:abstractNumId="444">
    <w:nsid w:val="31987F4D"/>
    <w:multiLevelType w:val="hybridMultilevel"/>
    <w:lvl w:ilvl="0">
      <w:lvlJc w:val="left"/>
      <w:lvlText w:val="(%1)"/>
      <w:numFmt w:val="lowerLetter"/>
      <w:start w:val="1"/>
    </w:lvl>
  </w:abstractNum>
  <w:abstractNum w:abstractNumId="445">
    <w:nsid w:val="48C0A800"/>
    <w:multiLevelType w:val="hybridMultilevel"/>
    <w:lvl w:ilvl="0">
      <w:lvlJc w:val="left"/>
      <w:lvlText w:val="(%1)"/>
      <w:numFmt w:val="lowerLetter"/>
      <w:start w:val="1"/>
    </w:lvl>
  </w:abstractNum>
  <w:abstractNum w:abstractNumId="446">
    <w:nsid w:val="717B226"/>
    <w:multiLevelType w:val="hybridMultilevel"/>
    <w:lvl w:ilvl="0">
      <w:lvlJc w:val="left"/>
      <w:lvlText w:val="(%1)"/>
      <w:numFmt w:val="decimal"/>
      <w:start w:val="1"/>
    </w:lvl>
  </w:abstractNum>
  <w:abstractNum w:abstractNumId="447">
    <w:nsid w:val="4642A7B"/>
    <w:multiLevelType w:val="hybridMultilevel"/>
    <w:lvl w:ilvl="0">
      <w:lvlJc w:val="left"/>
      <w:lvlText w:val="[***]"/>
      <w:numFmt w:val="bullet"/>
      <w:start w:val="1"/>
    </w:lvl>
    <w:lvl w:ilvl="1">
      <w:lvlJc w:val="left"/>
      <w:lvlText w:val="(%2)"/>
      <w:numFmt w:val="decimal"/>
      <w:start w:val="2"/>
    </w:lvl>
  </w:abstractNum>
  <w:abstractNum w:abstractNumId="448">
    <w:nsid w:val="632808EF"/>
    <w:multiLevelType w:val="hybridMultilevel"/>
    <w:lvl w:ilvl="0">
      <w:lvlJc w:val="left"/>
      <w:lvlText w:val="[***]"/>
      <w:numFmt w:val="bullet"/>
      <w:start w:val="1"/>
    </w:lvl>
    <w:lvl w:ilvl="1">
      <w:lvlJc w:val="left"/>
      <w:lvlText w:val="(%2)"/>
      <w:numFmt w:val="decimal"/>
      <w:start w:val="4"/>
    </w:lvl>
  </w:abstractNum>
  <w:abstractNum w:abstractNumId="449">
    <w:nsid w:val="656A762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
    </w:lvl>
  </w:abstractNum>
  <w:abstractNum w:abstractNumId="450">
    <w:nsid w:val="4AC8EC3"/>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51">
    <w:nsid w:val="4511160D"/>
    <w:multiLevelType w:val="hybridMultilevel"/>
    <w:lvl w:ilvl="0">
      <w:lvlJc w:val="left"/>
      <w:lvlText w:val="(%1)"/>
      <w:numFmt w:val="lowerLetter"/>
      <w:start w:val="1"/>
    </w:lvl>
  </w:abstractNum>
  <w:abstractNum w:abstractNumId="452">
    <w:nsid w:val="2A27DE11"/>
    <w:multiLevelType w:val="hybridMultilevel"/>
    <w:lvl w:ilvl="0">
      <w:lvlJc w:val="left"/>
      <w:lvlText w:val="(%1)"/>
      <w:numFmt w:val="lowerLetter"/>
      <w:start w:val="2"/>
    </w:lvl>
  </w:abstractNum>
  <w:abstractNum w:abstractNumId="453">
    <w:nsid w:val="36FD9196"/>
    <w:multiLevelType w:val="hybridMultilevel"/>
    <w:lvl w:ilvl="0">
      <w:lvlJc w:val="left"/>
      <w:lvlText w:val="[***]"/>
      <w:numFmt w:val="bullet"/>
      <w:start w:val="1"/>
    </w:lvl>
    <w:lvl w:ilvl="1">
      <w:lvlJc w:val="left"/>
      <w:lvlText w:val="(%2)"/>
      <w:numFmt w:val="lowerLetter"/>
      <w:start w:val="1"/>
    </w:lvl>
  </w:abstractNum>
  <w:abstractNum w:abstractNumId="454">
    <w:nsid w:val="2A68FC8"/>
    <w:multiLevelType w:val="hybridMultilevel"/>
    <w:lvl w:ilvl="0">
      <w:lvlJc w:val="left"/>
      <w:lvlText w:val="[***]"/>
      <w:numFmt w:val="bullet"/>
      <w:start w:val="1"/>
    </w:lvl>
    <w:lvl w:ilvl="1">
      <w:lvlJc w:val="left"/>
      <w:lvlText w:val="(%2)"/>
      <w:numFmt w:val="lowerLetter"/>
      <w:start w:val="2"/>
    </w:lvl>
  </w:abstractNum>
  <w:abstractNum w:abstractNumId="455">
    <w:nsid w:val="34F52A23"/>
    <w:multiLevelType w:val="hybridMultilevel"/>
    <w:lvl w:ilvl="0">
      <w:lvlJc w:val="left"/>
      <w:lvlText w:val="(%1)"/>
      <w:numFmt w:val="lowerLetter"/>
      <w:start w:val="6"/>
    </w:lvl>
  </w:abstractNum>
  <w:abstractNum w:abstractNumId="456">
    <w:nsid w:val="4815A966"/>
    <w:multiLevelType w:val="hybridMultilevel"/>
    <w:lvl w:ilvl="0">
      <w:lvlJc w:val="left"/>
      <w:lvlText w:val="(%1)"/>
      <w:numFmt w:val="lowerLetter"/>
      <w:start w:val="1"/>
    </w:lvl>
  </w:abstractNum>
  <w:abstractNum w:abstractNumId="457">
    <w:nsid w:val="796F4530"/>
    <w:multiLevelType w:val="hybridMultilevel"/>
    <w:lvl w:ilvl="0">
      <w:lvlJc w:val="left"/>
      <w:lvlText w:val="(%1)"/>
      <w:numFmt w:val="lowerLetter"/>
      <w:start w:val="1"/>
    </w:lvl>
  </w:abstractNum>
  <w:abstractNum w:abstractNumId="458">
    <w:nsid w:val="6FC1A0D4"/>
    <w:multiLevelType w:val="hybridMultilevel"/>
    <w:lvl w:ilvl="0">
      <w:lvlJc w:val="left"/>
      <w:lvlText w:val="(%1)"/>
      <w:numFmt w:val="lowerLetter"/>
      <w:start w:val="1"/>
    </w:lvl>
  </w:abstractNum>
  <w:abstractNum w:abstractNumId="459">
    <w:nsid w:val="20A0C5E2"/>
    <w:multiLevelType w:val="hybridMultilevel"/>
    <w:lvl w:ilvl="0">
      <w:lvlJc w:val="left"/>
      <w:lvlText w:val="(%1)"/>
      <w:numFmt w:val="lowerLetter"/>
      <w:start w:val="2"/>
    </w:lvl>
  </w:abstractNum>
  <w:abstractNum w:abstractNumId="460">
    <w:nsid w:val="5BD772BB"/>
    <w:multiLevelType w:val="hybridMultilevel"/>
    <w:lvl w:ilvl="0">
      <w:lvlJc w:val="left"/>
      <w:lvlText w:val="[***]"/>
      <w:numFmt w:val="bullet"/>
      <w:start w:val="1"/>
    </w:lvl>
    <w:lvl w:ilvl="1">
      <w:lvlJc w:val="left"/>
      <w:lvlText w:val="(%2)"/>
      <w:numFmt w:val="lowerRoman"/>
      <w:start w:val="1"/>
    </w:lvl>
  </w:abstractNum>
  <w:abstractNum w:abstractNumId="461">
    <w:nsid w:val="3330B1EE"/>
    <w:multiLevelType w:val="hybridMultilevel"/>
    <w:lvl w:ilvl="0">
      <w:lvlJc w:val="left"/>
      <w:lvlText w:val="[***]"/>
      <w:numFmt w:val="bullet"/>
      <w:start w:val="1"/>
    </w:lvl>
    <w:lvl w:ilvl="1">
      <w:lvlJc w:val="left"/>
      <w:lvlText w:val="(%2)"/>
      <w:numFmt w:val="lowerRoman"/>
      <w:start w:val="2"/>
    </w:lvl>
  </w:abstractNum>
  <w:abstractNum w:abstractNumId="462">
    <w:nsid w:val="533A7CFD"/>
    <w:multiLevelType w:val="hybridMultilevel"/>
    <w:lvl w:ilvl="0">
      <w:lvlJc w:val="left"/>
      <w:lvlText w:val="[***]"/>
      <w:numFmt w:val="bullet"/>
      <w:start w:val="1"/>
    </w:lvl>
    <w:lvl w:ilvl="1">
      <w:lvlJc w:val="left"/>
      <w:lvlText w:val="(%2)"/>
      <w:numFmt w:val="lowerRoman"/>
      <w:start w:val="3"/>
    </w:lvl>
  </w:abstractNum>
  <w:abstractNum w:abstractNumId="463">
    <w:nsid w:val="5A7ED215"/>
    <w:multiLevelType w:val="hybridMultilevel"/>
    <w:lvl w:ilvl="0">
      <w:lvlJc w:val="left"/>
      <w:lvlText w:val="[***]"/>
      <w:numFmt w:val="bullet"/>
      <w:start w:val="1"/>
    </w:lvl>
    <w:lvl w:ilvl="1">
      <w:lvlJc w:val="left"/>
      <w:lvlText w:val="(%2)"/>
      <w:numFmt w:val="lowerLetter"/>
      <w:start w:val="5"/>
    </w:lvl>
  </w:abstractNum>
  <w:abstractNum w:abstractNumId="464">
    <w:nsid w:val="777250E7"/>
    <w:multiLevelType w:val="hybridMultilevel"/>
    <w:lvl w:ilvl="0">
      <w:lvlJc w:val="left"/>
      <w:lvlText w:val="(%1)"/>
      <w:numFmt w:val="lowerLetter"/>
      <w:start w:val="1"/>
    </w:lvl>
  </w:abstractNum>
  <w:abstractNum w:abstractNumId="465">
    <w:nsid w:val="B726ED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466">
    <w:nsid w:val="365EFC5A"/>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467">
    <w:nsid w:val="41A8106C"/>
    <w:multiLevelType w:val="hybridMultilevel"/>
    <w:lvl w:ilvl="0">
      <w:lvlJc w:val="left"/>
      <w:lvlText w:val="(%1)"/>
      <w:numFmt w:val="lowerRoman"/>
      <w:start w:val="2"/>
    </w:lvl>
  </w:abstractNum>
  <w:abstractNum w:abstractNumId="468">
    <w:nsid w:val="3FB97188"/>
    <w:multiLevelType w:val="hybridMultilevel"/>
    <w:lvl w:ilvl="0">
      <w:lvlJc w:val="left"/>
      <w:lvlText w:val="(%1)"/>
      <w:numFmt w:val="lowerLetter"/>
      <w:start w:val="1"/>
    </w:lvl>
  </w:abstractNum>
  <w:abstractNum w:abstractNumId="469">
    <w:nsid w:val="382EA874"/>
    <w:multiLevelType w:val="hybridMultilevel"/>
    <w:lvl w:ilvl="0">
      <w:lvlJc w:val="left"/>
      <w:lvlText w:val="(%1)"/>
      <w:numFmt w:val="lowerLetter"/>
      <w:start w:val="3"/>
    </w:lvl>
  </w:abstractNum>
  <w:abstractNum w:abstractNumId="470">
    <w:nsid w:val="21856507"/>
    <w:multiLevelType w:val="hybridMultilevel"/>
    <w:lvl w:ilvl="0">
      <w:lvlJc w:val="left"/>
      <w:lvlText w:val="(%1)"/>
      <w:numFmt w:val="lowerLetter"/>
      <w:start w:val="1"/>
    </w:lvl>
  </w:abstractNum>
  <w:abstractNum w:abstractNumId="471">
    <w:nsid w:val="78B6E49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72">
    <w:nsid w:val="B1595B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473">
    <w:nsid w:val="25670D6B"/>
    <w:multiLevelType w:val="hybridMultilevel"/>
    <w:lvl w:ilvl="0">
      <w:lvlJc w:val="left"/>
      <w:lvlText w:val="%1"/>
      <w:numFmt w:val="lowerLetter"/>
      <w:start w:val="1"/>
    </w:lvl>
    <w:lvl w:ilvl="1">
      <w:lvlJc w:val="left"/>
      <w:lvlText w:val="(%2)"/>
      <w:numFmt w:val="lowerRoman"/>
      <w:start w:val="4"/>
    </w:lvl>
  </w:abstractNum>
  <w:abstractNum w:abstractNumId="474">
    <w:nsid w:val="5FE6C53F"/>
    <w:multiLevelType w:val="hybridMultilevel"/>
    <w:lvl w:ilvl="0">
      <w:lvlJc w:val="left"/>
      <w:lvlText w:val="(%1)"/>
      <w:numFmt w:val="lowerLetter"/>
      <w:start w:val="2"/>
    </w:lvl>
    <w:lvl w:ilvl="1">
      <w:lvlJc w:val="left"/>
      <w:lvlText w:val="%2"/>
      <w:numFmt w:val="lowerRoman"/>
      <w:start w:val="1"/>
    </w:lvl>
  </w:abstractNum>
  <w:abstractNum w:abstractNumId="475">
    <w:nsid w:val="3CAE14FE"/>
    <w:multiLevelType w:val="hybridMultilevel"/>
    <w:lvl w:ilvl="0">
      <w:lvlJc w:val="left"/>
      <w:lvlText w:val="(%1)"/>
      <w:numFmt w:val="lowerLetter"/>
      <w:start w:val="1"/>
    </w:lvl>
    <w:lvl w:ilvl="1">
      <w:lvlJc w:val="left"/>
      <w:lvlText w:val="(%2)"/>
      <w:numFmt w:val="lowerRoman"/>
      <w:start w:val="1"/>
    </w:lvl>
  </w:abstractNum>
  <w:abstractNum w:abstractNumId="476">
    <w:nsid w:val="6E27B56B"/>
    <w:multiLevelType w:val="hybridMultilevel"/>
    <w:lvl w:ilvl="0">
      <w:lvlJc w:val="left"/>
      <w:lvlText w:val="(%1)"/>
      <w:numFmt w:val="lowerRoman"/>
      <w:start w:val="3"/>
    </w:lvl>
  </w:abstractNum>
  <w:abstractNum w:abstractNumId="477">
    <w:nsid w:val="66FE7765"/>
    <w:multiLevelType w:val="hybridMultilevel"/>
    <w:lvl w:ilvl="0">
      <w:lvlJc w:val="left"/>
      <w:lvlText w:val="(%1)"/>
      <w:numFmt w:val="lowerRoman"/>
      <w:start w:val="5"/>
    </w:lvl>
    <w:lvl w:ilvl="1">
      <w:lvlJc w:val="left"/>
      <w:lvlText w:val="(%2)"/>
      <w:numFmt w:val="decimal"/>
      <w:start w:val="1"/>
    </w:lvl>
  </w:abstractNum>
  <w:abstractNum w:abstractNumId="478">
    <w:nsid w:val="41123F79"/>
    <w:multiLevelType w:val="hybridMultilevel"/>
    <w:lvl w:ilvl="0">
      <w:lvlJc w:val="left"/>
      <w:lvlText w:val="(%1)"/>
      <w:numFmt w:val="lowerLetter"/>
      <w:start w:val="3"/>
    </w:lvl>
  </w:abstractNum>
  <w:abstractNum w:abstractNumId="479">
    <w:nsid w:val="514FBE5A"/>
    <w:multiLevelType w:val="hybridMultilevel"/>
    <w:lvl w:ilvl="0">
      <w:lvlJc w:val="left"/>
      <w:lvlText w:val="[***]"/>
      <w:numFmt w:val="bullet"/>
      <w:start w:val="1"/>
    </w:lvl>
  </w:abstractNum>
  <w:abstractNum w:abstractNumId="480">
    <w:nsid w:val="4C68ED90"/>
    <w:multiLevelType w:val="hybridMultilevel"/>
    <w:lvl w:ilvl="0">
      <w:lvlJc w:val="left"/>
      <w:lvlText w:val="(%1)"/>
      <w:numFmt w:val="lowerLetter"/>
      <w:start w:val="1"/>
    </w:lvl>
  </w:abstractNum>
  <w:abstractNum w:abstractNumId="481">
    <w:nsid w:val="45BECE3C"/>
    <w:multiLevelType w:val="hybridMultilevel"/>
    <w:lvl w:ilvl="0">
      <w:lvlJc w:val="left"/>
      <w:lvlText w:val="(%1)"/>
      <w:numFmt w:val="lowerLetter"/>
      <w:start w:val="1"/>
    </w:lvl>
    <w:lvl w:ilvl="1">
      <w:lvlJc w:val="left"/>
      <w:lvlText w:val="(%2)"/>
      <w:numFmt w:val="lowerLetter"/>
      <w:start w:val="2"/>
    </w:lvl>
  </w:abstractNum>
  <w:abstractNum w:abstractNumId="482">
    <w:nsid w:val="1660D468"/>
    <w:multiLevelType w:val="hybridMultilevel"/>
    <w:lvl w:ilvl="0">
      <w:lvlJc w:val="left"/>
      <w:lvlText w:val="(%1)"/>
      <w:numFmt w:val="lowerLetter"/>
      <w:start w:val="1"/>
    </w:lvl>
  </w:abstractNum>
  <w:abstractNum w:abstractNumId="483">
    <w:nsid w:val="7690CBA1"/>
    <w:multiLevelType w:val="hybridMultilevel"/>
    <w:lvl w:ilvl="0">
      <w:lvlJc w:val="left"/>
      <w:lvlText w:val="(%1)"/>
      <w:numFmt w:val="lowerLetter"/>
      <w:start w:val="1"/>
    </w:lvl>
  </w:abstractNum>
  <w:abstractNum w:abstractNumId="484">
    <w:nsid w:val="7CBC5FD3"/>
    <w:multiLevelType w:val="hybridMultilevel"/>
    <w:lvl w:ilvl="0">
      <w:lvlJc w:val="left"/>
      <w:lvlText w:val="(%1)"/>
      <w:numFmt w:val="lowerLetter"/>
      <w:start w:val="6"/>
    </w:lvl>
  </w:abstractNum>
  <w:abstractNum w:abstractNumId="485">
    <w:nsid w:val="19076430"/>
    <w:multiLevelType w:val="hybridMultilevel"/>
    <w:lvl w:ilvl="0">
      <w:lvlJc w:val="left"/>
      <w:lvlText w:val="§"/>
      <w:numFmt w:val="bullet"/>
      <w:start w:val="1"/>
    </w:lvl>
    <w:lvl w:ilvl="1">
      <w:lvlJc w:val="left"/>
      <w:lvlText w:val="(%2)"/>
      <w:numFmt w:val="lowerLetter"/>
      <w:start w:val="1"/>
    </w:lvl>
  </w:abstractNum>
  <w:abstractNum w:abstractNumId="486">
    <w:nsid w:val="2B85F5C4"/>
    <w:multiLevelType w:val="hybridMultilevel"/>
    <w:lvl w:ilvl="0">
      <w:lvlJc w:val="left"/>
      <w:lvlText w:val="(%1)"/>
      <w:numFmt w:val="lowerLetter"/>
      <w:start w:val="1"/>
    </w:lvl>
  </w:abstractNum>
  <w:abstractNum w:abstractNumId="487">
    <w:nsid w:val="44D20939"/>
    <w:multiLevelType w:val="hybridMultilevel"/>
    <w:lvl w:ilvl="0">
      <w:lvlJc w:val="left"/>
      <w:lvlText w:val="(%1)"/>
      <w:numFmt w:val="lowerLetter"/>
      <w:start w:val="1"/>
    </w:lvl>
  </w:abstractNum>
  <w:abstractNum w:abstractNumId="488">
    <w:nsid w:val="1276A960"/>
    <w:multiLevelType w:val="hybridMultilevel"/>
    <w:lvl w:ilvl="0">
      <w:lvlJc w:val="left"/>
      <w:lvlText w:val="(%1)"/>
      <w:numFmt w:val="lowerLetter"/>
      <w:start w:val="2"/>
    </w:lvl>
  </w:abstractNum>
  <w:abstractNum w:abstractNumId="489">
    <w:nsid w:val="1B479698"/>
    <w:multiLevelType w:val="hybridMultilevel"/>
    <w:lvl w:ilvl="0">
      <w:lvlJc w:val="left"/>
      <w:lvlText w:val="(%1)"/>
      <w:numFmt w:val="lowerRoman"/>
      <w:start w:val="1"/>
    </w:lvl>
  </w:abstractNum>
  <w:abstractNum w:abstractNumId="490">
    <w:nsid w:val="6572CF1B"/>
    <w:multiLevelType w:val="hybridMultilevel"/>
    <w:lvl w:ilvl="0">
      <w:lvlJc w:val="left"/>
      <w:lvlText w:val="(%1)"/>
      <w:numFmt w:val="lowerRoman"/>
      <w:start w:val="5"/>
    </w:lvl>
  </w:abstractNum>
  <w:abstractNum w:abstractNumId="491">
    <w:nsid w:val="6E4E1C1B"/>
    <w:multiLevelType w:val="hybridMultilevel"/>
    <w:lvl w:ilvl="0">
      <w:lvlJc w:val="left"/>
      <w:lvlText w:val="(%1)"/>
      <w:numFmt w:val="lowerLetter"/>
      <w:start w:val="1"/>
    </w:lvl>
  </w:abstractNum>
  <w:abstractNum w:abstractNumId="492">
    <w:nsid w:val="4E784887"/>
    <w:multiLevelType w:val="hybridMultilevel"/>
    <w:lvl w:ilvl="0">
      <w:lvlJc w:val="left"/>
      <w:lvlText w:val="(%1)"/>
      <w:numFmt w:val="lowerLetter"/>
      <w:start w:val="1"/>
    </w:lvl>
  </w:abstractNum>
  <w:abstractNum w:abstractNumId="493">
    <w:nsid w:val="38AD4C18"/>
    <w:multiLevelType w:val="hybridMultilevel"/>
    <w:lvl w:ilvl="0">
      <w:lvlJc w:val="left"/>
      <w:lvlText w:val="(%1)"/>
      <w:numFmt w:val="lowerLetter"/>
      <w:start w:val="4"/>
    </w:lvl>
  </w:abstractNum>
  <w:abstractNum w:abstractNumId="494">
    <w:nsid w:val="48CCEE31"/>
    <w:multiLevelType w:val="hybridMultilevel"/>
    <w:lvl w:ilvl="0">
      <w:lvlJc w:val="left"/>
      <w:lvlText w:val="(%1)"/>
      <w:numFmt w:val="lowerLetter"/>
      <w:start w:val="1"/>
    </w:lvl>
  </w:abstractNum>
  <w:abstractNum w:abstractNumId="495">
    <w:nsid w:val="45EA996E"/>
    <w:multiLevelType w:val="hybridMultilevel"/>
    <w:lvl w:ilvl="0">
      <w:lvlJc w:val="left"/>
      <w:lvlText w:val="(%1)"/>
      <w:numFmt w:val="decimal"/>
      <w:start w:val="1"/>
    </w:lvl>
  </w:abstractNum>
  <w:abstractNum w:abstractNumId="496">
    <w:nsid w:val="441FBAF4"/>
    <w:multiLevelType w:val="hybridMultilevel"/>
    <w:lvl w:ilvl="0">
      <w:lvlJc w:val="left"/>
      <w:lvlText w:val="(%1)"/>
      <w:numFmt w:val="lowerLetter"/>
      <w:start w:val="1"/>
    </w:lvl>
  </w:abstractNum>
  <w:abstractNum w:abstractNumId="497">
    <w:nsid w:val="7F2BEA8B"/>
    <w:multiLevelType w:val="hybridMultilevel"/>
    <w:lvl w:ilvl="0">
      <w:lvlJc w:val="left"/>
      <w:lvlText w:val="["/>
      <w:numFmt w:val="bullet"/>
      <w:start w:val="1"/>
    </w:lvl>
  </w:abstractNum>
  <w:abstractNum w:abstractNumId="498">
    <w:nsid w:val="792A9DB"/>
    <w:multiLevelType w:val="hybridMultilevel"/>
    <w:lvl w:ilvl="0">
      <w:lvlJc w:val="left"/>
      <w:lvlText w:val="%1."/>
      <w:numFmt w:val="decimal"/>
      <w:start w:val="1"/>
    </w:lvl>
    <w:lvl w:ilvl="1">
      <w:lvlJc w:val="left"/>
      <w:lvlText w:val="%2)"/>
      <w:numFmt w:val="lowerLetter"/>
      <w:start w:val="1"/>
    </w:lvl>
  </w:abstractNum>
  <w:abstractNum w:abstractNumId="499">
    <w:nsid w:val="3D92C7D"/>
    <w:multiLevelType w:val="hybridMultilevel"/>
    <w:lvl w:ilvl="0">
      <w:lvlJc w:val="left"/>
      <w:lvlText w:val="["/>
      <w:numFmt w:val="bullet"/>
      <w:start w:val="1"/>
    </w:lvl>
  </w:abstractNum>
  <w:abstractNum w:abstractNumId="500">
    <w:nsid w:val="375A92FF"/>
    <w:multiLevelType w:val="hybridMultilevel"/>
    <w:lvl w:ilvl="0">
      <w:lvlJc w:val="left"/>
      <w:lvlText w:val="%1"/>
      <w:numFmt w:val="decimal"/>
      <w:start w:val="1"/>
    </w:lvl>
    <w:lvl w:ilvl="1">
      <w:lvlJc w:val="left"/>
      <w:lvlText w:val="%2)"/>
      <w:numFmt w:val="lowerLetter"/>
      <w:start w:val="4"/>
    </w:lvl>
  </w:abstractNum>
  <w:abstractNum w:abstractNumId="501">
    <w:nsid w:val="29180EE2"/>
    <w:multiLevelType w:val="hybridMultilevel"/>
    <w:lvl w:ilvl="0">
      <w:lvlJc w:val="left"/>
      <w:lvlText w:val="%1."/>
      <w:numFmt w:val="decimal"/>
      <w:start w:val="3"/>
    </w:lvl>
    <w:lvl w:ilvl="1">
      <w:lvlJc w:val="left"/>
      <w:lvlText w:val="%2)"/>
      <w:numFmt w:val="lowerLetter"/>
      <w:start w:val="1"/>
    </w:lvl>
  </w:abstractNum>
  <w:abstractNum w:abstractNumId="502">
    <w:nsid w:val="7C901113"/>
    <w:multiLevelType w:val="hybridMultilevel"/>
    <w:lvl w:ilvl="0">
      <w:lvlJc w:val="left"/>
      <w:lvlText w:val="%1."/>
      <w:numFmt w:val="decimal"/>
      <w:start w:val="6"/>
    </w:lvl>
  </w:abstractNum>
  <w:abstractNum w:abstractNumId="503">
    <w:nsid w:val="427028B0"/>
    <w:multiLevelType w:val="hybridMultilevel"/>
    <w:lvl w:ilvl="0">
      <w:lvlJc w:val="left"/>
      <w:lvlText w:val="["/>
      <w:numFmt w:val="bullet"/>
      <w:start w:val="1"/>
    </w:lvl>
  </w:abstractNum>
  <w:abstractNum w:abstractNumId="504">
    <w:nsid w:val="4E7F1C4D"/>
    <w:multiLevelType w:val="hybridMultilevel"/>
    <w:lvl w:ilvl="0">
      <w:lvlJc w:val="left"/>
      <w:lvlText w:val="[***]"/>
      <w:numFmt w:val="bullet"/>
      <w:start w:val="1"/>
    </w:lvl>
  </w:abstractNum>
  <w:abstractNum w:abstractNumId="505">
    <w:nsid w:val="5C76D652"/>
    <w:multiLevelType w:val="hybridMultilevel"/>
    <w:lvl w:ilvl="0">
      <w:lvlJc w:val="left"/>
      <w:lvlText w:val="%1."/>
      <w:numFmt w:val="decimal"/>
      <w:start w:val="1"/>
    </w:lvl>
  </w:abstractNum>
  <w:abstractNum w:abstractNumId="506">
    <w:nsid w:val="7F1E3DAE"/>
    <w:multiLevelType w:val="hybridMultilevel"/>
    <w:lvl w:ilvl="0">
      <w:lvlJc w:val="left"/>
      <w:lvlText w:val="%1."/>
      <w:numFmt w:val="decimal"/>
      <w:start w:val="2"/>
    </w:lvl>
  </w:abstractNum>
  <w:abstractNum w:abstractNumId="507">
    <w:nsid w:val="3CA6D1B9"/>
    <w:multiLevelType w:val="hybridMultilevel"/>
    <w:lvl w:ilvl="0">
      <w:lvlJc w:val="left"/>
      <w:lvlText w:val="%1."/>
      <w:numFmt w:val="decimal"/>
      <w:start w:val="2"/>
    </w:lvl>
    <w:lvl w:ilvl="1">
      <w:lvlJc w:val="left"/>
      <w:lvlText w:val="[***]"/>
      <w:numFmt w:val="bullet"/>
      <w:start w:val="1"/>
    </w:lvl>
  </w:abstractNum>
  <w:abstractNum w:abstractNumId="508">
    <w:nsid w:val="43754DB7"/>
    <w:multiLevelType w:val="hybridMultilevel"/>
    <w:lvl w:ilvl="0">
      <w:lvlJc w:val="left"/>
      <w:lvlText w:val="%1."/>
      <w:numFmt w:val="decimal"/>
      <w:start w:val="4"/>
    </w:lvl>
    <w:lvl w:ilvl="1">
      <w:lvlJc w:val="left"/>
      <w:lvlText w:val="(%2)"/>
      <w:numFmt w:val="lowerLetter"/>
      <w:start w:val="1"/>
    </w:lvl>
  </w:abstractNum>
  <w:abstractNum w:abstractNumId="509">
    <w:nsid w:val="40307D27"/>
    <w:multiLevelType w:val="hybridMultilevel"/>
    <w:lvl w:ilvl="0">
      <w:lvlJc w:val="left"/>
      <w:lvlText w:val="%1."/>
      <w:numFmt w:val="decimal"/>
      <w:start w:val="5"/>
    </w:lvl>
  </w:abstractNum>
  <w:abstractNum w:abstractNumId="510">
    <w:nsid w:val="DF69013"/>
    <w:multiLevelType w:val="hybridMultilevel"/>
    <w:lvl w:ilvl="0">
      <w:lvlJc w:val="left"/>
      <w:lvlText w:val="%1."/>
      <w:numFmt w:val="decimal"/>
      <w:start w:val="7"/>
    </w:lvl>
  </w:abstractNum>
  <w:abstractNum w:abstractNumId="511">
    <w:nsid w:val="FDE3B47"/>
    <w:multiLevelType w:val="hybridMultilevel"/>
    <w:lvl w:ilvl="0">
      <w:lvlJc w:val="left"/>
      <w:lvlText w:val="%1."/>
      <w:numFmt w:val="decimal"/>
      <w:start w:val="8"/>
    </w:lvl>
  </w:abstractNum>
  <w:abstractNum w:abstractNumId="512">
    <w:nsid w:val="5EF4B64"/>
    <w:multiLevelType w:val="hybridMultilevel"/>
    <w:lvl w:ilvl="0">
      <w:lvlJc w:val="left"/>
      <w:lvlText w:val="%1."/>
      <w:numFmt w:val="decimal"/>
      <w:start w:val="9"/>
    </w:lvl>
  </w:abstractNum>
  <w:abstractNum w:abstractNumId="513">
    <w:nsid w:val="2457647B"/>
    <w:multiLevelType w:val="hybridMultilevel"/>
    <w:lvl w:ilvl="0">
      <w:lvlJc w:val="left"/>
      <w:lvlText w:val="%1."/>
      <w:numFmt w:val="decimal"/>
      <w:start w:val="10"/>
    </w:lvl>
  </w:abstractNum>
  <w:abstractNum w:abstractNumId="514">
    <w:nsid w:val="66F06E9"/>
    <w:multiLevelType w:val="hybridMultilevel"/>
    <w:lvl w:ilvl="0">
      <w:lvlJc w:val="left"/>
      <w:lvlText w:val="%1."/>
      <w:numFmt w:val="decimal"/>
      <w:start w:val="11"/>
    </w:lvl>
  </w:abstractNum>
  <w:abstractNum w:abstractNumId="515">
    <w:nsid w:val="2ABAB37"/>
    <w:multiLevelType w:val="hybridMultilevel"/>
    <w:lvl w:ilvl="0">
      <w:lvlJc w:val="left"/>
      <w:lvlText w:val="%1."/>
      <w:numFmt w:val="decimal"/>
      <w:start w:val="12"/>
    </w:lvl>
  </w:abstractNum>
  <w:abstractNum w:abstractNumId="516">
    <w:nsid w:val="3D5EC8AB"/>
    <w:multiLevelType w:val="hybridMultilevel"/>
    <w:lvl w:ilvl="0">
      <w:lvlJc w:val="left"/>
      <w:lvlText w:val="%1."/>
      <w:numFmt w:val="decimal"/>
      <w:start w:val="13"/>
    </w:lvl>
  </w:abstractNum>
  <w:abstractNum w:abstractNumId="517">
    <w:nsid w:val="31F4FCAD"/>
    <w:multiLevelType w:val="hybridMultilevel"/>
    <w:lvl w:ilvl="0">
      <w:lvlJc w:val="left"/>
      <w:lvlText w:val="%1."/>
      <w:numFmt w:val="decimal"/>
      <w:start w:val="16"/>
    </w:lvl>
  </w:abstractNum>
  <w:abstractNum w:abstractNumId="518">
    <w:nsid w:val="477DB470"/>
    <w:multiLevelType w:val="hybridMultilevel"/>
    <w:lvl w:ilvl="0">
      <w:lvlJc w:val="left"/>
      <w:lvlText w:val="%1."/>
      <w:numFmt w:val="decimal"/>
      <w:start w:val="19"/>
    </w:lvl>
    <w:lvl w:ilvl="1">
      <w:lvlJc w:val="left"/>
      <w:lvlText w:val="(%2)"/>
      <w:numFmt w:val="lowerLetter"/>
      <w:start w:val="1"/>
    </w:lvl>
  </w:abstractNum>
  <w:abstractNum w:abstractNumId="519">
    <w:nsid w:val="4FD5720B"/>
    <w:multiLevelType w:val="hybridMultilevel"/>
    <w:lvl w:ilvl="0">
      <w:lvlJc w:val="left"/>
      <w:lvlText w:val="(%1)"/>
      <w:numFmt w:val="lowerLetter"/>
      <w:start w:val="2"/>
    </w:lvl>
  </w:abstractNum>
  <w:abstractNum w:abstractNumId="520">
    <w:nsid w:val="4D3C9346"/>
    <w:multiLevelType w:val="hybridMultilevel"/>
    <w:lvl w:ilvl="0">
      <w:lvlJc w:val="left"/>
      <w:lvlText w:val="%1"/>
      <w:numFmt w:val="decimal"/>
      <w:start w:val="1"/>
    </w:lvl>
    <w:lvl w:ilvl="1">
      <w:lvlJc w:val="left"/>
      <w:lvlText w:val="(%2)"/>
      <w:numFmt w:val="lowerLetter"/>
      <w:start w:val="3"/>
    </w:lvl>
  </w:abstractNum>
  <w:abstractNum w:abstractNumId="521">
    <w:nsid w:val="2CF0838B"/>
    <w:multiLevelType w:val="hybridMultilevel"/>
    <w:lvl w:ilvl="0">
      <w:lvlJc w:val="left"/>
      <w:lvlText w:val="%1."/>
      <w:numFmt w:val="decimal"/>
      <w:start w:val="20"/>
    </w:lvl>
    <w:lvl w:ilvl="1">
      <w:lvlJc w:val="left"/>
      <w:lvlText w:val="%2"/>
      <w:numFmt w:val="lowerLetter"/>
      <w:start w:val="1"/>
    </w:lvl>
  </w:abstractNum>
  <w:abstractNum w:abstractNumId="522">
    <w:nsid w:val="3E238E27"/>
    <w:multiLevelType w:val="hybridMultilevel"/>
    <w:lvl w:ilvl="0">
      <w:lvlJc w:val="left"/>
      <w:lvlText w:val="%1."/>
      <w:numFmt w:val="decimal"/>
      <w:start w:val="21"/>
    </w:lvl>
  </w:abstractNum>
  <w:abstractNum w:abstractNumId="523">
    <w:nsid w:val="1BB4DBCD"/>
    <w:multiLevelType w:val="hybridMultilevel"/>
    <w:lvl w:ilvl="0">
      <w:lvlJc w:val="left"/>
      <w:lvlText w:val="%1."/>
      <w:numFmt w:val="decimal"/>
      <w:start w:val="22"/>
    </w:lvl>
  </w:abstractNum>
  <w:abstractNum w:abstractNumId="524">
    <w:nsid w:val="659DCFA3"/>
    <w:multiLevelType w:val="hybridMultilevel"/>
    <w:lvl w:ilvl="0">
      <w:lvlJc w:val="left"/>
      <w:lvlText w:val="[***]"/>
      <w:numFmt w:val="bullet"/>
      <w:start w:val="1"/>
    </w:lvl>
  </w:abstractNum>
  <w:abstractNum w:abstractNumId="525">
    <w:nsid w:val="6F07C58"/>
    <w:multiLevelType w:val="hybridMultilevel"/>
    <w:lvl w:ilvl="0">
      <w:lvlJc w:val="left"/>
      <w:lvlText w:val="%1."/>
      <w:numFmt w:val="decimal"/>
      <w:start w:val="1"/>
    </w:lvl>
  </w:abstractNum>
  <w:abstractNum w:abstractNumId="526">
    <w:nsid w:val="619F753B"/>
    <w:multiLevelType w:val="hybridMultilevel"/>
    <w:lvl w:ilvl="0">
      <w:lvlJc w:val="left"/>
      <w:lvlText w:val="%1."/>
      <w:numFmt w:val="decimal"/>
      <w:start w:val="2"/>
    </w:lvl>
  </w:abstractNum>
  <w:abstractNum w:abstractNumId="527">
    <w:nsid w:val="29BD8A97"/>
    <w:multiLevelType w:val="hybridMultilevel"/>
    <w:lvl w:ilvl="0">
      <w:lvlJc w:val="left"/>
      <w:lvlText w:val="%1."/>
      <w:numFmt w:val="decimal"/>
      <w:start w:val="3"/>
    </w:lvl>
  </w:abstractNum>
  <w:abstractNum w:abstractNumId="528">
    <w:nsid w:val="61C66E3"/>
    <w:multiLevelType w:val="hybridMultilevel"/>
    <w:lvl w:ilvl="0">
      <w:lvlJc w:val="left"/>
      <w:lvlText w:val="%1."/>
      <w:numFmt w:val="decimal"/>
      <w:start w:val="7"/>
    </w:lvl>
  </w:abstractNum>
  <w:abstractNum w:abstractNumId="529">
    <w:nsid w:val="69321F16"/>
    <w:multiLevelType w:val="hybridMultilevel"/>
    <w:lvl w:ilvl="0">
      <w:lvlJc w:val="left"/>
      <w:lvlText w:val="%1."/>
      <w:numFmt w:val="decimal"/>
      <w:start w:val="1"/>
    </w:lvl>
  </w:abstractNum>
  <w:abstractNum w:abstractNumId="530">
    <w:nsid w:val="2D96B714"/>
    <w:multiLevelType w:val="hybridMultilevel"/>
    <w:lvl w:ilvl="0">
      <w:lvlJc w:val="left"/>
      <w:lvlText w:val="%1."/>
      <w:numFmt w:val="decimal"/>
      <w:start w:val="2"/>
    </w:lvl>
  </w:abstractNum>
  <w:abstractNum w:abstractNumId="531">
    <w:nsid w:val="3D76F9E2"/>
    <w:multiLevelType w:val="hybridMultilevel"/>
    <w:lvl w:ilvl="0">
      <w:lvlJc w:val="left"/>
      <w:lvlText w:val="%1."/>
      <w:numFmt w:val="decimal"/>
      <w:start w:val="3"/>
    </w:lvl>
  </w:abstractNum>
  <w:abstractNum w:abstractNumId="532">
    <w:nsid w:val="124A2DF8"/>
    <w:multiLevelType w:val="hybridMultilevel"/>
    <w:lvl w:ilvl="0">
      <w:lvlJc w:val="left"/>
      <w:lvlText w:val="[***]"/>
      <w:numFmt w:val="bullet"/>
      <w:start w:val="1"/>
    </w:lvl>
  </w:abstractNum>
  <w:abstractNum w:abstractNumId="533">
    <w:nsid w:val="2A26C828"/>
    <w:multiLevelType w:val="hybridMultilevel"/>
    <w:lvl w:ilvl="0">
      <w:lvlJc w:val="left"/>
      <w:lvlText w:val="%1."/>
      <w:numFmt w:val="decimal"/>
      <w:start w:val="1"/>
    </w:lvl>
  </w:abstractNum>
  <w:abstractNum w:abstractNumId="534">
    <w:nsid w:val="7FE72292"/>
    <w:multiLevelType w:val="hybridMultilevel"/>
    <w:lvl w:ilvl="0">
      <w:lvlJc w:val="left"/>
      <w:lvlText w:val="%1."/>
      <w:numFmt w:val="decimal"/>
      <w:start w:val="2"/>
    </w:lvl>
  </w:abstractNum>
  <w:abstractNum w:abstractNumId="535">
    <w:nsid w:val="60C94A46"/>
    <w:multiLevelType w:val="hybridMultilevel"/>
    <w:lvl w:ilvl="0">
      <w:lvlJc w:val="left"/>
      <w:lvlText w:val="%1."/>
      <w:numFmt w:val="decimal"/>
      <w:start w:val="3"/>
    </w:lvl>
  </w:abstractNum>
  <w:abstractNum w:abstractNumId="536">
    <w:nsid w:val="69D9E7A"/>
    <w:multiLevelType w:val="hybridMultilevel"/>
    <w:lvl w:ilvl="0">
      <w:lvlJc w:val="left"/>
      <w:lvlText w:val="%1."/>
      <w:numFmt w:val="decimal"/>
      <w:start w:val="4"/>
    </w:lvl>
  </w:abstractNum>
  <w:abstractNum w:abstractNumId="537">
    <w:nsid w:val="7F056040"/>
    <w:multiLevelType w:val="hybridMultilevel"/>
    <w:lvl w:ilvl="0">
      <w:lvlJc w:val="left"/>
      <w:lvlText w:val="[***]"/>
      <w:numFmt w:val="bullet"/>
      <w:start w:val="1"/>
    </w:lvl>
  </w:abstractNum>
  <w:abstractNum w:abstractNumId="538">
    <w:nsid w:val="1D701BFF"/>
    <w:multiLevelType w:val="hybridMultilevel"/>
    <w:lvl w:ilvl="0">
      <w:lvlJc w:val="left"/>
      <w:lvlText w:val="(%1)"/>
      <w:numFmt w:val="lowerLetter"/>
      <w:start w:val="1"/>
    </w:lvl>
  </w:abstractNum>
  <w:abstractNum w:abstractNumId="539">
    <w:nsid w:val="4A12EC32"/>
    <w:multiLevelType w:val="hybridMultilevel"/>
    <w:lvl w:ilvl="0">
      <w:lvlJc w:val="left"/>
      <w:lvlText w:val="(%1)"/>
      <w:numFmt w:val="lowerLetter"/>
      <w:start w:val="1"/>
    </w:lvl>
  </w:abstractNum>
  <w:abstractNum w:abstractNumId="540">
    <w:nsid w:val="3F35DD67"/>
    <w:multiLevelType w:val="hybridMultilevel"/>
    <w:lvl w:ilvl="0">
      <w:lvlJc w:val="left"/>
      <w:lvlText w:val="(%1)"/>
      <w:numFmt w:val="lowerLetter"/>
      <w:start w:val="3"/>
    </w:lvl>
  </w:abstractNum>
  <w:abstractNum w:abstractNumId="541">
    <w:nsid w:val="2B66AC12"/>
    <w:multiLevelType w:val="hybridMultilevel"/>
    <w:lvl w:ilvl="0">
      <w:lvlJc w:val="left"/>
      <w:lvlText w:val="(%1)"/>
      <w:numFmt w:val="lowerLetter"/>
      <w:start w:val="1"/>
    </w:lvl>
  </w:abstractNum>
  <w:abstractNum w:abstractNumId="542">
    <w:nsid w:val="59F12779"/>
    <w:multiLevelType w:val="hybridMultilevel"/>
    <w:lvl w:ilvl="0">
      <w:lvlJc w:val="left"/>
      <w:lvlText w:val="(%1)"/>
      <w:numFmt w:val="lowerLetter"/>
      <w:start w:val="2"/>
    </w:lvl>
  </w:abstractNum>
  <w:abstractNum w:abstractNumId="543">
    <w:nsid w:val="452528CB"/>
    <w:multiLevelType w:val="hybridMultilevel"/>
    <w:lvl w:ilvl="0">
      <w:lvlJc w:val="left"/>
      <w:lvlText w:val="(%1)"/>
      <w:numFmt w:val="lowerLetter"/>
      <w:start w:val="1"/>
    </w:lvl>
  </w:abstractNum>
  <w:abstractNum w:abstractNumId="544">
    <w:nsid w:val="4FBE108E"/>
    <w:multiLevelType w:val="hybridMultilevel"/>
    <w:lvl w:ilvl="0">
      <w:lvlJc w:val="left"/>
      <w:lvlText w:val="(%1)"/>
      <w:numFmt w:val="lowerLetter"/>
      <w:start w:val="1"/>
    </w:lvl>
  </w:abstractNum>
  <w:abstractNum w:abstractNumId="545">
    <w:nsid w:val="60602E62"/>
    <w:multiLevelType w:val="hybridMultilevel"/>
    <w:lvl w:ilvl="0">
      <w:lvlJc w:val="left"/>
      <w:lvlText w:val="(%1)"/>
      <w:numFmt w:val="lowerLetter"/>
      <w:start w:val="3"/>
    </w:lvl>
    <w:lvl w:ilvl="1">
      <w:lvlJc w:val="left"/>
      <w:lvlText w:val="(%2)"/>
      <w:numFmt w:val="lowerRoman"/>
      <w:start w:val="1"/>
    </w:lvl>
  </w:abstractNum>
  <w:abstractNum w:abstractNumId="546">
    <w:nsid w:val="47D0D402"/>
    <w:multiLevelType w:val="hybridMultilevel"/>
    <w:lvl w:ilvl="0">
      <w:lvlJc w:val="left"/>
      <w:lvlText w:val="%1"/>
      <w:numFmt w:val="lowerLetter"/>
      <w:start w:val="1"/>
    </w:lvl>
    <w:lvl w:ilvl="1">
      <w:lvlJc w:val="left"/>
      <w:lvlText w:val="(%2)"/>
      <w:numFmt w:val="lowerRoman"/>
      <w:start w:val="13"/>
    </w:lvl>
  </w:abstractNum>
  <w:abstractNum w:abstractNumId="547">
    <w:nsid w:val="D1CD939"/>
    <w:multiLevelType w:val="hybridMultilevel"/>
    <w:lvl w:ilvl="0">
      <w:lvlJc w:val="left"/>
      <w:lvlText w:val="(%1)"/>
      <w:numFmt w:val="lowerLetter"/>
      <w:start w:val="4"/>
    </w:lvl>
    <w:lvl w:ilvl="1">
      <w:lvlJc w:val="left"/>
      <w:lvlText w:val="%2"/>
      <w:numFmt w:val="lowerRoman"/>
      <w:start w:val="1"/>
    </w:lvl>
  </w:abstractNum>
  <w:abstractNum w:abstractNumId="548">
    <w:nsid w:val="12552B10"/>
    <w:multiLevelType w:val="hybridMultilevel"/>
    <w:lvl w:ilvl="0">
      <w:lvlJc w:val="left"/>
      <w:lvlText w:val="[***]"/>
      <w:numFmt w:val="bullet"/>
      <w:start w:val="1"/>
    </w:lvl>
    <w:lvl w:ilvl="1">
      <w:lvlJc w:val="left"/>
      <w:lvlText w:val="(%2)"/>
      <w:numFmt w:val="lowerLetter"/>
      <w:start w:val="6"/>
    </w:lvl>
  </w:abstractNum>
  <w:abstractNum w:abstractNumId="549">
    <w:nsid w:val="F4E8872"/>
    <w:multiLevelType w:val="hybridMultilevel"/>
    <w:lvl w:ilvl="0">
      <w:lvlJc w:val="left"/>
      <w:lvlText w:val="[***]"/>
      <w:numFmt w:val="bullet"/>
      <w:start w:val="1"/>
    </w:lvl>
    <w:lvl w:ilvl="1">
      <w:lvlJc w:val="left"/>
      <w:lvlText w:val="(%2)"/>
      <w:numFmt w:val="lowerLetter"/>
      <w:start w:val="7"/>
    </w:lvl>
  </w:abstractNum>
  <w:abstractNum w:abstractNumId="550">
    <w:nsid w:val="5CF24B45"/>
    <w:multiLevelType w:val="hybridMultilevel"/>
    <w:lvl w:ilvl="0">
      <w:lvlJc w:val="left"/>
      <w:lvlText w:val="(%1)"/>
      <w:numFmt w:val="lowerLetter"/>
      <w:start w:val="1"/>
    </w:lvl>
  </w:abstractNum>
  <w:abstractNum w:abstractNumId="551">
    <w:nsid w:val="5F91BE56"/>
    <w:multiLevelType w:val="hybridMultilevel"/>
    <w:lvl w:ilvl="0">
      <w:lvlJc w:val="left"/>
      <w:lvlText w:val="(%1)"/>
      <w:numFmt w:val="lowerLetter"/>
      <w:start w:val="1"/>
    </w:lvl>
  </w:abstractNum>
  <w:abstractNum w:abstractNumId="552">
    <w:nsid w:val="3C3F0BFD"/>
    <w:multiLevelType w:val="hybridMultilevel"/>
    <w:lvl w:ilvl="0">
      <w:lvlJc w:val="left"/>
      <w:lvlText w:val="%1"/>
      <w:numFmt w:val="lowerLetter"/>
      <w:start w:val="1"/>
    </w:lvl>
    <w:lvl w:ilvl="1">
      <w:lvlJc w:val="left"/>
      <w:lvlText w:val="(%2)"/>
      <w:numFmt w:val="lowerLetter"/>
      <w:start w:val="1"/>
    </w:lvl>
  </w:abstractNum>
  <w:abstractNum w:abstractNumId="553">
    <w:nsid w:val="1B15D96C"/>
    <w:multiLevelType w:val="hybridMultilevel"/>
    <w:lvl w:ilvl="0">
      <w:lvlJc w:val="left"/>
      <w:lvlText w:val="(%1)"/>
      <w:numFmt w:val="lowerLetter"/>
      <w:start w:val="9"/>
    </w:lvl>
    <w:lvl w:ilvl="1">
      <w:lvlJc w:val="left"/>
      <w:lvlText w:val="(%2)"/>
      <w:numFmt w:val="lowerLetter"/>
      <w:start w:val="2"/>
    </w:lvl>
  </w:abstractNum>
  <w:abstractNum w:abstractNumId="554">
    <w:nsid w:val="7B469A23"/>
    <w:multiLevelType w:val="hybridMultilevel"/>
    <w:lvl w:ilvl="0">
      <w:lvlJc w:val="left"/>
      <w:lvlText w:val="(%1)"/>
      <w:numFmt w:val="lowerLetter"/>
      <w:start w:val="3"/>
    </w:lvl>
  </w:abstractNum>
  <w:abstractNum w:abstractNumId="555">
    <w:nsid w:val="21DCDBA0"/>
    <w:multiLevelType w:val="hybridMultilevel"/>
    <w:lvl w:ilvl="0">
      <w:lvlJc w:val="left"/>
      <w:lvlText w:val="[***]"/>
      <w:numFmt w:val="bullet"/>
      <w:start w:val="1"/>
    </w:lvl>
    <w:lvl w:ilvl="1">
      <w:lvlJc w:val="left"/>
      <w:lvlText w:val="(%2)"/>
      <w:numFmt w:val="lowerLetter"/>
      <w:start w:val="1"/>
    </w:lvl>
  </w:abstractNum>
  <w:abstractNum w:abstractNumId="556">
    <w:nsid w:val="220655C4"/>
    <w:multiLevelType w:val="hybridMultilevel"/>
    <w:lvl w:ilvl="0">
      <w:lvlJc w:val="left"/>
      <w:lvlText w:val="(%1)"/>
      <w:numFmt w:val="lowerLetter"/>
      <w:start w:val="4"/>
    </w:lvl>
  </w:abstractNum>
  <w:abstractNum w:abstractNumId="557">
    <w:nsid w:val="5CE60F5E"/>
    <w:multiLevelType w:val="hybridMultilevel"/>
    <w:lvl w:ilvl="0">
      <w:lvlJc w:val="left"/>
      <w:lvlText w:val="(%1)"/>
      <w:numFmt w:val="lowerLetter"/>
      <w:start w:val="1"/>
    </w:lvl>
  </w:abstractNum>
  <w:abstractNum w:abstractNumId="558">
    <w:nsid w:val="4B9A6638"/>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4"/>
    </w:lvl>
  </w:abstractNum>
  <w:abstractNum w:abstractNumId="559">
    <w:nsid w:val="2822BCA7"/>
    <w:multiLevelType w:val="hybridMultilevel"/>
    <w:lvl w:ilvl="0">
      <w:lvlJc w:val="left"/>
      <w:lvlText w:val="(%1)"/>
      <w:numFmt w:val="lowerLetter"/>
      <w:start w:val="1"/>
    </w:lvl>
  </w:abstractNum>
  <w:abstractNum w:abstractNumId="560">
    <w:nsid w:val="46182E75"/>
    <w:multiLevelType w:val="hybridMultilevel"/>
    <w:lvl w:ilvl="0">
      <w:lvlJc w:val="left"/>
      <w:lvlText w:val="(%1)"/>
      <w:numFmt w:val="lowerLetter"/>
      <w:start w:val="2"/>
    </w:lvl>
  </w:abstractNum>
  <w:abstractNum w:abstractNumId="561">
    <w:nsid w:val="79311D4C"/>
    <w:multiLevelType w:val="hybridMultilevel"/>
    <w:lvl w:ilvl="0">
      <w:lvlJc w:val="left"/>
      <w:lvlText w:val="(%1)"/>
      <w:numFmt w:val="lowerLetter"/>
      <w:start w:val="1"/>
    </w:lvl>
  </w:abstractNum>
  <w:abstractNum w:abstractNumId="562">
    <w:nsid w:val="6599B689"/>
    <w:multiLevelType w:val="hybridMultilevel"/>
    <w:lvl w:ilvl="0">
      <w:lvlJc w:val="left"/>
      <w:lvlText w:val="(%1)"/>
      <w:numFmt w:val="lowerLetter"/>
      <w:start w:val="4"/>
    </w:lvl>
  </w:abstractNum>
  <w:abstractNum w:abstractNumId="563">
    <w:nsid w:val="58625C6D"/>
    <w:multiLevelType w:val="hybridMultilevel"/>
    <w:lvl w:ilvl="0">
      <w:lvlJc w:val="left"/>
      <w:lvlText w:val="(%1)"/>
      <w:numFmt w:val="lowerLetter"/>
      <w:start w:val="1"/>
    </w:lvl>
  </w:abstractNum>
  <w:abstractNum w:abstractNumId="564">
    <w:nsid w:val="2357E574"/>
    <w:multiLevelType w:val="hybridMultilevel"/>
    <w:lvl w:ilvl="0">
      <w:lvlJc w:val="left"/>
      <w:lvlText w:val="(%1)"/>
      <w:numFmt w:val="lowerLetter"/>
      <w:start w:val="2"/>
    </w:lvl>
  </w:abstractNum>
  <w:abstractNum w:abstractNumId="565">
    <w:nsid w:val="6580D91B"/>
    <w:multiLevelType w:val="hybridMultilevel"/>
    <w:lvl w:ilvl="0">
      <w:lvlJc w:val="left"/>
      <w:lvlText w:val="(%1)"/>
      <w:numFmt w:val="lowerLetter"/>
      <w:start w:val="1"/>
    </w:lvl>
  </w:abstractNum>
  <w:abstractNum w:abstractNumId="566">
    <w:nsid w:val="392BA6B3"/>
    <w:multiLevelType w:val="hybridMultilevel"/>
    <w:lvl w:ilvl="0">
      <w:lvlJc w:val="left"/>
      <w:lvlText w:val="(%1)"/>
      <w:numFmt w:val="lowerLetter"/>
      <w:start w:val="1"/>
    </w:lvl>
  </w:abstractNum>
  <w:abstractNum w:abstractNumId="567">
    <w:nsid w:val="29F583EF"/>
    <w:multiLevelType w:val="hybridMultilevel"/>
    <w:lvl w:ilvl="0">
      <w:lvlJc w:val="left"/>
      <w:lvlText w:val="(%1)"/>
      <w:numFmt w:val="lowerLetter"/>
      <w:start w:val="3"/>
    </w:lvl>
  </w:abstractNum>
  <w:abstractNum w:abstractNumId="568">
    <w:nsid w:val="6486395B"/>
    <w:multiLevelType w:val="hybridMultilevel"/>
    <w:lvl w:ilvl="0">
      <w:lvlJc w:val="left"/>
      <w:lvlText w:val="(%1)"/>
      <w:numFmt w:val="lowerLetter"/>
      <w:start w:val="1"/>
    </w:lvl>
  </w:abstractNum>
  <w:abstractNum w:abstractNumId="569">
    <w:nsid w:val="569BC2B2"/>
    <w:multiLevelType w:val="hybridMultilevel"/>
    <w:lvl w:ilvl="0">
      <w:lvlJc w:val="left"/>
      <w:lvlText w:val="(%1)"/>
      <w:numFmt w:val="lowerLetter"/>
      <w:start w:val="1"/>
    </w:lvl>
  </w:abstractNum>
  <w:abstractNum w:abstractNumId="570">
    <w:nsid w:val="74087021"/>
    <w:multiLevelType w:val="hybridMultilevel"/>
    <w:lvl w:ilvl="0">
      <w:lvlJc w:val="left"/>
      <w:lvlText w:val="%1"/>
      <w:numFmt w:val="decimal"/>
      <w:start w:val="1"/>
    </w:lvl>
    <w:lvl w:ilvl="1">
      <w:lvlJc w:val="left"/>
      <w:lvlText w:val="(%2)"/>
      <w:numFmt w:val="lowerLetter"/>
      <w:start w:val="2"/>
    </w:lvl>
  </w:abstractNum>
  <w:abstractNum w:abstractNumId="571">
    <w:nsid w:val="23BC16C2"/>
    <w:multiLevelType w:val="hybridMultilevel"/>
    <w:lvl w:ilvl="0">
      <w:lvlJc w:val="left"/>
      <w:lvlText w:val="(%1)"/>
      <w:numFmt w:val="decimal"/>
      <w:start w:val="2"/>
    </w:lvl>
    <w:lvl w:ilvl="1">
      <w:lvlJc w:val="left"/>
      <w:lvlText w:val="(%2)"/>
      <w:numFmt w:val="lowerLetter"/>
      <w:start w:val="3"/>
    </w:lvl>
  </w:abstractNum>
  <w:abstractNum w:abstractNumId="572">
    <w:nsid w:val="2026EC5"/>
    <w:multiLevelType w:val="hybridMultilevel"/>
    <w:lvl w:ilvl="0">
      <w:lvlJc w:val="left"/>
      <w:lvlText w:val="(%1)"/>
      <w:numFmt w:val="lowerLetter"/>
      <w:start w:val="1"/>
    </w:lvl>
  </w:abstractNum>
  <w:abstractNum w:abstractNumId="573">
    <w:nsid w:val="4DF9979A"/>
    <w:multiLevelType w:val="hybridMultilevel"/>
    <w:lvl w:ilvl="0">
      <w:lvlJc w:val="left"/>
      <w:lvlText w:val="(%1)"/>
      <w:numFmt w:val="lowerLetter"/>
      <w:start w:val="2"/>
    </w:lvl>
  </w:abstractNum>
  <w:abstractNum w:abstractNumId="574">
    <w:nsid w:val="68E13F8E"/>
    <w:multiLevelType w:val="hybridMultilevel"/>
    <w:lvl w:ilvl="0">
      <w:lvlJc w:val="left"/>
      <w:lvlText w:val="(%1)"/>
      <w:numFmt w:val="lowerLetter"/>
      <w:start w:val="1"/>
    </w:lvl>
  </w:abstractNum>
  <w:abstractNum w:abstractNumId="575">
    <w:nsid w:val="51C07F53"/>
    <w:multiLevelType w:val="hybridMultilevel"/>
    <w:lvl w:ilvl="0">
      <w:lvlJc w:val="left"/>
      <w:lvlText w:val="(%1)"/>
      <w:numFmt w:val="lowerLetter"/>
      <w:start w:val="2"/>
    </w:lvl>
  </w:abstractNum>
  <w:abstractNum w:abstractNumId="576">
    <w:nsid w:val="2E59C5FD"/>
    <w:multiLevelType w:val="hybridMultilevel"/>
    <w:lvl w:ilvl="0">
      <w:lvlJc w:val="left"/>
      <w:lvlText w:val="(%1)"/>
      <w:numFmt w:val="lowerLetter"/>
      <w:start w:val="3"/>
    </w:lvl>
    <w:lvl w:ilvl="1">
      <w:lvlJc w:val="left"/>
      <w:lvlText w:val="(%2)"/>
      <w:numFmt w:val="lowerRoman"/>
      <w:start w:val="1"/>
    </w:lvl>
  </w:abstractNum>
  <w:abstractNum w:abstractNumId="577">
    <w:nsid w:val="30B21390"/>
    <w:multiLevelType w:val="hybridMultilevel"/>
    <w:lvl w:ilvl="0">
      <w:lvlJc w:val="left"/>
      <w:lvlText w:val="(%1)"/>
      <w:numFmt w:val="lowerLetter"/>
      <w:start w:val="4"/>
    </w:lvl>
  </w:abstractNum>
  <w:abstractNum w:abstractNumId="578">
    <w:nsid w:val="5EDD588C"/>
    <w:multiLevelType w:val="hybridMultilevel"/>
    <w:lvl w:ilvl="0">
      <w:lvlJc w:val="left"/>
      <w:lvlText w:val="(%1)"/>
      <w:numFmt w:val="lowerLetter"/>
      <w:start w:val="1"/>
    </w:lvl>
  </w:abstractNum>
  <w:abstractNum w:abstractNumId="579">
    <w:nsid w:val="40AEF10D"/>
    <w:multiLevelType w:val="hybridMultilevel"/>
    <w:lvl w:ilvl="0">
      <w:lvlJc w:val="left"/>
      <w:lvlText w:val="(%1)"/>
      <w:numFmt w:val="lowerLetter"/>
      <w:start w:val="2"/>
    </w:lvl>
    <w:lvl w:ilvl="1">
      <w:lvlJc w:val="left"/>
      <w:lvlText w:val="(%2)"/>
      <w:numFmt w:val="lowerLetter"/>
      <w:start w:val="9"/>
    </w:lvl>
  </w:abstractNum>
  <w:abstractNum w:abstractNumId="580">
    <w:nsid w:val="40009C03"/>
    <w:multiLevelType w:val="hybridMultilevel"/>
    <w:lvl w:ilvl="0">
      <w:lvlJc w:val="left"/>
      <w:lvlText w:val="(%1)"/>
      <w:numFmt w:val="lowerRoman"/>
      <w:start w:val="2"/>
    </w:lvl>
  </w:abstractNum>
  <w:abstractNum w:abstractNumId="581">
    <w:nsid w:val="3BCFA3D1"/>
    <w:multiLevelType w:val="hybridMultilevel"/>
    <w:lvl w:ilvl="0">
      <w:lvlJc w:val="left"/>
      <w:lvlText w:val="%1"/>
      <w:numFmt w:val="lowerLetter"/>
      <w:start w:val="1"/>
    </w:lvl>
    <w:lvl w:ilvl="1">
      <w:lvlJc w:val="left"/>
      <w:lvlText w:val="(%2)"/>
      <w:numFmt w:val="lowerLetter"/>
      <w:start w:val="1"/>
    </w:lvl>
  </w:abstractNum>
  <w:abstractNum w:abstractNumId="582">
    <w:nsid w:val="2040AF63"/>
    <w:multiLevelType w:val="hybridMultilevel"/>
    <w:lvl w:ilvl="0">
      <w:lvlJc w:val="left"/>
      <w:lvlText w:val="(%1)"/>
      <w:numFmt w:val="lowerLetter"/>
      <w:start w:val="35"/>
    </w:lvl>
    <w:lvl w:ilvl="1">
      <w:lvlJc w:val="left"/>
      <w:lvlText w:val="%2"/>
      <w:numFmt w:val="lowerLetter"/>
      <w:start w:val="1"/>
    </w:lvl>
  </w:abstractNum>
  <w:abstractNum w:abstractNumId="583">
    <w:nsid w:val="7C3FA800"/>
    <w:multiLevelType w:val="hybridMultilevel"/>
    <w:lvl w:ilvl="0">
      <w:lvlJc w:val="left"/>
      <w:lvlText w:val="%1"/>
      <w:numFmt w:val="decimal"/>
      <w:start w:val="1"/>
    </w:lvl>
    <w:lvl w:ilvl="1">
      <w:lvlJc w:val="left"/>
      <w:lvlText w:val="(%2)"/>
      <w:numFmt w:val="lowerLetter"/>
      <w:start w:val="5"/>
    </w:lvl>
  </w:abstractNum>
  <w:abstractNum w:abstractNumId="584">
    <w:nsid w:val="56E57D3D"/>
    <w:multiLevelType w:val="hybridMultilevel"/>
    <w:lvl w:ilvl="0">
      <w:lvlJc w:val="left"/>
      <w:lvlText w:val="(%1)"/>
      <w:numFmt w:val="decimal"/>
      <w:start w:val="1"/>
    </w:lvl>
    <w:lvl w:ilvl="1">
      <w:lvlJc w:val="left"/>
      <w:lvlText w:val="(%2)"/>
      <w:numFmt w:val="lowerLetter"/>
      <w:start w:val="8"/>
    </w:lvl>
  </w:abstractNum>
  <w:abstractNum w:abstractNumId="585">
    <w:nsid w:val="1B874986"/>
    <w:multiLevelType w:val="hybridMultilevel"/>
    <w:lvl w:ilvl="0">
      <w:lvlJc w:val="left"/>
      <w:lvlText w:val="(%1)"/>
      <w:numFmt w:val="lowerLetter"/>
      <w:start w:val="1"/>
    </w:lvl>
    <w:lvl w:ilvl="1">
      <w:lvlJc w:val="left"/>
      <w:lvlText w:val="(%2)"/>
      <w:numFmt w:val="lowerLetter"/>
      <w:start w:val="9"/>
    </w:lvl>
  </w:abstractNum>
  <w:abstractNum w:abstractNumId="586">
    <w:nsid w:val="1E1C83A1"/>
    <w:multiLevelType w:val="hybridMultilevel"/>
    <w:lvl w:ilvl="0">
      <w:lvlJc w:val="left"/>
      <w:lvlText w:val="%1"/>
      <w:numFmt w:val="lowerLetter"/>
      <w:start w:val="1"/>
    </w:lvl>
    <w:lvl w:ilvl="1">
      <w:lvlJc w:val="left"/>
      <w:lvlText w:val="(%2)"/>
      <w:numFmt w:val="lowerRoman"/>
      <w:start w:val="2"/>
    </w:lvl>
  </w:abstractNum>
  <w:abstractNum w:abstractNumId="587">
    <w:nsid w:val="78EBD301"/>
    <w:multiLevelType w:val="hybridMultilevel"/>
    <w:lvl w:ilvl="0">
      <w:lvlJc w:val="left"/>
      <w:lvlText w:val="(%1)"/>
      <w:numFmt w:val="lowerLetter"/>
      <w:start w:val="2"/>
    </w:lvl>
    <w:lvl w:ilvl="1">
      <w:lvlJc w:val="left"/>
      <w:lvlText w:val="%2"/>
      <w:numFmt w:val="lowerRoman"/>
      <w:start w:val="1"/>
    </w:lvl>
  </w:abstractNum>
  <w:abstractNum w:abstractNumId="588">
    <w:nsid w:val="786D58E4"/>
    <w:multiLevelType w:val="hybridMultilevel"/>
    <w:lvl w:ilvl="0">
      <w:lvlJc w:val="left"/>
      <w:lvlText w:val="(%1)"/>
      <w:numFmt w:val="lowerLetter"/>
      <w:start w:val="3"/>
    </w:lvl>
  </w:abstractNum>
  <w:abstractNum w:abstractNumId="589">
    <w:nsid w:val="69B6E9D9"/>
    <w:multiLevelType w:val="hybridMultilevel"/>
    <w:lvl w:ilvl="0">
      <w:lvlJc w:val="left"/>
      <w:lvlText w:val="(%1)"/>
      <w:numFmt w:val="lowerLetter"/>
      <w:start w:val="1"/>
    </w:lvl>
    <w:lvl w:ilvl="1">
      <w:lvlJc w:val="left"/>
      <w:lvlText w:val="(%2)"/>
      <w:numFmt w:val="lowerLetter"/>
      <w:start w:val="9"/>
    </w:lvl>
  </w:abstractNum>
  <w:abstractNum w:abstractNumId="590">
    <w:nsid w:val="210E8FA8"/>
    <w:multiLevelType w:val="hybridMultilevel"/>
    <w:lvl w:ilvl="0">
      <w:lvlJc w:val="left"/>
      <w:lvlText w:val="[***]"/>
      <w:numFmt w:val="bullet"/>
      <w:start w:val="1"/>
    </w:lvl>
    <w:lvl w:ilvl="1">
      <w:lvlJc w:val="left"/>
      <w:lvlText w:val="(%2)"/>
      <w:numFmt w:val="lowerRoman"/>
      <w:start w:val="2"/>
    </w:lvl>
  </w:abstractNum>
  <w:abstractNum w:abstractNumId="591">
    <w:nsid w:val="3E858759"/>
    <w:multiLevelType w:val="hybridMultilevel"/>
    <w:lvl w:ilvl="0">
      <w:lvlJc w:val="left"/>
      <w:lvlText w:val="%1"/>
      <w:numFmt w:val="decimal"/>
      <w:start w:val="1"/>
    </w:lvl>
    <w:lvl w:ilvl="1">
      <w:lvlJc w:val="left"/>
      <w:lvlText w:val="(%2)"/>
      <w:numFmt w:val="lowerRoman"/>
      <w:start w:val="3"/>
    </w:lvl>
  </w:abstractNum>
  <w:abstractNum w:abstractNumId="592">
    <w:nsid w:val="62E80725"/>
    <w:multiLevelType w:val="hybridMultilevel"/>
    <w:lvl w:ilvl="0">
      <w:lvlJc w:val="left"/>
      <w:lvlText w:val="(%1)"/>
      <w:numFmt w:val="decimal"/>
      <w:start w:val="90"/>
    </w:lvl>
    <w:lvl w:ilvl="1">
      <w:lvlJc w:val="left"/>
      <w:lvlText w:val="(%2)"/>
      <w:numFmt w:val="lowerRoman"/>
      <w:start w:val="5"/>
    </w:lvl>
  </w:abstractNum>
  <w:abstractNum w:abstractNumId="593">
    <w:nsid w:val="6A84631"/>
    <w:multiLevelType w:val="hybridMultilevel"/>
    <w:lvl w:ilvl="0">
      <w:lvlJc w:val="left"/>
      <w:lvlText w:val="[***]"/>
      <w:numFmt w:val="bullet"/>
      <w:start w:val="1"/>
    </w:lvl>
    <w:lvl w:ilvl="1">
      <w:lvlJc w:val="left"/>
      <w:lvlText w:val="%2)"/>
      <w:numFmt w:val="decimal"/>
      <w:start w:val="1"/>
    </w:lvl>
  </w:abstractNum>
  <w:abstractNum w:abstractNumId="594">
    <w:nsid w:val="16E7E3C7"/>
    <w:multiLevelType w:val="hybridMultilevel"/>
    <w:lvl w:ilvl="0">
      <w:lvlJc w:val="left"/>
      <w:lvlText w:val="[***]"/>
      <w:numFmt w:val="bullet"/>
      <w:start w:val="1"/>
    </w:lvl>
    <w:lvl w:ilvl="1">
      <w:lvlJc w:val="left"/>
      <w:lvlText w:val="%2)"/>
      <w:numFmt w:val="decimal"/>
      <w:start w:val="3"/>
    </w:lvl>
  </w:abstractNum>
  <w:abstractNum w:abstractNumId="595">
    <w:nsid w:val="63FEC9A"/>
    <w:multiLevelType w:val="hybridMultilevel"/>
    <w:lvl w:ilvl="0">
      <w:lvlJc w:val="left"/>
      <w:lvlText w:val="%1"/>
      <w:numFmt w:val="lowerLetter"/>
      <w:start w:val="1"/>
    </w:lvl>
    <w:lvl w:ilvl="1">
      <w:lvlJc w:val="left"/>
      <w:lvlText w:val="(%2)"/>
      <w:numFmt w:val="lowerLetter"/>
      <w:start w:val="3"/>
    </w:lvl>
  </w:abstractNum>
  <w:abstractNum w:abstractNumId="596">
    <w:nsid w:val="6C291F4C"/>
    <w:multiLevelType w:val="hybridMultilevel"/>
    <w:lvl w:ilvl="0">
      <w:lvlJc w:val="left"/>
      <w:lvlText w:val="(%1)"/>
      <w:numFmt w:val="lowerLetter"/>
      <w:start w:val="35"/>
    </w:lvl>
    <w:lvl w:ilvl="1">
      <w:lvlJc w:val="left"/>
      <w:lvlText w:val="(%2)"/>
      <w:numFmt w:val="lowerLetter"/>
      <w:start w:val="5"/>
    </w:lvl>
  </w:abstractNum>
  <w:abstractNum w:abstractNumId="597">
    <w:nsid w:val="50138A7A"/>
    <w:multiLevelType w:val="hybridMultilevel"/>
    <w:lvl w:ilvl="0">
      <w:lvlJc w:val="left"/>
      <w:lvlText w:val="(%1)"/>
      <w:numFmt w:val="lowerLetter"/>
      <w:start w:val="1"/>
    </w:lvl>
  </w:abstractNum>
  <w:abstractNum w:abstractNumId="598">
    <w:nsid w:val="30357089"/>
    <w:multiLevelType w:val="hybridMultilevel"/>
    <w:lvl w:ilvl="0">
      <w:lvlJc w:val="left"/>
      <w:lvlText w:val="(%1)"/>
      <w:numFmt w:val="lowerLetter"/>
      <w:start w:val="2"/>
    </w:lvl>
  </w:abstractNum>
  <w:abstractNum w:abstractNumId="599">
    <w:nsid w:val="50AF58A7"/>
    <w:multiLevelType w:val="hybridMultilevel"/>
    <w:lvl w:ilvl="0">
      <w:lvlJc w:val="left"/>
      <w:lvlText w:val="(%1)"/>
      <w:numFmt w:val="lowerLetter"/>
      <w:start w:val="1"/>
    </w:lvl>
  </w:abstractNum>
  <w:abstractNum w:abstractNumId="600">
    <w:nsid w:val="26AF4D2D"/>
    <w:multiLevelType w:val="hybridMultilevel"/>
    <w:lvl w:ilvl="0">
      <w:lvlJc w:val="left"/>
      <w:lvlText w:val="(%1)"/>
      <w:numFmt w:val="lowerLetter"/>
      <w:start w:val="4"/>
    </w:lvl>
  </w:abstractNum>
  <w:abstractNum w:abstractNumId="601">
    <w:nsid w:val="243DE0AA"/>
    <w:multiLevelType w:val="hybridMultilevel"/>
    <w:lvl w:ilvl="0">
      <w:lvlJc w:val="left"/>
      <w:lvlText w:val="(%1)"/>
      <w:numFmt w:val="lowerLetter"/>
      <w:start w:val="14"/>
    </w:lvl>
  </w:abstractNum>
  <w:abstractNum w:abstractNumId="602">
    <w:nsid w:val="746B6F6A"/>
    <w:multiLevelType w:val="hybridMultilevel"/>
    <w:lvl w:ilvl="0">
      <w:lvlJc w:val="left"/>
      <w:lvlText w:val="(%1)"/>
      <w:numFmt w:val="lowerLetter"/>
      <w:start w:val="1"/>
    </w:lvl>
    <w:lvl w:ilvl="1">
      <w:lvlJc w:val="left"/>
      <w:lvlText w:val="(%2)"/>
      <w:numFmt w:val="lowerLetter"/>
      <w:start w:val="9"/>
    </w:lvl>
  </w:abstractNum>
  <w:abstractNum w:abstractNumId="603">
    <w:nsid w:val="28B1BBF2"/>
    <w:multiLevelType w:val="hybridMultilevel"/>
    <w:lvl w:ilvl="0">
      <w:lvlJc w:val="left"/>
      <w:lvlText w:val="(%1)"/>
      <w:numFmt w:val="lowerRoman"/>
      <w:start w:val="2"/>
    </w:lvl>
  </w:abstractNum>
  <w:abstractNum w:abstractNumId="604">
    <w:nsid w:val="72377844"/>
    <w:multiLevelType w:val="hybridMultilevel"/>
    <w:lvl w:ilvl="0">
      <w:lvlJc w:val="left"/>
      <w:lvlText w:val="%1"/>
      <w:numFmt w:val="lowerLetter"/>
      <w:start w:val="1"/>
    </w:lvl>
    <w:lvl w:ilvl="1">
      <w:lvlJc w:val="left"/>
      <w:lvlText w:val="(%2)"/>
      <w:numFmt w:val="lowerLetter"/>
      <w:start w:val="5"/>
    </w:lvl>
  </w:abstractNum>
  <w:abstractNum w:abstractNumId="605">
    <w:nsid w:val="5D4CAEF8"/>
    <w:multiLevelType w:val="hybridMultilevel"/>
    <w:lvl w:ilvl="0">
      <w:lvlJc w:val="left"/>
      <w:lvlText w:val="(%1)"/>
      <w:numFmt w:val="lowerLetter"/>
      <w:start w:val="35"/>
    </w:lvl>
    <w:lvl w:ilvl="1">
      <w:lvlJc w:val="left"/>
      <w:lvlText w:val="%2"/>
      <w:numFmt w:val="lowerLetter"/>
      <w:start w:val="1"/>
    </w:lvl>
  </w:abstractNum>
  <w:abstractNum w:abstractNumId="606">
    <w:nsid w:val="7A723B45"/>
    <w:multiLevelType w:val="hybridMultilevel"/>
    <w:lvl w:ilvl="0">
      <w:lvlJc w:val="left"/>
      <w:lvlText w:val="(%1)"/>
      <w:numFmt w:val="decimal"/>
      <w:start w:val="3"/>
    </w:lvl>
  </w:abstractNum>
  <w:abstractNum w:abstractNumId="607">
    <w:nsid w:val="20913E41"/>
    <w:multiLevelType w:val="hybridMultilevel"/>
    <w:lvl w:ilvl="0">
      <w:lvlJc w:val="left"/>
      <w:lvlText w:val="(%1)"/>
      <w:numFmt w:val="lowerLetter"/>
      <w:start w:val="1"/>
    </w:lvl>
  </w:abstractNum>
  <w:abstractNum w:abstractNumId="608">
    <w:nsid w:val="DFEC288"/>
    <w:multiLevelType w:val="hybridMultilevel"/>
    <w:lvl w:ilvl="0">
      <w:lvlJc w:val="left"/>
      <w:lvlText w:val="(%1)"/>
      <w:numFmt w:val="lowerLetter"/>
      <w:start w:val="1"/>
    </w:lvl>
  </w:abstractNum>
  <w:abstractNum w:abstractNumId="609">
    <w:nsid w:val="594F93D1"/>
    <w:multiLevelType w:val="hybridMultilevel"/>
    <w:lvl w:ilvl="0">
      <w:lvlJc w:val="left"/>
      <w:lvlText w:val="(%1)"/>
      <w:numFmt w:val="lowerLetter"/>
      <w:start w:val="1"/>
    </w:lvl>
  </w:abstractNum>
  <w:abstractNum w:abstractNumId="610">
    <w:nsid w:val="61402F4E"/>
    <w:multiLevelType w:val="hybridMultilevel"/>
    <w:lvl w:ilvl="0">
      <w:lvlJc w:val="left"/>
      <w:lvlText w:val="(%1)"/>
      <w:numFmt w:val="lowerLetter"/>
      <w:start w:val="1"/>
    </w:lvl>
  </w:abstractNum>
  <w:abstractNum w:abstractNumId="611">
    <w:nsid w:val="4DFF5E8B"/>
    <w:multiLevelType w:val="hybridMultilevel"/>
    <w:lvl w:ilvl="0">
      <w:lvlJc w:val="left"/>
      <w:lvlText w:val="(%1)"/>
      <w:numFmt w:val="lowerLetter"/>
      <w:start w:val="1"/>
    </w:lvl>
  </w:abstractNum>
  <w:abstractNum w:abstractNumId="612">
    <w:nsid w:val="151F37A3"/>
    <w:multiLevelType w:val="hybridMultilevel"/>
    <w:lvl w:ilvl="0">
      <w:lvlJc w:val="left"/>
      <w:lvlText w:val="(%1)"/>
      <w:numFmt w:val="lowerLetter"/>
      <w:start w:val="2"/>
    </w:lvl>
  </w:abstractNum>
  <w:abstractNum w:abstractNumId="613">
    <w:nsid w:val="180DEB1"/>
    <w:multiLevelType w:val="hybridMultilevel"/>
    <w:lvl w:ilvl="0">
      <w:lvlJc w:val="left"/>
      <w:lvlText w:val="[***]"/>
      <w:numFmt w:val="bullet"/>
      <w:start w:val="1"/>
    </w:lvl>
  </w:abstractNum>
  <w:abstractNum w:abstractNumId="614">
    <w:nsid w:val="4A3F068C"/>
    <w:multiLevelType w:val="hybridMultilevel"/>
    <w:lvl w:ilvl="0">
      <w:lvlJc w:val="left"/>
      <w:lvlText w:val="(%1)"/>
      <w:numFmt w:val="lowerLetter"/>
      <w:start w:val="1"/>
    </w:lvl>
    <w:lvl w:ilvl="1">
      <w:lvlJc w:val="left"/>
      <w:lvlText w:val="(%2)"/>
      <w:numFmt w:val="lowerLetter"/>
      <w:start w:val="9"/>
    </w:lvl>
  </w:abstractNum>
  <w:abstractNum w:abstractNumId="615">
    <w:nsid w:val="6C04B4E0"/>
    <w:multiLevelType w:val="hybridMultilevel"/>
    <w:lvl w:ilvl="0">
      <w:lvlJc w:val="left"/>
      <w:lvlText w:val="(%1)"/>
      <w:numFmt w:val="lowerRoman"/>
      <w:start w:val="2"/>
    </w:lvl>
  </w:abstractNum>
  <w:abstractNum w:abstractNumId="616">
    <w:nsid w:val="1D082837"/>
    <w:multiLevelType w:val="hybridMultilevel"/>
    <w:lvl w:ilvl="0">
      <w:lvlJc w:val="left"/>
      <w:lvlText w:val="(%1)"/>
      <w:numFmt w:val="lowerLetter"/>
      <w:start w:val="4"/>
    </w:lvl>
  </w:abstractNum>
  <w:abstractNum w:abstractNumId="617">
    <w:nsid w:val="685B8A2D"/>
    <w:multiLevelType w:val="hybridMultilevel"/>
    <w:lvl w:ilvl="0">
      <w:lvlJc w:val="left"/>
      <w:lvlText w:val="(%1)"/>
      <w:numFmt w:val="lowerLetter"/>
      <w:start w:val="5"/>
    </w:lvl>
  </w:abstractNum>
  <w:abstractNum w:abstractNumId="618">
    <w:nsid w:val="64F087E2"/>
    <w:multiLevelType w:val="hybridMultilevel"/>
    <w:lvl w:ilvl="0">
      <w:lvlJc w:val="left"/>
      <w:lvlText w:val="(%1)"/>
      <w:numFmt w:val="lowerLetter"/>
      <w:start w:val="2"/>
    </w:lvl>
  </w:abstractNum>
  <w:abstractNum w:abstractNumId="619">
    <w:nsid w:val="1575811C"/>
    <w:multiLevelType w:val="hybridMultilevel"/>
    <w:lvl w:ilvl="0">
      <w:lvlJc w:val="left"/>
      <w:lvlText w:val="."/>
      <w:numFmt w:val="bullet"/>
      <w:start w:val="1"/>
    </w:lvl>
  </w:abstractNum>
  <w:abstractNum w:abstractNumId="620">
    <w:nsid w:val="52127406"/>
    <w:multiLevelType w:val="hybridMultilevel"/>
    <w:lvl w:ilvl="0">
      <w:lvlJc w:val="left"/>
      <w:lvlText w:val="[***]"/>
      <w:numFmt w:val="bullet"/>
      <w:start w:val="1"/>
    </w:lvl>
  </w:abstractNum>
  <w:abstractNum w:abstractNumId="621">
    <w:nsid w:val="5FF178A"/>
    <w:multiLevelType w:val="hybridMultilevel"/>
    <w:lvl w:ilvl="0">
      <w:lvlJc w:val="left"/>
      <w:lvlText w:val="%1."/>
      <w:numFmt w:val="decimal"/>
      <w:start w:val="1"/>
    </w:lvl>
  </w:abstractNum>
  <w:abstractNum w:abstractNumId="622">
    <w:nsid w:val="53FB0875"/>
    <w:multiLevelType w:val="hybridMultilevel"/>
    <w:lvl w:ilvl="0">
      <w:lvlJc w:val="left"/>
      <w:lvlText w:val="%1"/>
      <w:numFmt w:val="decimal"/>
      <w:start w:val="1"/>
    </w:lvl>
    <w:lvl w:ilvl="1">
      <w:lvlJc w:val="left"/>
      <w:lvlText w:val="(%2)"/>
      <w:numFmt w:val="lowerLetter"/>
      <w:start w:val="1"/>
    </w:lvl>
  </w:abstractNum>
  <w:abstractNum w:abstractNumId="623">
    <w:nsid w:val="34FA7B2B"/>
    <w:multiLevelType w:val="hybridMultilevel"/>
    <w:lvl w:ilvl="0">
      <w:lvlJc w:val="left"/>
      <w:lvlText w:val="%1."/>
      <w:numFmt w:val="decimal"/>
      <w:start w:val="2"/>
    </w:lvl>
    <w:lvl w:ilvl="1">
      <w:lvlJc w:val="left"/>
      <w:lvlText w:val="%2"/>
      <w:numFmt w:val="lowerLetter"/>
      <w:start w:val="1"/>
    </w:lvl>
  </w:abstractNum>
  <w:abstractNum w:abstractNumId="624">
    <w:nsid w:val="CA75DBC"/>
    <w:multiLevelType w:val="hybridMultilevel"/>
    <w:lvl w:ilvl="0">
      <w:lvlJc w:val="left"/>
      <w:lvlText w:val="(%1)"/>
      <w:numFmt w:val="lowerLetter"/>
      <w:start w:val="1"/>
    </w:lvl>
  </w:abstractNum>
  <w:abstractNum w:abstractNumId="625">
    <w:nsid w:val="6AE2EC3C"/>
    <w:multiLevelType w:val="hybridMultilevel"/>
    <w:lvl w:ilvl="0">
      <w:lvlJc w:val="left"/>
      <w:lvlText w:val="(%1)"/>
      <w:numFmt w:val="lowerLetter"/>
      <w:start w:val="1"/>
    </w:lvl>
  </w:abstractNum>
  <w:abstractNum w:abstractNumId="626">
    <w:nsid w:val="3B3A67C5"/>
    <w:multiLevelType w:val="hybridMultilevel"/>
    <w:lvl w:ilvl="0">
      <w:lvlJc w:val="left"/>
      <w:lvlText w:val="(%1)"/>
      <w:numFmt w:val="lowerLetter"/>
      <w:start w:val="2"/>
    </w:lvl>
  </w:abstractNum>
  <w:abstractNum w:abstractNumId="627">
    <w:nsid w:val="78D07D08"/>
    <w:multiLevelType w:val="hybridMultilevel"/>
    <w:lvl w:ilvl="0">
      <w:lvlJc w:val="left"/>
      <w:lvlText w:val="(%1)"/>
      <w:numFmt w:val="lowerLetter"/>
      <w:start w:val="1"/>
    </w:lvl>
    <w:lvl w:ilvl="1">
      <w:lvlJc w:val="left"/>
      <w:lvlText w:val="(%2)"/>
      <w:numFmt w:val="lowerRoman"/>
      <w:start w:val="1"/>
    </w:lvl>
  </w:abstractNum>
  <w:abstractNum w:abstractNumId="628">
    <w:nsid w:val="3AF676B7"/>
    <w:multiLevelType w:val="hybridMultilevel"/>
    <w:lvl w:ilvl="0">
      <w:lvlJc w:val="left"/>
      <w:lvlText w:val="%1"/>
      <w:numFmt w:val="decimal"/>
      <w:start w:val="1"/>
    </w:lvl>
    <w:lvl w:ilvl="1">
      <w:lvlJc w:val="left"/>
      <w:lvlText w:val="(%2)"/>
      <w:numFmt w:val="lowerLetter"/>
      <w:start w:val="4"/>
    </w:lvl>
  </w:abstractNum>
  <w:abstractNum w:abstractNumId="629">
    <w:nsid w:val="6B6FD84E"/>
    <w:multiLevelType w:val="hybridMultilevel"/>
    <w:lvl w:ilvl="0">
      <w:lvlJc w:val="left"/>
      <w:lvlText w:val="%1."/>
      <w:numFmt w:val="decimal"/>
      <w:start w:val="3"/>
    </w:lvl>
    <w:lvl w:ilvl="1">
      <w:lvlJc w:val="left"/>
      <w:lvlText w:val="%2"/>
      <w:numFmt w:val="lowerLetter"/>
      <w:start w:val="1"/>
    </w:lvl>
  </w:abstractNum>
  <w:abstractNum w:abstractNumId="630">
    <w:nsid w:val="497FD5B0"/>
    <w:multiLevelType w:val="hybridMultilevel"/>
    <w:lvl w:ilvl="0">
      <w:lvlJc w:val="left"/>
      <w:lvlText w:val="(%1)"/>
      <w:numFmt w:val="lowerLetter"/>
      <w:start w:val="1"/>
    </w:lvl>
  </w:abstractNum>
  <w:abstractNum w:abstractNumId="631">
    <w:nsid w:val="61A5C3E4"/>
    <w:multiLevelType w:val="hybridMultilevel"/>
    <w:lvl w:ilvl="0">
      <w:lvlJc w:val="left"/>
      <w:lvlText w:val="(%1)"/>
      <w:numFmt w:val="lowerRoman"/>
      <w:start w:val="2"/>
    </w:lvl>
  </w:abstractNum>
  <w:abstractNum w:abstractNumId="632">
    <w:nsid w:val="FADB8F8"/>
    <w:multiLevelType w:val="hybridMultilevel"/>
    <w:lvl w:ilvl="0">
      <w:lvlJc w:val="left"/>
      <w:lvlText w:val="%1"/>
      <w:numFmt w:val="decimal"/>
      <w:start w:val="1"/>
    </w:lvl>
    <w:lvl w:ilvl="1">
      <w:lvlJc w:val="left"/>
      <w:lvlText w:val="(%2)"/>
      <w:numFmt w:val="upperLetter"/>
      <w:start w:val="2"/>
    </w:lvl>
  </w:abstractNum>
  <w:abstractNum w:abstractNumId="633">
    <w:nsid w:val="3DEB451A"/>
    <w:multiLevelType w:val="hybridMultilevel"/>
    <w:lvl w:ilvl="0">
      <w:lvlJc w:val="left"/>
      <w:lvlText w:val="%1."/>
      <w:numFmt w:val="decimal"/>
      <w:start w:val="4"/>
    </w:lvl>
    <w:lvl w:ilvl="1">
      <w:lvlJc w:val="left"/>
      <w:lvlText w:val="%2"/>
      <w:numFmt w:val="upperLetter"/>
      <w:start w:val="1"/>
    </w:lvl>
  </w:abstractNum>
  <w:abstractNum w:abstractNumId="634">
    <w:nsid w:val="A577FD6"/>
    <w:multiLevelType w:val="hybridMultilevel"/>
    <w:lvl w:ilvl="0">
      <w:lvlJc w:val="left"/>
      <w:lvlText w:val="(%1)"/>
      <w:numFmt w:val="lowerLetter"/>
      <w:start w:val="1"/>
    </w:lvl>
    <w:lvl w:ilvl="1">
      <w:lvlJc w:val="left"/>
      <w:lvlText w:val="(%2)"/>
      <w:numFmt w:val="lowerRoman"/>
      <w:start w:val="1"/>
    </w:lvl>
  </w:abstractNum>
  <w:abstractNum w:abstractNumId="635">
    <w:nsid w:val="1E5313D"/>
    <w:multiLevelType w:val="hybridMultilevel"/>
    <w:lvl w:ilvl="0">
      <w:lvlJc w:val="left"/>
      <w:lvlText w:val="(%1)"/>
      <w:numFmt w:val="lowerLetter"/>
      <w:start w:val="1"/>
    </w:lvl>
  </w:abstractNum>
  <w:abstractNum w:abstractNumId="636">
    <w:nsid w:val="1B37F412"/>
    <w:multiLevelType w:val="hybridMultilevel"/>
    <w:lvl w:ilvl="0">
      <w:lvlJc w:val="left"/>
      <w:lvlText w:val="(%1)"/>
      <w:numFmt w:val="lowerLetter"/>
      <w:start w:val="2"/>
    </w:lvl>
    <w:lvl w:ilvl="1">
      <w:lvlJc w:val="left"/>
      <w:lvlText w:val="(%2)"/>
      <w:numFmt w:val="lowerRoman"/>
      <w:start w:val="1"/>
    </w:lvl>
  </w:abstractNum>
  <w:abstractNum w:abstractNumId="637">
    <w:nsid w:val="4C9BB1B"/>
    <w:multiLevelType w:val="hybridMultilevel"/>
    <w:lvl w:ilvl="0">
      <w:lvlJc w:val="left"/>
      <w:lvlText w:val="(%1)"/>
      <w:numFmt w:val="lowerLetter"/>
      <w:start w:val="1"/>
    </w:lvl>
  </w:abstractNum>
  <w:abstractNum w:abstractNumId="638">
    <w:nsid w:val="22766F7E"/>
    <w:multiLevelType w:val="hybridMultilevel"/>
    <w:lvl w:ilvl="0">
      <w:lvlJc w:val="left"/>
      <w:lvlText w:val="(%1)"/>
      <w:numFmt w:val="lowerLetter"/>
      <w:start w:val="1"/>
    </w:lvl>
  </w:abstractNum>
  <w:abstractNum w:abstractNumId="639">
    <w:nsid w:val="2936B69A"/>
    <w:multiLevelType w:val="hybridMultilevel"/>
    <w:lvl w:ilvl="0">
      <w:lvlJc w:val="left"/>
      <w:lvlText w:val="(%1)"/>
      <w:numFmt w:val="lowerLetter"/>
      <w:start w:val="1"/>
    </w:lvl>
  </w:abstractNum>
  <w:abstractNum w:abstractNumId="640">
    <w:nsid w:val="5E194EEC"/>
    <w:multiLevelType w:val="hybridMultilevel"/>
    <w:lvl w:ilvl="0">
      <w:lvlJc w:val="left"/>
      <w:lvlText w:val="%1"/>
      <w:numFmt w:val="decimal"/>
      <w:start w:val="1"/>
    </w:lvl>
    <w:lvl w:ilvl="1">
      <w:lvlJc w:val="left"/>
      <w:lvlText w:val="(%2)"/>
      <w:numFmt w:val="lowerLetter"/>
      <w:start w:val="5"/>
    </w:lvl>
  </w:abstractNum>
  <w:abstractNum w:abstractNumId="641">
    <w:nsid w:val="3B69ECD"/>
    <w:multiLevelType w:val="hybridMultilevel"/>
    <w:lvl w:ilvl="0">
      <w:lvlJc w:val="left"/>
      <w:lvlText w:val="%1."/>
      <w:numFmt w:val="decimal"/>
      <w:start w:val="5"/>
    </w:lvl>
    <w:lvl w:ilvl="1">
      <w:lvlJc w:val="left"/>
      <w:lvlText w:val="%2"/>
      <w:numFmt w:val="lowerLetter"/>
      <w:start w:val="1"/>
    </w:lvl>
  </w:abstractNum>
  <w:abstractNum w:abstractNumId="642">
    <w:nsid w:val="77361526"/>
    <w:multiLevelType w:val="hybridMultilevel"/>
    <w:lvl w:ilvl="0">
      <w:lvlJc w:val="left"/>
      <w:lvlText w:val="(%1)"/>
      <w:numFmt w:val="lowerLetter"/>
      <w:start w:val="1"/>
    </w:lvl>
  </w:abstractNum>
  <w:abstractNum w:abstractNumId="643">
    <w:nsid w:val="7338868F"/>
    <w:multiLevelType w:val="hybridMultilevel"/>
    <w:lvl w:ilvl="0">
      <w:lvlJc w:val="left"/>
      <w:lvlText w:val="(%1)"/>
      <w:numFmt w:val="lowerLetter"/>
      <w:start w:val="2"/>
    </w:lvl>
  </w:abstractNum>
  <w:abstractNum w:abstractNumId="644">
    <w:nsid w:val="5377D7E"/>
    <w:multiLevelType w:val="hybridMultilevel"/>
    <w:lvl w:ilvl="0">
      <w:lvlJc w:val="left"/>
      <w:lvlText w:val="(%1)"/>
      <w:numFmt w:val="lowerLetter"/>
      <w:start w:val="1"/>
    </w:lvl>
  </w:abstractNum>
  <w:abstractNum w:abstractNumId="645">
    <w:nsid w:val="41751BB2"/>
    <w:multiLevelType w:val="hybridMultilevel"/>
    <w:lvl w:ilvl="0">
      <w:lvlJc w:val="left"/>
      <w:lvlText w:val="%1."/>
      <w:numFmt w:val="decimal"/>
      <w:start w:val="6"/>
    </w:lvl>
  </w:abstractNum>
  <w:abstractNum w:abstractNumId="646">
    <w:nsid w:val="5F3D3B70"/>
    <w:multiLevelType w:val="hybridMultilevel"/>
    <w:lvl w:ilvl="0">
      <w:lvlJc w:val="left"/>
      <w:lvlText w:val="(%1)"/>
      <w:numFmt w:val="lowerLetter"/>
      <w:start w:val="1"/>
    </w:lvl>
  </w:abstractNum>
  <w:abstractNum w:abstractNumId="647">
    <w:nsid w:val="223FA5B6"/>
    <w:multiLevelType w:val="hybridMultilevel"/>
    <w:lvl w:ilvl="0">
      <w:lvlJc w:val="left"/>
      <w:lvlText w:val="(%1)"/>
      <w:numFmt w:val="lowerLetter"/>
      <w:start w:val="3"/>
    </w:lvl>
  </w:abstractNum>
  <w:abstractNum w:abstractNumId="648">
    <w:nsid w:val="29D0A5DF"/>
    <w:multiLevelType w:val="hybridMultilevel"/>
    <w:lvl w:ilvl="0">
      <w:lvlJc w:val="left"/>
      <w:lvlText w:val="%1."/>
      <w:numFmt w:val="decimal"/>
      <w:start w:val="7"/>
    </w:lvl>
  </w:abstractNum>
  <w:abstractNum w:abstractNumId="649">
    <w:nsid w:val="442DC352"/>
    <w:multiLevelType w:val="hybridMultilevel"/>
    <w:lvl w:ilvl="0">
      <w:lvlJc w:val="left"/>
      <w:lvlText w:val="%1."/>
      <w:numFmt w:val="decimal"/>
      <w:start w:val="8"/>
    </w:lvl>
  </w:abstractNum>
  <w:abstractNum w:abstractNumId="650">
    <w:nsid w:val="37B526D2"/>
    <w:multiLevelType w:val="hybridMultilevel"/>
    <w:lvl w:ilvl="0">
      <w:lvlJc w:val="left"/>
      <w:lvlText w:val="(%1)"/>
      <w:numFmt w:val="lowerLetter"/>
      <w:start w:val="1"/>
    </w:lvl>
  </w:abstractNum>
  <w:abstractNum w:abstractNumId="651">
    <w:nsid w:val="7BE319E5"/>
    <w:multiLevelType w:val="hybridMultilevel"/>
    <w:lvl w:ilvl="0">
      <w:lvlJc w:val="left"/>
      <w:lvlText w:val="(%1)"/>
      <w:numFmt w:val="lowerLetter"/>
      <w:start w:val="1"/>
    </w:lvl>
  </w:abstractNum>
  <w:abstractNum w:abstractNumId="652">
    <w:nsid w:val="4A2CDADC"/>
    <w:multiLevelType w:val="hybridMultilevel"/>
    <w:lvl w:ilvl="0">
      <w:lvlJc w:val="left"/>
      <w:lvlText w:val="(%1)"/>
      <w:numFmt w:val="lowerLetter"/>
      <w:start w:val="1"/>
    </w:lvl>
  </w:abstractNum>
  <w:abstractNum w:abstractNumId="653">
    <w:nsid w:val="BB02F47"/>
    <w:multiLevelType w:val="hybridMultilevel"/>
    <w:lvl w:ilvl="0">
      <w:lvlJc w:val="left"/>
      <w:lvlText w:val="(%1)"/>
      <w:numFmt w:val="lowerLetter"/>
      <w:start w:val="4"/>
    </w:lvl>
  </w:abstractNum>
  <w:abstractNum w:abstractNumId="654">
    <w:nsid w:val="30DD9510"/>
    <w:multiLevelType w:val="hybridMultilevel"/>
    <w:lvl w:ilvl="0">
      <w:lvlJc w:val="left"/>
      <w:lvlText w:val="%1."/>
      <w:numFmt w:val="decimal"/>
      <w:start w:val="10"/>
    </w:lvl>
  </w:abstractNum>
  <w:abstractNum w:abstractNumId="655">
    <w:nsid w:val="56D43898"/>
    <w:multiLevelType w:val="hybridMultilevel"/>
    <w:lvl w:ilvl="0">
      <w:lvlJc w:val="left"/>
      <w:lvlText w:val="(%1)"/>
      <w:numFmt w:val="lowerLetter"/>
      <w:start w:val="1"/>
    </w:lvl>
  </w:abstractNum>
  <w:abstractNum w:abstractNumId="656">
    <w:nsid w:val="76931B84"/>
    <w:multiLevelType w:val="hybridMultilevel"/>
    <w:lvl w:ilvl="0">
      <w:lvlJc w:val="left"/>
      <w:lvlText w:val="(%1)"/>
      <w:numFmt w:val="lowerLetter"/>
      <w:start w:val="4"/>
    </w:lvl>
  </w:abstractNum>
  <w:abstractNum w:abstractNumId="657">
    <w:nsid w:val="6C17FCD6"/>
    <w:multiLevelType w:val="hybridMultilevel"/>
    <w:lvl w:ilvl="0">
      <w:lvlJc w:val="left"/>
      <w:lvlText w:val="(%1)"/>
      <w:numFmt w:val="lowerLetter"/>
      <w:start w:val="1"/>
    </w:lvl>
  </w:abstractNum>
  <w:abstractNum w:abstractNumId="658">
    <w:nsid w:val="4FA4B5A1"/>
    <w:multiLevelType w:val="hybridMultilevel"/>
    <w:lvl w:ilvl="0">
      <w:lvlJc w:val="left"/>
      <w:lvlText w:val="(%1)"/>
      <w:numFmt w:val="lowerLetter"/>
      <w:start w:val="7"/>
    </w:lvl>
    <w:lvl w:ilvl="1">
      <w:lvlJc w:val="left"/>
      <w:lvlText w:val="(%2)"/>
      <w:numFmt w:val="lowerLetter"/>
      <w:start w:val="35"/>
    </w:lvl>
  </w:abstractNum>
  <w:abstractNum w:abstractNumId="659">
    <w:nsid w:val="3189923B"/>
    <w:multiLevelType w:val="hybridMultilevel"/>
    <w:lvl w:ilvl="0">
      <w:lvlJc w:val="left"/>
      <w:lvlText w:val="(%1)"/>
      <w:numFmt w:val="lowerLetter"/>
      <w:start w:val="13"/>
    </w:lvl>
  </w:abstractNum>
  <w:abstractNum w:abstractNumId="660">
    <w:nsid w:val="5787D524"/>
    <w:multiLevelType w:val="hybridMultilevel"/>
    <w:lvl w:ilvl="0">
      <w:lvlJc w:val="left"/>
      <w:lvlText w:val="(%1)"/>
      <w:numFmt w:val="lowerLetter"/>
      <w:start w:val="15"/>
    </w:lvl>
  </w:abstractNum>
  <w:abstractNum w:abstractNumId="661">
    <w:nsid w:val="19248B51"/>
    <w:multiLevelType w:val="hybridMultilevel"/>
    <w:lvl w:ilvl="0">
      <w:lvlJc w:val="left"/>
      <w:lvlText w:val="(%1)"/>
      <w:numFmt w:val="lowerLetter"/>
      <w:start w:val="1"/>
    </w:lvl>
  </w:abstractNum>
  <w:abstractNum w:abstractNumId="662">
    <w:nsid w:val="132F561F"/>
    <w:multiLevelType w:val="hybridMultilevel"/>
    <w:lvl w:ilvl="0">
      <w:lvlJc w:val="left"/>
      <w:lvlText w:val="(%1)"/>
      <w:numFmt w:val="lowerLetter"/>
      <w:start w:val="1"/>
    </w:lvl>
  </w:abstractNum>
  <w:abstractNum w:abstractNumId="663">
    <w:nsid w:val="67358E1D"/>
    <w:multiLevelType w:val="hybridMultilevel"/>
    <w:lvl w:ilvl="0">
      <w:lvlJc w:val="left"/>
      <w:lvlText w:val="%1"/>
      <w:numFmt w:val="decimal"/>
      <w:start w:val="1"/>
    </w:lvl>
    <w:lvl w:ilvl="1">
      <w:lvlJc w:val="left"/>
      <w:lvlText w:val="(%2)"/>
      <w:numFmt w:val="lowerLetter"/>
      <w:start w:val="1"/>
    </w:lvl>
  </w:abstractNum>
  <w:abstractNum w:abstractNumId="664">
    <w:nsid w:val="570FD06B"/>
    <w:multiLevelType w:val="hybridMultilevel"/>
    <w:lvl w:ilvl="0">
      <w:lvlJc w:val="left"/>
      <w:lvlText w:val="%1."/>
      <w:numFmt w:val="decimal"/>
      <w:start w:val="11"/>
    </w:lvl>
    <w:lvl w:ilvl="1">
      <w:lvlJc w:val="left"/>
      <w:lvlText w:val="%2"/>
      <w:numFmt w:val="lowerLetter"/>
      <w:start w:val="1"/>
    </w:lvl>
  </w:abstractNum>
  <w:abstractNum w:abstractNumId="665">
    <w:nsid w:val="1D86D5F5"/>
    <w:multiLevelType w:val="hybridMultilevel"/>
    <w:lvl w:ilvl="0">
      <w:lvlJc w:val="left"/>
      <w:lvlText w:val="(%1)"/>
      <w:numFmt w:val="lowerLetter"/>
      <w:start w:val="1"/>
    </w:lvl>
  </w:abstractNum>
  <w:abstractNum w:abstractNumId="666">
    <w:nsid w:val="691ABF5A"/>
    <w:multiLevelType w:val="hybridMultilevel"/>
    <w:lvl w:ilvl="0">
      <w:lvlJc w:val="left"/>
      <w:lvlText w:val="%1"/>
      <w:numFmt w:val="decimal"/>
      <w:start w:val="1"/>
    </w:lvl>
    <w:lvl w:ilvl="1">
      <w:lvlJc w:val="left"/>
      <w:lvlText w:val="(%2)"/>
      <w:numFmt w:val="lowerLetter"/>
      <w:start w:val="3"/>
    </w:lvl>
  </w:abstractNum>
  <w:abstractNum w:abstractNumId="667">
    <w:nsid w:val="7247C47D"/>
    <w:multiLevelType w:val="hybridMultilevel"/>
    <w:lvl w:ilvl="0">
      <w:lvlJc w:val="left"/>
      <w:lvlText w:val="%1."/>
      <w:numFmt w:val="decimal"/>
      <w:start w:val="12"/>
    </w:lvl>
    <w:lvl w:ilvl="1">
      <w:lvlJc w:val="left"/>
      <w:lvlText w:val="%2"/>
      <w:numFmt w:val="lowerLetter"/>
      <w:start w:val="1"/>
    </w:lvl>
  </w:abstractNum>
  <w:abstractNum w:abstractNumId="668">
    <w:nsid w:val="22509110"/>
    <w:multiLevelType w:val="hybridMultilevel"/>
    <w:lvl w:ilvl="0">
      <w:lvlJc w:val="left"/>
      <w:lvlText w:val="(%1)"/>
      <w:numFmt w:val="lowerLetter"/>
      <w:start w:val="1"/>
    </w:lvl>
  </w:abstractNum>
  <w:abstractNum w:abstractNumId="669">
    <w:nsid w:val="B912ED8"/>
    <w:multiLevelType w:val="hybridMultilevel"/>
    <w:lvl w:ilvl="0">
      <w:lvlJc w:val="left"/>
      <w:lvlText w:val="%1"/>
      <w:numFmt w:val="decimal"/>
      <w:start w:val="1"/>
    </w:lvl>
    <w:lvl w:ilvl="1">
      <w:lvlJc w:val="left"/>
      <w:lvlText w:val="(%2)"/>
      <w:numFmt w:val="lowerLetter"/>
      <w:start w:val="3"/>
    </w:lvl>
  </w:abstractNum>
  <w:abstractNum w:abstractNumId="670">
    <w:nsid w:val="1B7E7B17"/>
    <w:multiLevelType w:val="hybridMultilevel"/>
    <w:lvl w:ilvl="0">
      <w:lvlJc w:val="left"/>
      <w:lvlText w:val="%1."/>
      <w:numFmt w:val="decimal"/>
      <w:start w:val="13"/>
    </w:lvl>
    <w:lvl w:ilvl="1">
      <w:lvlJc w:val="left"/>
      <w:lvlText w:val="%2"/>
      <w:numFmt w:val="lowerLetter"/>
      <w:start w:val="1"/>
    </w:lvl>
  </w:abstractNum>
  <w:abstractNum w:abstractNumId="671">
    <w:nsid w:val="69DFFC"/>
    <w:multiLevelType w:val="hybridMultilevel"/>
    <w:lvl w:ilvl="0">
      <w:lvlJc w:val="left"/>
      <w:lvlText w:val="(%1)"/>
      <w:numFmt w:val="lowerLetter"/>
      <w:start w:val="1"/>
    </w:lvl>
  </w:abstractNum>
  <w:abstractNum w:abstractNumId="672">
    <w:nsid w:val="F47CDA5"/>
    <w:multiLevelType w:val="hybridMultilevel"/>
    <w:lvl w:ilvl="0">
      <w:lvlJc w:val="left"/>
      <w:lvlText w:val="(%1)"/>
      <w:numFmt w:val="lowerLetter"/>
      <w:start w:val="4"/>
    </w:lvl>
  </w:abstractNum>
  <w:abstractNum w:abstractNumId="673">
    <w:nsid w:val="12B4903D"/>
    <w:multiLevelType w:val="hybridMultilevel"/>
    <w:lvl w:ilvl="0">
      <w:lvlJc w:val="left"/>
      <w:lvlText w:val="%1."/>
      <w:numFmt w:val="decimal"/>
      <w:start w:val="1"/>
    </w:lvl>
  </w:abstractNum>
  <w:abstractNum w:abstractNumId="674">
    <w:nsid w:val="73A2668C"/>
    <w:multiLevelType w:val="hybridMultilevel"/>
    <w:lvl w:ilvl="0">
      <w:lvlJc w:val="left"/>
      <w:lvlText w:val="2"/>
      <w:numFmt w:val="bullet"/>
      <w:start w:val="1"/>
    </w:lvl>
  </w:abstractNum>
  <w:abstractNum w:abstractNumId="675">
    <w:nsid w:val="147F4B24"/>
    <w:multiLevelType w:val="hybridMultilevel"/>
    <w:lvl w:ilvl="0">
      <w:lvlJc w:val="left"/>
      <w:lvlText w:val="(%1)"/>
      <w:numFmt w:val="lowerLetter"/>
      <w:start w:val="1"/>
    </w:lvl>
  </w:abstractNum>
  <w:abstractNum w:abstractNumId="676">
    <w:nsid w:val="5429ABEF"/>
    <w:multiLevelType w:val="hybridMultilevel"/>
    <w:lvl w:ilvl="0">
      <w:lvlJc w:val="left"/>
      <w:lvlText w:val="%1."/>
      <w:numFmt w:val="decimal"/>
      <w:start w:val="3"/>
    </w:lvl>
  </w:abstractNum>
  <w:abstractNum w:abstractNumId="677">
    <w:nsid w:val="52DFA1FC"/>
    <w:multiLevelType w:val="hybridMultilevel"/>
    <w:lvl w:ilvl="0">
      <w:lvlJc w:val="left"/>
      <w:lvlText w:val="(%1)"/>
      <w:numFmt w:val="lowerLetter"/>
      <w:start w:val="1"/>
    </w:lvl>
  </w:abstractNum>
  <w:abstractNum w:abstractNumId="678">
    <w:nsid w:val="36BEF0DA"/>
    <w:multiLevelType w:val="hybridMultilevel"/>
    <w:lvl w:ilvl="0">
      <w:lvlJc w:val="left"/>
      <w:lvlText w:val="(%1)"/>
      <w:numFmt w:val="lowerLetter"/>
      <w:start w:val="5"/>
    </w:lvl>
  </w:abstractNum>
  <w:abstractNum w:abstractNumId="679">
    <w:nsid w:val="7DFA51CE"/>
    <w:multiLevelType w:val="hybridMultilevel"/>
    <w:lvl w:ilvl="0">
      <w:lvlJc w:val="left"/>
      <w:lvlText w:val="%1."/>
      <w:numFmt w:val="decimal"/>
      <w:start w:val="4"/>
    </w:lvl>
  </w:abstractNum>
  <w:abstractNum w:abstractNumId="680">
    <w:nsid w:val="170D654E"/>
    <w:multiLevelType w:val="hybridMultilevel"/>
    <w:lvl w:ilvl="0">
      <w:lvlJc w:val="left"/>
      <w:lvlText w:val="(%1)"/>
      <w:numFmt w:val="lowerLetter"/>
      <w:start w:val="1"/>
    </w:lvl>
  </w:abstractNum>
  <w:abstractNum w:abstractNumId="681">
    <w:nsid w:val="6E7417AC"/>
    <w:multiLevelType w:val="hybridMultilevel"/>
    <w:lvl w:ilvl="0">
      <w:lvlJc w:val="left"/>
      <w:lvlText w:val="%1."/>
      <w:numFmt w:val="decimal"/>
      <w:start w:val="5"/>
    </w:lvl>
  </w:abstractNum>
  <w:abstractNum w:abstractNumId="682">
    <w:nsid w:val="79DD6BB3"/>
    <w:multiLevelType w:val="hybridMultilevel"/>
    <w:lvl w:ilvl="0">
      <w:lvlJc w:val="left"/>
      <w:lvlText w:val="(%1)"/>
      <w:numFmt w:val="lowerLetter"/>
      <w:start w:val="1"/>
    </w:lvl>
  </w:abstractNum>
  <w:abstractNum w:abstractNumId="683">
    <w:nsid w:val="613A402A"/>
    <w:multiLevelType w:val="hybridMultilevel"/>
    <w:lvl w:ilvl="0">
      <w:lvlJc w:val="left"/>
      <w:lvlText w:val="%1."/>
      <w:numFmt w:val="decimal"/>
      <w:start w:val="6"/>
    </w:lvl>
  </w:abstractNum>
  <w:abstractNum w:abstractNumId="684">
    <w:nsid w:val="7A2446F3"/>
    <w:multiLevelType w:val="hybridMultilevel"/>
    <w:lvl w:ilvl="0">
      <w:lvlJc w:val="left"/>
      <w:lvlText w:val="%1."/>
      <w:numFmt w:val="decimal"/>
      <w:start w:val="7"/>
    </w:lvl>
  </w:abstractNum>
  <w:abstractNum w:abstractNumId="685">
    <w:nsid w:val="2ABB00C4"/>
    <w:multiLevelType w:val="hybridMultilevel"/>
    <w:lvl w:ilvl="0">
      <w:lvlJc w:val="left"/>
      <w:lvlText w:val="%1."/>
      <w:numFmt w:val="decimal"/>
      <w:start w:val="8"/>
    </w:lvl>
  </w:abstractNum>
  <w:abstractNum w:abstractNumId="686">
    <w:nsid w:val="380E78C3"/>
    <w:multiLevelType w:val="hybridMultilevel"/>
    <w:lvl w:ilvl="0">
      <w:lvlJc w:val="left"/>
      <w:lvlText w:val="(%1)"/>
      <w:numFmt w:val="lowerLetter"/>
      <w:start w:val="1"/>
    </w:lvl>
  </w:abstractNum>
  <w:abstractNum w:abstractNumId="687">
    <w:nsid w:val="70B76277"/>
    <w:multiLevelType w:val="hybridMultilevel"/>
    <w:lvl w:ilvl="0">
      <w:lvlJc w:val="left"/>
      <w:lvlText w:val="%1."/>
      <w:numFmt w:val="decimal"/>
      <w:start w:val="9"/>
    </w:lvl>
  </w:abstractNum>
  <w:abstractNum w:abstractNumId="688">
    <w:nsid w:val="16D2FD9A"/>
    <w:multiLevelType w:val="hybridMultilevel"/>
    <w:lvl w:ilvl="0">
      <w:lvlJc w:val="left"/>
      <w:lvlText w:val="%1."/>
      <w:numFmt w:val="decimal"/>
      <w:start w:val="10"/>
    </w:lvl>
  </w:abstractNum>
  <w:abstractNum w:abstractNumId="689">
    <w:nsid w:val="7B32E64"/>
    <w:multiLevelType w:val="hybridMultilevel"/>
    <w:lvl w:ilvl="0">
      <w:lvlJc w:val="left"/>
      <w:lvlText w:val="(%1)"/>
      <w:numFmt w:val="lowerLetter"/>
      <w:start w:val="1"/>
    </w:lvl>
  </w:abstractNum>
  <w:abstractNum w:abstractNumId="690">
    <w:nsid w:val="2240F4B2"/>
    <w:multiLevelType w:val="hybridMultilevel"/>
    <w:lvl w:ilvl="0">
      <w:lvlJc w:val="left"/>
      <w:lvlText w:val="%1."/>
      <w:numFmt w:val="decimal"/>
      <w:start w:val="11"/>
    </w:lvl>
  </w:abstractNum>
  <w:abstractNum w:abstractNumId="691">
    <w:nsid w:val="6E5AD2BE"/>
    <w:multiLevelType w:val="hybridMultilevel"/>
    <w:lvl w:ilvl="0">
      <w:lvlJc w:val="left"/>
      <w:lvlText w:val="(%1)"/>
      <w:numFmt w:val="lowerLetter"/>
      <w:start w:val="1"/>
    </w:lvl>
  </w:abstractNum>
  <w:abstractNum w:abstractNumId="692">
    <w:nsid w:val="20D7B9B5"/>
    <w:multiLevelType w:val="hybridMultilevel"/>
    <w:lvl w:ilvl="0">
      <w:lvlJc w:val="left"/>
      <w:lvlText w:val="%1."/>
      <w:numFmt w:val="decimal"/>
      <w:start w:val="12"/>
    </w:lvl>
  </w:abstractNum>
  <w:abstractNum w:abstractNumId="693">
    <w:nsid w:val="35704AD1"/>
    <w:multiLevelType w:val="hybridMultilevel"/>
    <w:lvl w:ilvl="0">
      <w:lvlJc w:val="left"/>
      <w:lvlText w:val="%1."/>
      <w:numFmt w:val="decimal"/>
      <w:start w:val="13"/>
    </w:lvl>
  </w:abstractNum>
  <w:abstractNum w:abstractNumId="694">
    <w:nsid w:val="559060DB"/>
    <w:multiLevelType w:val="hybridMultilevel"/>
    <w:lvl w:ilvl="0">
      <w:lvlJc w:val="left"/>
      <w:lvlText w:val="%1."/>
      <w:numFmt w:val="decimal"/>
      <w:start w:val="14"/>
    </w:lvl>
  </w:abstractNum>
  <w:abstractNum w:abstractNumId="695">
    <w:nsid w:val="77E78A20"/>
    <w:multiLevelType w:val="hybridMultilevel"/>
    <w:lvl w:ilvl="0">
      <w:lvlJc w:val="left"/>
      <w:lvlText w:val="(%1)"/>
      <w:numFmt w:val="lowerLetter"/>
      <w:start w:val="1"/>
    </w:lvl>
  </w:abstractNum>
  <w:abstractNum w:abstractNumId="696">
    <w:nsid w:val="52F720C6"/>
    <w:multiLevelType w:val="hybridMultilevel"/>
    <w:lvl w:ilvl="0">
      <w:lvlJc w:val="left"/>
      <w:lvlText w:val="%1."/>
      <w:numFmt w:val="decimal"/>
      <w:start w:val="15"/>
    </w:lvl>
  </w:abstractNum>
  <w:abstractNum w:abstractNumId="697">
    <w:nsid w:val="3EAB2035"/>
    <w:multiLevelType w:val="hybridMultilevel"/>
    <w:lvl w:ilvl="0">
      <w:lvlJc w:val="left"/>
      <w:lvlText w:val="(%1)"/>
      <w:numFmt w:val="lowerLetter"/>
      <w:start w:val="1"/>
    </w:lvl>
    <w:lvl w:ilvl="1">
      <w:lvlJc w:val="left"/>
      <w:lvlText w:val="(%2)"/>
      <w:numFmt w:val="lowerRoman"/>
      <w:start w:val="1"/>
    </w:lvl>
  </w:abstractNum>
  <w:abstractNum w:abstractNumId="698">
    <w:nsid w:val="6A2F4E9D"/>
    <w:multiLevelType w:val="hybridMultilevel"/>
    <w:lvl w:ilvl="0">
      <w:lvlJc w:val="left"/>
      <w:lvlText w:val="%1"/>
      <w:numFmt w:val="lowerLetter"/>
      <w:start w:val="1"/>
    </w:lvl>
    <w:lvl w:ilvl="1">
      <w:lvlJc w:val="left"/>
      <w:lvlText w:val="(%2)"/>
      <w:numFmt w:val="lowerRoman"/>
      <w:start w:val="3"/>
    </w:lvl>
  </w:abstractNum>
  <w:abstractNum w:abstractNumId="699">
    <w:nsid w:val="7547B1D6"/>
    <w:multiLevelType w:val="hybridMultilevel"/>
    <w:lvl w:ilvl="0">
      <w:lvlJc w:val="left"/>
      <w:lvlText w:val="(%1)"/>
      <w:numFmt w:val="lowerLetter"/>
      <w:start w:val="2"/>
    </w:lvl>
    <w:lvl w:ilvl="1">
      <w:lvlJc w:val="left"/>
      <w:lvlText w:val="(%2)"/>
      <w:numFmt w:val="lowerRoman"/>
      <w:start w:val="1"/>
    </w:lvl>
  </w:abstractNum>
  <w:abstractNum w:abstractNumId="700">
    <w:nsid w:val="4A3C4F0E"/>
    <w:multiLevelType w:val="hybridMultilevel"/>
    <w:lvl w:ilvl="0">
      <w:lvlJc w:val="left"/>
      <w:lvlText w:val="%1."/>
      <w:numFmt w:val="decimal"/>
      <w:start w:val="16"/>
    </w:lvl>
  </w:abstractNum>
  <w:abstractNum w:abstractNumId="701">
    <w:nsid w:val="5ADC9B4"/>
    <w:multiLevelType w:val="hybridMultilevel"/>
    <w:lvl w:ilvl="0">
      <w:lvlJc w:val="left"/>
      <w:lvlText w:val="%1."/>
      <w:numFmt w:val="decimal"/>
      <w:start w:val="17"/>
    </w:lvl>
  </w:abstractNum>
  <w:abstractNum w:abstractNumId="702">
    <w:nsid w:val="75B191D3"/>
    <w:multiLevelType w:val="hybridMultilevel"/>
    <w:lvl w:ilvl="0">
      <w:lvlJc w:val="left"/>
      <w:lvlText w:val="(%1)"/>
      <w:numFmt w:val="lowerLetter"/>
      <w:start w:val="1"/>
    </w:lvl>
  </w:abstractNum>
  <w:abstractNum w:abstractNumId="703">
    <w:nsid w:val="59841CB3"/>
    <w:multiLevelType w:val="hybridMultilevel"/>
    <w:lvl w:ilvl="0">
      <w:lvlJc w:val="left"/>
      <w:lvlText w:val="%1."/>
      <w:numFmt w:val="decimal"/>
      <w:start w:val="18"/>
    </w:lvl>
  </w:abstractNum>
  <w:abstractNum w:abstractNumId="704">
    <w:nsid w:val="186259F2"/>
    <w:multiLevelType w:val="hybridMultilevel"/>
    <w:lvl w:ilvl="0">
      <w:lvlJc w:val="left"/>
      <w:lvlText w:val="(%1)"/>
      <w:numFmt w:val="lowerLetter"/>
      <w:start w:val="1"/>
    </w:lvl>
  </w:abstractNum>
  <w:abstractNum w:abstractNumId="705">
    <w:nsid w:val="6953F85F"/>
    <w:multiLevelType w:val="hybridMultilevel"/>
    <w:lvl w:ilvl="0">
      <w:lvlJc w:val="left"/>
      <w:lvlText w:val="(%1)"/>
      <w:numFmt w:val="lowerLetter"/>
      <w:start w:val="3"/>
    </w:lvl>
  </w:abstractNum>
  <w:abstractNum w:abstractNumId="706">
    <w:nsid w:val="6E0367D7"/>
    <w:multiLevelType w:val="hybridMultilevel"/>
    <w:lvl w:ilvl="0">
      <w:lvlJc w:val="left"/>
      <w:lvlText w:val="%1."/>
      <w:numFmt w:val="decimal"/>
      <w:start w:val="19"/>
    </w:lvl>
  </w:abstractNum>
  <w:abstractNum w:abstractNumId="707">
    <w:nsid w:val="6C8C05E1"/>
    <w:multiLevelType w:val="hybridMultilevel"/>
    <w:lvl w:ilvl="0">
      <w:lvlJc w:val="left"/>
      <w:lvlText w:val="%1."/>
      <w:numFmt w:val="decimal"/>
      <w:start w:val="20"/>
    </w:lvl>
  </w:abstractNum>
  <w:abstractNum w:abstractNumId="708">
    <w:nsid w:val="3C339A5B"/>
    <w:multiLevelType w:val="hybridMultilevel"/>
    <w:lvl w:ilvl="0">
      <w:lvlJc w:val="left"/>
      <w:lvlText w:val="%1."/>
      <w:numFmt w:val="decimal"/>
      <w:start w:val="21"/>
    </w:lvl>
  </w:abstractNum>
  <w:abstractNum w:abstractNumId="709">
    <w:nsid w:val="24C258B1"/>
    <w:multiLevelType w:val="hybridMultilevel"/>
    <w:lvl w:ilvl="0">
      <w:lvlJc w:val="left"/>
      <w:lvlText w:val="(%1)"/>
      <w:numFmt w:val="lowerLetter"/>
      <w:start w:val="1"/>
    </w:lvl>
  </w:abstractNum>
  <w:abstractNum w:abstractNumId="710">
    <w:nsid w:val="6A8657B0"/>
    <w:multiLevelType w:val="hybridMultilevel"/>
    <w:lvl w:ilvl="0">
      <w:lvlJc w:val="left"/>
      <w:lvlText w:val="%1."/>
      <w:numFmt w:val="decimal"/>
      <w:start w:val="22"/>
    </w:lvl>
  </w:abstractNum>
  <w:abstractNum w:abstractNumId="711">
    <w:nsid w:val="5340FFA9"/>
    <w:multiLevelType w:val="hybridMultilevel"/>
    <w:lvl w:ilvl="0">
      <w:lvlJc w:val="left"/>
      <w:lvlText w:val="%1."/>
      <w:numFmt w:val="decimal"/>
      <w:start w:val="1"/>
    </w:lvl>
  </w:abstractNum>
  <w:abstractNum w:abstractNumId="712">
    <w:nsid w:val="1336705D"/>
    <w:multiLevelType w:val="hybridMultilevel"/>
    <w:lvl w:ilvl="0">
      <w:lvlJc w:val="left"/>
      <w:lvlText w:val="%1."/>
      <w:numFmt w:val="decimal"/>
      <w:start w:val="4"/>
    </w:lvl>
  </w:abstractNum>
  <w:abstractNum w:abstractNumId="713">
    <w:nsid w:val="6463C363"/>
    <w:multiLevelType w:val="hybridMultilevel"/>
    <w:lvl w:ilvl="0">
      <w:lvlJc w:val="left"/>
      <w:lvlText w:val="%1."/>
      <w:numFmt w:val="decimal"/>
      <w:start w:val="1"/>
    </w:lvl>
  </w:abstractNum>
  <w:abstractNum w:abstractNumId="714">
    <w:nsid w:val="347B3FD3"/>
    <w:multiLevelType w:val="hybridMultilevel"/>
    <w:lvl w:ilvl="0">
      <w:lvlJc w:val="left"/>
      <w:lvlText w:val="%1."/>
      <w:numFmt w:val="decimal"/>
      <w:start w:val="2"/>
    </w:lvl>
  </w:abstractNum>
  <w:abstractNum w:abstractNumId="715">
    <w:nsid w:val="D5AB751"/>
    <w:multiLevelType w:val="hybridMultilevel"/>
    <w:lvl w:ilvl="0">
      <w:lvlJc w:val="left"/>
      <w:lvlText w:val="(%1)"/>
      <w:numFmt w:val="lowerLetter"/>
      <w:start w:val="1"/>
    </w:lvl>
  </w:abstractNum>
  <w:abstractNum w:abstractNumId="716">
    <w:nsid w:val="F1EC427"/>
    <w:multiLevelType w:val="hybridMultilevel"/>
    <w:lvl w:ilvl="0">
      <w:lvlJc w:val="left"/>
      <w:lvlText w:val="%1."/>
      <w:numFmt w:val="decimal"/>
      <w:start w:val="3"/>
    </w:lvl>
  </w:abstractNum>
  <w:abstractNum w:abstractNumId="717">
    <w:nsid w:val="6C89B896"/>
    <w:multiLevelType w:val="hybridMultilevel"/>
    <w:lvl w:ilvl="0">
      <w:lvlJc w:val="left"/>
      <w:lvlText w:val="(%1)"/>
      <w:numFmt w:val="lowerLetter"/>
      <w:start w:val="1"/>
    </w:lvl>
  </w:abstractNum>
  <w:abstractNum w:abstractNumId="718">
    <w:nsid w:val="7E1219C8"/>
    <w:multiLevelType w:val="hybridMultilevel"/>
    <w:lvl w:ilvl="0">
      <w:lvlJc w:val="left"/>
      <w:lvlText w:val="%1."/>
      <w:numFmt w:val="decimal"/>
      <w:start w:val="4"/>
    </w:lvl>
  </w:abstractNum>
  <w:abstractNum w:abstractNumId="719">
    <w:nsid w:val="25F1C1C1"/>
    <w:multiLevelType w:val="hybridMultilevel"/>
    <w:lvl w:ilvl="0">
      <w:lvlJc w:val="left"/>
      <w:lvlText w:val="(%1)"/>
      <w:numFmt w:val="lowerLetter"/>
      <w:start w:val="1"/>
    </w:lvl>
  </w:abstractNum>
  <w:abstractNum w:abstractNumId="720">
    <w:nsid w:val="743CE6FA"/>
    <w:multiLevelType w:val="hybridMultilevel"/>
    <w:lvl w:ilvl="0">
      <w:lvlJc w:val="left"/>
      <w:lvlText w:val="%1."/>
      <w:numFmt w:val="decimal"/>
      <w:start w:val="5"/>
    </w:lvl>
  </w:abstractNum>
  <w:abstractNum w:abstractNumId="721">
    <w:nsid w:val="20530E7B"/>
    <w:multiLevelType w:val="hybridMultilevel"/>
    <w:lvl w:ilvl="0">
      <w:lvlJc w:val="left"/>
      <w:lvlText w:val="(%1)"/>
      <w:numFmt w:val="lowerLetter"/>
      <w:start w:val="1"/>
    </w:lvl>
  </w:abstractNum>
  <w:abstractNum w:abstractNumId="722">
    <w:nsid w:val="144C9480"/>
    <w:multiLevelType w:val="hybridMultilevel"/>
    <w:lvl w:ilvl="0">
      <w:lvlJc w:val="left"/>
      <w:lvlText w:val="%1."/>
      <w:numFmt w:val="decimal"/>
      <w:start w:val="6"/>
    </w:lvl>
  </w:abstractNum>
  <w:abstractNum w:abstractNumId="723">
    <w:nsid w:val="1514A0AF"/>
    <w:multiLevelType w:val="hybridMultilevel"/>
    <w:lvl w:ilvl="0">
      <w:lvlJc w:val="left"/>
      <w:lvlText w:val="%1."/>
      <w:numFmt w:val="decimal"/>
      <w:start w:val="7"/>
    </w:lvl>
  </w:abstractNum>
  <w:abstractNum w:abstractNumId="724">
    <w:nsid w:val="55C3594C"/>
    <w:multiLevelType w:val="hybridMultilevel"/>
    <w:lvl w:ilvl="0">
      <w:lvlJc w:val="left"/>
      <w:lvlText w:val="%1."/>
      <w:numFmt w:val="decimal"/>
      <w:start w:val="8"/>
    </w:lvl>
  </w:abstractNum>
  <w:abstractNum w:abstractNumId="725">
    <w:nsid w:val="69DCF55B"/>
    <w:multiLevelType w:val="hybridMultilevel"/>
    <w:lvl w:ilvl="0">
      <w:lvlJc w:val="left"/>
      <w:lvlText w:val="(%1)"/>
      <w:numFmt w:val="lowerLetter"/>
      <w:start w:val="1"/>
    </w:lvl>
  </w:abstractNum>
  <w:abstractNum w:abstractNumId="726">
    <w:nsid w:val="CFC2ACF"/>
    <w:multiLevelType w:val="hybridMultilevel"/>
    <w:lvl w:ilvl="0">
      <w:lvlJc w:val="left"/>
      <w:lvlText w:val="%1."/>
      <w:numFmt w:val="decimal"/>
      <w:start w:val="9"/>
    </w:lvl>
  </w:abstractNum>
  <w:abstractNum w:abstractNumId="727">
    <w:nsid w:val="28BA7A13"/>
    <w:multiLevelType w:val="hybridMultilevel"/>
    <w:lvl w:ilvl="0">
      <w:lvlJc w:val="left"/>
      <w:lvlText w:val="(%1)"/>
      <w:numFmt w:val="lowerLetter"/>
      <w:start w:val="1"/>
    </w:lvl>
  </w:abstractNum>
  <w:abstractNum w:abstractNumId="728">
    <w:nsid w:val="28881591"/>
    <w:multiLevelType w:val="hybridMultilevel"/>
    <w:lvl w:ilvl="0">
      <w:lvlJc w:val="left"/>
      <w:lvlText w:val="(%1)"/>
      <w:numFmt w:val="lowerLetter"/>
      <w:start w:val="2"/>
    </w:lvl>
  </w:abstractNum>
  <w:abstractNum w:abstractNumId="729">
    <w:nsid w:val="772B796C"/>
    <w:multiLevelType w:val="hybridMultilevel"/>
    <w:lvl w:ilvl="0">
      <w:lvlJc w:val="left"/>
      <w:lvlText w:val="(%1)"/>
      <w:numFmt w:val="lowerLetter"/>
      <w:start w:val="1"/>
    </w:lvl>
  </w:abstractNum>
  <w:abstractNum w:abstractNumId="730">
    <w:nsid w:val="1E022BE9"/>
    <w:multiLevelType w:val="hybridMultilevel"/>
    <w:lvl w:ilvl="0">
      <w:lvlJc w:val="left"/>
      <w:lvlText w:val="(%1)"/>
      <w:numFmt w:val="lowerLetter"/>
      <w:start w:val="1"/>
    </w:lvl>
  </w:abstractNum>
  <w:abstractNum w:abstractNumId="731">
    <w:nsid w:val="72C4649F"/>
    <w:multiLevelType w:val="hybridMultilevel"/>
    <w:lvl w:ilvl="0">
      <w:lvlJc w:val="left"/>
      <w:lvlText w:val="(%1)"/>
      <w:numFmt w:val="lowerLetter"/>
      <w:start w:val="1"/>
    </w:lvl>
  </w:abstractNum>
  <w:abstractNum w:abstractNumId="732">
    <w:nsid w:val="7CD94321"/>
    <w:multiLevelType w:val="hybridMultilevel"/>
    <w:lvl w:ilvl="0">
      <w:lvlJc w:val="left"/>
      <w:lvlText w:val="(%1)"/>
      <w:numFmt w:val="lowerLetter"/>
      <w:start w:val="1"/>
    </w:lvl>
    <w:lvl w:ilvl="1">
      <w:lvlJc w:val="left"/>
      <w:lvlText w:val="(%2)"/>
      <w:numFmt w:val="lowerRoman"/>
      <w:start w:val="1"/>
    </w:lvl>
  </w:abstractNum>
  <w:abstractNum w:abstractNumId="733">
    <w:nsid w:val="13B3BDBC"/>
    <w:multiLevelType w:val="hybridMultilevel"/>
    <w:lvl w:ilvl="0">
      <w:lvlJc w:val="left"/>
      <w:lvlText w:val="(%1)"/>
      <w:numFmt w:val="lowerLetter"/>
      <w:start w:val="2"/>
    </w:lvl>
    <w:lvl w:ilvl="1">
      <w:lvlJc w:val="left"/>
      <w:lvlText w:val="(%2)"/>
      <w:numFmt w:val="lowerRoman"/>
      <w:start w:val="1"/>
    </w:lvl>
  </w:abstractNum>
  <w:abstractNum w:abstractNumId="734">
    <w:nsid w:val="4C488152"/>
    <w:multiLevelType w:val="hybridMultilevel"/>
    <w:lvl w:ilvl="0">
      <w:lvlJc w:val="left"/>
      <w:lvlText w:val="(%1)"/>
      <w:numFmt w:val="lowerLetter"/>
      <w:start w:val="1"/>
    </w:lvl>
  </w:abstractNum>
  <w:abstractNum w:abstractNumId="735">
    <w:nsid w:val="153B9D13"/>
    <w:multiLevelType w:val="hybridMultilevel"/>
    <w:lvl w:ilvl="0">
      <w:lvlJc w:val="left"/>
      <w:lvlText w:val="(%1)"/>
      <w:numFmt w:val="lowerLetter"/>
      <w:start w:val="2"/>
    </w:lvl>
  </w:abstractNum>
  <w:abstractNum w:abstractNumId="736">
    <w:nsid w:val="7D07B61B"/>
    <w:multiLevelType w:val="hybridMultilevel"/>
    <w:lvl w:ilvl="0">
      <w:lvlJc w:val="left"/>
      <w:lvlText w:val="(%1)"/>
      <w:numFmt w:val="lowerLetter"/>
      <w:start w:val="1"/>
    </w:lvl>
  </w:abstractNum>
  <w:abstractNum w:abstractNumId="737">
    <w:nsid w:val="3A4BE92A"/>
    <w:multiLevelType w:val="hybridMultilevel"/>
    <w:lvl w:ilvl="0">
      <w:lvlJc w:val="left"/>
      <w:lvlText w:val="(%1)"/>
      <w:numFmt w:val="lowerLetter"/>
      <w:start w:val="1"/>
    </w:lvl>
  </w:abstractNum>
  <w:abstractNum w:abstractNumId="738">
    <w:nsid w:val="1C7A2F4"/>
    <w:multiLevelType w:val="hybridMultilevel"/>
    <w:lvl w:ilvl="0">
      <w:lvlJc w:val="left"/>
      <w:lvlText w:val="(%1)"/>
      <w:numFmt w:val="lowerLetter"/>
      <w:start w:val="1"/>
    </w:lvl>
  </w:abstractNum>
  <w:abstractNum w:abstractNumId="739">
    <w:nsid w:val="393B5076"/>
    <w:multiLevelType w:val="hybridMultilevel"/>
    <w:lvl w:ilvl="0">
      <w:lvlJc w:val="left"/>
      <w:lvlText w:val="(%1)"/>
      <w:numFmt w:val="lowerLetter"/>
      <w:start w:val="1"/>
    </w:lvl>
  </w:abstractNum>
  <w:abstractNum w:abstractNumId="740">
    <w:nsid w:val="5F0E41DB"/>
    <w:multiLevelType w:val="hybridMultilevel"/>
    <w:lvl w:ilvl="0">
      <w:lvlJc w:val="left"/>
      <w:lvlText w:val="(%1)"/>
      <w:numFmt w:val="lowerLetter"/>
      <w:start w:val="5"/>
    </w:lvl>
  </w:abstractNum>
  <w:abstractNum w:abstractNumId="741">
    <w:nsid w:val="6C4DFAA4"/>
    <w:multiLevelType w:val="hybridMultilevel"/>
    <w:lvl w:ilvl="0">
      <w:lvlJc w:val="left"/>
      <w:lvlText w:val="(%1)"/>
      <w:numFmt w:val="lowerLetter"/>
      <w:start w:val="1"/>
    </w:lvl>
  </w:abstractNum>
  <w:abstractNum w:abstractNumId="742">
    <w:nsid w:val="C7C501F"/>
    <w:multiLevelType w:val="hybridMultilevel"/>
    <w:lvl w:ilvl="0">
      <w:lvlJc w:val="left"/>
      <w:lvlText w:val="(%1)"/>
      <w:numFmt w:val="lowerLetter"/>
      <w:start w:val="1"/>
    </w:lvl>
  </w:abstractNum>
  <w:abstractNum w:abstractNumId="743">
    <w:nsid w:val="7244B239"/>
    <w:multiLevelType w:val="hybridMultilevel"/>
    <w:lvl w:ilvl="0">
      <w:lvlJc w:val="left"/>
      <w:lvlText w:val="(%1)"/>
      <w:numFmt w:val="lowerLetter"/>
      <w:start w:val="1"/>
    </w:lvl>
  </w:abstractNum>
  <w:abstractNum w:abstractNumId="744">
    <w:nsid w:val="50B1BE08"/>
    <w:multiLevelType w:val="hybridMultilevel"/>
    <w:lvl w:ilvl="0">
      <w:lvlJc w:val="left"/>
      <w:lvlText w:val="(%1)"/>
      <w:numFmt w:val="lowerLetter"/>
      <w:start w:val="1"/>
    </w:lvl>
  </w:abstractNum>
  <w:abstractNum w:abstractNumId="745">
    <w:nsid w:val="40F78FF3"/>
    <w:multiLevelType w:val="hybridMultilevel"/>
    <w:lvl w:ilvl="0">
      <w:lvlJc w:val="left"/>
      <w:lvlText w:val="(%1)"/>
      <w:numFmt w:val="lowerLetter"/>
      <w:start w:val="2"/>
    </w:lvl>
  </w:abstractNum>
  <w:abstractNum w:abstractNumId="746">
    <w:nsid w:val="7F9F698A"/>
    <w:multiLevelType w:val="hybridMultilevel"/>
    <w:lvl w:ilvl="0">
      <w:lvlJc w:val="left"/>
      <w:lvlText w:val="(%1)"/>
      <w:numFmt w:val="lowerLetter"/>
      <w:start w:val="1"/>
    </w:lvl>
  </w:abstractNum>
  <w:abstractNum w:abstractNumId="747">
    <w:nsid w:val="5FD0822F"/>
    <w:multiLevelType w:val="hybridMultilevel"/>
    <w:lvl w:ilvl="0">
      <w:lvlJc w:val="left"/>
      <w:lvlText w:val="(%1)"/>
      <w:numFmt w:val="lowerLetter"/>
      <w:start w:val="1"/>
    </w:lvl>
  </w:abstractNum>
  <w:abstractNum w:abstractNumId="748">
    <w:nsid w:val="2D814889"/>
    <w:multiLevelType w:val="hybridMultilevel"/>
    <w:lvl w:ilvl="0">
      <w:lvlJc w:val="left"/>
      <w:lvlText w:val="(%1)"/>
      <w:numFmt w:val="lowerLetter"/>
      <w:start w:val="1"/>
    </w:lvl>
    <w:lvl w:ilvl="1">
      <w:lvlJc w:val="left"/>
      <w:lvlText w:val="(%2)"/>
      <w:numFmt w:val="lowerRoman"/>
      <w:start w:val="1"/>
    </w:lvl>
  </w:abstractNum>
  <w:abstractNum w:abstractNumId="749">
    <w:nsid w:val="7DB18352"/>
    <w:multiLevelType w:val="hybridMultilevel"/>
    <w:lvl w:ilvl="0">
      <w:lvlJc w:val="left"/>
      <w:lvlText w:val="%1"/>
      <w:numFmt w:val="lowerLetter"/>
      <w:start w:val="1"/>
    </w:lvl>
    <w:lvl w:ilvl="1">
      <w:lvlJc w:val="left"/>
      <w:lvlText w:val="(%2)"/>
      <w:numFmt w:val="lowerRoman"/>
      <w:start w:val="3"/>
    </w:lvl>
  </w:abstractNum>
  <w:abstractNum w:abstractNumId="750">
    <w:nsid w:val="5C243F1"/>
    <w:multiLevelType w:val="hybridMultilevel"/>
    <w:lvl w:ilvl="0">
      <w:lvlJc w:val="left"/>
      <w:lvlText w:val="(%1)"/>
      <w:numFmt w:val="lowerLetter"/>
      <w:start w:val="2"/>
    </w:lvl>
    <w:lvl w:ilvl="1">
      <w:lvlJc w:val="left"/>
      <w:lvlText w:val="(%2)"/>
      <w:numFmt w:val="lowerRoman"/>
      <w:start w:val="1"/>
    </w:lvl>
  </w:abstractNum>
  <w:abstractNum w:abstractNumId="751">
    <w:nsid w:val="21BE2F84"/>
    <w:multiLevelType w:val="hybridMultilevel"/>
    <w:lvl w:ilvl="0">
      <w:lvlJc w:val="left"/>
      <w:lvlText w:val="(%1)"/>
      <w:numFmt w:val="lowerLetter"/>
      <w:start w:val="1"/>
    </w:lvl>
  </w:abstractNum>
  <w:abstractNum w:abstractNumId="752">
    <w:nsid w:val="1E0491CD"/>
    <w:multiLevelType w:val="hybridMultilevel"/>
    <w:lvl w:ilvl="0">
      <w:lvlJc w:val="left"/>
      <w:lvlText w:val="(%1)"/>
      <w:numFmt w:val="lowerLetter"/>
      <w:start w:val="1"/>
    </w:lvl>
  </w:abstractNum>
  <w:abstractNum w:abstractNumId="753">
    <w:nsid w:val="1A0ED871"/>
    <w:multiLevelType w:val="hybridMultilevel"/>
    <w:lvl w:ilvl="0">
      <w:lvlJc w:val="left"/>
      <w:lvlText w:val="(%1)"/>
      <w:numFmt w:val="lowerLetter"/>
      <w:start w:val="5"/>
    </w:lvl>
  </w:abstractNum>
  <w:abstractNum w:abstractNumId="754">
    <w:nsid w:val="36D2D033"/>
    <w:multiLevelType w:val="hybridMultilevel"/>
    <w:lvl w:ilvl="0">
      <w:lvlJc w:val="left"/>
      <w:lvlText w:val="(%1)"/>
      <w:numFmt w:val="lowerLetter"/>
      <w:start w:val="1"/>
    </w:lvl>
  </w:abstractNum>
  <w:abstractNum w:abstractNumId="755">
    <w:nsid w:val="73C7EB1A"/>
    <w:multiLevelType w:val="hybridMultilevel"/>
    <w:lvl w:ilvl="0">
      <w:lvlJc w:val="left"/>
      <w:lvlText w:val="%1."/>
      <w:numFmt w:val="decimal"/>
      <w:start w:val="1"/>
    </w:lvl>
  </w:abstractNum>
  <w:abstractNum w:abstractNumId="756">
    <w:nsid w:val="3EBCDCC"/>
    <w:multiLevelType w:val="hybridMultilevel"/>
    <w:lvl w:ilvl="0">
      <w:lvlJc w:val="left"/>
      <w:lvlText w:val="%1."/>
      <w:numFmt w:val="decimal"/>
      <w:start w:val="2"/>
    </w:lvl>
  </w:abstractNum>
  <w:abstractNum w:abstractNumId="757">
    <w:nsid w:val="43CEFB03"/>
    <w:multiLevelType w:val="hybridMultilevel"/>
    <w:lvl w:ilvl="0">
      <w:lvlJc w:val="left"/>
      <w:lvlText w:val="(%1)"/>
      <w:numFmt w:val="lowerLetter"/>
      <w:start w:val="1"/>
    </w:lvl>
  </w:abstractNum>
  <w:abstractNum w:abstractNumId="758">
    <w:nsid w:val="1C82652D"/>
    <w:multiLevelType w:val="hybridMultilevel"/>
    <w:lvl w:ilvl="0">
      <w:lvlJc w:val="left"/>
      <w:lvlText w:val="%1."/>
      <w:numFmt w:val="decimal"/>
      <w:start w:val="3"/>
    </w:lvl>
  </w:abstractNum>
  <w:abstractNum w:abstractNumId="759">
    <w:nsid w:val="2C73E35D"/>
    <w:multiLevelType w:val="hybridMultilevel"/>
    <w:lvl w:ilvl="0">
      <w:lvlJc w:val="left"/>
      <w:lvlText w:val="(%1)"/>
      <w:numFmt w:val="lowerLetter"/>
      <w:start w:val="1"/>
    </w:lvl>
  </w:abstractNum>
  <w:abstractNum w:abstractNumId="760">
    <w:nsid w:val="3AFA746F"/>
    <w:multiLevelType w:val="hybridMultilevel"/>
    <w:lvl w:ilvl="0">
      <w:lvlJc w:val="left"/>
      <w:lvlText w:val="(%1)"/>
      <w:numFmt w:val="lowerLetter"/>
      <w:start w:val="5"/>
    </w:lvl>
  </w:abstractNum>
  <w:abstractNum w:abstractNumId="761">
    <w:nsid w:val="3A849116"/>
    <w:multiLevelType w:val="hybridMultilevel"/>
    <w:lvl w:ilvl="0">
      <w:lvlJc w:val="left"/>
      <w:lvlText w:val="%1."/>
      <w:numFmt w:val="decimal"/>
      <w:start w:val="4"/>
    </w:lvl>
  </w:abstractNum>
  <w:abstractNum w:abstractNumId="762">
    <w:nsid w:val="1F3847FC"/>
    <w:multiLevelType w:val="hybridMultilevel"/>
    <w:lvl w:ilvl="0">
      <w:lvlJc w:val="left"/>
      <w:lvlText w:val="(%1)"/>
      <w:numFmt w:val="lowerLetter"/>
      <w:start w:val="1"/>
    </w:lvl>
  </w:abstractNum>
  <w:abstractNum w:abstractNumId="763">
    <w:nsid w:val="37D3B790"/>
    <w:multiLevelType w:val="hybridMultilevel"/>
    <w:lvl w:ilvl="0">
      <w:lvlJc w:val="left"/>
      <w:lvlText w:val="%1."/>
      <w:numFmt w:val="decimal"/>
      <w:start w:val="5"/>
    </w:lvl>
  </w:abstractNum>
  <w:abstractNum w:abstractNumId="764">
    <w:nsid w:val="4E384ED3"/>
    <w:multiLevelType w:val="hybridMultilevel"/>
    <w:lvl w:ilvl="0">
      <w:lvlJc w:val="left"/>
      <w:lvlText w:val="(%1)"/>
      <w:numFmt w:val="lowerLetter"/>
      <w:start w:val="1"/>
    </w:lvl>
  </w:abstractNum>
  <w:abstractNum w:abstractNumId="765">
    <w:nsid w:val="6B80C94F"/>
    <w:multiLevelType w:val="hybridMultilevel"/>
    <w:lvl w:ilvl="0">
      <w:lvlJc w:val="left"/>
      <w:lvlText w:val="%1."/>
      <w:numFmt w:val="decimal"/>
      <w:start w:val="6"/>
    </w:lvl>
  </w:abstractNum>
  <w:abstractNum w:abstractNumId="766">
    <w:nsid w:val="4D0F54A3"/>
    <w:multiLevelType w:val="hybridMultilevel"/>
    <w:lvl w:ilvl="0">
      <w:lvlJc w:val="left"/>
      <w:lvlText w:val="%1."/>
      <w:numFmt w:val="decimal"/>
      <w:start w:val="7"/>
    </w:lvl>
  </w:abstractNum>
  <w:abstractNum w:abstractNumId="767">
    <w:nsid w:val="4B4004EE"/>
    <w:multiLevelType w:val="hybridMultilevel"/>
    <w:lvl w:ilvl="0">
      <w:lvlJc w:val="left"/>
      <w:lvlText w:val="%1."/>
      <w:numFmt w:val="decimal"/>
      <w:start w:val="8"/>
    </w:lvl>
  </w:abstractNum>
  <w:abstractNum w:abstractNumId="768">
    <w:nsid w:val="25CCB279"/>
    <w:multiLevelType w:val="hybridMultilevel"/>
    <w:lvl w:ilvl="0">
      <w:lvlJc w:val="left"/>
      <w:lvlText w:val="(%1)"/>
      <w:numFmt w:val="lowerLetter"/>
      <w:start w:val="1"/>
    </w:lvl>
  </w:abstractNum>
  <w:abstractNum w:abstractNumId="769">
    <w:nsid w:val="4ED6F798"/>
    <w:multiLevelType w:val="hybridMultilevel"/>
    <w:lvl w:ilvl="0">
      <w:lvlJc w:val="left"/>
      <w:lvlText w:val="%1."/>
      <w:numFmt w:val="decimal"/>
      <w:start w:val="9"/>
    </w:lvl>
  </w:abstractNum>
  <w:abstractNum w:abstractNumId="770">
    <w:nsid w:val="47B5565"/>
    <w:multiLevelType w:val="hybridMultilevel"/>
    <w:lvl w:ilvl="0">
      <w:lvlJc w:val="left"/>
      <w:lvlText w:val="%1."/>
      <w:numFmt w:val="decimal"/>
      <w:start w:val="10"/>
    </w:lvl>
  </w:abstractNum>
  <w:abstractNum w:abstractNumId="771">
    <w:nsid w:val="4DAF454"/>
    <w:multiLevelType w:val="hybridMultilevel"/>
    <w:lvl w:ilvl="0">
      <w:lvlJc w:val="left"/>
      <w:lvlText w:val="(%1)"/>
      <w:numFmt w:val="lowerLetter"/>
      <w:start w:val="1"/>
    </w:lvl>
  </w:abstractNum>
  <w:abstractNum w:abstractNumId="772">
    <w:nsid w:val="3B24F23C"/>
    <w:multiLevelType w:val="hybridMultilevel"/>
    <w:lvl w:ilvl="0">
      <w:lvlJc w:val="left"/>
      <w:lvlText w:val="(%1)"/>
      <w:numFmt w:val="lowerLetter"/>
      <w:start w:val="2"/>
    </w:lvl>
  </w:abstractNum>
  <w:abstractNum w:abstractNumId="773">
    <w:nsid w:val="10F7A584"/>
    <w:multiLevelType w:val="hybridMultilevel"/>
    <w:lvl w:ilvl="0">
      <w:lvlJc w:val="left"/>
      <w:lvlText w:val="%1."/>
      <w:numFmt w:val="decimal"/>
      <w:start w:val="11"/>
    </w:lvl>
  </w:abstractNum>
  <w:abstractNum w:abstractNumId="774">
    <w:nsid w:val="771FA68D"/>
    <w:multiLevelType w:val="hybridMultilevel"/>
    <w:lvl w:ilvl="0">
      <w:lvlJc w:val="left"/>
      <w:lvlText w:val="(%1)"/>
      <w:numFmt w:val="lowerLetter"/>
      <w:start w:val="1"/>
    </w:lvl>
  </w:abstractNum>
  <w:abstractNum w:abstractNumId="775">
    <w:nsid w:val="BD6B044"/>
    <w:multiLevelType w:val="hybridMultilevel"/>
    <w:lvl w:ilvl="0">
      <w:lvlJc w:val="left"/>
      <w:lvlText w:val="%1."/>
      <w:numFmt w:val="decimal"/>
      <w:start w:val="12"/>
    </w:lvl>
  </w:abstractNum>
  <w:abstractNum w:abstractNumId="776">
    <w:nsid w:val="51EF3577"/>
    <w:multiLevelType w:val="hybridMultilevel"/>
    <w:lvl w:ilvl="0">
      <w:lvlJc w:val="left"/>
      <w:lvlText w:val="%1."/>
      <w:numFmt w:val="decimal"/>
      <w:start w:val="13"/>
    </w:lvl>
  </w:abstractNum>
  <w:abstractNum w:abstractNumId="777">
    <w:nsid w:val="76BF1017"/>
    <w:multiLevelType w:val="hybridMultilevel"/>
    <w:lvl w:ilvl="0">
      <w:lvlJc w:val="left"/>
      <w:lvlText w:val="%1."/>
      <w:numFmt w:val="decimal"/>
      <w:start w:val="14"/>
    </w:lvl>
  </w:abstractNum>
  <w:abstractNum w:abstractNumId="778">
    <w:nsid w:val="6BA73274"/>
    <w:multiLevelType w:val="hybridMultilevel"/>
    <w:lvl w:ilvl="0">
      <w:lvlJc w:val="left"/>
      <w:lvlText w:val="(%1)"/>
      <w:numFmt w:val="lowerLetter"/>
      <w:start w:val="1"/>
    </w:lvl>
  </w:abstractNum>
  <w:abstractNum w:abstractNumId="779">
    <w:nsid w:val="7F707E01"/>
    <w:multiLevelType w:val="hybridMultilevel"/>
    <w:lvl w:ilvl="0">
      <w:lvlJc w:val="left"/>
      <w:lvlText w:val="%1."/>
      <w:numFmt w:val="decimal"/>
      <w:start w:val="15"/>
    </w:lvl>
  </w:abstractNum>
  <w:abstractNum w:abstractNumId="780">
    <w:nsid w:val="7470936A"/>
    <w:multiLevelType w:val="hybridMultilevel"/>
    <w:lvl w:ilvl="0">
      <w:lvlJc w:val="left"/>
      <w:lvlText w:val="(%1)"/>
      <w:numFmt w:val="lowerLetter"/>
      <w:start w:val="1"/>
    </w:lvl>
    <w:lvl w:ilvl="1">
      <w:lvlJc w:val="left"/>
      <w:lvlText w:val="(%2)"/>
      <w:numFmt w:val="lowerLetter"/>
      <w:start w:val="9"/>
    </w:lvl>
  </w:abstractNum>
  <w:abstractNum w:abstractNumId="781">
    <w:nsid w:val="71697665"/>
    <w:multiLevelType w:val="hybridMultilevel"/>
    <w:lvl w:ilvl="0">
      <w:lvlJc w:val="left"/>
      <w:lvlText w:val="%1"/>
      <w:numFmt w:val="lowerLetter"/>
      <w:start w:val="1"/>
    </w:lvl>
    <w:lvl w:ilvl="1">
      <w:lvlJc w:val="left"/>
      <w:lvlText w:val="(%2)"/>
      <w:numFmt w:val="lowerRoman"/>
      <w:start w:val="2"/>
    </w:lvl>
  </w:abstractNum>
  <w:abstractNum w:abstractNumId="782">
    <w:nsid w:val="212EAD85"/>
    <w:multiLevelType w:val="hybridMultilevel"/>
    <w:lvl w:ilvl="0">
      <w:lvlJc w:val="left"/>
      <w:lvlText w:val="(%1)"/>
      <w:numFmt w:val="lowerLetter"/>
      <w:start w:val="2"/>
    </w:lvl>
    <w:lvl w:ilvl="1">
      <w:lvlJc w:val="left"/>
      <w:lvlText w:val="(%2)"/>
      <w:numFmt w:val="lowerRoman"/>
      <w:start w:val="1"/>
    </w:lvl>
  </w:abstractNum>
  <w:abstractNum w:abstractNumId="783">
    <w:nsid w:val="12752537"/>
    <w:multiLevelType w:val="hybridMultilevel"/>
    <w:lvl w:ilvl="0">
      <w:lvlJc w:val="left"/>
      <w:lvlText w:val="%1."/>
      <w:numFmt w:val="decimal"/>
      <w:start w:val="16"/>
    </w:lvl>
  </w:abstractNum>
  <w:abstractNum w:abstractNumId="784">
    <w:nsid w:val="B784ED6"/>
    <w:multiLevelType w:val="hybridMultilevel"/>
    <w:lvl w:ilvl="0">
      <w:lvlJc w:val="left"/>
      <w:lvlText w:val="%1."/>
      <w:numFmt w:val="decimal"/>
      <w:start w:val="17"/>
    </w:lvl>
  </w:abstractNum>
  <w:abstractNum w:abstractNumId="785">
    <w:nsid w:val="58017DB8"/>
    <w:multiLevelType w:val="hybridMultilevel"/>
    <w:lvl w:ilvl="0">
      <w:lvlJc w:val="left"/>
      <w:lvlText w:val="(%1)"/>
      <w:numFmt w:val="lowerLetter"/>
      <w:start w:val="1"/>
    </w:lvl>
  </w:abstractNum>
  <w:abstractNum w:abstractNumId="786">
    <w:nsid w:val="63D1051"/>
    <w:multiLevelType w:val="hybridMultilevel"/>
    <w:lvl w:ilvl="0">
      <w:lvlJc w:val="left"/>
      <w:lvlText w:val="%1."/>
      <w:numFmt w:val="decimal"/>
      <w:start w:val="18"/>
    </w:lvl>
  </w:abstractNum>
  <w:abstractNum w:abstractNumId="787">
    <w:nsid w:val="F641CA2"/>
    <w:multiLevelType w:val="hybridMultilevel"/>
    <w:lvl w:ilvl="0">
      <w:lvlJc w:val="left"/>
      <w:lvlText w:val="(%1)"/>
      <w:numFmt w:val="lowerLetter"/>
      <w:start w:val="1"/>
    </w:lvl>
  </w:abstractNum>
  <w:abstractNum w:abstractNumId="788">
    <w:nsid w:val="1BD078BB"/>
    <w:multiLevelType w:val="hybridMultilevel"/>
    <w:lvl w:ilvl="0">
      <w:lvlJc w:val="left"/>
      <w:lvlText w:val="(%1)"/>
      <w:numFmt w:val="lowerLetter"/>
      <w:start w:val="4"/>
    </w:lvl>
  </w:abstractNum>
  <w:abstractNum w:abstractNumId="789">
    <w:nsid w:val="22BF757E"/>
    <w:multiLevelType w:val="hybridMultilevel"/>
    <w:lvl w:ilvl="0">
      <w:lvlJc w:val="left"/>
      <w:lvlText w:val="%1."/>
      <w:numFmt w:val="decimal"/>
      <w:start w:val="19"/>
    </w:lvl>
  </w:abstractNum>
  <w:abstractNum w:abstractNumId="790">
    <w:nsid w:val="3BD80000"/>
    <w:multiLevelType w:val="hybridMultilevel"/>
    <w:lvl w:ilvl="0">
      <w:lvlJc w:val="left"/>
      <w:lvlText w:val="%1."/>
      <w:numFmt w:val="decimal"/>
      <w:start w:val="20"/>
    </w:lvl>
  </w:abstractNum>
  <w:abstractNum w:abstractNumId="791">
    <w:nsid w:val="56CAED2B"/>
    <w:multiLevelType w:val="hybridMultilevel"/>
    <w:lvl w:ilvl="0">
      <w:lvlJc w:val="left"/>
      <w:lvlText w:val="%1."/>
      <w:numFmt w:val="decimal"/>
      <w:start w:val="21"/>
    </w:lvl>
  </w:abstractNum>
  <w:abstractNum w:abstractNumId="792">
    <w:nsid w:val="5D440695"/>
    <w:multiLevelType w:val="hybridMultilevel"/>
    <w:lvl w:ilvl="0">
      <w:lvlJc w:val="left"/>
      <w:lvlText w:val="(%1)"/>
      <w:numFmt w:val="lowerLetter"/>
      <w:start w:val="1"/>
    </w:lvl>
  </w:abstractNum>
  <w:abstractNum w:abstractNumId="793">
    <w:nsid w:val="5B1047FC"/>
    <w:multiLevelType w:val="hybridMultilevel"/>
    <w:lvl w:ilvl="0">
      <w:lvlJc w:val="left"/>
      <w:lvlText w:val="%1."/>
      <w:numFmt w:val="decimal"/>
      <w:start w:val="22"/>
    </w:lvl>
  </w:abstractNum>
  <w:abstractNum w:abstractNumId="794">
    <w:nsid w:val="E9EA4BB"/>
    <w:multiLevelType w:val="hybridMultilevel"/>
    <w:lvl w:ilvl="0">
      <w:lvlJc w:val="left"/>
      <w:lvlText w:val="%1."/>
      <w:numFmt w:val="decimal"/>
      <w:start w:val="1"/>
    </w:lvl>
  </w:abstractNum>
  <w:abstractNum w:abstractNumId="795">
    <w:nsid w:val="2B7C5568"/>
    <w:multiLevelType w:val="hybridMultilevel"/>
    <w:lvl w:ilvl="0">
      <w:lvlJc w:val="left"/>
      <w:lvlText w:val="%1."/>
      <w:numFmt w:val="decimal"/>
      <w:start w:val="2"/>
    </w:lvl>
  </w:abstractNum>
  <w:abstractNum w:abstractNumId="796">
    <w:nsid w:val="4691114B"/>
    <w:multiLevelType w:val="hybridMultilevel"/>
    <w:lvl w:ilvl="0">
      <w:lvlJc w:val="left"/>
      <w:lvlText w:val="(%1)"/>
      <w:numFmt w:val="lowerLetter"/>
      <w:start w:val="1"/>
    </w:lvl>
  </w:abstractNum>
  <w:abstractNum w:abstractNumId="797">
    <w:nsid w:val="5BADF95F"/>
    <w:multiLevelType w:val="hybridMultilevel"/>
    <w:lvl w:ilvl="0">
      <w:lvlJc w:val="left"/>
      <w:lvlText w:val="%1."/>
      <w:numFmt w:val="decimal"/>
      <w:start w:val="3"/>
    </w:lvl>
  </w:abstractNum>
  <w:abstractNum w:abstractNumId="798">
    <w:nsid w:val="76BC5A56"/>
    <w:multiLevelType w:val="hybridMultilevel"/>
    <w:lvl w:ilvl="0">
      <w:lvlJc w:val="left"/>
      <w:lvlText w:val="(%1)"/>
      <w:numFmt w:val="lowerLetter"/>
      <w:start w:val="1"/>
    </w:lvl>
  </w:abstractNum>
  <w:abstractNum w:abstractNumId="799">
    <w:nsid w:val="6C5DC3C4"/>
    <w:multiLevelType w:val="hybridMultilevel"/>
    <w:lvl w:ilvl="0">
      <w:lvlJc w:val="left"/>
      <w:lvlText w:val="%1."/>
      <w:numFmt w:val="decimal"/>
      <w:start w:val="4"/>
    </w:lvl>
  </w:abstractNum>
  <w:abstractNum w:abstractNumId="800">
    <w:nsid w:val="2A84F0F7"/>
    <w:multiLevelType w:val="hybridMultilevel"/>
    <w:lvl w:ilvl="0">
      <w:lvlJc w:val="left"/>
      <w:lvlText w:val="(%1)"/>
      <w:numFmt w:val="lowerLetter"/>
      <w:start w:val="1"/>
    </w:lvl>
  </w:abstractNum>
  <w:abstractNum w:abstractNumId="801">
    <w:nsid w:val="7B37AFBB"/>
    <w:multiLevelType w:val="hybridMultilevel"/>
    <w:lvl w:ilvl="0">
      <w:lvlJc w:val="left"/>
      <w:lvlText w:val="(%1)"/>
      <w:numFmt w:val="lowerLetter"/>
      <w:start w:val="3"/>
    </w:lvl>
  </w:abstractNum>
  <w:abstractNum w:abstractNumId="802">
    <w:nsid w:val="7138B819"/>
    <w:multiLevelType w:val="hybridMultilevel"/>
    <w:lvl w:ilvl="0">
      <w:lvlJc w:val="left"/>
      <w:lvlText w:val="%1."/>
      <w:numFmt w:val="decimal"/>
      <w:start w:val="5"/>
    </w:lvl>
  </w:abstractNum>
  <w:abstractNum w:abstractNumId="803">
    <w:nsid w:val="65A9E333"/>
    <w:multiLevelType w:val="hybridMultilevel"/>
    <w:lvl w:ilvl="0">
      <w:lvlJc w:val="left"/>
      <w:lvlText w:val="(%1)"/>
      <w:numFmt w:val="lowerLetter"/>
      <w:start w:val="1"/>
    </w:lvl>
  </w:abstractNum>
  <w:abstractNum w:abstractNumId="804">
    <w:nsid w:val="C2F5540"/>
    <w:multiLevelType w:val="hybridMultilevel"/>
    <w:lvl w:ilvl="0">
      <w:lvlJc w:val="left"/>
      <w:lvlText w:val="%1."/>
      <w:numFmt w:val="decimal"/>
      <w:start w:val="6"/>
    </w:lvl>
  </w:abstractNum>
  <w:abstractNum w:abstractNumId="805">
    <w:nsid w:val="68585EA6"/>
    <w:multiLevelType w:val="hybridMultilevel"/>
    <w:lvl w:ilvl="0">
      <w:lvlJc w:val="left"/>
      <w:lvlText w:val="%1."/>
      <w:numFmt w:val="decimal"/>
      <w:start w:val="7"/>
    </w:lvl>
  </w:abstractNum>
  <w:abstractNum w:abstractNumId="806">
    <w:nsid w:val="71809378"/>
    <w:multiLevelType w:val="hybridMultilevel"/>
    <w:lvl w:ilvl="0">
      <w:lvlJc w:val="left"/>
      <w:lvlText w:val="%1."/>
      <w:numFmt w:val="decimal"/>
      <w:start w:val="8"/>
    </w:lvl>
  </w:abstractNum>
  <w:abstractNum w:abstractNumId="807">
    <w:nsid w:val="5E1E8AB7"/>
    <w:multiLevelType w:val="hybridMultilevel"/>
    <w:lvl w:ilvl="0">
      <w:lvlJc w:val="left"/>
      <w:lvlText w:val="(%1)"/>
      <w:numFmt w:val="lowerLetter"/>
      <w:start w:val="1"/>
    </w:lvl>
  </w:abstractNum>
  <w:abstractNum w:abstractNumId="808">
    <w:nsid w:val="5F176EBE"/>
    <w:multiLevelType w:val="hybridMultilevel"/>
    <w:lvl w:ilvl="0">
      <w:lvlJc w:val="left"/>
      <w:lvlText w:val="%1."/>
      <w:numFmt w:val="decimal"/>
      <w:start w:val="9"/>
    </w:lvl>
  </w:abstractNum>
  <w:abstractNum w:abstractNumId="809">
    <w:nsid w:val="5D27C5EC"/>
    <w:multiLevelType w:val="hybridMultilevel"/>
    <w:lvl w:ilvl="0">
      <w:lvlJc w:val="left"/>
      <w:lvlText w:val="(%1)"/>
      <w:numFmt w:val="lowerLetter"/>
      <w:start w:val="1"/>
    </w:lvl>
  </w:abstractNum>
  <w:abstractNum w:abstractNumId="810">
    <w:nsid w:val="5D8F08B8"/>
    <w:multiLevelType w:val="hybridMultilevel"/>
    <w:lvl w:ilvl="0">
      <w:lvlJc w:val="left"/>
      <w:lvlText w:val="(%1)"/>
      <w:numFmt w:val="lowerLetter"/>
      <w:start w:val="3"/>
    </w:lvl>
  </w:abstractNum>
  <w:abstractNum w:abstractNumId="811">
    <w:nsid w:val="53880228"/>
    <w:multiLevelType w:val="hybridMultilevel"/>
    <w:lvl w:ilvl="0">
      <w:lvlJc w:val="left"/>
      <w:lvlText w:val="(%1)"/>
      <w:numFmt w:val="lowerLetter"/>
      <w:start w:val="1"/>
    </w:lvl>
  </w:abstractNum>
  <w:abstractNum w:abstractNumId="812">
    <w:nsid w:val="4E913C51"/>
    <w:multiLevelType w:val="hybridMultilevel"/>
    <w:lvl w:ilvl="0">
      <w:lvlJc w:val="left"/>
      <w:lvlText w:val="(%1)"/>
      <w:numFmt w:val="lowerLetter"/>
      <w:start w:val="1"/>
    </w:lvl>
  </w:abstractNum>
  <w:abstractNum w:abstractNumId="813">
    <w:nsid w:val="7EBDB63D"/>
    <w:multiLevelType w:val="hybridMultilevel"/>
    <w:lvl w:ilvl="0">
      <w:lvlJc w:val="left"/>
      <w:lvlText w:val="(%1)"/>
      <w:numFmt w:val="lowerLetter"/>
      <w:start w:val="2"/>
    </w:lvl>
  </w:abstractNum>
  <w:abstractNum w:abstractNumId="814">
    <w:nsid w:val="65FD275F"/>
    <w:multiLevelType w:val="hybridMultilevel"/>
    <w:lvl w:ilvl="0">
      <w:lvlJc w:val="left"/>
      <w:lvlText w:val="(%1)"/>
      <w:numFmt w:val="lowerLetter"/>
      <w:start w:val="1"/>
    </w:lvl>
    <w:lvl w:ilvl="1">
      <w:lvlJc w:val="left"/>
      <w:lvlText w:val="(%2)"/>
      <w:numFmt w:val="lowerRoman"/>
      <w:start w:val="1"/>
    </w:lvl>
  </w:abstractNum>
  <w:abstractNum w:abstractNumId="815">
    <w:nsid w:val="5A098B27"/>
    <w:multiLevelType w:val="hybridMultilevel"/>
    <w:lvl w:ilvl="0">
      <w:lvlJc w:val="left"/>
      <w:lvlText w:val="%1"/>
      <w:numFmt w:val="lowerLetter"/>
      <w:start w:val="1"/>
    </w:lvl>
    <w:lvl w:ilvl="1">
      <w:lvlJc w:val="left"/>
      <w:lvlText w:val="(%2)"/>
      <w:numFmt w:val="lowerLetter"/>
      <w:start w:val="61"/>
    </w:lvl>
  </w:abstractNum>
  <w:abstractNum w:abstractNumId="816">
    <w:nsid w:val="56BF33F6"/>
    <w:multiLevelType w:val="hybridMultilevel"/>
    <w:lvl w:ilvl="0">
      <w:lvlJc w:val="left"/>
      <w:lvlText w:val="(%1)"/>
      <w:numFmt w:val="lowerLetter"/>
      <w:start w:val="3"/>
    </w:lvl>
    <w:lvl w:ilvl="1">
      <w:lvlJc w:val="left"/>
      <w:lvlText w:val="%2"/>
      <w:numFmt w:val="lowerLetter"/>
      <w:start w:val="1"/>
    </w:lvl>
  </w:abstractNum>
  <w:abstractNum w:abstractNumId="817">
    <w:nsid w:val="6C3A37B1"/>
    <w:multiLevelType w:val="hybridMultilevel"/>
    <w:lvl w:ilvl="0">
      <w:lvlJc w:val="left"/>
      <w:lvlText w:val="(%1)"/>
      <w:numFmt w:val="lowerLetter"/>
      <w:start w:val="1"/>
    </w:lvl>
  </w:abstractNum>
  <w:abstractNum w:abstractNumId="818">
    <w:nsid w:val="696DA7C9"/>
    <w:multiLevelType w:val="hybridMultilevel"/>
    <w:lvl w:ilvl="0">
      <w:lvlJc w:val="left"/>
      <w:lvlText w:val="(%1)"/>
      <w:numFmt w:val="lowerLetter"/>
      <w:start w:val="1"/>
    </w:lvl>
  </w:abstractNum>
  <w:abstractNum w:abstractNumId="819">
    <w:nsid w:val="728FACB1"/>
    <w:multiLevelType w:val="hybridMultilevel"/>
    <w:lvl w:ilvl="0">
      <w:lvlJc w:val="left"/>
      <w:lvlText w:val="(%1)"/>
      <w:numFmt w:val="lowerLetter"/>
      <w:start w:val="2"/>
    </w:lvl>
  </w:abstractNum>
  <w:abstractNum w:abstractNumId="820">
    <w:nsid w:val="EF9AD2F"/>
    <w:multiLevelType w:val="hybridMultilevel"/>
    <w:lvl w:ilvl="0">
      <w:lvlJc w:val="left"/>
      <w:lvlText w:val="(%1)"/>
      <w:numFmt w:val="lowerLetter"/>
      <w:start w:val="1"/>
    </w:lvl>
  </w:abstractNum>
  <w:abstractNum w:abstractNumId="821">
    <w:nsid w:val="2545A7C9"/>
    <w:multiLevelType w:val="hybridMultilevel"/>
    <w:lvl w:ilvl="0">
      <w:lvlJc w:val="left"/>
      <w:lvlText w:val="%1."/>
      <w:numFmt w:val="decimal"/>
      <w:start w:val="1"/>
    </w:lvl>
  </w:abstractNum>
  <w:abstractNum w:abstractNumId="822">
    <w:nsid w:val="495A99DC"/>
    <w:multiLevelType w:val="hybridMultilevel"/>
    <w:lvl w:ilvl="0">
      <w:lvlJc w:val="left"/>
      <w:lvlText w:val="%1."/>
      <w:numFmt w:val="decimal"/>
      <w:start w:val="2"/>
    </w:lvl>
    <w:lvl w:ilvl="1">
      <w:lvlJc w:val="left"/>
      <w:lvlText w:val="(%2)"/>
      <w:numFmt w:val="lowerLetter"/>
      <w:start w:val="1"/>
    </w:lvl>
  </w:abstractNum>
  <w:abstractNum w:abstractNumId="823">
    <w:nsid w:val="6C3DB3C4"/>
    <w:multiLevelType w:val="hybridMultilevel"/>
    <w:lvl w:ilvl="0">
      <w:lvlJc w:val="left"/>
      <w:lvlText w:val="%1"/>
      <w:numFmt w:val="decimal"/>
      <w:start w:val="1"/>
    </w:lvl>
    <w:lvl w:ilvl="1">
      <w:lvlJc w:val="left"/>
      <w:lvlText w:val="(%2)"/>
      <w:numFmt w:val="lowerLetter"/>
      <w:start w:val="5"/>
    </w:lvl>
  </w:abstractNum>
  <w:abstractNum w:abstractNumId="824">
    <w:nsid w:val="55EFC6"/>
    <w:multiLevelType w:val="hybridMultilevel"/>
    <w:lvl w:ilvl="0">
      <w:lvlJc w:val="left"/>
      <w:lvlText w:val="%1."/>
      <w:numFmt w:val="decimal"/>
      <w:start w:val="4"/>
    </w:lvl>
    <w:lvl w:ilvl="1">
      <w:lvlJc w:val="left"/>
      <w:lvlText w:val="(%2)"/>
      <w:numFmt w:val="lowerLetter"/>
      <w:start w:val="1"/>
    </w:lvl>
  </w:abstractNum>
  <w:abstractNum w:abstractNumId="825">
    <w:nsid w:val="57F93E98"/>
    <w:multiLevelType w:val="hybridMultilevel"/>
    <w:lvl w:ilvl="0">
      <w:lvlJc w:val="left"/>
      <w:lvlText w:val="%1."/>
      <w:numFmt w:val="decimal"/>
      <w:start w:val="6"/>
    </w:lvl>
  </w:abstractNum>
  <w:abstractNum w:abstractNumId="826">
    <w:nsid w:val="17BA092C"/>
    <w:multiLevelType w:val="hybridMultilevel"/>
    <w:lvl w:ilvl="0">
      <w:lvlJc w:val="left"/>
      <w:lvlText w:val="%1."/>
      <w:numFmt w:val="decimal"/>
      <w:start w:val="7"/>
    </w:lvl>
  </w:abstractNum>
  <w:abstractNum w:abstractNumId="827">
    <w:nsid w:val="46E70111"/>
    <w:multiLevelType w:val="hybridMultilevel"/>
    <w:lvl w:ilvl="0">
      <w:lvlJc w:val="left"/>
      <w:lvlText w:val="%1."/>
      <w:numFmt w:val="decimal"/>
      <w:start w:val="8"/>
    </w:lvl>
    <w:lvl w:ilvl="1">
      <w:lvlJc w:val="left"/>
      <w:lvlText w:val="(%2)"/>
      <w:numFmt w:val="lowerLetter"/>
      <w:start w:val="1"/>
    </w:lvl>
  </w:abstractNum>
  <w:abstractNum w:abstractNumId="828">
    <w:nsid w:val="33A737F7"/>
    <w:multiLevelType w:val="hybridMultilevel"/>
    <w:lvl w:ilvl="0">
      <w:lvlJc w:val="left"/>
      <w:lvlText w:val="%1."/>
      <w:numFmt w:val="decimal"/>
      <w:start w:val="10"/>
    </w:lvl>
    <w:lvl w:ilvl="1">
      <w:lvlJc w:val="left"/>
      <w:lvlText w:val="(%2)"/>
      <w:numFmt w:val="lowerLetter"/>
      <w:start w:val="1"/>
    </w:lvl>
  </w:abstractNum>
  <w:abstractNum w:abstractNumId="829">
    <w:nsid w:val="E766383"/>
    <w:multiLevelType w:val="hybridMultilevel"/>
    <w:lvl w:ilvl="0">
      <w:lvlJc w:val="left"/>
      <w:lvlText w:val="%1"/>
      <w:numFmt w:val="decimal"/>
      <w:start w:val="1"/>
    </w:lvl>
    <w:lvl w:ilvl="1">
      <w:lvlJc w:val="left"/>
      <w:lvlText w:val="(%2)"/>
      <w:numFmt w:val="lowerLetter"/>
      <w:start w:val="2"/>
    </w:lvl>
  </w:abstractNum>
  <w:abstractNum w:abstractNumId="830">
    <w:nsid w:val="3344C4D6"/>
    <w:multiLevelType w:val="hybridMultilevel"/>
    <w:lvl w:ilvl="0">
      <w:lvlJc w:val="left"/>
      <w:lvlText w:val="%1."/>
      <w:numFmt w:val="decimal"/>
      <w:start w:val="11"/>
    </w:lvl>
    <w:lvl w:ilvl="1">
      <w:lvlJc w:val="left"/>
      <w:lvlText w:val="(%2)"/>
      <w:numFmt w:val="lowerLetter"/>
      <w:start w:val="1"/>
    </w:lvl>
  </w:abstractNum>
  <w:abstractNum w:abstractNumId="831">
    <w:nsid w:val="5E2C28EE"/>
    <w:multiLevelType w:val="hybridMultilevel"/>
    <w:lvl w:ilvl="0">
      <w:lvlJc w:val="left"/>
      <w:lvlText w:val="%1."/>
      <w:numFmt w:val="decimal"/>
      <w:start w:val="13"/>
    </w:lvl>
  </w:abstractNum>
  <w:abstractNum w:abstractNumId="832">
    <w:nsid w:val="9AE133E"/>
    <w:multiLevelType w:val="hybridMultilevel"/>
    <w:lvl w:ilvl="0">
      <w:lvlJc w:val="left"/>
      <w:lvlText w:val="%1."/>
      <w:numFmt w:val="decimal"/>
      <w:start w:val="14"/>
    </w:lvl>
    <w:lvl w:ilvl="1">
      <w:lvlJc w:val="left"/>
      <w:lvlText w:val="(%2)"/>
      <w:numFmt w:val="lowerLetter"/>
      <w:start w:val="1"/>
    </w:lvl>
  </w:abstractNum>
  <w:abstractNum w:abstractNumId="833">
    <w:nsid w:val="247D7C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34">
    <w:nsid w:val="43D60C21"/>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835">
    <w:nsid w:val="15DD687E"/>
    <w:multiLevelType w:val="hybridMultilevel"/>
    <w:lvl w:ilvl="0">
      <w:lvlJc w:val="left"/>
      <w:lvlText w:val="%1"/>
      <w:numFmt w:val="lowerLetter"/>
      <w:start w:val="1"/>
    </w:lvl>
    <w:lvl w:ilvl="1">
      <w:lvlJc w:val="left"/>
      <w:lvlText w:val="(%2)"/>
      <w:numFmt w:val="lowerRoman"/>
      <w:start w:val="2"/>
    </w:lvl>
  </w:abstractNum>
  <w:abstractNum w:abstractNumId="836">
    <w:nsid w:val="CD5DB95"/>
    <w:multiLevelType w:val="hybridMultilevel"/>
    <w:lvl w:ilvl="0">
      <w:lvlJc w:val="left"/>
      <w:lvlText w:val="(%1)"/>
      <w:numFmt w:val="lowerLetter"/>
      <w:start w:val="2"/>
    </w:lvl>
    <w:lvl w:ilvl="1">
      <w:lvlJc w:val="left"/>
      <w:lvlText w:val="(%2)"/>
      <w:numFmt w:val="lowerRoman"/>
      <w:start w:val="1"/>
    </w:lvl>
  </w:abstractNum>
  <w:abstractNum w:abstractNumId="837">
    <w:nsid w:val="35569F99"/>
    <w:multiLevelType w:val="hybridMultilevel"/>
    <w:lvl w:ilvl="0">
      <w:lvlJc w:val="left"/>
      <w:lvlText w:val="%1."/>
      <w:numFmt w:val="decimal"/>
      <w:start w:val="16"/>
    </w:lvl>
  </w:abstractNum>
  <w:abstractNum w:abstractNumId="838">
    <w:nsid w:val="73FBF336"/>
    <w:multiLevelType w:val="hybridMultilevel"/>
    <w:lvl w:ilvl="0">
      <w:lvlJc w:val="left"/>
      <w:lvlText w:val="%1."/>
      <w:numFmt w:val="decimal"/>
      <w:start w:val="17"/>
    </w:lvl>
    <w:lvl w:ilvl="1">
      <w:lvlJc w:val="left"/>
      <w:lvlText w:val="(%2)"/>
      <w:numFmt w:val="lowerLetter"/>
      <w:start w:val="1"/>
    </w:lvl>
  </w:abstractNum>
  <w:abstractNum w:abstractNumId="839">
    <w:nsid w:val="6BED4A53"/>
    <w:multiLevelType w:val="hybridMultilevel"/>
    <w:lvl w:ilvl="0">
      <w:lvlJc w:val="left"/>
      <w:lvlText w:val="(%1)"/>
      <w:numFmt w:val="lowerLetter"/>
      <w:start w:val="3"/>
    </w:lvl>
  </w:abstractNum>
  <w:abstractNum w:abstractNumId="840">
    <w:nsid w:val="127E6585"/>
    <w:multiLevelType w:val="hybridMultilevel"/>
    <w:lvl w:ilvl="0">
      <w:lvlJc w:val="left"/>
      <w:lvlText w:val="%1."/>
      <w:numFmt w:val="decimal"/>
      <w:start w:val="19"/>
    </w:lvl>
  </w:abstractNum>
  <w:abstractNum w:abstractNumId="841">
    <w:nsid w:val="518AFBEE"/>
    <w:multiLevelType w:val="hybridMultilevel"/>
    <w:lvl w:ilvl="0">
      <w:lvlJc w:val="left"/>
      <w:lvlText w:val="%1."/>
      <w:numFmt w:val="decimal"/>
      <w:start w:val="20"/>
    </w:lvl>
  </w:abstractNum>
  <w:abstractNum w:abstractNumId="842">
    <w:nsid w:val="3F754C7B"/>
    <w:multiLevelType w:val="hybridMultilevel"/>
    <w:lvl w:ilvl="0">
      <w:lvlJc w:val="left"/>
      <w:lvlText w:val="%1."/>
      <w:numFmt w:val="decimal"/>
      <w:start w:val="21"/>
    </w:lvl>
    <w:lvl w:ilvl="1">
      <w:lvlJc w:val="left"/>
      <w:lvlText w:val="(%2)"/>
      <w:numFmt w:val="lowerLetter"/>
      <w:start w:val="1"/>
    </w:lvl>
  </w:abstractNum>
  <w:abstractNum w:abstractNumId="843">
    <w:nsid w:val="610FA1D6"/>
    <w:multiLevelType w:val="hybridMultilevel"/>
    <w:lvl w:ilvl="0">
      <w:lvlJc w:val="left"/>
      <w:lvlText w:val="%1."/>
      <w:numFmt w:val="decimal"/>
      <w:start w:val="1"/>
    </w:lvl>
  </w:abstractNum>
  <w:abstractNum w:abstractNumId="844">
    <w:nsid w:val="5048B22C"/>
    <w:multiLevelType w:val="hybridMultilevel"/>
    <w:lvl w:ilvl="0">
      <w:lvlJc w:val="left"/>
      <w:lvlText w:val="%1."/>
      <w:numFmt w:val="decimal"/>
      <w:start w:val="2"/>
    </w:lvl>
  </w:abstractNum>
  <w:abstractNum w:abstractNumId="845">
    <w:nsid w:val="257273DB"/>
    <w:multiLevelType w:val="hybridMultilevel"/>
    <w:lvl w:ilvl="0">
      <w:lvlJc w:val="left"/>
      <w:lvlText w:val="%1."/>
      <w:numFmt w:val="decimal"/>
      <w:start w:val="3"/>
    </w:lvl>
    <w:lvl w:ilvl="1">
      <w:lvlJc w:val="left"/>
      <w:lvlText w:val="(%2)"/>
      <w:numFmt w:val="lowerLetter"/>
      <w:start w:val="1"/>
    </w:lvl>
  </w:abstractNum>
  <w:abstractNum w:abstractNumId="846">
    <w:nsid w:val="3B192CFD"/>
    <w:multiLevelType w:val="hybridMultilevel"/>
    <w:lvl w:ilvl="0">
      <w:lvlJc w:val="left"/>
      <w:lvlText w:val="%1."/>
      <w:numFmt w:val="decimal"/>
      <w:start w:val="4"/>
    </w:lvl>
    <w:lvl w:ilvl="1">
      <w:lvlJc w:val="left"/>
      <w:lvlText w:val="(%2)"/>
      <w:numFmt w:val="lowerLetter"/>
      <w:start w:val="1"/>
    </w:lvl>
  </w:abstractNum>
  <w:abstractNum w:abstractNumId="847">
    <w:nsid w:val="2707E622"/>
    <w:multiLevelType w:val="hybridMultilevel"/>
    <w:lvl w:ilvl="0">
      <w:lvlJc w:val="left"/>
      <w:lvlText w:val="%1."/>
      <w:numFmt w:val="decimal"/>
      <w:start w:val="7"/>
    </w:lvl>
  </w:abstractNum>
  <w:abstractNum w:abstractNumId="848">
    <w:nsid w:val="11ACAB8C"/>
    <w:multiLevelType w:val="hybridMultilevel"/>
    <w:lvl w:ilvl="0">
      <w:lvlJc w:val="left"/>
      <w:lvlText w:val="%1."/>
      <w:numFmt w:val="decimal"/>
      <w:start w:val="8"/>
    </w:lvl>
    <w:lvl w:ilvl="1">
      <w:lvlJc w:val="left"/>
      <w:lvlText w:val="(%2)"/>
      <w:numFmt w:val="lowerLetter"/>
      <w:start w:val="1"/>
    </w:lvl>
  </w:abstractNum>
  <w:abstractNum w:abstractNumId="849">
    <w:nsid w:val="2486D4C7"/>
    <w:multiLevelType w:val="hybridMultilevel"/>
    <w:lvl w:ilvl="0">
      <w:lvlJc w:val="left"/>
      <w:lvlText w:val="%1."/>
      <w:numFmt w:val="decimal"/>
      <w:start w:val="10"/>
    </w:lvl>
    <w:lvl w:ilvl="1">
      <w:lvlJc w:val="left"/>
      <w:lvlText w:val="(%2)"/>
      <w:numFmt w:val="lowerLetter"/>
      <w:start w:val="1"/>
    </w:lvl>
  </w:abstractNum>
  <w:abstractNum w:abstractNumId="850">
    <w:nsid w:val="199792D3"/>
    <w:multiLevelType w:val="hybridMultilevel"/>
    <w:lvl w:ilvl="0">
      <w:lvlJc w:val="left"/>
      <w:lvlText w:val="%1"/>
      <w:numFmt w:val="decimal"/>
      <w:start w:val="1"/>
    </w:lvl>
    <w:lvl w:ilvl="1">
      <w:lvlJc w:val="left"/>
      <w:lvlText w:val="(%2)"/>
      <w:numFmt w:val="lowerLetter"/>
      <w:start w:val="3"/>
    </w:lvl>
  </w:abstractNum>
  <w:abstractNum w:abstractNumId="851">
    <w:nsid w:val="20A658BB"/>
    <w:multiLevelType w:val="hybridMultilevel"/>
    <w:lvl w:ilvl="0">
      <w:lvlJc w:val="left"/>
      <w:lvlText w:val="%1."/>
      <w:numFmt w:val="decimal"/>
      <w:start w:val="11"/>
    </w:lvl>
    <w:lvl w:ilvl="1">
      <w:lvlJc w:val="left"/>
      <w:lvlText w:val="%2"/>
      <w:numFmt w:val="lowerLetter"/>
      <w:start w:val="1"/>
    </w:lvl>
  </w:abstractNum>
  <w:abstractNum w:abstractNumId="852">
    <w:nsid w:val="49CC7C90"/>
    <w:multiLevelType w:val="hybridMultilevel"/>
    <w:lvl w:ilvl="0">
      <w:lvlJc w:val="left"/>
      <w:lvlText w:val="%1."/>
      <w:numFmt w:val="decimal"/>
      <w:start w:val="12"/>
    </w:lvl>
  </w:abstractNum>
  <w:abstractNum w:abstractNumId="853">
    <w:nsid w:val="62F22CB0"/>
    <w:multiLevelType w:val="hybridMultilevel"/>
    <w:lvl w:ilvl="0">
      <w:lvlJc w:val="left"/>
      <w:lvlText w:val="%1."/>
      <w:numFmt w:val="decimal"/>
      <w:start w:val="13"/>
    </w:lvl>
    <w:lvl w:ilvl="1">
      <w:lvlJc w:val="left"/>
      <w:lvlText w:val="(%2)"/>
      <w:numFmt w:val="lowerLetter"/>
      <w:start w:val="1"/>
    </w:lvl>
  </w:abstractNum>
  <w:abstractNum w:abstractNumId="854">
    <w:nsid w:val="CE40C80"/>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abstractNum>
  <w:abstractNum w:abstractNumId="855">
    <w:nsid w:val="4A226C56"/>
    <w:multiLevelType w:val="hybridMultilevel"/>
    <w:lvl w:ilvl="0">
      <w:lvlJc w:val="left"/>
      <w:lvlText w:val="%1."/>
      <w:numFmt w:val="decimal"/>
      <w:start w:val="15"/>
    </w:lvl>
  </w:abstractNum>
  <w:abstractNum w:abstractNumId="856">
    <w:nsid w:val="3AEB6B48"/>
    <w:multiLevelType w:val="hybridMultilevel"/>
    <w:lvl w:ilvl="0">
      <w:lvlJc w:val="left"/>
      <w:lvlText w:val="%1."/>
      <w:numFmt w:val="decimal"/>
      <w:start w:val="16"/>
    </w:lvl>
    <w:lvl w:ilvl="1">
      <w:lvlJc w:val="left"/>
      <w:lvlText w:val="(%2)"/>
      <w:numFmt w:val="lowerLetter"/>
      <w:start w:val="1"/>
    </w:lvl>
  </w:abstractNum>
  <w:abstractNum w:abstractNumId="857">
    <w:nsid w:val="249E15AC"/>
    <w:multiLevelType w:val="hybridMultilevel"/>
    <w:lvl w:ilvl="0">
      <w:lvlJc w:val="left"/>
      <w:lvlText w:val="(%1)"/>
      <w:numFmt w:val="lowerLetter"/>
      <w:start w:val="3"/>
    </w:lvl>
  </w:abstractNum>
  <w:abstractNum w:abstractNumId="858">
    <w:nsid w:val="11096D68"/>
    <w:multiLevelType w:val="hybridMultilevel"/>
    <w:lvl w:ilvl="0">
      <w:lvlJc w:val="left"/>
      <w:lvlText w:val="%1."/>
      <w:numFmt w:val="decimal"/>
      <w:start w:val="18"/>
    </w:lvl>
  </w:abstractNum>
  <w:abstractNum w:abstractNumId="859">
    <w:nsid w:val="6E92A33F"/>
    <w:multiLevelType w:val="hybridMultilevel"/>
    <w:lvl w:ilvl="0">
      <w:lvlJc w:val="left"/>
      <w:lvlText w:val="%1."/>
      <w:numFmt w:val="decimal"/>
      <w:start w:val="19"/>
    </w:lvl>
  </w:abstractNum>
  <w:abstractNum w:abstractNumId="860">
    <w:nsid w:val="3314792F"/>
    <w:multiLevelType w:val="hybridMultilevel"/>
    <w:lvl w:ilvl="0">
      <w:lvlJc w:val="left"/>
      <w:lvlText w:val="%1."/>
      <w:numFmt w:val="decimal"/>
      <w:start w:val="20"/>
    </w:lvl>
    <w:lvl w:ilvl="1">
      <w:lvlJc w:val="left"/>
      <w:lvlText w:val="(%2)"/>
      <w:numFmt w:val="lowerLetter"/>
      <w:start w:val="1"/>
    </w:lvl>
  </w:abstractNum>
  <w:abstractNum w:abstractNumId="861">
    <w:nsid w:val="444E323E"/>
    <w:multiLevelType w:val="hybridMultilevel"/>
    <w:lvl w:ilvl="0">
      <w:lvlJc w:val="left"/>
      <w:lvlText w:val="%1."/>
      <w:numFmt w:val="decimal"/>
      <w:start w:val="1"/>
    </w:lvl>
  </w:abstractNum>
  <w:abstractNum w:abstractNumId="862">
    <w:nsid w:val="4CBECC2D"/>
    <w:multiLevelType w:val="hybridMultilevel"/>
    <w:lvl w:ilvl="0">
      <w:lvlJc w:val="left"/>
      <w:lvlText w:val="%1."/>
      <w:numFmt w:val="decimal"/>
      <w:start w:val="2"/>
    </w:lvl>
  </w:abstractNum>
  <w:abstractNum w:abstractNumId="863">
    <w:nsid w:val="3CC28C6E"/>
    <w:multiLevelType w:val="hybridMultilevel"/>
    <w:lvl w:ilvl="0">
      <w:lvlJc w:val="left"/>
      <w:lvlText w:val="%1."/>
      <w:numFmt w:val="decimal"/>
      <w:start w:val="3"/>
    </w:lvl>
    <w:lvl w:ilvl="1">
      <w:lvlJc w:val="left"/>
      <w:lvlText w:val="(%2)"/>
      <w:numFmt w:val="lowerLetter"/>
      <w:start w:val="1"/>
    </w:lvl>
  </w:abstractNum>
  <w:abstractNum w:abstractNumId="864">
    <w:nsid w:val="68CBAF2D"/>
    <w:multiLevelType w:val="hybridMultilevel"/>
    <w:lvl w:ilvl="0">
      <w:lvlJc w:val="left"/>
      <w:lvlText w:val="%1."/>
      <w:numFmt w:val="decimal"/>
      <w:start w:val="4"/>
    </w:lvl>
    <w:lvl w:ilvl="1">
      <w:lvlJc w:val="left"/>
      <w:lvlText w:val="(%2)"/>
      <w:numFmt w:val="lowerLetter"/>
      <w:start w:val="1"/>
    </w:lvl>
  </w:abstractNum>
  <w:abstractNum w:abstractNumId="865">
    <w:nsid w:val="1094D84E"/>
    <w:multiLevelType w:val="hybridMultilevel"/>
    <w:lvl w:ilvl="0">
      <w:lvlJc w:val="left"/>
      <w:lvlText w:val="%1."/>
      <w:numFmt w:val="decimal"/>
      <w:start w:val="7"/>
    </w:lvl>
  </w:abstractNum>
  <w:abstractNum w:abstractNumId="866">
    <w:nsid w:val="529FF4EC"/>
    <w:multiLevelType w:val="hybridMultilevel"/>
    <w:lvl w:ilvl="0">
      <w:lvlJc w:val="left"/>
      <w:lvlText w:val="%1."/>
      <w:numFmt w:val="decimal"/>
      <w:start w:val="8"/>
    </w:lvl>
    <w:lvl w:ilvl="1">
      <w:lvlJc w:val="left"/>
      <w:lvlText w:val="(%2)"/>
      <w:numFmt w:val="lowerLetter"/>
      <w:start w:val="1"/>
    </w:lvl>
  </w:abstractNum>
  <w:abstractNum w:abstractNumId="867">
    <w:nsid w:val="75A18AC2"/>
    <w:multiLevelType w:val="hybridMultilevel"/>
    <w:lvl w:ilvl="0">
      <w:lvlJc w:val="left"/>
      <w:lvlText w:val="%1."/>
      <w:numFmt w:val="decimal"/>
      <w:start w:val="10"/>
    </w:lvl>
    <w:lvl w:ilvl="1">
      <w:lvlJc w:val="left"/>
      <w:lvlText w:val="(%2)"/>
      <w:numFmt w:val="lowerLetter"/>
      <w:start w:val="1"/>
    </w:lvl>
  </w:abstractNum>
  <w:abstractNum w:abstractNumId="868">
    <w:nsid w:val="45EB77E8"/>
    <w:multiLevelType w:val="hybridMultilevel"/>
    <w:lvl w:ilvl="0">
      <w:lvlJc w:val="left"/>
      <w:lvlText w:val="%1"/>
      <w:numFmt w:val="decimal"/>
      <w:start w:val="1"/>
    </w:lvl>
    <w:lvl w:ilvl="1">
      <w:lvlJc w:val="left"/>
      <w:lvlText w:val="(%2)"/>
      <w:numFmt w:val="lowerLetter"/>
      <w:start w:val="3"/>
    </w:lvl>
  </w:abstractNum>
  <w:abstractNum w:abstractNumId="869">
    <w:nsid w:val="469BE822"/>
    <w:multiLevelType w:val="hybridMultilevel"/>
    <w:lvl w:ilvl="0">
      <w:lvlJc w:val="left"/>
      <w:lvlText w:val="%1."/>
      <w:numFmt w:val="decimal"/>
      <w:start w:val="11"/>
    </w:lvl>
    <w:lvl w:ilvl="1">
      <w:lvlJc w:val="left"/>
      <w:lvlText w:val="%2"/>
      <w:numFmt w:val="lowerLetter"/>
      <w:start w:val="1"/>
    </w:lvl>
  </w:abstractNum>
  <w:abstractNum w:abstractNumId="870">
    <w:nsid w:val="618ED516"/>
    <w:multiLevelType w:val="hybridMultilevel"/>
    <w:lvl w:ilvl="0">
      <w:lvlJc w:val="left"/>
      <w:lvlText w:val="%1."/>
      <w:numFmt w:val="decimal"/>
      <w:start w:val="12"/>
    </w:lvl>
  </w:abstractNum>
  <w:abstractNum w:abstractNumId="871">
    <w:nsid w:val="5869DD6D"/>
    <w:multiLevelType w:val="hybridMultilevel"/>
    <w:lvl w:ilvl="0">
      <w:lvlJc w:val="left"/>
      <w:lvlText w:val="%1."/>
      <w:numFmt w:val="decimal"/>
      <w:start w:val="13"/>
    </w:lvl>
    <w:lvl w:ilvl="1">
      <w:lvlJc w:val="left"/>
      <w:lvlText w:val="(%2)"/>
      <w:numFmt w:val="lowerLetter"/>
      <w:start w:val="1"/>
    </w:lvl>
  </w:abstractNum>
  <w:abstractNum w:abstractNumId="872">
    <w:nsid w:val="1826E411"/>
    <w:multiLevelType w:val="hybridMultilevel"/>
    <w:lvl w:ilvl="0">
      <w:lvlJc w:val="left"/>
      <w:lvlText w:val="%1"/>
      <w:numFmt w:val="lowerLetter"/>
      <w:start w:val="1"/>
    </w:lvl>
    <w:lvl w:ilvl="1">
      <w:lvlJc w:val="left"/>
      <w:lvlText w:val="(%2)"/>
      <w:numFmt w:val="lowerRoman"/>
      <w:start w:val="1"/>
    </w:lvl>
  </w:abstractNum>
  <w:abstractNum w:abstractNumId="873">
    <w:nsid w:val="21042191"/>
    <w:multiLevelType w:val="hybridMultilevel"/>
    <w:lvl w:ilvl="0">
      <w:lvlJc w:val="left"/>
      <w:lvlText w:val="(%1)"/>
      <w:numFmt w:val="lowerLetter"/>
      <w:start w:val="2"/>
    </w:lvl>
    <w:lvl w:ilvl="1">
      <w:lvlJc w:val="left"/>
      <w:lvlText w:val="(%2)"/>
      <w:numFmt w:val="lowerRoman"/>
      <w:start w:val="1"/>
    </w:lvl>
  </w:abstractNum>
  <w:abstractNum w:abstractNumId="874">
    <w:nsid w:val="39797F44"/>
    <w:multiLevelType w:val="hybridMultilevel"/>
    <w:lvl w:ilvl="0">
      <w:lvlJc w:val="left"/>
      <w:lvlText w:val="%1."/>
      <w:numFmt w:val="decimal"/>
      <w:start w:val="15"/>
    </w:lvl>
  </w:abstractNum>
  <w:abstractNum w:abstractNumId="875">
    <w:nsid w:val="686F963D"/>
    <w:multiLevelType w:val="hybridMultilevel"/>
    <w:lvl w:ilvl="0">
      <w:lvlJc w:val="left"/>
      <w:lvlText w:val="%1."/>
      <w:numFmt w:val="decimal"/>
      <w:start w:val="16"/>
    </w:lvl>
    <w:lvl w:ilvl="1">
      <w:lvlJc w:val="left"/>
      <w:lvlText w:val="(%2)"/>
      <w:numFmt w:val="lowerLetter"/>
      <w:start w:val="1"/>
    </w:lvl>
  </w:abstractNum>
  <w:abstractNum w:abstractNumId="876">
    <w:nsid w:val="4676956C"/>
    <w:multiLevelType w:val="hybridMultilevel"/>
    <w:lvl w:ilvl="0">
      <w:lvlJc w:val="left"/>
      <w:lvlText w:val="(%1)"/>
      <w:numFmt w:val="lowerLetter"/>
      <w:start w:val="3"/>
    </w:lvl>
  </w:abstractNum>
  <w:abstractNum w:abstractNumId="877">
    <w:nsid w:val="7492AC41"/>
    <w:multiLevelType w:val="hybridMultilevel"/>
    <w:lvl w:ilvl="0">
      <w:lvlJc w:val="left"/>
      <w:lvlText w:val="%1."/>
      <w:numFmt w:val="decimal"/>
      <w:start w:val="18"/>
    </w:lvl>
  </w:abstractNum>
  <w:abstractNum w:abstractNumId="878">
    <w:nsid w:val="F777C5F"/>
    <w:multiLevelType w:val="hybridMultilevel"/>
    <w:lvl w:ilvl="0">
      <w:lvlJc w:val="left"/>
      <w:lvlText w:val="%1."/>
      <w:numFmt w:val="decimal"/>
      <w:start w:val="19"/>
    </w:lvl>
  </w:abstractNum>
  <w:abstractNum w:abstractNumId="879">
    <w:nsid w:val="582340F8"/>
    <w:multiLevelType w:val="hybridMultilevel"/>
    <w:lvl w:ilvl="0">
      <w:lvlJc w:val="left"/>
      <w:lvlText w:val="%1."/>
      <w:numFmt w:val="decimal"/>
      <w:start w:val="20"/>
    </w:lvl>
    <w:lvl w:ilvl="1">
      <w:lvlJc w:val="left"/>
      <w:lvlText w:val="(%2)"/>
      <w:numFmt w:val="lowerLetter"/>
      <w:start w:val="1"/>
    </w:lvl>
  </w:abstractNum>
  <w:abstractNum w:abstractNumId="880">
    <w:nsid w:val="19198108"/>
    <w:multiLevelType w:val="hybridMultilevel"/>
    <w:lvl w:ilvl="0">
      <w:lvlJc w:val="left"/>
      <w:lvlText w:val="%1."/>
      <w:numFmt w:val="decimal"/>
      <w:start w:val="1"/>
    </w:lvl>
  </w:abstractNum>
  <w:abstractNum w:abstractNumId="881">
    <w:nsid w:val="290F0F32"/>
    <w:multiLevelType w:val="hybridMultilevel"/>
    <w:lvl w:ilvl="0">
      <w:lvlJc w:val="left"/>
      <w:lvlText w:val="%1."/>
      <w:numFmt w:val="decimal"/>
      <w:start w:val="2"/>
    </w:lvl>
  </w:abstractNum>
  <w:abstractNum w:abstractNumId="882">
    <w:nsid w:val="78C999B4"/>
    <w:multiLevelType w:val="hybridMultilevel"/>
    <w:lvl w:ilvl="0">
      <w:lvlJc w:val="left"/>
      <w:lvlText w:val="%1."/>
      <w:numFmt w:val="decimal"/>
      <w:start w:val="3"/>
    </w:lvl>
  </w:abstractNum>
  <w:abstractNum w:abstractNumId="883">
    <w:nsid w:val="62E5FD99"/>
    <w:multiLevelType w:val="hybridMultilevel"/>
    <w:lvl w:ilvl="0">
      <w:lvlJc w:val="left"/>
      <w:lvlText w:val="(%1)"/>
      <w:numFmt w:val="lowerLetter"/>
      <w:start w:val="1"/>
    </w:lvl>
  </w:abstractNum>
  <w:abstractNum w:abstractNumId="884">
    <w:nsid w:val="C013BE2"/>
    <w:multiLevelType w:val="hybridMultilevel"/>
    <w:lvl w:ilvl="0">
      <w:lvlJc w:val="left"/>
      <w:lvlText w:val="%1."/>
      <w:numFmt w:val="decimal"/>
      <w:start w:val="4"/>
    </w:lvl>
  </w:abstractNum>
  <w:abstractNum w:abstractNumId="885">
    <w:nsid w:val="5ADA634"/>
    <w:multiLevelType w:val="hybridMultilevel"/>
    <w:lvl w:ilvl="0">
      <w:lvlJc w:val="left"/>
      <w:lvlText w:val="(%1)"/>
      <w:numFmt w:val="lowerLetter"/>
      <w:start w:val="1"/>
    </w:lvl>
  </w:abstractNum>
  <w:abstractNum w:abstractNumId="886">
    <w:nsid w:val="2D0869EF"/>
    <w:multiLevelType w:val="hybridMultilevel"/>
    <w:lvl w:ilvl="0">
      <w:lvlJc w:val="left"/>
      <w:lvlText w:val="(%1)"/>
      <w:numFmt w:val="lowerLetter"/>
      <w:start w:val="2"/>
    </w:lvl>
  </w:abstractNum>
  <w:abstractNum w:abstractNumId="887">
    <w:nsid w:val="46ECA72A"/>
    <w:multiLevelType w:val="hybridMultilevel"/>
    <w:lvl w:ilvl="0">
      <w:lvlJc w:val="left"/>
      <w:lvlText w:val="%1."/>
      <w:numFmt w:val="decimal"/>
      <w:start w:val="5"/>
    </w:lvl>
  </w:abstractNum>
  <w:abstractNum w:abstractNumId="888">
    <w:nsid w:val="2A4BBBE0"/>
    <w:multiLevelType w:val="hybridMultilevel"/>
    <w:lvl w:ilvl="0">
      <w:lvlJc w:val="left"/>
      <w:lvlText w:val="(%1)"/>
      <w:numFmt w:val="lowerLetter"/>
      <w:start w:val="1"/>
    </w:lvl>
  </w:abstractNum>
  <w:abstractNum w:abstractNumId="889">
    <w:nsid w:val="3E11D757"/>
    <w:multiLevelType w:val="hybridMultilevel"/>
    <w:lvl w:ilvl="0">
      <w:lvlJc w:val="left"/>
      <w:lvlText w:val="%1."/>
      <w:numFmt w:val="decimal"/>
      <w:start w:val="6"/>
    </w:lvl>
  </w:abstractNum>
  <w:abstractNum w:abstractNumId="890">
    <w:nsid w:val="357F4A69"/>
    <w:multiLevelType w:val="hybridMultilevel"/>
    <w:lvl w:ilvl="0">
      <w:lvlJc w:val="left"/>
      <w:lvlText w:val="%1."/>
      <w:numFmt w:val="decimal"/>
      <w:start w:val="7"/>
    </w:lvl>
  </w:abstractNum>
  <w:abstractNum w:abstractNumId="891">
    <w:nsid w:val="5D603510"/>
    <w:multiLevelType w:val="hybridMultilevel"/>
    <w:lvl w:ilvl="0">
      <w:lvlJc w:val="left"/>
      <w:lvlText w:val="%1."/>
      <w:numFmt w:val="decimal"/>
      <w:start w:val="8"/>
    </w:lvl>
  </w:abstractNum>
  <w:abstractNum w:abstractNumId="892">
    <w:nsid w:val="2600995"/>
    <w:multiLevelType w:val="hybridMultilevel"/>
    <w:lvl w:ilvl="0">
      <w:lvlJc w:val="left"/>
      <w:lvlText w:val="(%1)"/>
      <w:numFmt w:val="lowerLetter"/>
      <w:start w:val="1"/>
    </w:lvl>
  </w:abstractNum>
  <w:abstractNum w:abstractNumId="893">
    <w:nsid w:val="23E1696"/>
    <w:multiLevelType w:val="hybridMultilevel"/>
    <w:lvl w:ilvl="0">
      <w:lvlJc w:val="left"/>
      <w:lvlText w:val="%1."/>
      <w:numFmt w:val="decimal"/>
      <w:start w:val="9"/>
    </w:lvl>
  </w:abstractNum>
  <w:abstractNum w:abstractNumId="894">
    <w:nsid w:val="1A22C17E"/>
    <w:multiLevelType w:val="hybridMultilevel"/>
    <w:lvl w:ilvl="0">
      <w:lvlJc w:val="left"/>
      <w:lvlText w:val="%1."/>
      <w:numFmt w:val="decimal"/>
      <w:start w:val="10"/>
    </w:lvl>
  </w:abstractNum>
  <w:abstractNum w:abstractNumId="895">
    <w:nsid w:val="6B2BB8C2"/>
    <w:multiLevelType w:val="hybridMultilevel"/>
    <w:lvl w:ilvl="0">
      <w:lvlJc w:val="left"/>
      <w:lvlText w:val="(%1)"/>
      <w:numFmt w:val="lowerLetter"/>
      <w:start w:val="1"/>
    </w:lvl>
  </w:abstractNum>
  <w:abstractNum w:abstractNumId="896">
    <w:nsid w:val="12D2EEE5"/>
    <w:multiLevelType w:val="hybridMultilevel"/>
    <w:lvl w:ilvl="0">
      <w:lvlJc w:val="left"/>
      <w:lvlText w:val="%1."/>
      <w:numFmt w:val="decimal"/>
      <w:start w:val="11"/>
    </w:lvl>
  </w:abstractNum>
  <w:abstractNum w:abstractNumId="897">
    <w:nsid w:val="6CC2B66A"/>
    <w:multiLevelType w:val="hybridMultilevel"/>
    <w:lvl w:ilvl="0">
      <w:lvlJc w:val="left"/>
      <w:lvlText w:val="%1."/>
      <w:numFmt w:val="decimal"/>
      <w:start w:val="12"/>
    </w:lvl>
  </w:abstractNum>
  <w:abstractNum w:abstractNumId="898">
    <w:nsid w:val="60CD4385"/>
    <w:multiLevelType w:val="hybridMultilevel"/>
    <w:lvl w:ilvl="0">
      <w:lvlJc w:val="left"/>
      <w:lvlText w:val="%1."/>
      <w:numFmt w:val="decimal"/>
      <w:start w:val="13"/>
    </w:lvl>
  </w:abstractNum>
  <w:abstractNum w:abstractNumId="899">
    <w:nsid w:val="58BE66CD"/>
    <w:multiLevelType w:val="hybridMultilevel"/>
    <w:lvl w:ilvl="0">
      <w:lvlJc w:val="left"/>
      <w:lvlText w:val="(%1)"/>
      <w:numFmt w:val="lowerLetter"/>
      <w:start w:val="1"/>
    </w:lvl>
  </w:abstractNum>
  <w:abstractNum w:abstractNumId="900">
    <w:nsid w:val="335E9E8D"/>
    <w:multiLevelType w:val="hybridMultilevel"/>
    <w:lvl w:ilvl="0">
      <w:lvlJc w:val="left"/>
      <w:lvlText w:val="%1."/>
      <w:numFmt w:val="decimal"/>
      <w:start w:val="14"/>
    </w:lvl>
  </w:abstractNum>
  <w:abstractNum w:abstractNumId="901">
    <w:nsid w:val="425C189B"/>
    <w:multiLevelType w:val="hybridMultilevel"/>
    <w:lvl w:ilvl="0">
      <w:lvlJc w:val="left"/>
      <w:lvlText w:val="(%1)"/>
      <w:numFmt w:val="lowerLetter"/>
      <w:start w:val="1"/>
    </w:lvl>
    <w:lvl w:ilvl="1">
      <w:lvlJc w:val="left"/>
      <w:lvlText w:val="(%2)"/>
      <w:numFmt w:val="lowerRoman"/>
      <w:start w:val="1"/>
    </w:lvl>
  </w:abstractNum>
  <w:abstractNum w:abstractNumId="902">
    <w:nsid w:val="3128443A"/>
    <w:multiLevelType w:val="hybridMultilevel"/>
    <w:lvl w:ilvl="0">
      <w:lvlJc w:val="left"/>
      <w:lvlText w:val="%1"/>
      <w:numFmt w:val="lowerLetter"/>
      <w:start w:val="1"/>
    </w:lvl>
    <w:lvl w:ilvl="1">
      <w:lvlJc w:val="left"/>
      <w:lvlText w:val="(%2)"/>
      <w:numFmt w:val="lowerRoman"/>
      <w:start w:val="4"/>
    </w:lvl>
  </w:abstractNum>
  <w:abstractNum w:abstractNumId="903">
    <w:nsid w:val="4B85829E"/>
    <w:multiLevelType w:val="hybridMultilevel"/>
    <w:lvl w:ilvl="0">
      <w:lvlJc w:val="left"/>
      <w:lvlText w:val="(%1)"/>
      <w:numFmt w:val="lowerLetter"/>
      <w:start w:val="2"/>
    </w:lvl>
    <w:lvl w:ilvl="1">
      <w:lvlJc w:val="left"/>
      <w:lvlText w:val="(%2)"/>
      <w:numFmt w:val="lowerRoman"/>
      <w:start w:val="1"/>
    </w:lvl>
  </w:abstractNum>
  <w:abstractNum w:abstractNumId="904">
    <w:nsid w:val="63603A2C"/>
    <w:multiLevelType w:val="hybridMultilevel"/>
    <w:lvl w:ilvl="0">
      <w:lvlJc w:val="left"/>
      <w:lvlText w:val="%1."/>
      <w:numFmt w:val="decimal"/>
      <w:start w:val="15"/>
    </w:lvl>
  </w:abstractNum>
  <w:abstractNum w:abstractNumId="905">
    <w:nsid w:val="6AA1C37E"/>
    <w:multiLevelType w:val="hybridMultilevel"/>
    <w:lvl w:ilvl="0">
      <w:lvlJc w:val="left"/>
      <w:lvlText w:val="%1."/>
      <w:numFmt w:val="decimal"/>
      <w:start w:val="16"/>
    </w:lvl>
  </w:abstractNum>
  <w:abstractNum w:abstractNumId="906">
    <w:nsid w:val="33F518DB"/>
    <w:multiLevelType w:val="hybridMultilevel"/>
    <w:lvl w:ilvl="0">
      <w:lvlJc w:val="left"/>
      <w:lvlText w:val="(%1)"/>
      <w:numFmt w:val="lowerLetter"/>
      <w:start w:val="1"/>
    </w:lvl>
  </w:abstractNum>
  <w:abstractNum w:abstractNumId="907">
    <w:nsid w:val="29D6CF99"/>
    <w:multiLevelType w:val="hybridMultilevel"/>
    <w:lvl w:ilvl="0">
      <w:lvlJc w:val="left"/>
      <w:lvlText w:val="%1."/>
      <w:numFmt w:val="decimal"/>
      <w:start w:val="17"/>
    </w:lvl>
  </w:abstractNum>
  <w:abstractNum w:abstractNumId="908">
    <w:nsid w:val="5F346FC0"/>
    <w:multiLevelType w:val="hybridMultilevel"/>
    <w:lvl w:ilvl="0">
      <w:lvlJc w:val="left"/>
      <w:lvlText w:val="(%1)"/>
      <w:numFmt w:val="lowerLetter"/>
      <w:start w:val="1"/>
    </w:lvl>
  </w:abstractNum>
  <w:abstractNum w:abstractNumId="909">
    <w:nsid w:val="436C953A"/>
    <w:multiLevelType w:val="hybridMultilevel"/>
    <w:lvl w:ilvl="0">
      <w:lvlJc w:val="left"/>
      <w:lvlText w:val="%1."/>
      <w:numFmt w:val="decimal"/>
      <w:start w:val="18"/>
    </w:lvl>
  </w:abstractNum>
  <w:abstractNum w:abstractNumId="910">
    <w:nsid w:val="1FA1091"/>
    <w:multiLevelType w:val="hybridMultilevel"/>
    <w:lvl w:ilvl="0">
      <w:lvlJc w:val="left"/>
      <w:lvlText w:val="%1."/>
      <w:numFmt w:val="decimal"/>
      <w:start w:val="19"/>
    </w:lvl>
  </w:abstractNum>
  <w:abstractNum w:abstractNumId="911">
    <w:nsid w:val="784DF0C8"/>
    <w:multiLevelType w:val="hybridMultilevel"/>
    <w:lvl w:ilvl="0">
      <w:lvlJc w:val="left"/>
      <w:lvlText w:val="%1."/>
      <w:numFmt w:val="decimal"/>
      <w:start w:val="20"/>
    </w:lvl>
  </w:abstractNum>
  <w:abstractNum w:abstractNumId="912">
    <w:nsid w:val="6C7BA46C"/>
    <w:multiLevelType w:val="hybridMultilevel"/>
    <w:lvl w:ilvl="0">
      <w:lvlJc w:val="left"/>
      <w:lvlText w:val="(%1)"/>
      <w:numFmt w:val="lowerLetter"/>
      <w:start w:val="1"/>
    </w:lvl>
  </w:abstractNum>
  <w:abstractNum w:abstractNumId="913">
    <w:nsid w:val="7AC3AA45"/>
    <w:multiLevelType w:val="hybridMultilevel"/>
    <w:lvl w:ilvl="0">
      <w:lvlJc w:val="left"/>
      <w:lvlText w:val="%1."/>
      <w:numFmt w:val="decimal"/>
      <w:start w:val="21"/>
    </w:lvl>
  </w:abstractNum>
  <w:abstractNum w:abstractNumId="914">
    <w:nsid w:val="5B33EE61"/>
    <w:multiLevelType w:val="hybridMultilevel"/>
    <w:lvl w:ilvl="0">
      <w:lvlJc w:val="left"/>
      <w:lvlText w:val="(%1)"/>
      <w:numFmt w:val="lowerLetter"/>
      <w:start w:val="1"/>
    </w:lvl>
  </w:abstractNum>
  <w:abstractNum w:abstractNumId="915">
    <w:nsid w:val="787CE04F"/>
    <w:multiLevelType w:val="hybridMultilevel"/>
    <w:lvl w:ilvl="0">
      <w:lvlJc w:val="left"/>
      <w:lvlText w:val="(%1)"/>
      <w:numFmt w:val="lowerLetter"/>
      <w:start w:val="1"/>
    </w:lvl>
  </w:abstractNum>
  <w:abstractNum w:abstractNumId="916">
    <w:nsid w:val="715079"/>
    <w:multiLevelType w:val="hybridMultilevel"/>
    <w:lvl w:ilvl="0">
      <w:lvlJc w:val="left"/>
      <w:lvlText w:val="(%1)"/>
      <w:numFmt w:val="lowerLetter"/>
      <w:start w:val="1"/>
    </w:lvl>
  </w:abstractNum>
  <w:abstractNum w:abstractNumId="917">
    <w:nsid w:val="83C5851"/>
    <w:multiLevelType w:val="hybridMultilevel"/>
    <w:lvl w:ilvl="0">
      <w:lvlJc w:val="left"/>
      <w:lvlText w:val="(%1)"/>
      <w:numFmt w:val="lowerLetter"/>
      <w:start w:val="1"/>
    </w:lvl>
  </w:abstractNum>
  <w:abstractNum w:abstractNumId="918">
    <w:nsid w:val="3F698779"/>
    <w:multiLevelType w:val="hybridMultilevel"/>
    <w:lvl w:ilvl="0">
      <w:lvlJc w:val="left"/>
      <w:lvlText w:val="(%1)"/>
      <w:numFmt w:val="lowerLetter"/>
      <w:start w:val="1"/>
    </w:lvl>
  </w:abstractNum>
  <w:abstractNum w:abstractNumId="919">
    <w:nsid w:val="2ABD0C5A"/>
    <w:multiLevelType w:val="hybridMultilevel"/>
    <w:lvl w:ilvl="0">
      <w:lvlJc w:val="left"/>
      <w:lvlText w:val="(%1)"/>
      <w:numFmt w:val="lowerLetter"/>
      <w:start w:val="3"/>
    </w:lvl>
  </w:abstractNum>
  <w:abstractNum w:abstractNumId="920">
    <w:nsid w:val="464E2FA8"/>
    <w:multiLevelType w:val="hybridMultilevel"/>
    <w:lvl w:ilvl="0">
      <w:lvlJc w:val="left"/>
      <w:lvlText w:val="(%1)"/>
      <w:numFmt w:val="lowerLetter"/>
      <w:start w:val="1"/>
    </w:lvl>
  </w:abstractNum>
  <w:abstractNum w:abstractNumId="921">
    <w:nsid w:val="74E8D1E3"/>
    <w:multiLevelType w:val="hybridMultilevel"/>
    <w:lvl w:ilvl="0">
      <w:lvlJc w:val="left"/>
      <w:lvlText w:val="%1"/>
      <w:numFmt w:val="lowerLetter"/>
      <w:start w:val="1"/>
    </w:lvl>
    <w:lvl w:ilvl="1">
      <w:lvlJc w:val="left"/>
      <w:lvlText w:val="(%2)"/>
      <w:numFmt w:val="lowerRoman"/>
      <w:start w:val="1"/>
    </w:lvl>
  </w:abstractNum>
  <w:abstractNum w:abstractNumId="922">
    <w:nsid w:val="81D416A"/>
    <w:multiLevelType w:val="hybridMultilevel"/>
    <w:lvl w:ilvl="0">
      <w:lvlJc w:val="left"/>
      <w:lvlText w:val="(%1)"/>
      <w:numFmt w:val="lowerLetter"/>
      <w:start w:val="2"/>
    </w:lvl>
    <w:lvl w:ilvl="1">
      <w:lvlJc w:val="left"/>
      <w:lvlText w:val="(%2)"/>
      <w:numFmt w:val="lowerRoman"/>
      <w:start w:val="1"/>
    </w:lvl>
  </w:abstractNum>
  <w:abstractNum w:abstractNumId="923">
    <w:nsid w:val="48AE393E"/>
    <w:multiLevelType w:val="hybridMultilevel"/>
    <w:lvl w:ilvl="0">
      <w:lvlJc w:val="left"/>
      <w:lvlText w:val="(%1)"/>
      <w:numFmt w:val="lowerLetter"/>
      <w:start w:val="1"/>
    </w:lvl>
  </w:abstractNum>
  <w:abstractNum w:abstractNumId="924">
    <w:nsid w:val="7726E879"/>
    <w:multiLevelType w:val="hybridMultilevel"/>
    <w:lvl w:ilvl="0">
      <w:lvlJc w:val="left"/>
      <w:lvlText w:val="(%1)"/>
      <w:numFmt w:val="lowerLetter"/>
      <w:start w:val="1"/>
    </w:lvl>
  </w:abstractNum>
  <w:abstractNum w:abstractNumId="925">
    <w:nsid w:val="224002E8"/>
    <w:multiLevelType w:val="hybridMultilevel"/>
    <w:lvl w:ilvl="0">
      <w:lvlJc w:val="left"/>
      <w:lvlText w:val="(%1)"/>
      <w:numFmt w:val="lowerLetter"/>
      <w:start w:val="3"/>
    </w:lvl>
  </w:abstractNum>
  <w:abstractNum w:abstractNumId="926">
    <w:nsid w:val="33D9F200"/>
    <w:multiLevelType w:val="hybridMultilevel"/>
    <w:lvl w:ilvl="0">
      <w:lvlJc w:val="left"/>
      <w:lvlText w:val="(%1)"/>
      <w:numFmt w:val="lowerLetter"/>
      <w:start w:val="1"/>
    </w:lvl>
  </w:abstractNum>
  <w:abstractNum w:abstractNumId="927">
    <w:nsid w:val="9F9D75E"/>
    <w:multiLevelType w:val="hybridMultilevel"/>
    <w:lvl w:ilvl="0">
      <w:lvlJc w:val="left"/>
      <w:lvlText w:val="%1."/>
      <w:numFmt w:val="decimal"/>
      <w:start w:val="1"/>
    </w:lvl>
  </w:abstractNum>
  <w:abstractNum w:abstractNumId="928">
    <w:nsid w:val="F02B952"/>
    <w:multiLevelType w:val="hybridMultilevel"/>
    <w:lvl w:ilvl="0">
      <w:lvlJc w:val="left"/>
      <w:lvlText w:val="%1."/>
      <w:numFmt w:val="decimal"/>
      <w:start w:val="2"/>
    </w:lvl>
  </w:abstractNum>
  <w:abstractNum w:abstractNumId="929">
    <w:nsid w:val="14A73585"/>
    <w:multiLevelType w:val="hybridMultilevel"/>
    <w:lvl w:ilvl="0">
      <w:lvlJc w:val="left"/>
      <w:lvlText w:val="%1."/>
      <w:numFmt w:val="decimal"/>
      <w:start w:val="3"/>
    </w:lvl>
  </w:abstractNum>
  <w:abstractNum w:abstractNumId="930">
    <w:nsid w:val="62B83E2B"/>
    <w:multiLevelType w:val="hybridMultilevel"/>
    <w:lvl w:ilvl="0">
      <w:lvlJc w:val="left"/>
      <w:lvlText w:val="(%1)"/>
      <w:numFmt w:val="lowerLetter"/>
      <w:start w:val="1"/>
    </w:lvl>
  </w:abstractNum>
  <w:abstractNum w:abstractNumId="931">
    <w:nsid w:val="426157DF"/>
    <w:multiLevelType w:val="hybridMultilevel"/>
    <w:lvl w:ilvl="0">
      <w:lvlJc w:val="left"/>
      <w:lvlText w:val="%1."/>
      <w:numFmt w:val="decimal"/>
      <w:start w:val="4"/>
    </w:lvl>
  </w:abstractNum>
  <w:abstractNum w:abstractNumId="932">
    <w:nsid w:val="57034E20"/>
    <w:multiLevelType w:val="hybridMultilevel"/>
    <w:lvl w:ilvl="0">
      <w:lvlJc w:val="left"/>
      <w:lvlText w:val="(%1)"/>
      <w:numFmt w:val="lowerLetter"/>
      <w:start w:val="1"/>
    </w:lvl>
  </w:abstractNum>
  <w:abstractNum w:abstractNumId="933">
    <w:nsid w:val="13E08266"/>
    <w:multiLevelType w:val="hybridMultilevel"/>
    <w:lvl w:ilvl="0">
      <w:lvlJc w:val="left"/>
      <w:lvlText w:val="%1."/>
      <w:numFmt w:val="decimal"/>
      <w:start w:val="5"/>
    </w:lvl>
  </w:abstractNum>
  <w:abstractNum w:abstractNumId="934">
    <w:nsid w:val="DE6DA7D"/>
    <w:multiLevelType w:val="hybridMultilevel"/>
    <w:lvl w:ilvl="0">
      <w:lvlJc w:val="left"/>
      <w:lvlText w:val="(%1)"/>
      <w:numFmt w:val="lowerLetter"/>
      <w:start w:val="1"/>
    </w:lvl>
  </w:abstractNum>
  <w:abstractNum w:abstractNumId="935">
    <w:nsid w:val="3A63884D"/>
    <w:multiLevelType w:val="hybridMultilevel"/>
    <w:lvl w:ilvl="0">
      <w:lvlJc w:val="left"/>
      <w:lvlText w:val="%1."/>
      <w:numFmt w:val="decimal"/>
      <w:start w:val="6"/>
    </w:lvl>
  </w:abstractNum>
  <w:abstractNum w:abstractNumId="936">
    <w:nsid w:val="7E8245E4"/>
    <w:multiLevelType w:val="hybridMultilevel"/>
    <w:lvl w:ilvl="0">
      <w:lvlJc w:val="left"/>
      <w:lvlText w:val="%1."/>
      <w:numFmt w:val="decimal"/>
      <w:start w:val="7"/>
    </w:lvl>
  </w:abstractNum>
  <w:abstractNum w:abstractNumId="937">
    <w:nsid w:val="41DBF358"/>
    <w:multiLevelType w:val="hybridMultilevel"/>
    <w:lvl w:ilvl="0">
      <w:lvlJc w:val="left"/>
      <w:lvlText w:val="%1."/>
      <w:numFmt w:val="decimal"/>
      <w:start w:val="8"/>
    </w:lvl>
  </w:abstractNum>
  <w:abstractNum w:abstractNumId="938">
    <w:nsid w:val="643A57E6"/>
    <w:multiLevelType w:val="hybridMultilevel"/>
    <w:lvl w:ilvl="0">
      <w:lvlJc w:val="left"/>
      <w:lvlText w:val="(%1)"/>
      <w:numFmt w:val="lowerLetter"/>
      <w:start w:val="1"/>
    </w:lvl>
  </w:abstractNum>
  <w:abstractNum w:abstractNumId="939">
    <w:nsid w:val="5DB6B5A4"/>
    <w:multiLevelType w:val="hybridMultilevel"/>
    <w:lvl w:ilvl="0">
      <w:lvlJc w:val="left"/>
      <w:lvlText w:val="%1."/>
      <w:numFmt w:val="decimal"/>
      <w:start w:val="9"/>
    </w:lvl>
  </w:abstractNum>
  <w:abstractNum w:abstractNumId="940">
    <w:nsid w:val="5488892"/>
    <w:multiLevelType w:val="hybridMultilevel"/>
    <w:lvl w:ilvl="0">
      <w:lvlJc w:val="left"/>
      <w:lvlText w:val="(%1)"/>
      <w:numFmt w:val="lowerLetter"/>
      <w:start w:val="1"/>
    </w:lvl>
  </w:abstractNum>
  <w:abstractNum w:abstractNumId="941">
    <w:nsid w:val="66346877"/>
    <w:multiLevelType w:val="hybridMultilevel"/>
    <w:lvl w:ilvl="0">
      <w:lvlJc w:val="left"/>
      <w:lvlText w:val="(%1)"/>
      <w:numFmt w:val="lowerLetter"/>
      <w:start w:val="3"/>
    </w:lvl>
  </w:abstractNum>
  <w:abstractNum w:abstractNumId="942">
    <w:nsid w:val="5604A66D"/>
    <w:multiLevelType w:val="hybridMultilevel"/>
    <w:lvl w:ilvl="0">
      <w:lvlJc w:val="left"/>
      <w:lvlText w:val="(%1)"/>
      <w:numFmt w:val="lowerLetter"/>
      <w:start w:val="1"/>
    </w:lvl>
  </w:abstractNum>
  <w:abstractNum w:abstractNumId="943">
    <w:nsid w:val="71C42CFF"/>
    <w:multiLevelType w:val="hybridMultilevel"/>
    <w:lvl w:ilvl="0">
      <w:lvlJc w:val="left"/>
      <w:lvlText w:val="(%1)"/>
      <w:numFmt w:val="lowerLetter"/>
      <w:start w:val="1"/>
    </w:lvl>
  </w:abstractNum>
  <w:abstractNum w:abstractNumId="944">
    <w:nsid w:val="60F812BD"/>
    <w:multiLevelType w:val="hybridMultilevel"/>
    <w:lvl w:ilvl="0">
      <w:lvlJc w:val="left"/>
      <w:lvlText w:val="%1"/>
      <w:numFmt w:val="lowerLetter"/>
      <w:start w:val="1"/>
    </w:lvl>
    <w:lvl w:ilvl="1">
      <w:lvlJc w:val="left"/>
      <w:lvlText w:val="(%2)"/>
      <w:numFmt w:val="lowerRoman"/>
      <w:start w:val="1"/>
    </w:lvl>
  </w:abstractNum>
  <w:abstractNum w:abstractNumId="945">
    <w:nsid w:val="313894CE"/>
    <w:multiLevelType w:val="hybridMultilevel"/>
    <w:lvl w:ilvl="0">
      <w:lvlJc w:val="left"/>
      <w:lvlText w:val="(%1)"/>
      <w:numFmt w:val="lowerLetter"/>
      <w:start w:val="2"/>
    </w:lvl>
    <w:lvl w:ilvl="1">
      <w:lvlJc w:val="left"/>
      <w:lvlText w:val="(%2)"/>
      <w:numFmt w:val="lowerRoman"/>
      <w:start w:val="1"/>
    </w:lvl>
  </w:abstractNum>
  <w:abstractNum w:abstractNumId="946">
    <w:nsid w:val="6A410D4E"/>
    <w:multiLevelType w:val="hybridMultilevel"/>
    <w:lvl w:ilvl="0">
      <w:lvlJc w:val="left"/>
      <w:lvlText w:val="(%1)"/>
      <w:numFmt w:val="lowerLetter"/>
      <w:start w:val="1"/>
    </w:lvl>
  </w:abstractNum>
  <w:abstractNum w:abstractNumId="947">
    <w:nsid w:val="61696336"/>
    <w:multiLevelType w:val="hybridMultilevel"/>
    <w:lvl w:ilvl="0">
      <w:lvlJc w:val="left"/>
      <w:lvlText w:val="(%1)"/>
      <w:numFmt w:val="lowerLetter"/>
      <w:start w:val="1"/>
    </w:lvl>
  </w:abstractNum>
  <w:abstractNum w:abstractNumId="948">
    <w:nsid w:val="3974ED1F"/>
    <w:multiLevelType w:val="hybridMultilevel"/>
    <w:lvl w:ilvl="0">
      <w:lvlJc w:val="left"/>
      <w:lvlText w:val="(%1)"/>
      <w:numFmt w:val="lowerLetter"/>
      <w:start w:val="3"/>
    </w:lvl>
  </w:abstractNum>
  <w:abstractNum w:abstractNumId="949">
    <w:nsid w:val="29AA94C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2021-04-22T16:34:47Z</dcterms:created>
  <dcterms:modified xsi:type="dcterms:W3CDTF">2021-04-22T16:34:47Z</dcterms:modified>
</cp:coreProperties>
</file>