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1100455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1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left="2460" w:right="840"/>
        <w:spacing w:after="0" w:line="227"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1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MOLECULAR PARTNERS AG</w:t>
      </w:r>
    </w:p>
    <w:p>
      <w:pPr>
        <w:spacing w:after="0" w:line="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Wagistrasse 14</w:t>
      </w:r>
    </w:p>
    <w:p>
      <w:pPr>
        <w:ind w:left="4760"/>
        <w:spacing w:after="0" w:line="210" w:lineRule="auto"/>
        <w:rPr>
          <w:sz w:val="20"/>
          <w:szCs w:val="20"/>
          <w:color w:val="auto"/>
        </w:rPr>
      </w:pPr>
      <w:r>
        <w:rPr>
          <w:rFonts w:ascii="Times New Roman" w:cs="Times New Roman" w:eastAsia="Times New Roman" w:hAnsi="Times New Roman"/>
          <w:sz w:val="18"/>
          <w:szCs w:val="18"/>
          <w:b w:val="1"/>
          <w:bCs w:val="1"/>
          <w:color w:val="auto"/>
        </w:rPr>
        <w:t>8952 Zürich-Schlieren</w:t>
      </w:r>
    </w:p>
    <w:p>
      <w:pPr>
        <w:jc w:val="center"/>
        <w:ind w:right="-1120"/>
        <w:spacing w:after="0" w:line="203" w:lineRule="auto"/>
        <w:rPr>
          <w:sz w:val="20"/>
          <w:szCs w:val="20"/>
          <w:color w:val="auto"/>
        </w:rPr>
      </w:pPr>
      <w:r>
        <w:rPr>
          <w:rFonts w:ascii="Times New Roman" w:cs="Times New Roman" w:eastAsia="Times New Roman" w:hAnsi="Times New Roman"/>
          <w:sz w:val="18"/>
          <w:szCs w:val="18"/>
          <w:b w:val="1"/>
          <w:bCs w:val="1"/>
          <w:color w:val="auto"/>
        </w:rPr>
        <w:t>Switzerland</w:t>
      </w:r>
    </w:p>
    <w:p>
      <w:pPr>
        <w:jc w:val="center"/>
        <w:ind w:right="-1120"/>
        <w:spacing w:after="0" w:line="210" w:lineRule="auto"/>
        <w:rPr>
          <w:sz w:val="20"/>
          <w:szCs w:val="20"/>
          <w:color w:val="auto"/>
        </w:rPr>
      </w:pPr>
      <w:r>
        <w:rPr>
          <w:rFonts w:ascii="Times New Roman" w:cs="Times New Roman" w:eastAsia="Times New Roman" w:hAnsi="Times New Roman"/>
          <w:sz w:val="18"/>
          <w:szCs w:val="18"/>
          <w:b w:val="1"/>
          <w:bCs w:val="1"/>
          <w:color w:val="auto"/>
        </w:rPr>
        <w:t>Telephone: +41 447557700</w:t>
      </w:r>
    </w:p>
    <w:p>
      <w:pPr>
        <w:ind w:left="4060"/>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07" w:lineRule="exact"/>
        <w:tabs>
          <w:tab w:leader="none" w:pos="12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Molecular Partners AG (the "Registrant") is filing this Form 6-K to furnish (i) a press release the Registrant issued on</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October 29, 2026, (ii) condensed consolidated interim financial statements (unaudited) as of, and for the three and nine months ended, September 30, 2026 (including accompanying notes thereto), which are furnished herewith as Exhibit 99.1 and 99.2, respectively.</w:t>
      </w:r>
    </w:p>
    <w:p>
      <w:pPr>
        <w:spacing w:after="0" w:line="168"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Exhibits 99.1 and 99.2 to this Report on Form 6-K, excluding any financial guidance, quotes of management, website addresses or hyperlinks included therein, shall be deemed to be incorporated by reference into the Registrant’s Registration Statements on Form F-3 (File No. 333-286488) and Forms S-8 (File No. 333-272974 and File No. 333-280491, 333-288313 and 333-296995) and to be a part thereof from the date on which this report is filed, to the extent not superseded by documents or reports subsequently filed or furnished.</w:t>
      </w:r>
    </w:p>
    <w:p>
      <w:pPr>
        <w:sectPr>
          <w:pgSz w:w="11900" w:h="16838" w:orient="portrait"/>
          <w:cols w:equalWidth="0" w:num="1">
            <w:col w:w="11160"/>
          </w:cols>
          <w:pgMar w:left="320" w:top="1292" w:right="419" w:bottom="1440" w:gutter="0" w:footer="0" w:header="0"/>
        </w:sectPr>
      </w:pPr>
    </w:p>
    <w:bookmarkStart w:id="2" w:name="page3"/>
    <w:bookmarkEnd w:id="2"/>
    <w:p>
      <w:pPr>
        <w:spacing w:after="0" w:line="184" w:lineRule="exact"/>
        <w:rPr>
          <w:sz w:val="20"/>
          <w:szCs w:val="20"/>
          <w:color w:val="auto"/>
        </w:rPr>
      </w:pPr>
    </w:p>
    <w:p>
      <w:pPr>
        <w:spacing w:after="0"/>
        <w:rPr>
          <w:sz w:val="20"/>
          <w:szCs w:val="20"/>
          <w:color w:val="auto"/>
        </w:rPr>
      </w:pPr>
      <w:r>
        <w:rPr>
          <w:rFonts w:ascii="Arial" w:cs="Arial" w:eastAsia="Arial" w:hAnsi="Arial"/>
          <w:sz w:val="32"/>
          <w:szCs w:val="32"/>
          <w:color w:val="163E66"/>
        </w:rPr>
        <w:t>Condensed consolidated interim financial statements (unaudited)</w:t>
      </w:r>
    </w:p>
    <w:p>
      <w:pPr>
        <w:sectPr>
          <w:pgSz w:w="11900" w:h="16838" w:orient="portrait"/>
          <w:cols w:equalWidth="0" w:num="1">
            <w:col w:w="10139"/>
          </w:cols>
          <w:pgMar w:left="320" w:top="1440"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3"/>
        </w:trPr>
        <w:tc>
          <w:tcPr>
            <w:tcW w:w="5660" w:type="dxa"/>
            <w:vAlign w:val="bottom"/>
          </w:tcPr>
          <w:p>
            <w:pPr>
              <w:ind w:left="20"/>
              <w:spacing w:after="0"/>
              <w:rPr>
                <w:sz w:val="20"/>
                <w:szCs w:val="20"/>
                <w:color w:val="auto"/>
              </w:rPr>
            </w:pPr>
            <w:r>
              <w:rPr>
                <w:rFonts w:ascii="Arial" w:cs="Arial" w:eastAsia="Arial" w:hAnsi="Arial"/>
                <w:sz w:val="20"/>
                <w:szCs w:val="20"/>
                <w:color w:val="auto"/>
              </w:rPr>
              <w:t>Condensed consolidated interim statement of financial position</w:t>
            </w:r>
          </w:p>
        </w:tc>
        <w:tc>
          <w:tcPr>
            <w:tcW w:w="960" w:type="dxa"/>
            <w:vAlign w:val="bottom"/>
          </w:tcPr>
          <w:p>
            <w:pPr>
              <w:spacing w:after="0"/>
              <w:rPr>
                <w:sz w:val="21"/>
                <w:szCs w:val="21"/>
                <w:color w:val="auto"/>
              </w:rPr>
            </w:pPr>
          </w:p>
        </w:tc>
        <w:tc>
          <w:tcPr>
            <w:tcW w:w="2540" w:type="dxa"/>
            <w:vAlign w:val="bottom"/>
            <w:vMerge w:val="restart"/>
          </w:tcPr>
          <w:p>
            <w:pPr>
              <w:jc w:val="right"/>
              <w:ind w:right="241"/>
              <w:spacing w:after="0"/>
              <w:rPr>
                <w:sz w:val="20"/>
                <w:szCs w:val="20"/>
                <w:color w:val="auto"/>
              </w:rPr>
            </w:pPr>
            <w:r>
              <w:rPr>
                <w:rFonts w:ascii="Arial" w:cs="Arial" w:eastAsia="Arial" w:hAnsi="Arial"/>
                <w:sz w:val="20"/>
                <w:szCs w:val="20"/>
                <w:color w:val="auto"/>
              </w:rPr>
              <w:t>September 30, 2026</w:t>
            </w:r>
          </w:p>
        </w:tc>
        <w:tc>
          <w:tcPr>
            <w:tcW w:w="2080" w:type="dxa"/>
            <w:vAlign w:val="bottom"/>
            <w:vMerge w:val="restart"/>
          </w:tcPr>
          <w:p>
            <w:pPr>
              <w:jc w:val="right"/>
              <w:spacing w:after="0"/>
              <w:rPr>
                <w:sz w:val="20"/>
                <w:szCs w:val="20"/>
                <w:color w:val="auto"/>
              </w:rPr>
            </w:pPr>
            <w:r>
              <w:rPr>
                <w:rFonts w:ascii="Arial" w:cs="Arial" w:eastAsia="Arial" w:hAnsi="Arial"/>
                <w:sz w:val="20"/>
                <w:szCs w:val="20"/>
                <w:color w:val="auto"/>
              </w:rPr>
              <w:t>December 31, 2025</w:t>
            </w:r>
          </w:p>
        </w:tc>
        <w:tc>
          <w:tcPr>
            <w:tcW w:w="0" w:type="dxa"/>
            <w:vAlign w:val="bottom"/>
          </w:tcPr>
          <w:p>
            <w:pPr>
              <w:spacing w:after="0"/>
              <w:rPr>
                <w:sz w:val="1"/>
                <w:szCs w:val="1"/>
                <w:color w:val="auto"/>
              </w:rPr>
            </w:pPr>
          </w:p>
        </w:tc>
      </w:tr>
      <w:tr>
        <w:trPr>
          <w:trHeight w:val="261"/>
        </w:trPr>
        <w:tc>
          <w:tcPr>
            <w:tcW w:w="5660" w:type="dxa"/>
            <w:vAlign w:val="bottom"/>
          </w:tcPr>
          <w:p>
            <w:pPr>
              <w:ind w:left="20"/>
              <w:spacing w:after="0"/>
              <w:rPr>
                <w:sz w:val="20"/>
                <w:szCs w:val="20"/>
                <w:color w:val="auto"/>
              </w:rPr>
            </w:pPr>
            <w:r>
              <w:rPr>
                <w:rFonts w:ascii="Arial" w:cs="Arial" w:eastAsia="Arial" w:hAnsi="Arial"/>
                <w:sz w:val="20"/>
                <w:szCs w:val="20"/>
                <w:color w:val="auto"/>
              </w:rPr>
              <w:t>as of</w:t>
            </w:r>
          </w:p>
        </w:tc>
        <w:tc>
          <w:tcPr>
            <w:tcW w:w="960" w:type="dxa"/>
            <w:vAlign w:val="bottom"/>
          </w:tcPr>
          <w:p>
            <w:pPr>
              <w:spacing w:after="0"/>
              <w:rPr>
                <w:sz w:val="22"/>
                <w:szCs w:val="22"/>
                <w:color w:val="auto"/>
              </w:rPr>
            </w:pPr>
          </w:p>
        </w:tc>
        <w:tc>
          <w:tcPr>
            <w:tcW w:w="2540" w:type="dxa"/>
            <w:vAlign w:val="bottom"/>
            <w:vMerge w:val="continue"/>
          </w:tcPr>
          <w:p>
            <w:pPr>
              <w:spacing w:after="0"/>
              <w:rPr>
                <w:sz w:val="22"/>
                <w:szCs w:val="22"/>
                <w:color w:val="auto"/>
              </w:rPr>
            </w:pPr>
          </w:p>
        </w:tc>
        <w:tc>
          <w:tcPr>
            <w:tcW w:w="2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5660" w:type="dxa"/>
            <w:vAlign w:val="bottom"/>
            <w:tcBorders>
              <w:bottom w:val="single" w:sz="8" w:color="BF2115"/>
            </w:tcBorders>
          </w:tcPr>
          <w:p>
            <w:pPr>
              <w:spacing w:after="0"/>
              <w:rPr>
                <w:sz w:val="20"/>
                <w:szCs w:val="20"/>
                <w:color w:val="auto"/>
              </w:rPr>
            </w:pPr>
          </w:p>
        </w:tc>
        <w:tc>
          <w:tcPr>
            <w:tcW w:w="960" w:type="dxa"/>
            <w:vAlign w:val="bottom"/>
            <w:tcBorders>
              <w:bottom w:val="single" w:sz="8" w:color="BF2115"/>
            </w:tcBorders>
          </w:tcPr>
          <w:p>
            <w:pPr>
              <w:spacing w:after="0"/>
              <w:rPr>
                <w:sz w:val="20"/>
                <w:szCs w:val="20"/>
                <w:color w:val="auto"/>
              </w:rPr>
            </w:pPr>
          </w:p>
        </w:tc>
        <w:tc>
          <w:tcPr>
            <w:tcW w:w="2540" w:type="dxa"/>
            <w:vAlign w:val="bottom"/>
            <w:tcBorders>
              <w:bottom w:val="single" w:sz="8" w:color="BF2115"/>
            </w:tcBorders>
          </w:tcPr>
          <w:p>
            <w:pPr>
              <w:spacing w:after="0"/>
              <w:rPr>
                <w:sz w:val="20"/>
                <w:szCs w:val="20"/>
                <w:color w:val="auto"/>
              </w:rPr>
            </w:pPr>
          </w:p>
        </w:tc>
        <w:tc>
          <w:tcPr>
            <w:tcW w:w="2080" w:type="dxa"/>
            <w:vAlign w:val="bottom"/>
            <w:tcBorders>
              <w:bottom w:val="single" w:sz="8" w:color="BF2115"/>
            </w:tcBorders>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5660" w:type="dxa"/>
            <w:vAlign w:val="bottom"/>
          </w:tcPr>
          <w:p>
            <w:pPr>
              <w:ind w:left="20"/>
              <w:spacing w:after="0"/>
              <w:rPr>
                <w:sz w:val="20"/>
                <w:szCs w:val="20"/>
                <w:color w:val="auto"/>
              </w:rPr>
            </w:pPr>
            <w:r>
              <w:rPr>
                <w:rFonts w:ascii="Arial" w:cs="Arial" w:eastAsia="Arial" w:hAnsi="Arial"/>
                <w:sz w:val="20"/>
                <w:szCs w:val="20"/>
                <w:color w:val="auto"/>
              </w:rPr>
              <w:t>in CHF thousands</w:t>
            </w:r>
          </w:p>
        </w:tc>
        <w:tc>
          <w:tcPr>
            <w:tcW w:w="960" w:type="dxa"/>
            <w:vAlign w:val="bottom"/>
          </w:tcPr>
          <w:p>
            <w:pPr>
              <w:jc w:val="center"/>
              <w:ind w:right="161"/>
              <w:spacing w:after="0"/>
              <w:rPr>
                <w:sz w:val="20"/>
                <w:szCs w:val="20"/>
                <w:color w:val="auto"/>
              </w:rPr>
            </w:pPr>
            <w:r>
              <w:rPr>
                <w:rFonts w:ascii="Arial" w:cs="Arial" w:eastAsia="Arial" w:hAnsi="Arial"/>
                <w:sz w:val="20"/>
                <w:szCs w:val="20"/>
                <w:color w:val="auto"/>
                <w:w w:val="99"/>
              </w:rPr>
              <w:t>Note</w:t>
            </w:r>
          </w:p>
        </w:tc>
        <w:tc>
          <w:tcPr>
            <w:tcW w:w="254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5"/>
        </w:trPr>
        <w:tc>
          <w:tcPr>
            <w:tcW w:w="5660" w:type="dxa"/>
            <w:vAlign w:val="bottom"/>
          </w:tcPr>
          <w:p>
            <w:pPr>
              <w:ind w:left="20"/>
              <w:spacing w:after="0"/>
              <w:rPr>
                <w:sz w:val="20"/>
                <w:szCs w:val="20"/>
                <w:color w:val="auto"/>
              </w:rPr>
            </w:pPr>
            <w:r>
              <w:rPr>
                <w:rFonts w:ascii="Arial" w:cs="Arial" w:eastAsia="Arial" w:hAnsi="Arial"/>
                <w:sz w:val="20"/>
                <w:szCs w:val="20"/>
                <w:color w:val="auto"/>
              </w:rPr>
              <w:t>Assets</w:t>
            </w:r>
          </w:p>
        </w:tc>
        <w:tc>
          <w:tcPr>
            <w:tcW w:w="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97"/>
        </w:trPr>
        <w:tc>
          <w:tcPr>
            <w:tcW w:w="5660" w:type="dxa"/>
            <w:vAlign w:val="bottom"/>
          </w:tcPr>
          <w:p>
            <w:pPr>
              <w:ind w:left="20"/>
              <w:spacing w:after="0"/>
              <w:rPr>
                <w:sz w:val="20"/>
                <w:szCs w:val="20"/>
                <w:color w:val="auto"/>
              </w:rPr>
            </w:pPr>
            <w:r>
              <w:rPr>
                <w:rFonts w:ascii="Arial" w:cs="Arial" w:eastAsia="Arial" w:hAnsi="Arial"/>
                <w:sz w:val="20"/>
                <w:szCs w:val="20"/>
                <w:color w:val="auto"/>
              </w:rPr>
              <w:t>Property, plant and equipment</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3,786</w:t>
            </w:r>
          </w:p>
        </w:tc>
        <w:tc>
          <w:tcPr>
            <w:tcW w:w="2080" w:type="dxa"/>
            <w:vAlign w:val="bottom"/>
          </w:tcPr>
          <w:p>
            <w:pPr>
              <w:jc w:val="right"/>
              <w:spacing w:after="0"/>
              <w:rPr>
                <w:sz w:val="20"/>
                <w:szCs w:val="20"/>
                <w:color w:val="auto"/>
              </w:rPr>
            </w:pPr>
            <w:r>
              <w:rPr>
                <w:rFonts w:ascii="Arial" w:cs="Arial" w:eastAsia="Arial" w:hAnsi="Arial"/>
                <w:sz w:val="20"/>
                <w:szCs w:val="20"/>
                <w:color w:val="auto"/>
              </w:rPr>
              <w:t>5,229</w:t>
            </w:r>
          </w:p>
        </w:tc>
        <w:tc>
          <w:tcPr>
            <w:tcW w:w="0" w:type="dxa"/>
            <w:vAlign w:val="bottom"/>
          </w:tcPr>
          <w:p>
            <w:pPr>
              <w:spacing w:after="0"/>
              <w:rPr>
                <w:sz w:val="1"/>
                <w:szCs w:val="1"/>
                <w:color w:val="auto"/>
              </w:rPr>
            </w:pPr>
          </w:p>
        </w:tc>
      </w:tr>
      <w:tr>
        <w:trPr>
          <w:trHeight w:val="527"/>
        </w:trPr>
        <w:tc>
          <w:tcPr>
            <w:tcW w:w="5660" w:type="dxa"/>
            <w:vAlign w:val="bottom"/>
          </w:tcPr>
          <w:p>
            <w:pPr>
              <w:ind w:left="20"/>
              <w:spacing w:after="0"/>
              <w:rPr>
                <w:sz w:val="20"/>
                <w:szCs w:val="20"/>
                <w:color w:val="auto"/>
              </w:rPr>
            </w:pPr>
            <w:r>
              <w:rPr>
                <w:rFonts w:ascii="Arial" w:cs="Arial" w:eastAsia="Arial" w:hAnsi="Arial"/>
                <w:sz w:val="20"/>
                <w:szCs w:val="20"/>
                <w:color w:val="auto"/>
              </w:rPr>
              <w:t>Intangible assets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208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526"/>
        </w:trPr>
        <w:tc>
          <w:tcPr>
            <w:tcW w:w="5660" w:type="dxa"/>
            <w:vAlign w:val="bottom"/>
          </w:tcPr>
          <w:p>
            <w:pPr>
              <w:ind w:left="20"/>
              <w:spacing w:after="0"/>
              <w:rPr>
                <w:sz w:val="20"/>
                <w:szCs w:val="20"/>
                <w:color w:val="auto"/>
              </w:rPr>
            </w:pPr>
            <w:r>
              <w:rPr>
                <w:rFonts w:ascii="Arial" w:cs="Arial" w:eastAsia="Arial" w:hAnsi="Arial"/>
                <w:sz w:val="20"/>
                <w:szCs w:val="20"/>
                <w:color w:val="auto"/>
              </w:rPr>
              <w:t>Total non-current assets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3,786</w:t>
            </w:r>
          </w:p>
        </w:tc>
        <w:tc>
          <w:tcPr>
            <w:tcW w:w="2080" w:type="dxa"/>
            <w:vAlign w:val="bottom"/>
          </w:tcPr>
          <w:p>
            <w:pPr>
              <w:jc w:val="right"/>
              <w:spacing w:after="0"/>
              <w:rPr>
                <w:sz w:val="20"/>
                <w:szCs w:val="20"/>
                <w:color w:val="auto"/>
              </w:rPr>
            </w:pPr>
            <w:r>
              <w:rPr>
                <w:rFonts w:ascii="Arial" w:cs="Arial" w:eastAsia="Arial" w:hAnsi="Arial"/>
                <w:sz w:val="20"/>
                <w:szCs w:val="20"/>
                <w:color w:val="auto"/>
              </w:rPr>
              <w:t>5,231</w:t>
            </w:r>
          </w:p>
        </w:tc>
        <w:tc>
          <w:tcPr>
            <w:tcW w:w="0" w:type="dxa"/>
            <w:vAlign w:val="bottom"/>
          </w:tcPr>
          <w:p>
            <w:pPr>
              <w:spacing w:after="0"/>
              <w:rPr>
                <w:sz w:val="1"/>
                <w:szCs w:val="1"/>
                <w:color w:val="auto"/>
              </w:rPr>
            </w:pPr>
          </w:p>
        </w:tc>
      </w:tr>
      <w:tr>
        <w:trPr>
          <w:trHeight w:val="247"/>
        </w:trPr>
        <w:tc>
          <w:tcPr>
            <w:tcW w:w="5660" w:type="dxa"/>
            <w:vAlign w:val="bottom"/>
            <w:tcBorders>
              <w:bottom w:val="single" w:sz="8" w:color="BF2115"/>
            </w:tcBorders>
          </w:tcPr>
          <w:p>
            <w:pPr>
              <w:spacing w:after="0"/>
              <w:rPr>
                <w:sz w:val="21"/>
                <w:szCs w:val="21"/>
                <w:color w:val="auto"/>
              </w:rPr>
            </w:pPr>
          </w:p>
        </w:tc>
        <w:tc>
          <w:tcPr>
            <w:tcW w:w="960" w:type="dxa"/>
            <w:vAlign w:val="bottom"/>
            <w:tcBorders>
              <w:bottom w:val="single" w:sz="8" w:color="BF2115"/>
            </w:tcBorders>
          </w:tcPr>
          <w:p>
            <w:pPr>
              <w:spacing w:after="0"/>
              <w:rPr>
                <w:sz w:val="21"/>
                <w:szCs w:val="21"/>
                <w:color w:val="auto"/>
              </w:rPr>
            </w:pPr>
          </w:p>
        </w:tc>
        <w:tc>
          <w:tcPr>
            <w:tcW w:w="25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5660" w:type="dxa"/>
            <w:vAlign w:val="bottom"/>
          </w:tcPr>
          <w:p>
            <w:pPr>
              <w:ind w:left="20"/>
              <w:spacing w:after="0"/>
              <w:rPr>
                <w:sz w:val="20"/>
                <w:szCs w:val="20"/>
                <w:color w:val="auto"/>
              </w:rPr>
            </w:pPr>
            <w:r>
              <w:rPr>
                <w:rFonts w:ascii="Arial" w:cs="Arial" w:eastAsia="Arial" w:hAnsi="Arial"/>
                <w:sz w:val="20"/>
                <w:szCs w:val="20"/>
                <w:color w:val="auto"/>
              </w:rPr>
              <w:t>Short-term time deposits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w:t>
            </w:r>
          </w:p>
        </w:tc>
        <w:tc>
          <w:tcPr>
            <w:tcW w:w="2080" w:type="dxa"/>
            <w:vAlign w:val="bottom"/>
          </w:tcPr>
          <w:p>
            <w:pPr>
              <w:jc w:val="right"/>
              <w:spacing w:after="0"/>
              <w:rPr>
                <w:sz w:val="20"/>
                <w:szCs w:val="20"/>
                <w:color w:val="auto"/>
              </w:rPr>
            </w:pPr>
            <w:r>
              <w:rPr>
                <w:rFonts w:ascii="Arial" w:cs="Arial" w:eastAsia="Arial" w:hAnsi="Arial"/>
                <w:sz w:val="20"/>
                <w:szCs w:val="20"/>
                <w:color w:val="auto"/>
              </w:rPr>
              <w:t>10,405</w:t>
            </w:r>
          </w:p>
        </w:tc>
        <w:tc>
          <w:tcPr>
            <w:tcW w:w="0" w:type="dxa"/>
            <w:vAlign w:val="bottom"/>
          </w:tcPr>
          <w:p>
            <w:pPr>
              <w:spacing w:after="0"/>
              <w:rPr>
                <w:sz w:val="1"/>
                <w:szCs w:val="1"/>
                <w:color w:val="auto"/>
              </w:rPr>
            </w:pPr>
          </w:p>
        </w:tc>
      </w:tr>
      <w:tr>
        <w:trPr>
          <w:trHeight w:val="527"/>
        </w:trPr>
        <w:tc>
          <w:tcPr>
            <w:tcW w:w="5660" w:type="dxa"/>
            <w:vAlign w:val="bottom"/>
          </w:tcPr>
          <w:p>
            <w:pPr>
              <w:ind w:left="20"/>
              <w:spacing w:after="0"/>
              <w:rPr>
                <w:sz w:val="20"/>
                <w:szCs w:val="20"/>
                <w:color w:val="auto"/>
              </w:rPr>
            </w:pPr>
            <w:r>
              <w:rPr>
                <w:rFonts w:ascii="Arial" w:cs="Arial" w:eastAsia="Arial" w:hAnsi="Arial"/>
                <w:sz w:val="20"/>
                <w:szCs w:val="20"/>
                <w:color w:val="auto"/>
              </w:rPr>
              <w:t>Other current assets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1,667</w:t>
            </w:r>
          </w:p>
        </w:tc>
        <w:tc>
          <w:tcPr>
            <w:tcW w:w="2080" w:type="dxa"/>
            <w:vAlign w:val="bottom"/>
          </w:tcPr>
          <w:p>
            <w:pPr>
              <w:jc w:val="right"/>
              <w:spacing w:after="0"/>
              <w:rPr>
                <w:sz w:val="20"/>
                <w:szCs w:val="20"/>
                <w:color w:val="auto"/>
              </w:rPr>
            </w:pPr>
            <w:r>
              <w:rPr>
                <w:rFonts w:ascii="Arial" w:cs="Arial" w:eastAsia="Arial" w:hAnsi="Arial"/>
                <w:sz w:val="20"/>
                <w:szCs w:val="20"/>
                <w:color w:val="auto"/>
              </w:rPr>
              <w:t>1,985</w:t>
            </w:r>
          </w:p>
        </w:tc>
        <w:tc>
          <w:tcPr>
            <w:tcW w:w="0" w:type="dxa"/>
            <w:vAlign w:val="bottom"/>
          </w:tcPr>
          <w:p>
            <w:pPr>
              <w:spacing w:after="0"/>
              <w:rPr>
                <w:sz w:val="1"/>
                <w:szCs w:val="1"/>
                <w:color w:val="auto"/>
              </w:rPr>
            </w:pPr>
          </w:p>
        </w:tc>
      </w:tr>
      <w:tr>
        <w:trPr>
          <w:trHeight w:val="527"/>
        </w:trPr>
        <w:tc>
          <w:tcPr>
            <w:tcW w:w="5660" w:type="dxa"/>
            <w:vAlign w:val="bottom"/>
          </w:tcPr>
          <w:p>
            <w:pPr>
              <w:ind w:left="20"/>
              <w:spacing w:after="0"/>
              <w:rPr>
                <w:sz w:val="20"/>
                <w:szCs w:val="20"/>
                <w:color w:val="auto"/>
              </w:rPr>
            </w:pPr>
            <w:r>
              <w:rPr>
                <w:rFonts w:ascii="Arial" w:cs="Arial" w:eastAsia="Arial" w:hAnsi="Arial"/>
                <w:sz w:val="20"/>
                <w:szCs w:val="20"/>
                <w:color w:val="auto"/>
              </w:rPr>
              <w:t>Trade and other receivables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1,569</w:t>
            </w:r>
          </w:p>
        </w:tc>
        <w:tc>
          <w:tcPr>
            <w:tcW w:w="2080" w:type="dxa"/>
            <w:vAlign w:val="bottom"/>
          </w:tcPr>
          <w:p>
            <w:pPr>
              <w:jc w:val="right"/>
              <w:spacing w:after="0"/>
              <w:rPr>
                <w:sz w:val="20"/>
                <w:szCs w:val="20"/>
                <w:color w:val="auto"/>
              </w:rPr>
            </w:pPr>
            <w:r>
              <w:rPr>
                <w:rFonts w:ascii="Arial" w:cs="Arial" w:eastAsia="Arial" w:hAnsi="Arial"/>
                <w:sz w:val="20"/>
                <w:szCs w:val="20"/>
                <w:color w:val="auto"/>
              </w:rPr>
              <w:t>1,834</w:t>
            </w:r>
          </w:p>
        </w:tc>
        <w:tc>
          <w:tcPr>
            <w:tcW w:w="0" w:type="dxa"/>
            <w:vAlign w:val="bottom"/>
          </w:tcPr>
          <w:p>
            <w:pPr>
              <w:spacing w:after="0"/>
              <w:rPr>
                <w:sz w:val="1"/>
                <w:szCs w:val="1"/>
                <w:color w:val="auto"/>
              </w:rPr>
            </w:pPr>
          </w:p>
        </w:tc>
      </w:tr>
      <w:tr>
        <w:trPr>
          <w:trHeight w:val="526"/>
        </w:trPr>
        <w:tc>
          <w:tcPr>
            <w:tcW w:w="5660" w:type="dxa"/>
            <w:vAlign w:val="bottom"/>
          </w:tcPr>
          <w:p>
            <w:pPr>
              <w:ind w:left="20"/>
              <w:spacing w:after="0"/>
              <w:rPr>
                <w:sz w:val="20"/>
                <w:szCs w:val="20"/>
                <w:color w:val="auto"/>
              </w:rPr>
            </w:pPr>
            <w:r>
              <w:rPr>
                <w:rFonts w:ascii="Arial" w:cs="Arial" w:eastAsia="Arial" w:hAnsi="Arial"/>
                <w:sz w:val="20"/>
                <w:szCs w:val="20"/>
                <w:color w:val="auto"/>
              </w:rPr>
              <w:t>Cash and cash equivalents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57,493</w:t>
            </w:r>
          </w:p>
        </w:tc>
        <w:tc>
          <w:tcPr>
            <w:tcW w:w="2080" w:type="dxa"/>
            <w:vAlign w:val="bottom"/>
          </w:tcPr>
          <w:p>
            <w:pPr>
              <w:jc w:val="right"/>
              <w:spacing w:after="0"/>
              <w:rPr>
                <w:sz w:val="20"/>
                <w:szCs w:val="20"/>
                <w:color w:val="auto"/>
              </w:rPr>
            </w:pPr>
            <w:r>
              <w:rPr>
                <w:rFonts w:ascii="Arial" w:cs="Arial" w:eastAsia="Arial" w:hAnsi="Arial"/>
                <w:sz w:val="20"/>
                <w:szCs w:val="20"/>
                <w:color w:val="auto"/>
              </w:rPr>
              <w:t>82,653</w:t>
            </w:r>
          </w:p>
        </w:tc>
        <w:tc>
          <w:tcPr>
            <w:tcW w:w="0" w:type="dxa"/>
            <w:vAlign w:val="bottom"/>
          </w:tcPr>
          <w:p>
            <w:pPr>
              <w:spacing w:after="0"/>
              <w:rPr>
                <w:sz w:val="1"/>
                <w:szCs w:val="1"/>
                <w:color w:val="auto"/>
              </w:rPr>
            </w:pPr>
          </w:p>
        </w:tc>
      </w:tr>
      <w:tr>
        <w:trPr>
          <w:trHeight w:val="527"/>
        </w:trPr>
        <w:tc>
          <w:tcPr>
            <w:tcW w:w="5660" w:type="dxa"/>
            <w:vAlign w:val="bottom"/>
          </w:tcPr>
          <w:p>
            <w:pPr>
              <w:ind w:left="20"/>
              <w:spacing w:after="0"/>
              <w:rPr>
                <w:sz w:val="20"/>
                <w:szCs w:val="20"/>
                <w:color w:val="auto"/>
              </w:rPr>
            </w:pPr>
            <w:r>
              <w:rPr>
                <w:rFonts w:ascii="Arial" w:cs="Arial" w:eastAsia="Arial" w:hAnsi="Arial"/>
                <w:sz w:val="20"/>
                <w:szCs w:val="20"/>
                <w:color w:val="auto"/>
              </w:rPr>
              <w:t>Total current assets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60,729</w:t>
            </w:r>
          </w:p>
        </w:tc>
        <w:tc>
          <w:tcPr>
            <w:tcW w:w="2080" w:type="dxa"/>
            <w:vAlign w:val="bottom"/>
          </w:tcPr>
          <w:p>
            <w:pPr>
              <w:jc w:val="right"/>
              <w:spacing w:after="0"/>
              <w:rPr>
                <w:sz w:val="20"/>
                <w:szCs w:val="20"/>
                <w:color w:val="auto"/>
              </w:rPr>
            </w:pPr>
            <w:r>
              <w:rPr>
                <w:rFonts w:ascii="Arial" w:cs="Arial" w:eastAsia="Arial" w:hAnsi="Arial"/>
                <w:sz w:val="20"/>
                <w:szCs w:val="20"/>
                <w:color w:val="auto"/>
              </w:rPr>
              <w:t>96,876</w:t>
            </w:r>
          </w:p>
        </w:tc>
        <w:tc>
          <w:tcPr>
            <w:tcW w:w="0" w:type="dxa"/>
            <w:vAlign w:val="bottom"/>
          </w:tcPr>
          <w:p>
            <w:pPr>
              <w:spacing w:after="0"/>
              <w:rPr>
                <w:sz w:val="1"/>
                <w:szCs w:val="1"/>
                <w:color w:val="auto"/>
              </w:rPr>
            </w:pPr>
          </w:p>
        </w:tc>
      </w:tr>
      <w:tr>
        <w:trPr>
          <w:trHeight w:val="247"/>
        </w:trPr>
        <w:tc>
          <w:tcPr>
            <w:tcW w:w="5660" w:type="dxa"/>
            <w:vAlign w:val="bottom"/>
            <w:tcBorders>
              <w:bottom w:val="single" w:sz="8" w:color="BF2115"/>
            </w:tcBorders>
          </w:tcPr>
          <w:p>
            <w:pPr>
              <w:spacing w:after="0"/>
              <w:rPr>
                <w:sz w:val="21"/>
                <w:szCs w:val="21"/>
                <w:color w:val="auto"/>
              </w:rPr>
            </w:pPr>
          </w:p>
        </w:tc>
        <w:tc>
          <w:tcPr>
            <w:tcW w:w="960" w:type="dxa"/>
            <w:vAlign w:val="bottom"/>
            <w:tcBorders>
              <w:bottom w:val="single" w:sz="8" w:color="BF2115"/>
            </w:tcBorders>
          </w:tcPr>
          <w:p>
            <w:pPr>
              <w:spacing w:after="0"/>
              <w:rPr>
                <w:sz w:val="21"/>
                <w:szCs w:val="21"/>
                <w:color w:val="auto"/>
              </w:rPr>
            </w:pPr>
          </w:p>
        </w:tc>
        <w:tc>
          <w:tcPr>
            <w:tcW w:w="25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5660" w:type="dxa"/>
            <w:vAlign w:val="bottom"/>
          </w:tcPr>
          <w:p>
            <w:pPr>
              <w:ind w:left="20"/>
              <w:spacing w:after="0"/>
              <w:rPr>
                <w:sz w:val="20"/>
                <w:szCs w:val="20"/>
                <w:color w:val="auto"/>
              </w:rPr>
            </w:pPr>
            <w:r>
              <w:rPr>
                <w:rFonts w:ascii="Arial" w:cs="Arial" w:eastAsia="Arial" w:hAnsi="Arial"/>
                <w:sz w:val="20"/>
                <w:szCs w:val="20"/>
                <w:color w:val="auto"/>
              </w:rPr>
              <w:t>Total assets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64,515</w:t>
            </w:r>
          </w:p>
        </w:tc>
        <w:tc>
          <w:tcPr>
            <w:tcW w:w="2080" w:type="dxa"/>
            <w:vAlign w:val="bottom"/>
          </w:tcPr>
          <w:p>
            <w:pPr>
              <w:jc w:val="right"/>
              <w:spacing w:after="0"/>
              <w:rPr>
                <w:sz w:val="20"/>
                <w:szCs w:val="20"/>
                <w:color w:val="auto"/>
              </w:rPr>
            </w:pPr>
            <w:r>
              <w:rPr>
                <w:rFonts w:ascii="Arial" w:cs="Arial" w:eastAsia="Arial" w:hAnsi="Arial"/>
                <w:sz w:val="20"/>
                <w:szCs w:val="20"/>
                <w:color w:val="auto"/>
              </w:rPr>
              <w:t>102,107</w:t>
            </w:r>
          </w:p>
        </w:tc>
        <w:tc>
          <w:tcPr>
            <w:tcW w:w="0" w:type="dxa"/>
            <w:vAlign w:val="bottom"/>
          </w:tcPr>
          <w:p>
            <w:pPr>
              <w:spacing w:after="0"/>
              <w:rPr>
                <w:sz w:val="1"/>
                <w:szCs w:val="1"/>
                <w:color w:val="auto"/>
              </w:rPr>
            </w:pPr>
          </w:p>
        </w:tc>
      </w:tr>
      <w:tr>
        <w:trPr>
          <w:trHeight w:val="246"/>
        </w:trPr>
        <w:tc>
          <w:tcPr>
            <w:tcW w:w="5660" w:type="dxa"/>
            <w:vAlign w:val="bottom"/>
            <w:tcBorders>
              <w:bottom w:val="single" w:sz="8" w:color="BF2115"/>
            </w:tcBorders>
          </w:tcPr>
          <w:p>
            <w:pPr>
              <w:spacing w:after="0"/>
              <w:rPr>
                <w:sz w:val="21"/>
                <w:szCs w:val="21"/>
                <w:color w:val="auto"/>
              </w:rPr>
            </w:pPr>
          </w:p>
        </w:tc>
        <w:tc>
          <w:tcPr>
            <w:tcW w:w="960" w:type="dxa"/>
            <w:vAlign w:val="bottom"/>
            <w:tcBorders>
              <w:bottom w:val="single" w:sz="8" w:color="BF2115"/>
            </w:tcBorders>
          </w:tcPr>
          <w:p>
            <w:pPr>
              <w:spacing w:after="0"/>
              <w:rPr>
                <w:sz w:val="21"/>
                <w:szCs w:val="21"/>
                <w:color w:val="auto"/>
              </w:rPr>
            </w:pPr>
          </w:p>
        </w:tc>
        <w:tc>
          <w:tcPr>
            <w:tcW w:w="25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463"/>
        </w:trPr>
        <w:tc>
          <w:tcPr>
            <w:tcW w:w="5660" w:type="dxa"/>
            <w:vAlign w:val="bottom"/>
          </w:tcPr>
          <w:p>
            <w:pPr>
              <w:ind w:left="20"/>
              <w:spacing w:after="0"/>
              <w:rPr>
                <w:sz w:val="20"/>
                <w:szCs w:val="20"/>
                <w:color w:val="auto"/>
              </w:rPr>
            </w:pPr>
            <w:r>
              <w:rPr>
                <w:rFonts w:ascii="Arial" w:cs="Arial" w:eastAsia="Arial" w:hAnsi="Arial"/>
                <w:sz w:val="20"/>
                <w:szCs w:val="20"/>
                <w:color w:val="auto"/>
              </w:rPr>
              <w:t>Shareholders' equity and liabilities</w:t>
            </w:r>
          </w:p>
        </w:tc>
        <w:tc>
          <w:tcPr>
            <w:tcW w:w="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5660" w:type="dxa"/>
            <w:vAlign w:val="bottom"/>
          </w:tcPr>
          <w:p>
            <w:pPr>
              <w:ind w:left="20"/>
              <w:spacing w:after="0"/>
              <w:rPr>
                <w:sz w:val="20"/>
                <w:szCs w:val="20"/>
                <w:color w:val="auto"/>
              </w:rPr>
            </w:pPr>
            <w:r>
              <w:rPr>
                <w:rFonts w:ascii="Arial" w:cs="Arial" w:eastAsia="Arial" w:hAnsi="Arial"/>
                <w:sz w:val="20"/>
                <w:szCs w:val="20"/>
                <w:color w:val="auto"/>
              </w:rPr>
              <w:t>Share capital</w:t>
            </w:r>
          </w:p>
        </w:tc>
        <w:tc>
          <w:tcPr>
            <w:tcW w:w="960" w:type="dxa"/>
            <w:vAlign w:val="bottom"/>
          </w:tcPr>
          <w:p>
            <w:pPr>
              <w:jc w:val="center"/>
              <w:ind w:right="161"/>
              <w:spacing w:after="0"/>
              <w:rPr>
                <w:sz w:val="20"/>
                <w:szCs w:val="20"/>
                <w:color w:val="auto"/>
              </w:rPr>
            </w:pPr>
            <w:r>
              <w:rPr>
                <w:rFonts w:ascii="Arial" w:cs="Arial" w:eastAsia="Arial" w:hAnsi="Arial"/>
                <w:sz w:val="20"/>
                <w:szCs w:val="20"/>
                <w:color w:val="auto"/>
                <w:w w:val="93"/>
              </w:rPr>
              <w:t>5.2</w:t>
            </w: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4,037</w:t>
            </w:r>
          </w:p>
        </w:tc>
        <w:tc>
          <w:tcPr>
            <w:tcW w:w="2080" w:type="dxa"/>
            <w:vAlign w:val="bottom"/>
          </w:tcPr>
          <w:p>
            <w:pPr>
              <w:jc w:val="right"/>
              <w:spacing w:after="0"/>
              <w:rPr>
                <w:sz w:val="20"/>
                <w:szCs w:val="20"/>
                <w:color w:val="auto"/>
              </w:rPr>
            </w:pPr>
            <w:r>
              <w:rPr>
                <w:rFonts w:ascii="Arial" w:cs="Arial" w:eastAsia="Arial" w:hAnsi="Arial"/>
                <w:sz w:val="20"/>
                <w:szCs w:val="20"/>
                <w:color w:val="auto"/>
              </w:rPr>
              <w:t>4,037</w:t>
            </w:r>
          </w:p>
        </w:tc>
        <w:tc>
          <w:tcPr>
            <w:tcW w:w="0" w:type="dxa"/>
            <w:vAlign w:val="bottom"/>
          </w:tcPr>
          <w:p>
            <w:pPr>
              <w:spacing w:after="0"/>
              <w:rPr>
                <w:sz w:val="1"/>
                <w:szCs w:val="1"/>
                <w:color w:val="auto"/>
              </w:rPr>
            </w:pPr>
          </w:p>
        </w:tc>
      </w:tr>
      <w:tr>
        <w:trPr>
          <w:trHeight w:val="526"/>
        </w:trPr>
        <w:tc>
          <w:tcPr>
            <w:tcW w:w="5660" w:type="dxa"/>
            <w:vAlign w:val="bottom"/>
          </w:tcPr>
          <w:p>
            <w:pPr>
              <w:ind w:left="20"/>
              <w:spacing w:after="0"/>
              <w:rPr>
                <w:sz w:val="20"/>
                <w:szCs w:val="20"/>
                <w:color w:val="auto"/>
              </w:rPr>
            </w:pPr>
            <w:r>
              <w:rPr>
                <w:rFonts w:ascii="Arial" w:cs="Arial" w:eastAsia="Arial" w:hAnsi="Arial"/>
                <w:sz w:val="20"/>
                <w:szCs w:val="20"/>
                <w:color w:val="auto"/>
              </w:rPr>
              <w:t>Additional paid-in capital</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391,937</w:t>
            </w:r>
          </w:p>
        </w:tc>
        <w:tc>
          <w:tcPr>
            <w:tcW w:w="2080" w:type="dxa"/>
            <w:vAlign w:val="bottom"/>
          </w:tcPr>
          <w:p>
            <w:pPr>
              <w:jc w:val="right"/>
              <w:spacing w:after="0"/>
              <w:rPr>
                <w:sz w:val="20"/>
                <w:szCs w:val="20"/>
                <w:color w:val="auto"/>
              </w:rPr>
            </w:pPr>
            <w:r>
              <w:rPr>
                <w:rFonts w:ascii="Arial" w:cs="Arial" w:eastAsia="Arial" w:hAnsi="Arial"/>
                <w:sz w:val="20"/>
                <w:szCs w:val="20"/>
                <w:color w:val="auto"/>
              </w:rPr>
              <w:t>389,179</w:t>
            </w:r>
          </w:p>
        </w:tc>
        <w:tc>
          <w:tcPr>
            <w:tcW w:w="0" w:type="dxa"/>
            <w:vAlign w:val="bottom"/>
          </w:tcPr>
          <w:p>
            <w:pPr>
              <w:spacing w:after="0"/>
              <w:rPr>
                <w:sz w:val="1"/>
                <w:szCs w:val="1"/>
                <w:color w:val="auto"/>
              </w:rPr>
            </w:pPr>
          </w:p>
        </w:tc>
      </w:tr>
      <w:tr>
        <w:trPr>
          <w:trHeight w:val="527"/>
        </w:trPr>
        <w:tc>
          <w:tcPr>
            <w:tcW w:w="5660" w:type="dxa"/>
            <w:vAlign w:val="bottom"/>
          </w:tcPr>
          <w:p>
            <w:pPr>
              <w:ind w:left="20"/>
              <w:spacing w:after="0"/>
              <w:rPr>
                <w:sz w:val="20"/>
                <w:szCs w:val="20"/>
                <w:color w:val="auto"/>
              </w:rPr>
            </w:pPr>
            <w:r>
              <w:rPr>
                <w:rFonts w:ascii="Arial" w:cs="Arial" w:eastAsia="Arial" w:hAnsi="Arial"/>
                <w:sz w:val="20"/>
                <w:szCs w:val="20"/>
                <w:color w:val="auto"/>
              </w:rPr>
              <w:t>Treasury share reserve</w:t>
            </w:r>
          </w:p>
        </w:tc>
        <w:tc>
          <w:tcPr>
            <w:tcW w:w="960" w:type="dxa"/>
            <w:vAlign w:val="bottom"/>
          </w:tcPr>
          <w:p>
            <w:pPr>
              <w:jc w:val="center"/>
              <w:ind w:right="161"/>
              <w:spacing w:after="0"/>
              <w:rPr>
                <w:sz w:val="20"/>
                <w:szCs w:val="20"/>
                <w:color w:val="auto"/>
              </w:rPr>
            </w:pPr>
            <w:r>
              <w:rPr>
                <w:rFonts w:ascii="Arial" w:cs="Arial" w:eastAsia="Arial" w:hAnsi="Arial"/>
                <w:sz w:val="20"/>
                <w:szCs w:val="20"/>
                <w:color w:val="auto"/>
                <w:w w:val="93"/>
              </w:rPr>
              <w:t>5.2</w:t>
            </w:r>
          </w:p>
        </w:tc>
        <w:tc>
          <w:tcPr>
            <w:tcW w:w="2540" w:type="dxa"/>
            <w:vAlign w:val="bottom"/>
          </w:tcPr>
          <w:p>
            <w:pPr>
              <w:jc w:val="right"/>
              <w:ind w:right="241"/>
              <w:spacing w:after="0"/>
              <w:rPr>
                <w:sz w:val="20"/>
                <w:szCs w:val="20"/>
                <w:color w:val="auto"/>
              </w:rPr>
            </w:pPr>
            <w:r>
              <w:rPr>
                <w:rFonts w:ascii="Arial" w:cs="Arial" w:eastAsia="Arial" w:hAnsi="Arial"/>
                <w:sz w:val="20"/>
                <w:szCs w:val="20"/>
                <w:color w:val="auto"/>
              </w:rPr>
              <w:t>(1,240)</w:t>
            </w:r>
          </w:p>
        </w:tc>
        <w:tc>
          <w:tcPr>
            <w:tcW w:w="2080" w:type="dxa"/>
            <w:vAlign w:val="bottom"/>
          </w:tcPr>
          <w:p>
            <w:pPr>
              <w:jc w:val="right"/>
              <w:spacing w:after="0"/>
              <w:rPr>
                <w:sz w:val="20"/>
                <w:szCs w:val="20"/>
                <w:color w:val="auto"/>
              </w:rPr>
            </w:pPr>
            <w:r>
              <w:rPr>
                <w:rFonts w:ascii="Arial" w:cs="Arial" w:eastAsia="Arial" w:hAnsi="Arial"/>
                <w:sz w:val="20"/>
                <w:szCs w:val="20"/>
                <w:color w:val="auto"/>
              </w:rPr>
              <w:t>(1,129)</w:t>
            </w:r>
          </w:p>
        </w:tc>
        <w:tc>
          <w:tcPr>
            <w:tcW w:w="0" w:type="dxa"/>
            <w:vAlign w:val="bottom"/>
          </w:tcPr>
          <w:p>
            <w:pPr>
              <w:spacing w:after="0"/>
              <w:rPr>
                <w:sz w:val="1"/>
                <w:szCs w:val="1"/>
                <w:color w:val="auto"/>
              </w:rPr>
            </w:pPr>
          </w:p>
        </w:tc>
      </w:tr>
      <w:tr>
        <w:trPr>
          <w:trHeight w:val="526"/>
        </w:trPr>
        <w:tc>
          <w:tcPr>
            <w:tcW w:w="5660" w:type="dxa"/>
            <w:vAlign w:val="bottom"/>
          </w:tcPr>
          <w:p>
            <w:pPr>
              <w:ind w:left="20"/>
              <w:spacing w:after="0"/>
              <w:rPr>
                <w:sz w:val="20"/>
                <w:szCs w:val="20"/>
                <w:color w:val="auto"/>
              </w:rPr>
            </w:pPr>
            <w:r>
              <w:rPr>
                <w:rFonts w:ascii="Arial" w:cs="Arial" w:eastAsia="Arial" w:hAnsi="Arial"/>
                <w:sz w:val="20"/>
                <w:szCs w:val="20"/>
                <w:color w:val="auto"/>
              </w:rPr>
              <w:t>Cumulative losses</w:t>
            </w:r>
          </w:p>
        </w:tc>
        <w:tc>
          <w:tcPr>
            <w:tcW w:w="960" w:type="dxa"/>
            <w:vAlign w:val="bottom"/>
          </w:tcPr>
          <w:p>
            <w:pPr>
              <w:spacing w:after="0"/>
              <w:rPr>
                <w:sz w:val="24"/>
                <w:szCs w:val="24"/>
                <w:color w:val="auto"/>
              </w:rPr>
            </w:pPr>
          </w:p>
        </w:tc>
        <w:tc>
          <w:tcPr>
            <w:tcW w:w="2540" w:type="dxa"/>
            <w:vAlign w:val="bottom"/>
          </w:tcPr>
          <w:p>
            <w:pPr>
              <w:jc w:val="right"/>
              <w:ind w:right="241"/>
              <w:spacing w:after="0"/>
              <w:rPr>
                <w:sz w:val="20"/>
                <w:szCs w:val="20"/>
                <w:color w:val="auto"/>
              </w:rPr>
            </w:pPr>
            <w:r>
              <w:rPr>
                <w:rFonts w:ascii="Arial" w:cs="Arial" w:eastAsia="Arial" w:hAnsi="Arial"/>
                <w:sz w:val="20"/>
                <w:szCs w:val="20"/>
                <w:color w:val="auto"/>
              </w:rPr>
              <w:t>(344,072)</w:t>
            </w:r>
          </w:p>
        </w:tc>
        <w:tc>
          <w:tcPr>
            <w:tcW w:w="2080" w:type="dxa"/>
            <w:vAlign w:val="bottom"/>
          </w:tcPr>
          <w:p>
            <w:pPr>
              <w:jc w:val="right"/>
              <w:spacing w:after="0"/>
              <w:rPr>
                <w:sz w:val="20"/>
                <w:szCs w:val="20"/>
                <w:color w:val="auto"/>
              </w:rPr>
            </w:pPr>
            <w:r>
              <w:rPr>
                <w:rFonts w:ascii="Arial" w:cs="Arial" w:eastAsia="Arial" w:hAnsi="Arial"/>
                <w:sz w:val="20"/>
                <w:szCs w:val="20"/>
                <w:color w:val="auto"/>
              </w:rPr>
              <w:t>(311,753)</w:t>
            </w:r>
          </w:p>
        </w:tc>
        <w:tc>
          <w:tcPr>
            <w:tcW w:w="0" w:type="dxa"/>
            <w:vAlign w:val="bottom"/>
          </w:tcPr>
          <w:p>
            <w:pPr>
              <w:spacing w:after="0"/>
              <w:rPr>
                <w:sz w:val="1"/>
                <w:szCs w:val="1"/>
                <w:color w:val="auto"/>
              </w:rPr>
            </w:pPr>
          </w:p>
        </w:tc>
      </w:tr>
      <w:tr>
        <w:trPr>
          <w:trHeight w:val="527"/>
        </w:trPr>
        <w:tc>
          <w:tcPr>
            <w:tcW w:w="5660" w:type="dxa"/>
            <w:vAlign w:val="bottom"/>
          </w:tcPr>
          <w:p>
            <w:pPr>
              <w:ind w:left="20"/>
              <w:spacing w:after="0"/>
              <w:rPr>
                <w:sz w:val="20"/>
                <w:szCs w:val="20"/>
                <w:color w:val="auto"/>
              </w:rPr>
            </w:pPr>
            <w:r>
              <w:rPr>
                <w:rFonts w:ascii="Arial" w:cs="Arial" w:eastAsia="Arial" w:hAnsi="Arial"/>
                <w:sz w:val="20"/>
                <w:szCs w:val="20"/>
                <w:color w:val="auto"/>
              </w:rPr>
              <w:t>Total shareholders' equity</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50,662</w:t>
            </w:r>
          </w:p>
        </w:tc>
        <w:tc>
          <w:tcPr>
            <w:tcW w:w="2080" w:type="dxa"/>
            <w:vAlign w:val="bottom"/>
          </w:tcPr>
          <w:p>
            <w:pPr>
              <w:jc w:val="right"/>
              <w:spacing w:after="0"/>
              <w:rPr>
                <w:sz w:val="20"/>
                <w:szCs w:val="20"/>
                <w:color w:val="auto"/>
              </w:rPr>
            </w:pPr>
            <w:r>
              <w:rPr>
                <w:rFonts w:ascii="Arial" w:cs="Arial" w:eastAsia="Arial" w:hAnsi="Arial"/>
                <w:sz w:val="20"/>
                <w:szCs w:val="20"/>
                <w:color w:val="auto"/>
              </w:rPr>
              <w:t>80,334</w:t>
            </w:r>
          </w:p>
        </w:tc>
        <w:tc>
          <w:tcPr>
            <w:tcW w:w="0" w:type="dxa"/>
            <w:vAlign w:val="bottom"/>
          </w:tcPr>
          <w:p>
            <w:pPr>
              <w:spacing w:after="0"/>
              <w:rPr>
                <w:sz w:val="1"/>
                <w:szCs w:val="1"/>
                <w:color w:val="auto"/>
              </w:rPr>
            </w:pPr>
          </w:p>
        </w:tc>
      </w:tr>
      <w:tr>
        <w:trPr>
          <w:trHeight w:val="246"/>
        </w:trPr>
        <w:tc>
          <w:tcPr>
            <w:tcW w:w="5660" w:type="dxa"/>
            <w:vAlign w:val="bottom"/>
            <w:tcBorders>
              <w:bottom w:val="single" w:sz="8" w:color="BF2115"/>
            </w:tcBorders>
          </w:tcPr>
          <w:p>
            <w:pPr>
              <w:spacing w:after="0"/>
              <w:rPr>
                <w:sz w:val="21"/>
                <w:szCs w:val="21"/>
                <w:color w:val="auto"/>
              </w:rPr>
            </w:pPr>
          </w:p>
        </w:tc>
        <w:tc>
          <w:tcPr>
            <w:tcW w:w="960" w:type="dxa"/>
            <w:vAlign w:val="bottom"/>
            <w:tcBorders>
              <w:bottom w:val="single" w:sz="8" w:color="BF2115"/>
            </w:tcBorders>
          </w:tcPr>
          <w:p>
            <w:pPr>
              <w:spacing w:after="0"/>
              <w:rPr>
                <w:sz w:val="21"/>
                <w:szCs w:val="21"/>
                <w:color w:val="auto"/>
              </w:rPr>
            </w:pPr>
          </w:p>
        </w:tc>
        <w:tc>
          <w:tcPr>
            <w:tcW w:w="25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5660" w:type="dxa"/>
            <w:vAlign w:val="bottom"/>
          </w:tcPr>
          <w:p>
            <w:pPr>
              <w:ind w:left="20"/>
              <w:spacing w:after="0"/>
              <w:rPr>
                <w:sz w:val="20"/>
                <w:szCs w:val="20"/>
                <w:color w:val="auto"/>
              </w:rPr>
            </w:pPr>
            <w:r>
              <w:rPr>
                <w:rFonts w:ascii="Arial" w:cs="Arial" w:eastAsia="Arial" w:hAnsi="Arial"/>
                <w:sz w:val="20"/>
                <w:szCs w:val="20"/>
                <w:color w:val="auto"/>
              </w:rPr>
              <w:t>Trade and other payables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160</w:t>
            </w:r>
          </w:p>
        </w:tc>
        <w:tc>
          <w:tcPr>
            <w:tcW w:w="2080" w:type="dxa"/>
            <w:vAlign w:val="bottom"/>
          </w:tcPr>
          <w:p>
            <w:pPr>
              <w:jc w:val="right"/>
              <w:spacing w:after="0"/>
              <w:rPr>
                <w:sz w:val="20"/>
                <w:szCs w:val="20"/>
                <w:color w:val="auto"/>
              </w:rPr>
            </w:pPr>
            <w:r>
              <w:rPr>
                <w:rFonts w:ascii="Arial" w:cs="Arial" w:eastAsia="Arial" w:hAnsi="Arial"/>
                <w:sz w:val="20"/>
                <w:szCs w:val="20"/>
                <w:color w:val="auto"/>
              </w:rPr>
              <w:t>160</w:t>
            </w:r>
          </w:p>
        </w:tc>
        <w:tc>
          <w:tcPr>
            <w:tcW w:w="0" w:type="dxa"/>
            <w:vAlign w:val="bottom"/>
          </w:tcPr>
          <w:p>
            <w:pPr>
              <w:spacing w:after="0"/>
              <w:rPr>
                <w:sz w:val="1"/>
                <w:szCs w:val="1"/>
                <w:color w:val="auto"/>
              </w:rPr>
            </w:pPr>
          </w:p>
        </w:tc>
      </w:tr>
      <w:tr>
        <w:trPr>
          <w:trHeight w:val="284"/>
        </w:trPr>
        <w:tc>
          <w:tcPr>
            <w:tcW w:w="5660" w:type="dxa"/>
            <w:vAlign w:val="bottom"/>
          </w:tcPr>
          <w:p>
            <w:pPr>
              <w:ind w:left="20"/>
              <w:spacing w:after="0"/>
              <w:rPr>
                <w:sz w:val="20"/>
                <w:szCs w:val="20"/>
                <w:color w:val="auto"/>
              </w:rPr>
            </w:pPr>
            <w:r>
              <w:rPr>
                <w:rFonts w:ascii="Arial" w:cs="Arial" w:eastAsia="Arial" w:hAnsi="Arial"/>
                <w:sz w:val="20"/>
                <w:szCs w:val="20"/>
                <w:color w:val="auto"/>
              </w:rPr>
              <w:t>Lease liability</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1,528</w:t>
            </w:r>
          </w:p>
        </w:tc>
        <w:tc>
          <w:tcPr>
            <w:tcW w:w="2080" w:type="dxa"/>
            <w:vAlign w:val="bottom"/>
          </w:tcPr>
          <w:p>
            <w:pPr>
              <w:jc w:val="right"/>
              <w:spacing w:after="0"/>
              <w:rPr>
                <w:sz w:val="20"/>
                <w:szCs w:val="20"/>
                <w:color w:val="auto"/>
              </w:rPr>
            </w:pPr>
            <w:r>
              <w:rPr>
                <w:rFonts w:ascii="Arial" w:cs="Arial" w:eastAsia="Arial" w:hAnsi="Arial"/>
                <w:sz w:val="20"/>
                <w:szCs w:val="20"/>
                <w:color w:val="auto"/>
              </w:rPr>
              <w:t>2,438</w:t>
            </w:r>
          </w:p>
        </w:tc>
        <w:tc>
          <w:tcPr>
            <w:tcW w:w="0" w:type="dxa"/>
            <w:vAlign w:val="bottom"/>
          </w:tcPr>
          <w:p>
            <w:pPr>
              <w:spacing w:after="0"/>
              <w:rPr>
                <w:sz w:val="1"/>
                <w:szCs w:val="1"/>
                <w:color w:val="auto"/>
              </w:rPr>
            </w:pPr>
          </w:p>
        </w:tc>
      </w:tr>
      <w:tr>
        <w:trPr>
          <w:trHeight w:val="526"/>
        </w:trPr>
        <w:tc>
          <w:tcPr>
            <w:tcW w:w="5660" w:type="dxa"/>
            <w:vAlign w:val="bottom"/>
          </w:tcPr>
          <w:p>
            <w:pPr>
              <w:ind w:left="20"/>
              <w:spacing w:after="0"/>
              <w:rPr>
                <w:sz w:val="20"/>
                <w:szCs w:val="20"/>
                <w:color w:val="auto"/>
              </w:rPr>
            </w:pPr>
            <w:r>
              <w:rPr>
                <w:rFonts w:ascii="Arial" w:cs="Arial" w:eastAsia="Arial" w:hAnsi="Arial"/>
                <w:sz w:val="20"/>
                <w:szCs w:val="20"/>
                <w:color w:val="auto"/>
              </w:rPr>
              <w:t>Employee benefits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2,757</w:t>
            </w:r>
          </w:p>
        </w:tc>
        <w:tc>
          <w:tcPr>
            <w:tcW w:w="2080" w:type="dxa"/>
            <w:vAlign w:val="bottom"/>
          </w:tcPr>
          <w:p>
            <w:pPr>
              <w:jc w:val="right"/>
              <w:spacing w:after="0"/>
              <w:rPr>
                <w:sz w:val="20"/>
                <w:szCs w:val="20"/>
                <w:color w:val="auto"/>
              </w:rPr>
            </w:pPr>
            <w:r>
              <w:rPr>
                <w:rFonts w:ascii="Arial" w:cs="Arial" w:eastAsia="Arial" w:hAnsi="Arial"/>
                <w:sz w:val="20"/>
                <w:szCs w:val="20"/>
                <w:color w:val="auto"/>
              </w:rPr>
              <w:t>8,147</w:t>
            </w:r>
          </w:p>
        </w:tc>
        <w:tc>
          <w:tcPr>
            <w:tcW w:w="0" w:type="dxa"/>
            <w:vAlign w:val="bottom"/>
          </w:tcPr>
          <w:p>
            <w:pPr>
              <w:spacing w:after="0"/>
              <w:rPr>
                <w:sz w:val="1"/>
                <w:szCs w:val="1"/>
                <w:color w:val="auto"/>
              </w:rPr>
            </w:pPr>
          </w:p>
        </w:tc>
      </w:tr>
      <w:tr>
        <w:trPr>
          <w:trHeight w:val="526"/>
        </w:trPr>
        <w:tc>
          <w:tcPr>
            <w:tcW w:w="5660" w:type="dxa"/>
            <w:vAlign w:val="bottom"/>
          </w:tcPr>
          <w:p>
            <w:pPr>
              <w:ind w:left="20"/>
              <w:spacing w:after="0"/>
              <w:rPr>
                <w:sz w:val="20"/>
                <w:szCs w:val="20"/>
                <w:color w:val="auto"/>
              </w:rPr>
            </w:pPr>
            <w:r>
              <w:rPr>
                <w:rFonts w:ascii="Arial" w:cs="Arial" w:eastAsia="Arial" w:hAnsi="Arial"/>
                <w:sz w:val="20"/>
                <w:szCs w:val="20"/>
                <w:color w:val="auto"/>
              </w:rPr>
              <w:t>Total non-current liabilities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4,445</w:t>
            </w:r>
          </w:p>
        </w:tc>
        <w:tc>
          <w:tcPr>
            <w:tcW w:w="2080" w:type="dxa"/>
            <w:vAlign w:val="bottom"/>
          </w:tcPr>
          <w:p>
            <w:pPr>
              <w:jc w:val="right"/>
              <w:spacing w:after="0"/>
              <w:rPr>
                <w:sz w:val="20"/>
                <w:szCs w:val="20"/>
                <w:color w:val="auto"/>
              </w:rPr>
            </w:pPr>
            <w:r>
              <w:rPr>
                <w:rFonts w:ascii="Arial" w:cs="Arial" w:eastAsia="Arial" w:hAnsi="Arial"/>
                <w:sz w:val="20"/>
                <w:szCs w:val="20"/>
                <w:color w:val="auto"/>
              </w:rPr>
              <w:t>10,746</w:t>
            </w:r>
          </w:p>
        </w:tc>
        <w:tc>
          <w:tcPr>
            <w:tcW w:w="0" w:type="dxa"/>
            <w:vAlign w:val="bottom"/>
          </w:tcPr>
          <w:p>
            <w:pPr>
              <w:spacing w:after="0"/>
              <w:rPr>
                <w:sz w:val="1"/>
                <w:szCs w:val="1"/>
                <w:color w:val="auto"/>
              </w:rPr>
            </w:pPr>
          </w:p>
        </w:tc>
      </w:tr>
      <w:tr>
        <w:trPr>
          <w:trHeight w:val="247"/>
        </w:trPr>
        <w:tc>
          <w:tcPr>
            <w:tcW w:w="5660" w:type="dxa"/>
            <w:vAlign w:val="bottom"/>
            <w:tcBorders>
              <w:bottom w:val="single" w:sz="8" w:color="BF2115"/>
            </w:tcBorders>
          </w:tcPr>
          <w:p>
            <w:pPr>
              <w:spacing w:after="0"/>
              <w:rPr>
                <w:sz w:val="21"/>
                <w:szCs w:val="21"/>
                <w:color w:val="auto"/>
              </w:rPr>
            </w:pPr>
          </w:p>
        </w:tc>
        <w:tc>
          <w:tcPr>
            <w:tcW w:w="960" w:type="dxa"/>
            <w:vAlign w:val="bottom"/>
            <w:tcBorders>
              <w:bottom w:val="single" w:sz="8" w:color="BF2115"/>
            </w:tcBorders>
          </w:tcPr>
          <w:p>
            <w:pPr>
              <w:spacing w:after="0"/>
              <w:rPr>
                <w:sz w:val="21"/>
                <w:szCs w:val="21"/>
                <w:color w:val="auto"/>
              </w:rPr>
            </w:pPr>
          </w:p>
        </w:tc>
        <w:tc>
          <w:tcPr>
            <w:tcW w:w="2540" w:type="dxa"/>
            <w:vAlign w:val="bottom"/>
            <w:tcBorders>
              <w:bottom w:val="single" w:sz="8" w:color="BF2115"/>
            </w:tcBorders>
          </w:tcPr>
          <w:p>
            <w:pPr>
              <w:spacing w:after="0"/>
              <w:rPr>
                <w:sz w:val="21"/>
                <w:szCs w:val="21"/>
                <w:color w:val="auto"/>
              </w:rPr>
            </w:pPr>
          </w:p>
        </w:tc>
        <w:tc>
          <w:tcPr>
            <w:tcW w:w="208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408"/>
        </w:trPr>
        <w:tc>
          <w:tcPr>
            <w:tcW w:w="5660" w:type="dxa"/>
            <w:vAlign w:val="bottom"/>
          </w:tcPr>
          <w:p>
            <w:pPr>
              <w:ind w:left="20"/>
              <w:spacing w:after="0"/>
              <w:rPr>
                <w:sz w:val="20"/>
                <w:szCs w:val="20"/>
                <w:color w:val="auto"/>
              </w:rPr>
            </w:pPr>
            <w:r>
              <w:rPr>
                <w:rFonts w:ascii="Arial" w:cs="Arial" w:eastAsia="Arial" w:hAnsi="Arial"/>
                <w:sz w:val="20"/>
                <w:szCs w:val="20"/>
                <w:color w:val="auto"/>
              </w:rPr>
              <w:t>Trade and other payables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1,205</w:t>
            </w:r>
          </w:p>
        </w:tc>
        <w:tc>
          <w:tcPr>
            <w:tcW w:w="2080" w:type="dxa"/>
            <w:vAlign w:val="bottom"/>
          </w:tcPr>
          <w:p>
            <w:pPr>
              <w:jc w:val="right"/>
              <w:spacing w:after="0"/>
              <w:rPr>
                <w:sz w:val="20"/>
                <w:szCs w:val="20"/>
                <w:color w:val="auto"/>
              </w:rPr>
            </w:pPr>
            <w:r>
              <w:rPr>
                <w:rFonts w:ascii="Arial" w:cs="Arial" w:eastAsia="Arial" w:hAnsi="Arial"/>
                <w:sz w:val="20"/>
                <w:szCs w:val="20"/>
                <w:color w:val="auto"/>
              </w:rPr>
              <w:t>1,767</w:t>
            </w:r>
          </w:p>
        </w:tc>
        <w:tc>
          <w:tcPr>
            <w:tcW w:w="0" w:type="dxa"/>
            <w:vAlign w:val="bottom"/>
          </w:tcPr>
          <w:p>
            <w:pPr>
              <w:spacing w:after="0"/>
              <w:rPr>
                <w:sz w:val="1"/>
                <w:szCs w:val="1"/>
                <w:color w:val="auto"/>
              </w:rPr>
            </w:pPr>
          </w:p>
        </w:tc>
      </w:tr>
      <w:tr>
        <w:trPr>
          <w:trHeight w:val="526"/>
        </w:trPr>
        <w:tc>
          <w:tcPr>
            <w:tcW w:w="5660" w:type="dxa"/>
            <w:vAlign w:val="bottom"/>
          </w:tcPr>
          <w:p>
            <w:pPr>
              <w:ind w:left="20"/>
              <w:spacing w:after="0"/>
              <w:rPr>
                <w:sz w:val="20"/>
                <w:szCs w:val="20"/>
                <w:color w:val="auto"/>
              </w:rPr>
            </w:pPr>
            <w:r>
              <w:rPr>
                <w:rFonts w:ascii="Arial" w:cs="Arial" w:eastAsia="Arial" w:hAnsi="Arial"/>
                <w:sz w:val="20"/>
                <w:szCs w:val="20"/>
                <w:color w:val="auto"/>
              </w:rPr>
              <w:t>Accrued expenses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6,991</w:t>
            </w:r>
          </w:p>
        </w:tc>
        <w:tc>
          <w:tcPr>
            <w:tcW w:w="2080" w:type="dxa"/>
            <w:vAlign w:val="bottom"/>
          </w:tcPr>
          <w:p>
            <w:pPr>
              <w:jc w:val="right"/>
              <w:spacing w:after="0"/>
              <w:rPr>
                <w:sz w:val="20"/>
                <w:szCs w:val="20"/>
                <w:color w:val="auto"/>
              </w:rPr>
            </w:pPr>
            <w:r>
              <w:rPr>
                <w:rFonts w:ascii="Arial" w:cs="Arial" w:eastAsia="Arial" w:hAnsi="Arial"/>
                <w:sz w:val="20"/>
                <w:szCs w:val="20"/>
                <w:color w:val="auto"/>
              </w:rPr>
              <w:t>8,055</w:t>
            </w:r>
          </w:p>
        </w:tc>
        <w:tc>
          <w:tcPr>
            <w:tcW w:w="0" w:type="dxa"/>
            <w:vAlign w:val="bottom"/>
          </w:tcPr>
          <w:p>
            <w:pPr>
              <w:spacing w:after="0"/>
              <w:rPr>
                <w:sz w:val="1"/>
                <w:szCs w:val="1"/>
                <w:color w:val="auto"/>
              </w:rPr>
            </w:pPr>
          </w:p>
        </w:tc>
      </w:tr>
      <w:tr>
        <w:trPr>
          <w:trHeight w:val="526"/>
        </w:trPr>
        <w:tc>
          <w:tcPr>
            <w:tcW w:w="5660" w:type="dxa"/>
            <w:vAlign w:val="bottom"/>
          </w:tcPr>
          <w:p>
            <w:pPr>
              <w:ind w:left="20"/>
              <w:spacing w:after="0"/>
              <w:rPr>
                <w:sz w:val="20"/>
                <w:szCs w:val="20"/>
                <w:color w:val="auto"/>
              </w:rPr>
            </w:pPr>
            <w:r>
              <w:rPr>
                <w:rFonts w:ascii="Arial" w:cs="Arial" w:eastAsia="Arial" w:hAnsi="Arial"/>
                <w:sz w:val="20"/>
                <w:szCs w:val="20"/>
                <w:color w:val="auto"/>
              </w:rPr>
              <w:t>Lease liability</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1,212</w:t>
            </w:r>
          </w:p>
        </w:tc>
        <w:tc>
          <w:tcPr>
            <w:tcW w:w="2080" w:type="dxa"/>
            <w:vAlign w:val="bottom"/>
          </w:tcPr>
          <w:p>
            <w:pPr>
              <w:jc w:val="right"/>
              <w:spacing w:after="0"/>
              <w:rPr>
                <w:sz w:val="20"/>
                <w:szCs w:val="20"/>
                <w:color w:val="auto"/>
              </w:rPr>
            </w:pPr>
            <w:r>
              <w:rPr>
                <w:rFonts w:ascii="Arial" w:cs="Arial" w:eastAsia="Arial" w:hAnsi="Arial"/>
                <w:sz w:val="20"/>
                <w:szCs w:val="20"/>
                <w:color w:val="auto"/>
              </w:rPr>
              <w:t>1,206</w:t>
            </w:r>
          </w:p>
        </w:tc>
        <w:tc>
          <w:tcPr>
            <w:tcW w:w="0" w:type="dxa"/>
            <w:vAlign w:val="bottom"/>
          </w:tcPr>
          <w:p>
            <w:pPr>
              <w:spacing w:after="0"/>
              <w:rPr>
                <w:sz w:val="1"/>
                <w:szCs w:val="1"/>
                <w:color w:val="auto"/>
              </w:rPr>
            </w:pPr>
          </w:p>
        </w:tc>
      </w:tr>
      <w:tr>
        <w:trPr>
          <w:trHeight w:val="526"/>
        </w:trPr>
        <w:tc>
          <w:tcPr>
            <w:tcW w:w="5660" w:type="dxa"/>
            <w:vAlign w:val="bottom"/>
          </w:tcPr>
          <w:p>
            <w:pPr>
              <w:ind w:left="20"/>
              <w:spacing w:after="0"/>
              <w:rPr>
                <w:sz w:val="20"/>
                <w:szCs w:val="20"/>
                <w:color w:val="auto"/>
              </w:rPr>
            </w:pPr>
            <w:r>
              <w:rPr>
                <w:rFonts w:ascii="Arial" w:cs="Arial" w:eastAsia="Arial" w:hAnsi="Arial"/>
                <w:sz w:val="20"/>
                <w:szCs w:val="20"/>
                <w:color w:val="auto"/>
              </w:rPr>
              <w:t>Total current liabilities</w:t>
            </w:r>
          </w:p>
        </w:tc>
        <w:tc>
          <w:tcPr>
            <w:tcW w:w="960" w:type="dxa"/>
            <w:vAlign w:val="bottom"/>
          </w:tcPr>
          <w:p>
            <w:pPr>
              <w:spacing w:after="0"/>
              <w:rPr>
                <w:sz w:val="24"/>
                <w:szCs w:val="24"/>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9,408</w:t>
            </w:r>
          </w:p>
        </w:tc>
        <w:tc>
          <w:tcPr>
            <w:tcW w:w="2080" w:type="dxa"/>
            <w:vAlign w:val="bottom"/>
          </w:tcPr>
          <w:p>
            <w:pPr>
              <w:jc w:val="right"/>
              <w:spacing w:after="0"/>
              <w:rPr>
                <w:sz w:val="20"/>
                <w:szCs w:val="20"/>
                <w:color w:val="auto"/>
              </w:rPr>
            </w:pPr>
            <w:r>
              <w:rPr>
                <w:rFonts w:ascii="Arial" w:cs="Arial" w:eastAsia="Arial" w:hAnsi="Arial"/>
                <w:sz w:val="20"/>
                <w:szCs w:val="20"/>
                <w:color w:val="auto"/>
              </w:rPr>
              <w:t>11,027</w:t>
            </w:r>
          </w:p>
        </w:tc>
        <w:tc>
          <w:tcPr>
            <w:tcW w:w="0" w:type="dxa"/>
            <w:vAlign w:val="bottom"/>
          </w:tcPr>
          <w:p>
            <w:pPr>
              <w:spacing w:after="0"/>
              <w:rPr>
                <w:sz w:val="1"/>
                <w:szCs w:val="1"/>
                <w:color w:val="auto"/>
              </w:rPr>
            </w:pPr>
          </w:p>
        </w:tc>
      </w:tr>
      <w:tr>
        <w:trPr>
          <w:trHeight w:val="247"/>
        </w:trPr>
        <w:tc>
          <w:tcPr>
            <w:tcW w:w="5660" w:type="dxa"/>
            <w:vAlign w:val="bottom"/>
            <w:tcBorders>
              <w:bottom w:val="single" w:sz="8" w:color="BC2327"/>
            </w:tcBorders>
          </w:tcPr>
          <w:p>
            <w:pPr>
              <w:spacing w:after="0"/>
              <w:rPr>
                <w:sz w:val="21"/>
                <w:szCs w:val="21"/>
                <w:color w:val="auto"/>
              </w:rPr>
            </w:pPr>
          </w:p>
        </w:tc>
        <w:tc>
          <w:tcPr>
            <w:tcW w:w="960" w:type="dxa"/>
            <w:vAlign w:val="bottom"/>
            <w:tcBorders>
              <w:bottom w:val="single" w:sz="8" w:color="BC2327"/>
            </w:tcBorders>
          </w:tcPr>
          <w:p>
            <w:pPr>
              <w:spacing w:after="0"/>
              <w:rPr>
                <w:sz w:val="21"/>
                <w:szCs w:val="21"/>
                <w:color w:val="auto"/>
              </w:rPr>
            </w:pPr>
          </w:p>
        </w:tc>
        <w:tc>
          <w:tcPr>
            <w:tcW w:w="2540" w:type="dxa"/>
            <w:vAlign w:val="bottom"/>
            <w:tcBorders>
              <w:bottom w:val="single" w:sz="8" w:color="BC2327"/>
            </w:tcBorders>
          </w:tcPr>
          <w:p>
            <w:pPr>
              <w:spacing w:after="0"/>
              <w:rPr>
                <w:sz w:val="21"/>
                <w:szCs w:val="21"/>
                <w:color w:val="auto"/>
              </w:rPr>
            </w:pPr>
          </w:p>
        </w:tc>
        <w:tc>
          <w:tcPr>
            <w:tcW w:w="20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5660" w:type="dxa"/>
            <w:vAlign w:val="bottom"/>
          </w:tcPr>
          <w:p>
            <w:pPr>
              <w:ind w:left="20"/>
              <w:spacing w:after="0"/>
              <w:rPr>
                <w:sz w:val="20"/>
                <w:szCs w:val="20"/>
                <w:color w:val="auto"/>
              </w:rPr>
            </w:pPr>
            <w:r>
              <w:rPr>
                <w:rFonts w:ascii="Arial" w:cs="Arial" w:eastAsia="Arial" w:hAnsi="Arial"/>
                <w:sz w:val="20"/>
                <w:szCs w:val="20"/>
                <w:color w:val="auto"/>
              </w:rPr>
              <w:t>Total liabilities</w:t>
            </w:r>
          </w:p>
        </w:tc>
        <w:tc>
          <w:tcPr>
            <w:tcW w:w="960" w:type="dxa"/>
            <w:vAlign w:val="bottom"/>
          </w:tcPr>
          <w:p>
            <w:pPr>
              <w:spacing w:after="0"/>
              <w:rPr>
                <w:sz w:val="23"/>
                <w:szCs w:val="23"/>
                <w:color w:val="auto"/>
              </w:rPr>
            </w:pPr>
          </w:p>
        </w:tc>
        <w:tc>
          <w:tcPr>
            <w:tcW w:w="2540" w:type="dxa"/>
            <w:vAlign w:val="bottom"/>
          </w:tcPr>
          <w:p>
            <w:pPr>
              <w:jc w:val="right"/>
              <w:ind w:right="301"/>
              <w:spacing w:after="0"/>
              <w:rPr>
                <w:sz w:val="20"/>
                <w:szCs w:val="20"/>
                <w:color w:val="auto"/>
              </w:rPr>
            </w:pPr>
            <w:r>
              <w:rPr>
                <w:rFonts w:ascii="Arial" w:cs="Arial" w:eastAsia="Arial" w:hAnsi="Arial"/>
                <w:sz w:val="20"/>
                <w:szCs w:val="20"/>
                <w:color w:val="auto"/>
              </w:rPr>
              <w:t>13,853</w:t>
            </w:r>
          </w:p>
        </w:tc>
        <w:tc>
          <w:tcPr>
            <w:tcW w:w="2080" w:type="dxa"/>
            <w:vAlign w:val="bottom"/>
          </w:tcPr>
          <w:p>
            <w:pPr>
              <w:jc w:val="right"/>
              <w:spacing w:after="0"/>
              <w:rPr>
                <w:sz w:val="20"/>
                <w:szCs w:val="20"/>
                <w:color w:val="auto"/>
              </w:rPr>
            </w:pPr>
            <w:r>
              <w:rPr>
                <w:rFonts w:ascii="Arial" w:cs="Arial" w:eastAsia="Arial" w:hAnsi="Arial"/>
                <w:sz w:val="20"/>
                <w:szCs w:val="20"/>
                <w:color w:val="auto"/>
              </w:rPr>
              <w:t>21,772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85" w:right="339" w:bottom="36"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spacing w:after="0"/>
        <w:tabs>
          <w:tab w:leader="none" w:pos="8140" w:val="left"/>
          <w:tab w:leader="none" w:pos="10420" w:val="left"/>
        </w:tabs>
        <w:rPr>
          <w:sz w:val="20"/>
          <w:szCs w:val="20"/>
          <w:color w:val="auto"/>
        </w:rPr>
      </w:pPr>
      <w:r>
        <w:rPr>
          <w:rFonts w:ascii="Arial" w:cs="Arial" w:eastAsia="Arial" w:hAnsi="Arial"/>
          <w:sz w:val="20"/>
          <w:szCs w:val="20"/>
          <w:color w:val="auto"/>
        </w:rPr>
        <w:t>Total shareholders' equity and liabilities</w:t>
      </w:r>
      <w:r>
        <w:rPr>
          <w:sz w:val="20"/>
          <w:szCs w:val="20"/>
          <w:color w:val="auto"/>
        </w:rPr>
        <w:tab/>
      </w:r>
      <w:r>
        <w:rPr>
          <w:rFonts w:ascii="Arial" w:cs="Arial" w:eastAsia="Arial" w:hAnsi="Arial"/>
          <w:sz w:val="20"/>
          <w:szCs w:val="20"/>
          <w:color w:val="auto"/>
        </w:rPr>
        <w:t>64,515</w:t>
      </w:r>
      <w:r>
        <w:rPr>
          <w:sz w:val="20"/>
          <w:szCs w:val="20"/>
          <w:color w:val="auto"/>
        </w:rPr>
        <w:tab/>
      </w:r>
      <w:r>
        <w:rPr>
          <w:rFonts w:ascii="Arial" w:cs="Arial" w:eastAsia="Arial" w:hAnsi="Arial"/>
          <w:sz w:val="19"/>
          <w:szCs w:val="19"/>
          <w:color w:val="auto"/>
        </w:rPr>
        <w:t>102,107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85" w:right="339" w:bottom="36" w:gutter="0" w:footer="0" w:header="0"/>
          <w:type w:val="continuous"/>
        </w:sectPr>
      </w:pPr>
    </w:p>
    <w:bookmarkStart w:id="4" w:name="page5"/>
    <w:bookmarkEnd w:id="4"/>
    <w:p>
      <w:pPr>
        <w:spacing w:after="0"/>
        <w:rPr>
          <w:sz w:val="20"/>
          <w:szCs w:val="20"/>
          <w:color w:val="auto"/>
        </w:rPr>
      </w:pPr>
      <w:r>
        <w:rPr>
          <w:rFonts w:ascii="Arial" w:cs="Arial" w:eastAsia="Arial" w:hAnsi="Arial"/>
          <w:sz w:val="19"/>
          <w:szCs w:val="19"/>
          <w:i w:val="1"/>
          <w:iCs w:val="1"/>
          <w:color w:val="auto"/>
        </w:rPr>
        <w:t>See accompanying notes, which form an integral part of these unaudited condensed consolidated interim financial statements.</w:t>
      </w:r>
    </w:p>
    <w:p>
      <w:pPr>
        <w:sectPr>
          <w:pgSz w:w="11900" w:h="16838" w:orient="portrait"/>
          <w:cols w:equalWidth="0" w:num="1">
            <w:col w:w="11060"/>
          </w:cols>
          <w:pgMar w:left="320" w:top="118" w:right="519" w:bottom="1440" w:gutter="0" w:footer="0" w:header="0"/>
        </w:sectPr>
      </w:pPr>
    </w:p>
    <w:bookmarkStart w:id="5" w:name="page6"/>
    <w:bookmarkEnd w:id="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7640" w:type="dxa"/>
            <w:vAlign w:val="bottom"/>
          </w:tcPr>
          <w:p>
            <w:pPr>
              <w:ind w:left="20"/>
              <w:spacing w:after="0"/>
              <w:rPr>
                <w:sz w:val="20"/>
                <w:szCs w:val="20"/>
                <w:color w:val="auto"/>
              </w:rPr>
            </w:pPr>
            <w:r>
              <w:rPr>
                <w:rFonts w:ascii="Arial" w:cs="Arial" w:eastAsia="Arial" w:hAnsi="Arial"/>
                <w:sz w:val="20"/>
                <w:szCs w:val="20"/>
                <w:color w:val="auto"/>
              </w:rPr>
              <w:t>Condensed consolidated interim statement of profit or loss and other comprehensive</w:t>
            </w:r>
          </w:p>
        </w:tc>
        <w:tc>
          <w:tcPr>
            <w:tcW w:w="1000" w:type="dxa"/>
            <w:vAlign w:val="bottom"/>
          </w:tcPr>
          <w:p>
            <w:pPr>
              <w:spacing w:after="0"/>
              <w:rPr>
                <w:sz w:val="21"/>
                <w:szCs w:val="21"/>
                <w:color w:val="auto"/>
              </w:rPr>
            </w:pPr>
          </w:p>
        </w:tc>
        <w:tc>
          <w:tcPr>
            <w:tcW w:w="1460" w:type="dxa"/>
            <w:vAlign w:val="bottom"/>
            <w:vMerge w:val="restart"/>
          </w:tcPr>
          <w:p>
            <w:pPr>
              <w:jc w:val="right"/>
              <w:ind w:right="261"/>
              <w:spacing w:after="0"/>
              <w:rPr>
                <w:sz w:val="20"/>
                <w:szCs w:val="20"/>
                <w:color w:val="auto"/>
              </w:rPr>
            </w:pPr>
            <w:r>
              <w:rPr>
                <w:rFonts w:ascii="Arial" w:cs="Arial" w:eastAsia="Arial" w:hAnsi="Arial"/>
                <w:sz w:val="20"/>
                <w:szCs w:val="20"/>
                <w:color w:val="auto"/>
              </w:rPr>
              <w:t>2026</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61"/>
        </w:trPr>
        <w:tc>
          <w:tcPr>
            <w:tcW w:w="7640" w:type="dxa"/>
            <w:vAlign w:val="bottom"/>
          </w:tcPr>
          <w:p>
            <w:pPr>
              <w:ind w:left="20"/>
              <w:spacing w:after="0"/>
              <w:rPr>
                <w:sz w:val="20"/>
                <w:szCs w:val="20"/>
                <w:color w:val="auto"/>
              </w:rPr>
            </w:pPr>
            <w:r>
              <w:rPr>
                <w:rFonts w:ascii="Arial" w:cs="Arial" w:eastAsia="Arial" w:hAnsi="Arial"/>
                <w:sz w:val="20"/>
                <w:szCs w:val="20"/>
                <w:color w:val="auto"/>
              </w:rPr>
              <w:t>result for the 9 months ended September 30,</w:t>
            </w:r>
          </w:p>
        </w:tc>
        <w:tc>
          <w:tcPr>
            <w:tcW w:w="100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7640" w:type="dxa"/>
            <w:vAlign w:val="bottom"/>
            <w:tcBorders>
              <w:bottom w:val="single" w:sz="8" w:color="BF2115"/>
            </w:tcBorders>
          </w:tcPr>
          <w:p>
            <w:pPr>
              <w:spacing w:after="0"/>
              <w:rPr>
                <w:sz w:val="20"/>
                <w:szCs w:val="20"/>
                <w:color w:val="auto"/>
              </w:rPr>
            </w:pPr>
          </w:p>
        </w:tc>
        <w:tc>
          <w:tcPr>
            <w:tcW w:w="1000" w:type="dxa"/>
            <w:vAlign w:val="bottom"/>
            <w:tcBorders>
              <w:bottom w:val="single" w:sz="8" w:color="BF2115"/>
            </w:tcBorders>
          </w:tcPr>
          <w:p>
            <w:pPr>
              <w:spacing w:after="0"/>
              <w:rPr>
                <w:sz w:val="20"/>
                <w:szCs w:val="20"/>
                <w:color w:val="auto"/>
              </w:rPr>
            </w:pPr>
          </w:p>
        </w:tc>
        <w:tc>
          <w:tcPr>
            <w:tcW w:w="1460" w:type="dxa"/>
            <w:vAlign w:val="bottom"/>
            <w:tcBorders>
              <w:bottom w:val="single" w:sz="8" w:color="BF2115"/>
            </w:tcBorders>
          </w:tcPr>
          <w:p>
            <w:pPr>
              <w:spacing w:after="0"/>
              <w:rPr>
                <w:sz w:val="20"/>
                <w:szCs w:val="20"/>
                <w:color w:val="auto"/>
              </w:rPr>
            </w:pPr>
          </w:p>
        </w:tc>
        <w:tc>
          <w:tcPr>
            <w:tcW w:w="1120" w:type="dxa"/>
            <w:vAlign w:val="bottom"/>
            <w:tcBorders>
              <w:bottom w:val="single" w:sz="8" w:color="BF2115"/>
            </w:tcBorders>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7640" w:type="dxa"/>
            <w:vAlign w:val="bottom"/>
          </w:tcPr>
          <w:p>
            <w:pPr>
              <w:ind w:left="20"/>
              <w:spacing w:after="0"/>
              <w:rPr>
                <w:sz w:val="20"/>
                <w:szCs w:val="20"/>
                <w:color w:val="auto"/>
              </w:rPr>
            </w:pPr>
            <w:r>
              <w:rPr>
                <w:rFonts w:ascii="Arial" w:cs="Arial" w:eastAsia="Arial" w:hAnsi="Arial"/>
                <w:sz w:val="20"/>
                <w:szCs w:val="20"/>
                <w:color w:val="auto"/>
              </w:rPr>
              <w:t>in CHF thousands</w:t>
            </w:r>
          </w:p>
        </w:tc>
        <w:tc>
          <w:tcPr>
            <w:tcW w:w="1000" w:type="dxa"/>
            <w:vAlign w:val="bottom"/>
          </w:tcPr>
          <w:p>
            <w:pPr>
              <w:jc w:val="center"/>
              <w:ind w:right="41"/>
              <w:spacing w:after="0"/>
              <w:rPr>
                <w:sz w:val="20"/>
                <w:szCs w:val="20"/>
                <w:color w:val="auto"/>
              </w:rPr>
            </w:pPr>
            <w:r>
              <w:rPr>
                <w:rFonts w:ascii="Arial" w:cs="Arial" w:eastAsia="Arial" w:hAnsi="Arial"/>
                <w:sz w:val="20"/>
                <w:szCs w:val="20"/>
                <w:color w:val="auto"/>
                <w:w w:val="99"/>
              </w:rPr>
              <w:t>Note</w:t>
            </w: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7"/>
        </w:trPr>
        <w:tc>
          <w:tcPr>
            <w:tcW w:w="7640" w:type="dxa"/>
            <w:vAlign w:val="bottom"/>
          </w:tcPr>
          <w:p>
            <w:pPr>
              <w:ind w:left="20"/>
              <w:spacing w:after="0"/>
              <w:rPr>
                <w:sz w:val="20"/>
                <w:szCs w:val="20"/>
                <w:color w:val="auto"/>
              </w:rPr>
            </w:pPr>
            <w:r>
              <w:rPr>
                <w:rFonts w:ascii="Arial" w:cs="Arial" w:eastAsia="Arial" w:hAnsi="Arial"/>
                <w:sz w:val="20"/>
                <w:szCs w:val="20"/>
                <w:color w:val="auto"/>
              </w:rPr>
              <w:t>Revenues and other income</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7640" w:type="dxa"/>
            <w:vAlign w:val="bottom"/>
          </w:tcPr>
          <w:p>
            <w:pPr>
              <w:ind w:left="20"/>
              <w:spacing w:after="0"/>
              <w:rPr>
                <w:sz w:val="20"/>
                <w:szCs w:val="20"/>
                <w:color w:val="auto"/>
              </w:rPr>
            </w:pPr>
            <w:r>
              <w:rPr>
                <w:rFonts w:ascii="Arial" w:cs="Arial" w:eastAsia="Arial" w:hAnsi="Arial"/>
                <w:sz w:val="20"/>
                <w:szCs w:val="20"/>
                <w:color w:val="auto"/>
              </w:rPr>
              <w:t>Revenues from research and development collaborations</w:t>
            </w:r>
          </w:p>
        </w:tc>
        <w:tc>
          <w:tcPr>
            <w:tcW w:w="1000" w:type="dxa"/>
            <w:vAlign w:val="bottom"/>
          </w:tcPr>
          <w:p>
            <w:pPr>
              <w:jc w:val="center"/>
              <w:ind w:right="21"/>
              <w:spacing w:after="0"/>
              <w:rPr>
                <w:sz w:val="20"/>
                <w:szCs w:val="20"/>
                <w:color w:val="auto"/>
              </w:rPr>
            </w:pPr>
            <w:r>
              <w:rPr>
                <w:rFonts w:ascii="Arial" w:cs="Arial" w:eastAsia="Arial" w:hAnsi="Arial"/>
                <w:sz w:val="20"/>
                <w:szCs w:val="20"/>
                <w:color w:val="auto"/>
              </w:rPr>
              <w:t>5.1</w:t>
            </w: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27"/>
        </w:trPr>
        <w:tc>
          <w:tcPr>
            <w:tcW w:w="7640" w:type="dxa"/>
            <w:vAlign w:val="bottom"/>
          </w:tcPr>
          <w:p>
            <w:pPr>
              <w:ind w:left="20"/>
              <w:spacing w:after="0"/>
              <w:rPr>
                <w:sz w:val="20"/>
                <w:szCs w:val="20"/>
                <w:color w:val="auto"/>
              </w:rPr>
            </w:pPr>
            <w:r>
              <w:rPr>
                <w:rFonts w:ascii="Arial" w:cs="Arial" w:eastAsia="Arial" w:hAnsi="Arial"/>
                <w:sz w:val="20"/>
                <w:szCs w:val="20"/>
                <w:color w:val="auto"/>
              </w:rPr>
              <w:t>Total revenues and other income</w:t>
            </w:r>
          </w:p>
        </w:tc>
        <w:tc>
          <w:tcPr>
            <w:tcW w:w="1000" w:type="dxa"/>
            <w:vAlign w:val="bottom"/>
          </w:tcPr>
          <w:p>
            <w:pPr>
              <w:spacing w:after="0"/>
              <w:rPr>
                <w:sz w:val="24"/>
                <w:szCs w:val="24"/>
                <w:color w:val="auto"/>
              </w:rPr>
            </w:pP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6"/>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764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7640" w:type="dxa"/>
            <w:vAlign w:val="bottom"/>
          </w:tcPr>
          <w:p>
            <w:pPr>
              <w:ind w:left="20"/>
              <w:spacing w:after="0"/>
              <w:rPr>
                <w:sz w:val="20"/>
                <w:szCs w:val="20"/>
                <w:color w:val="auto"/>
              </w:rPr>
            </w:pPr>
            <w:r>
              <w:rPr>
                <w:rFonts w:ascii="Arial" w:cs="Arial" w:eastAsia="Arial" w:hAnsi="Arial"/>
                <w:sz w:val="20"/>
                <w:szCs w:val="20"/>
                <w:color w:val="auto"/>
              </w:rPr>
              <w:t>Research and development expenses</w:t>
            </w:r>
          </w:p>
        </w:tc>
        <w:tc>
          <w:tcPr>
            <w:tcW w:w="1000" w:type="dxa"/>
            <w:vAlign w:val="bottom"/>
          </w:tcPr>
          <w:p>
            <w:pPr>
              <w:spacing w:after="0"/>
              <w:rPr>
                <w:sz w:val="24"/>
                <w:szCs w:val="24"/>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(27,331)</w:t>
            </w:r>
          </w:p>
        </w:tc>
        <w:tc>
          <w:tcPr>
            <w:tcW w:w="1120" w:type="dxa"/>
            <w:vAlign w:val="bottom"/>
          </w:tcPr>
          <w:p>
            <w:pPr>
              <w:jc w:val="right"/>
              <w:spacing w:after="0"/>
              <w:rPr>
                <w:sz w:val="20"/>
                <w:szCs w:val="20"/>
                <w:color w:val="auto"/>
              </w:rPr>
            </w:pPr>
            <w:r>
              <w:rPr>
                <w:rFonts w:ascii="Arial" w:cs="Arial" w:eastAsia="Arial" w:hAnsi="Arial"/>
                <w:sz w:val="20"/>
                <w:szCs w:val="20"/>
                <w:color w:val="auto"/>
              </w:rPr>
              <w:t>(30,954)</w:t>
            </w:r>
          </w:p>
        </w:tc>
        <w:tc>
          <w:tcPr>
            <w:tcW w:w="0" w:type="dxa"/>
            <w:vAlign w:val="bottom"/>
          </w:tcPr>
          <w:p>
            <w:pPr>
              <w:spacing w:after="0"/>
              <w:rPr>
                <w:sz w:val="1"/>
                <w:szCs w:val="1"/>
                <w:color w:val="auto"/>
              </w:rPr>
            </w:pPr>
          </w:p>
        </w:tc>
      </w:tr>
      <w:tr>
        <w:trPr>
          <w:trHeight w:val="527"/>
        </w:trPr>
        <w:tc>
          <w:tcPr>
            <w:tcW w:w="7640" w:type="dxa"/>
            <w:vAlign w:val="bottom"/>
          </w:tcPr>
          <w:p>
            <w:pPr>
              <w:ind w:left="20"/>
              <w:spacing w:after="0"/>
              <w:rPr>
                <w:sz w:val="20"/>
                <w:szCs w:val="20"/>
                <w:color w:val="auto"/>
              </w:rPr>
            </w:pPr>
            <w:r>
              <w:rPr>
                <w:rFonts w:ascii="Arial" w:cs="Arial" w:eastAsia="Arial" w:hAnsi="Arial"/>
                <w:sz w:val="20"/>
                <w:szCs w:val="20"/>
                <w:color w:val="auto"/>
              </w:rPr>
              <w:t>Selling, general and administrative expenses</w:t>
            </w:r>
          </w:p>
        </w:tc>
        <w:tc>
          <w:tcPr>
            <w:tcW w:w="1000" w:type="dxa"/>
            <w:vAlign w:val="bottom"/>
          </w:tcPr>
          <w:p>
            <w:pPr>
              <w:spacing w:after="0"/>
              <w:rPr>
                <w:sz w:val="24"/>
                <w:szCs w:val="24"/>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(11,762)</w:t>
            </w:r>
          </w:p>
        </w:tc>
        <w:tc>
          <w:tcPr>
            <w:tcW w:w="1120" w:type="dxa"/>
            <w:vAlign w:val="bottom"/>
          </w:tcPr>
          <w:p>
            <w:pPr>
              <w:jc w:val="right"/>
              <w:spacing w:after="0"/>
              <w:rPr>
                <w:sz w:val="20"/>
                <w:szCs w:val="20"/>
                <w:color w:val="auto"/>
              </w:rPr>
            </w:pPr>
            <w:r>
              <w:rPr>
                <w:rFonts w:ascii="Arial" w:cs="Arial" w:eastAsia="Arial" w:hAnsi="Arial"/>
                <w:sz w:val="20"/>
                <w:szCs w:val="20"/>
                <w:color w:val="auto"/>
              </w:rPr>
              <w:t>(11,815)</w:t>
            </w:r>
          </w:p>
        </w:tc>
        <w:tc>
          <w:tcPr>
            <w:tcW w:w="0" w:type="dxa"/>
            <w:vAlign w:val="bottom"/>
          </w:tcPr>
          <w:p>
            <w:pPr>
              <w:spacing w:after="0"/>
              <w:rPr>
                <w:sz w:val="1"/>
                <w:szCs w:val="1"/>
                <w:color w:val="auto"/>
              </w:rPr>
            </w:pPr>
          </w:p>
        </w:tc>
      </w:tr>
      <w:tr>
        <w:trPr>
          <w:trHeight w:val="527"/>
        </w:trPr>
        <w:tc>
          <w:tcPr>
            <w:tcW w:w="7640" w:type="dxa"/>
            <w:vAlign w:val="bottom"/>
            <w:vMerge w:val="restart"/>
          </w:tcPr>
          <w:p>
            <w:pPr>
              <w:ind w:left="20"/>
              <w:spacing w:after="0"/>
              <w:rPr>
                <w:sz w:val="20"/>
                <w:szCs w:val="20"/>
                <w:color w:val="auto"/>
              </w:rPr>
            </w:pPr>
            <w:r>
              <w:rPr>
                <w:rFonts w:ascii="Arial" w:cs="Arial" w:eastAsia="Arial" w:hAnsi="Arial"/>
                <w:sz w:val="20"/>
                <w:szCs w:val="20"/>
                <w:color w:val="auto"/>
              </w:rPr>
              <w:t>Restructuring expenses</w:t>
            </w:r>
          </w:p>
        </w:tc>
        <w:tc>
          <w:tcPr>
            <w:tcW w:w="1000" w:type="dxa"/>
            <w:vAlign w:val="bottom"/>
          </w:tcPr>
          <w:p>
            <w:pPr>
              <w:jc w:val="center"/>
              <w:ind w:right="1"/>
              <w:spacing w:after="0"/>
              <w:rPr>
                <w:sz w:val="20"/>
                <w:szCs w:val="20"/>
                <w:color w:val="auto"/>
              </w:rPr>
            </w:pPr>
            <w:r>
              <w:rPr>
                <w:rFonts w:ascii="Arial" w:cs="Arial" w:eastAsia="Arial" w:hAnsi="Arial"/>
                <w:sz w:val="20"/>
                <w:szCs w:val="20"/>
                <w:color w:val="auto"/>
                <w:w w:val="97"/>
              </w:rPr>
              <w:t>5.10</w:t>
            </w:r>
          </w:p>
        </w:tc>
        <w:tc>
          <w:tcPr>
            <w:tcW w:w="1460" w:type="dxa"/>
            <w:vAlign w:val="bottom"/>
            <w:vMerge w:val="restart"/>
          </w:tcPr>
          <w:p>
            <w:pPr>
              <w:jc w:val="right"/>
              <w:ind w:right="321"/>
              <w:spacing w:after="0"/>
              <w:rPr>
                <w:sz w:val="20"/>
                <w:szCs w:val="20"/>
                <w:color w:val="auto"/>
              </w:rPr>
            </w:pPr>
            <w:r>
              <w:rPr>
                <w:rFonts w:ascii="Arial" w:cs="Arial" w:eastAsia="Arial" w:hAnsi="Arial"/>
                <w:sz w:val="20"/>
                <w:szCs w:val="20"/>
                <w:color w:val="auto"/>
              </w:rPr>
              <w:t>—</w:t>
            </w:r>
          </w:p>
        </w:tc>
        <w:tc>
          <w:tcPr>
            <w:tcW w:w="1120" w:type="dxa"/>
            <w:vAlign w:val="bottom"/>
            <w:vMerge w:val="restart"/>
          </w:tcPr>
          <w:p>
            <w:pPr>
              <w:jc w:val="right"/>
              <w:spacing w:after="0"/>
              <w:rPr>
                <w:sz w:val="20"/>
                <w:szCs w:val="20"/>
                <w:color w:val="auto"/>
              </w:rPr>
            </w:pPr>
            <w:r>
              <w:rPr>
                <w:rFonts w:ascii="Arial" w:cs="Arial" w:eastAsia="Arial" w:hAnsi="Arial"/>
                <w:sz w:val="20"/>
                <w:szCs w:val="20"/>
                <w:color w:val="auto"/>
              </w:rPr>
              <w:t>(2,733)</w:t>
            </w:r>
          </w:p>
        </w:tc>
        <w:tc>
          <w:tcPr>
            <w:tcW w:w="0" w:type="dxa"/>
            <w:vAlign w:val="bottom"/>
          </w:tcPr>
          <w:p>
            <w:pPr>
              <w:spacing w:after="0"/>
              <w:rPr>
                <w:sz w:val="1"/>
                <w:szCs w:val="1"/>
                <w:color w:val="auto"/>
              </w:rPr>
            </w:pPr>
          </w:p>
        </w:tc>
      </w:tr>
      <w:tr>
        <w:trPr>
          <w:trHeight w:val="243"/>
        </w:trPr>
        <w:tc>
          <w:tcPr>
            <w:tcW w:w="7640" w:type="dxa"/>
            <w:vAlign w:val="bottom"/>
            <w:vMerge w:val="continue"/>
          </w:tcPr>
          <w:p>
            <w:pPr>
              <w:spacing w:after="0"/>
              <w:rPr>
                <w:sz w:val="21"/>
                <w:szCs w:val="21"/>
                <w:color w:val="auto"/>
              </w:rPr>
            </w:pPr>
          </w:p>
        </w:tc>
        <w:tc>
          <w:tcPr>
            <w:tcW w:w="100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64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1000" w:type="dxa"/>
            <w:vAlign w:val="bottom"/>
          </w:tcPr>
          <w:p>
            <w:pPr>
              <w:spacing w:after="0"/>
              <w:rPr>
                <w:sz w:val="24"/>
                <w:szCs w:val="24"/>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(39,093)</w:t>
            </w:r>
          </w:p>
        </w:tc>
        <w:tc>
          <w:tcPr>
            <w:tcW w:w="1120" w:type="dxa"/>
            <w:vAlign w:val="bottom"/>
          </w:tcPr>
          <w:p>
            <w:pPr>
              <w:jc w:val="right"/>
              <w:spacing w:after="0"/>
              <w:rPr>
                <w:sz w:val="20"/>
                <w:szCs w:val="20"/>
                <w:color w:val="auto"/>
              </w:rPr>
            </w:pPr>
            <w:r>
              <w:rPr>
                <w:rFonts w:ascii="Arial" w:cs="Arial" w:eastAsia="Arial" w:hAnsi="Arial"/>
                <w:sz w:val="20"/>
                <w:szCs w:val="20"/>
                <w:color w:val="auto"/>
              </w:rPr>
              <w:t>(45,502)</w:t>
            </w:r>
          </w:p>
        </w:tc>
        <w:tc>
          <w:tcPr>
            <w:tcW w:w="0" w:type="dxa"/>
            <w:vAlign w:val="bottom"/>
          </w:tcPr>
          <w:p>
            <w:pPr>
              <w:spacing w:after="0"/>
              <w:rPr>
                <w:sz w:val="1"/>
                <w:szCs w:val="1"/>
                <w:color w:val="auto"/>
              </w:rPr>
            </w:pPr>
          </w:p>
        </w:tc>
      </w:tr>
      <w:tr>
        <w:trPr>
          <w:trHeight w:val="247"/>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7640" w:type="dxa"/>
            <w:vAlign w:val="bottom"/>
          </w:tcPr>
          <w:p>
            <w:pPr>
              <w:ind w:left="20"/>
              <w:spacing w:after="0"/>
              <w:rPr>
                <w:sz w:val="20"/>
                <w:szCs w:val="20"/>
                <w:color w:val="auto"/>
              </w:rPr>
            </w:pPr>
            <w:r>
              <w:rPr>
                <w:rFonts w:ascii="Arial" w:cs="Arial" w:eastAsia="Arial" w:hAnsi="Arial"/>
                <w:sz w:val="20"/>
                <w:szCs w:val="20"/>
                <w:color w:val="auto"/>
              </w:rPr>
              <w:t>Operating result</w:t>
            </w:r>
          </w:p>
        </w:tc>
        <w:tc>
          <w:tcPr>
            <w:tcW w:w="1000" w:type="dxa"/>
            <w:vAlign w:val="bottom"/>
          </w:tcPr>
          <w:p>
            <w:pPr>
              <w:spacing w:after="0"/>
              <w:rPr>
                <w:sz w:val="24"/>
                <w:szCs w:val="24"/>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(39,093)</w:t>
            </w:r>
          </w:p>
        </w:tc>
        <w:tc>
          <w:tcPr>
            <w:tcW w:w="1120" w:type="dxa"/>
            <w:vAlign w:val="bottom"/>
          </w:tcPr>
          <w:p>
            <w:pPr>
              <w:jc w:val="right"/>
              <w:spacing w:after="0"/>
              <w:rPr>
                <w:sz w:val="20"/>
                <w:szCs w:val="20"/>
                <w:color w:val="auto"/>
              </w:rPr>
            </w:pPr>
            <w:r>
              <w:rPr>
                <w:rFonts w:ascii="Arial" w:cs="Arial" w:eastAsia="Arial" w:hAnsi="Arial"/>
                <w:sz w:val="20"/>
                <w:szCs w:val="20"/>
                <w:color w:val="auto"/>
              </w:rPr>
              <w:t>(45,502)</w:t>
            </w:r>
          </w:p>
        </w:tc>
        <w:tc>
          <w:tcPr>
            <w:tcW w:w="0" w:type="dxa"/>
            <w:vAlign w:val="bottom"/>
          </w:tcPr>
          <w:p>
            <w:pPr>
              <w:spacing w:after="0"/>
              <w:rPr>
                <w:sz w:val="1"/>
                <w:szCs w:val="1"/>
                <w:color w:val="auto"/>
              </w:rPr>
            </w:pPr>
          </w:p>
        </w:tc>
      </w:tr>
      <w:tr>
        <w:trPr>
          <w:trHeight w:val="246"/>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7640" w:type="dxa"/>
            <w:vAlign w:val="bottom"/>
          </w:tcPr>
          <w:p>
            <w:pPr>
              <w:ind w:left="20"/>
              <w:spacing w:after="0"/>
              <w:rPr>
                <w:sz w:val="20"/>
                <w:szCs w:val="20"/>
                <w:color w:val="auto"/>
              </w:rPr>
            </w:pPr>
            <w:r>
              <w:rPr>
                <w:rFonts w:ascii="Arial" w:cs="Arial" w:eastAsia="Arial" w:hAnsi="Arial"/>
                <w:sz w:val="20"/>
                <w:szCs w:val="20"/>
                <w:color w:val="auto"/>
              </w:rPr>
              <w:t>Financial income</w:t>
            </w:r>
          </w:p>
        </w:tc>
        <w:tc>
          <w:tcPr>
            <w:tcW w:w="1000" w:type="dxa"/>
            <w:vAlign w:val="bottom"/>
          </w:tcPr>
          <w:p>
            <w:pPr>
              <w:jc w:val="center"/>
              <w:ind w:right="21"/>
              <w:spacing w:after="0"/>
              <w:rPr>
                <w:sz w:val="20"/>
                <w:szCs w:val="20"/>
                <w:color w:val="auto"/>
              </w:rPr>
            </w:pPr>
            <w:r>
              <w:rPr>
                <w:rFonts w:ascii="Arial" w:cs="Arial" w:eastAsia="Arial" w:hAnsi="Arial"/>
                <w:sz w:val="20"/>
                <w:szCs w:val="20"/>
                <w:color w:val="auto"/>
              </w:rPr>
              <w:t>5.5</w:t>
            </w: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713</w:t>
            </w:r>
          </w:p>
        </w:tc>
        <w:tc>
          <w:tcPr>
            <w:tcW w:w="1120" w:type="dxa"/>
            <w:vAlign w:val="bottom"/>
          </w:tcPr>
          <w:p>
            <w:pPr>
              <w:jc w:val="right"/>
              <w:spacing w:after="0"/>
              <w:rPr>
                <w:sz w:val="20"/>
                <w:szCs w:val="20"/>
                <w:color w:val="auto"/>
              </w:rPr>
            </w:pPr>
            <w:r>
              <w:rPr>
                <w:rFonts w:ascii="Arial" w:cs="Arial" w:eastAsia="Arial" w:hAnsi="Arial"/>
                <w:sz w:val="20"/>
                <w:szCs w:val="20"/>
                <w:color w:val="auto"/>
              </w:rPr>
              <w:t>1,288</w:t>
            </w:r>
          </w:p>
        </w:tc>
        <w:tc>
          <w:tcPr>
            <w:tcW w:w="0" w:type="dxa"/>
            <w:vAlign w:val="bottom"/>
          </w:tcPr>
          <w:p>
            <w:pPr>
              <w:spacing w:after="0"/>
              <w:rPr>
                <w:sz w:val="1"/>
                <w:szCs w:val="1"/>
                <w:color w:val="auto"/>
              </w:rPr>
            </w:pPr>
          </w:p>
        </w:tc>
      </w:tr>
      <w:tr>
        <w:trPr>
          <w:trHeight w:val="526"/>
        </w:trPr>
        <w:tc>
          <w:tcPr>
            <w:tcW w:w="7640" w:type="dxa"/>
            <w:vAlign w:val="bottom"/>
          </w:tcPr>
          <w:p>
            <w:pPr>
              <w:ind w:left="20"/>
              <w:spacing w:after="0"/>
              <w:rPr>
                <w:sz w:val="20"/>
                <w:szCs w:val="20"/>
                <w:color w:val="auto"/>
              </w:rPr>
            </w:pPr>
            <w:r>
              <w:rPr>
                <w:rFonts w:ascii="Arial" w:cs="Arial" w:eastAsia="Arial" w:hAnsi="Arial"/>
                <w:sz w:val="20"/>
                <w:szCs w:val="20"/>
                <w:color w:val="auto"/>
              </w:rPr>
              <w:t>Financial expenses</w:t>
            </w:r>
          </w:p>
        </w:tc>
        <w:tc>
          <w:tcPr>
            <w:tcW w:w="1000" w:type="dxa"/>
            <w:vAlign w:val="bottom"/>
          </w:tcPr>
          <w:p>
            <w:pPr>
              <w:jc w:val="center"/>
              <w:ind w:right="21"/>
              <w:spacing w:after="0"/>
              <w:rPr>
                <w:sz w:val="20"/>
                <w:szCs w:val="20"/>
                <w:color w:val="auto"/>
              </w:rPr>
            </w:pPr>
            <w:r>
              <w:rPr>
                <w:rFonts w:ascii="Arial" w:cs="Arial" w:eastAsia="Arial" w:hAnsi="Arial"/>
                <w:sz w:val="20"/>
                <w:szCs w:val="20"/>
                <w:color w:val="auto"/>
              </w:rPr>
              <w:t>5.5</w:t>
            </w: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(30)</w:t>
            </w:r>
          </w:p>
        </w:tc>
        <w:tc>
          <w:tcPr>
            <w:tcW w:w="1120" w:type="dxa"/>
            <w:vAlign w:val="bottom"/>
          </w:tcPr>
          <w:p>
            <w:pPr>
              <w:jc w:val="right"/>
              <w:spacing w:after="0"/>
              <w:rPr>
                <w:sz w:val="20"/>
                <w:szCs w:val="20"/>
                <w:color w:val="auto"/>
              </w:rPr>
            </w:pPr>
            <w:r>
              <w:rPr>
                <w:rFonts w:ascii="Arial" w:cs="Arial" w:eastAsia="Arial" w:hAnsi="Arial"/>
                <w:sz w:val="20"/>
                <w:szCs w:val="20"/>
                <w:color w:val="auto"/>
              </w:rPr>
              <w:t>(4,790)</w:t>
            </w:r>
          </w:p>
        </w:tc>
        <w:tc>
          <w:tcPr>
            <w:tcW w:w="0" w:type="dxa"/>
            <w:vAlign w:val="bottom"/>
          </w:tcPr>
          <w:p>
            <w:pPr>
              <w:spacing w:after="0"/>
              <w:rPr>
                <w:sz w:val="1"/>
                <w:szCs w:val="1"/>
                <w:color w:val="auto"/>
              </w:rPr>
            </w:pPr>
          </w:p>
        </w:tc>
      </w:tr>
      <w:tr>
        <w:trPr>
          <w:trHeight w:val="527"/>
        </w:trPr>
        <w:tc>
          <w:tcPr>
            <w:tcW w:w="7640" w:type="dxa"/>
            <w:vAlign w:val="bottom"/>
          </w:tcPr>
          <w:p>
            <w:pPr>
              <w:ind w:left="20"/>
              <w:spacing w:after="0"/>
              <w:rPr>
                <w:sz w:val="20"/>
                <w:szCs w:val="20"/>
                <w:color w:val="auto"/>
              </w:rPr>
            </w:pPr>
            <w:r>
              <w:rPr>
                <w:rFonts w:ascii="Arial" w:cs="Arial" w:eastAsia="Arial" w:hAnsi="Arial"/>
                <w:sz w:val="20"/>
                <w:szCs w:val="20"/>
                <w:color w:val="auto"/>
              </w:rPr>
              <w:t>Net finance result</w:t>
            </w:r>
          </w:p>
        </w:tc>
        <w:tc>
          <w:tcPr>
            <w:tcW w:w="1000" w:type="dxa"/>
            <w:vAlign w:val="bottom"/>
          </w:tcPr>
          <w:p>
            <w:pPr>
              <w:spacing w:after="0"/>
              <w:rPr>
                <w:sz w:val="24"/>
                <w:szCs w:val="24"/>
                <w:color w:val="auto"/>
              </w:rPr>
            </w:pP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683</w:t>
            </w:r>
          </w:p>
        </w:tc>
        <w:tc>
          <w:tcPr>
            <w:tcW w:w="1120" w:type="dxa"/>
            <w:vAlign w:val="bottom"/>
          </w:tcPr>
          <w:p>
            <w:pPr>
              <w:jc w:val="right"/>
              <w:spacing w:after="0"/>
              <w:rPr>
                <w:sz w:val="20"/>
                <w:szCs w:val="20"/>
                <w:color w:val="auto"/>
              </w:rPr>
            </w:pPr>
            <w:r>
              <w:rPr>
                <w:rFonts w:ascii="Arial" w:cs="Arial" w:eastAsia="Arial" w:hAnsi="Arial"/>
                <w:sz w:val="20"/>
                <w:szCs w:val="20"/>
                <w:color w:val="auto"/>
              </w:rPr>
              <w:t>(3,502)</w:t>
            </w:r>
          </w:p>
        </w:tc>
        <w:tc>
          <w:tcPr>
            <w:tcW w:w="0" w:type="dxa"/>
            <w:vAlign w:val="bottom"/>
          </w:tcPr>
          <w:p>
            <w:pPr>
              <w:spacing w:after="0"/>
              <w:rPr>
                <w:sz w:val="1"/>
                <w:szCs w:val="1"/>
                <w:color w:val="auto"/>
              </w:rPr>
            </w:pPr>
          </w:p>
        </w:tc>
      </w:tr>
      <w:tr>
        <w:trPr>
          <w:trHeight w:val="246"/>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40" w:type="dxa"/>
            <w:vAlign w:val="bottom"/>
            <w:tcBorders>
              <w:bottom w:val="single" w:sz="8" w:color="BC2327"/>
            </w:tcBorders>
          </w:tcPr>
          <w:p>
            <w:pPr>
              <w:spacing w:after="0"/>
              <w:rPr>
                <w:sz w:val="20"/>
                <w:szCs w:val="20"/>
                <w:color w:val="auto"/>
              </w:rPr>
            </w:pPr>
          </w:p>
        </w:tc>
        <w:tc>
          <w:tcPr>
            <w:tcW w:w="1000" w:type="dxa"/>
            <w:vAlign w:val="bottom"/>
            <w:tcBorders>
              <w:bottom w:val="single" w:sz="8" w:color="BC2327"/>
            </w:tcBorders>
          </w:tcPr>
          <w:p>
            <w:pPr>
              <w:spacing w:after="0"/>
              <w:rPr>
                <w:sz w:val="20"/>
                <w:szCs w:val="20"/>
                <w:color w:val="auto"/>
              </w:rPr>
            </w:pPr>
          </w:p>
        </w:tc>
        <w:tc>
          <w:tcPr>
            <w:tcW w:w="1460" w:type="dxa"/>
            <w:vAlign w:val="bottom"/>
            <w:tcBorders>
              <w:bottom w:val="single" w:sz="8" w:color="BC2327"/>
            </w:tcBorders>
          </w:tcPr>
          <w:p>
            <w:pPr>
              <w:spacing w:after="0"/>
              <w:rPr>
                <w:sz w:val="20"/>
                <w:szCs w:val="20"/>
                <w:color w:val="auto"/>
              </w:rPr>
            </w:pPr>
          </w:p>
        </w:tc>
        <w:tc>
          <w:tcPr>
            <w:tcW w:w="1120" w:type="dxa"/>
            <w:vAlign w:val="bottom"/>
            <w:tcBorders>
              <w:bottom w:val="single" w:sz="8" w:color="BC2327"/>
            </w:tcBorders>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7640" w:type="dxa"/>
            <w:vAlign w:val="bottom"/>
          </w:tcPr>
          <w:p>
            <w:pPr>
              <w:ind w:left="20"/>
              <w:spacing w:after="0"/>
              <w:rPr>
                <w:sz w:val="20"/>
                <w:szCs w:val="20"/>
                <w:color w:val="auto"/>
              </w:rPr>
            </w:pPr>
            <w:r>
              <w:rPr>
                <w:rFonts w:ascii="Arial" w:cs="Arial" w:eastAsia="Arial" w:hAnsi="Arial"/>
                <w:sz w:val="20"/>
                <w:szCs w:val="20"/>
                <w:color w:val="auto"/>
              </w:rPr>
              <w:t>Result before income taxes</w:t>
            </w:r>
          </w:p>
        </w:tc>
        <w:tc>
          <w:tcPr>
            <w:tcW w:w="1000" w:type="dxa"/>
            <w:vAlign w:val="bottom"/>
          </w:tcPr>
          <w:p>
            <w:pPr>
              <w:spacing w:after="0"/>
              <w:rPr>
                <w:sz w:val="23"/>
                <w:szCs w:val="23"/>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(38,410)</w:t>
            </w:r>
          </w:p>
        </w:tc>
        <w:tc>
          <w:tcPr>
            <w:tcW w:w="1120" w:type="dxa"/>
            <w:vAlign w:val="bottom"/>
          </w:tcPr>
          <w:p>
            <w:pPr>
              <w:jc w:val="right"/>
              <w:spacing w:after="0"/>
              <w:rPr>
                <w:sz w:val="20"/>
                <w:szCs w:val="20"/>
                <w:color w:val="auto"/>
              </w:rPr>
            </w:pPr>
            <w:r>
              <w:rPr>
                <w:rFonts w:ascii="Arial" w:cs="Arial" w:eastAsia="Arial" w:hAnsi="Arial"/>
                <w:sz w:val="20"/>
                <w:szCs w:val="20"/>
                <w:color w:val="auto"/>
              </w:rPr>
              <w:t>(49,004)</w:t>
            </w:r>
          </w:p>
        </w:tc>
        <w:tc>
          <w:tcPr>
            <w:tcW w:w="0" w:type="dxa"/>
            <w:vAlign w:val="bottom"/>
          </w:tcPr>
          <w:p>
            <w:pPr>
              <w:spacing w:after="0"/>
              <w:rPr>
                <w:sz w:val="1"/>
                <w:szCs w:val="1"/>
                <w:color w:val="auto"/>
              </w:rPr>
            </w:pPr>
          </w:p>
        </w:tc>
      </w:tr>
      <w:tr>
        <w:trPr>
          <w:trHeight w:val="246"/>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7640" w:type="dxa"/>
            <w:vAlign w:val="bottom"/>
          </w:tcPr>
          <w:p>
            <w:pPr>
              <w:ind w:left="20"/>
              <w:spacing w:after="0"/>
              <w:rPr>
                <w:sz w:val="20"/>
                <w:szCs w:val="20"/>
                <w:color w:val="auto"/>
              </w:rPr>
            </w:pPr>
            <w:r>
              <w:rPr>
                <w:rFonts w:ascii="Arial" w:cs="Arial" w:eastAsia="Arial" w:hAnsi="Arial"/>
                <w:sz w:val="20"/>
                <w:szCs w:val="20"/>
                <w:color w:val="auto"/>
              </w:rPr>
              <w:t>Income taxes</w:t>
            </w:r>
          </w:p>
        </w:tc>
        <w:tc>
          <w:tcPr>
            <w:tcW w:w="1000" w:type="dxa"/>
            <w:vAlign w:val="bottom"/>
          </w:tcPr>
          <w:p>
            <w:pPr>
              <w:jc w:val="center"/>
              <w:ind w:right="21"/>
              <w:spacing w:after="0"/>
              <w:rPr>
                <w:sz w:val="20"/>
                <w:szCs w:val="20"/>
                <w:color w:val="auto"/>
              </w:rPr>
            </w:pPr>
            <w:r>
              <w:rPr>
                <w:rFonts w:ascii="Arial" w:cs="Arial" w:eastAsia="Arial" w:hAnsi="Arial"/>
                <w:sz w:val="20"/>
                <w:szCs w:val="20"/>
                <w:color w:val="auto"/>
              </w:rPr>
              <w:t>5.6</w:t>
            </w: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526"/>
        </w:trPr>
        <w:tc>
          <w:tcPr>
            <w:tcW w:w="7640" w:type="dxa"/>
            <w:vAlign w:val="bottom"/>
          </w:tcPr>
          <w:p>
            <w:pPr>
              <w:ind w:left="20"/>
              <w:spacing w:after="0"/>
              <w:rPr>
                <w:sz w:val="20"/>
                <w:szCs w:val="20"/>
                <w:color w:val="auto"/>
              </w:rPr>
            </w:pPr>
            <w:r>
              <w:rPr>
                <w:rFonts w:ascii="Arial" w:cs="Arial" w:eastAsia="Arial" w:hAnsi="Arial"/>
                <w:sz w:val="20"/>
                <w:szCs w:val="20"/>
                <w:color w:val="auto"/>
              </w:rPr>
              <w:t>Net result, attributable to shareholders</w:t>
            </w:r>
          </w:p>
        </w:tc>
        <w:tc>
          <w:tcPr>
            <w:tcW w:w="1000" w:type="dxa"/>
            <w:vAlign w:val="bottom"/>
          </w:tcPr>
          <w:p>
            <w:pPr>
              <w:spacing w:after="0"/>
              <w:rPr>
                <w:sz w:val="24"/>
                <w:szCs w:val="24"/>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(38,410)</w:t>
            </w:r>
          </w:p>
        </w:tc>
        <w:tc>
          <w:tcPr>
            <w:tcW w:w="1120" w:type="dxa"/>
            <w:vAlign w:val="bottom"/>
          </w:tcPr>
          <w:p>
            <w:pPr>
              <w:jc w:val="right"/>
              <w:spacing w:after="0"/>
              <w:rPr>
                <w:sz w:val="20"/>
                <w:szCs w:val="20"/>
                <w:color w:val="auto"/>
              </w:rPr>
            </w:pPr>
            <w:r>
              <w:rPr>
                <w:rFonts w:ascii="Arial" w:cs="Arial" w:eastAsia="Arial" w:hAnsi="Arial"/>
                <w:sz w:val="20"/>
                <w:szCs w:val="20"/>
                <w:color w:val="auto"/>
              </w:rPr>
              <w:t>(49,002)</w:t>
            </w:r>
          </w:p>
        </w:tc>
        <w:tc>
          <w:tcPr>
            <w:tcW w:w="0" w:type="dxa"/>
            <w:vAlign w:val="bottom"/>
          </w:tcPr>
          <w:p>
            <w:pPr>
              <w:spacing w:after="0"/>
              <w:rPr>
                <w:sz w:val="1"/>
                <w:szCs w:val="1"/>
                <w:color w:val="auto"/>
              </w:rPr>
            </w:pPr>
          </w:p>
        </w:tc>
      </w:tr>
      <w:tr>
        <w:trPr>
          <w:trHeight w:val="246"/>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7640" w:type="dxa"/>
            <w:vAlign w:val="bottom"/>
          </w:tcPr>
          <w:p>
            <w:pPr>
              <w:ind w:left="20"/>
              <w:spacing w:after="0"/>
              <w:rPr>
                <w:sz w:val="20"/>
                <w:szCs w:val="20"/>
                <w:color w:val="auto"/>
              </w:rPr>
            </w:pPr>
            <w:r>
              <w:rPr>
                <w:rFonts w:ascii="Arial" w:cs="Arial" w:eastAsia="Arial" w:hAnsi="Arial"/>
                <w:sz w:val="20"/>
                <w:szCs w:val="20"/>
                <w:color w:val="auto"/>
              </w:rPr>
              <w:t>Other comprehensive result</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7640" w:type="dxa"/>
            <w:vAlign w:val="bottom"/>
          </w:tcPr>
          <w:p>
            <w:pPr>
              <w:ind w:left="20"/>
              <w:spacing w:after="0"/>
              <w:rPr>
                <w:sz w:val="20"/>
                <w:szCs w:val="20"/>
                <w:color w:val="auto"/>
              </w:rPr>
            </w:pPr>
            <w:r>
              <w:rPr>
                <w:rFonts w:ascii="Arial" w:cs="Arial" w:eastAsia="Arial" w:hAnsi="Arial"/>
                <w:sz w:val="20"/>
                <w:szCs w:val="20"/>
                <w:color w:val="auto"/>
              </w:rPr>
              <w:t>Items that will not be reclassified to profit or loss</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7640" w:type="dxa"/>
            <w:vAlign w:val="bottom"/>
          </w:tcPr>
          <w:p>
            <w:pPr>
              <w:ind w:left="20"/>
              <w:spacing w:after="0"/>
              <w:rPr>
                <w:sz w:val="20"/>
                <w:szCs w:val="20"/>
                <w:color w:val="auto"/>
              </w:rPr>
            </w:pPr>
            <w:r>
              <w:rPr>
                <w:rFonts w:ascii="Arial" w:cs="Arial" w:eastAsia="Arial" w:hAnsi="Arial"/>
                <w:sz w:val="20"/>
                <w:szCs w:val="20"/>
                <w:color w:val="auto"/>
              </w:rPr>
              <w:t>Remeasurement of net pension liabilities, net of tax</w:t>
            </w:r>
          </w:p>
        </w:tc>
        <w:tc>
          <w:tcPr>
            <w:tcW w:w="1000" w:type="dxa"/>
            <w:vAlign w:val="bottom"/>
          </w:tcPr>
          <w:p>
            <w:pPr>
              <w:jc w:val="center"/>
              <w:ind w:right="21"/>
              <w:spacing w:after="0"/>
              <w:rPr>
                <w:sz w:val="20"/>
                <w:szCs w:val="20"/>
                <w:color w:val="auto"/>
              </w:rPr>
            </w:pPr>
            <w:r>
              <w:rPr>
                <w:rFonts w:ascii="Arial" w:cs="Arial" w:eastAsia="Arial" w:hAnsi="Arial"/>
                <w:sz w:val="20"/>
                <w:szCs w:val="20"/>
                <w:color w:val="auto"/>
              </w:rPr>
              <w:t>5.8</w:t>
            </w: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6,078</w:t>
            </w:r>
          </w:p>
        </w:tc>
        <w:tc>
          <w:tcPr>
            <w:tcW w:w="1120" w:type="dxa"/>
            <w:vAlign w:val="bottom"/>
          </w:tcPr>
          <w:p>
            <w:pPr>
              <w:jc w:val="right"/>
              <w:spacing w:after="0"/>
              <w:rPr>
                <w:sz w:val="20"/>
                <w:szCs w:val="20"/>
                <w:color w:val="auto"/>
              </w:rPr>
            </w:pPr>
            <w:r>
              <w:rPr>
                <w:rFonts w:ascii="Arial" w:cs="Arial" w:eastAsia="Arial" w:hAnsi="Arial"/>
                <w:sz w:val="20"/>
                <w:szCs w:val="20"/>
                <w:color w:val="auto"/>
              </w:rPr>
              <w:t>(301)</w:t>
            </w:r>
          </w:p>
        </w:tc>
        <w:tc>
          <w:tcPr>
            <w:tcW w:w="0" w:type="dxa"/>
            <w:vAlign w:val="bottom"/>
          </w:tcPr>
          <w:p>
            <w:pPr>
              <w:spacing w:after="0"/>
              <w:rPr>
                <w:sz w:val="1"/>
                <w:szCs w:val="1"/>
                <w:color w:val="auto"/>
              </w:rPr>
            </w:pPr>
          </w:p>
        </w:tc>
      </w:tr>
      <w:tr>
        <w:trPr>
          <w:trHeight w:val="634"/>
        </w:trPr>
        <w:tc>
          <w:tcPr>
            <w:tcW w:w="7640" w:type="dxa"/>
            <w:vAlign w:val="bottom"/>
          </w:tcPr>
          <w:p>
            <w:pPr>
              <w:ind w:left="20"/>
              <w:spacing w:after="0"/>
              <w:rPr>
                <w:sz w:val="20"/>
                <w:szCs w:val="20"/>
                <w:color w:val="auto"/>
              </w:rPr>
            </w:pPr>
            <w:r>
              <w:rPr>
                <w:rFonts w:ascii="Arial" w:cs="Arial" w:eastAsia="Arial" w:hAnsi="Arial"/>
                <w:sz w:val="20"/>
                <w:szCs w:val="20"/>
                <w:color w:val="auto"/>
              </w:rPr>
              <w:t>Items that are or may be reclassified subsequently to profit or loss</w:t>
            </w: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7640" w:type="dxa"/>
            <w:vAlign w:val="bottom"/>
          </w:tcPr>
          <w:p>
            <w:pPr>
              <w:ind w:left="20"/>
              <w:spacing w:after="0"/>
              <w:rPr>
                <w:sz w:val="20"/>
                <w:szCs w:val="20"/>
                <w:color w:val="auto"/>
              </w:rPr>
            </w:pPr>
            <w:r>
              <w:rPr>
                <w:rFonts w:ascii="Arial" w:cs="Arial" w:eastAsia="Arial" w:hAnsi="Arial"/>
                <w:sz w:val="20"/>
                <w:szCs w:val="20"/>
                <w:color w:val="auto"/>
              </w:rPr>
              <w:t>Exchange differences on translating foreign operations</w:t>
            </w:r>
          </w:p>
        </w:tc>
        <w:tc>
          <w:tcPr>
            <w:tcW w:w="1000" w:type="dxa"/>
            <w:vAlign w:val="bottom"/>
          </w:tcPr>
          <w:p>
            <w:pPr>
              <w:spacing w:after="0"/>
              <w:rPr>
                <w:sz w:val="24"/>
                <w:szCs w:val="24"/>
                <w:color w:val="auto"/>
              </w:rPr>
            </w:pP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13</w:t>
            </w:r>
          </w:p>
        </w:tc>
        <w:tc>
          <w:tcPr>
            <w:tcW w:w="112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675"/>
        </w:trPr>
        <w:tc>
          <w:tcPr>
            <w:tcW w:w="7640" w:type="dxa"/>
            <w:vAlign w:val="bottom"/>
          </w:tcPr>
          <w:p>
            <w:pPr>
              <w:ind w:left="20"/>
              <w:spacing w:after="0"/>
              <w:rPr>
                <w:sz w:val="20"/>
                <w:szCs w:val="20"/>
                <w:color w:val="auto"/>
              </w:rPr>
            </w:pPr>
            <w:r>
              <w:rPr>
                <w:rFonts w:ascii="Arial" w:cs="Arial" w:eastAsia="Arial" w:hAnsi="Arial"/>
                <w:sz w:val="20"/>
                <w:szCs w:val="20"/>
                <w:color w:val="auto"/>
              </w:rPr>
              <w:t>Other comprehensive result, net of tax</w:t>
            </w:r>
          </w:p>
        </w:tc>
        <w:tc>
          <w:tcPr>
            <w:tcW w:w="1000" w:type="dxa"/>
            <w:vAlign w:val="bottom"/>
          </w:tcPr>
          <w:p>
            <w:pPr>
              <w:spacing w:after="0"/>
              <w:rPr>
                <w:sz w:val="24"/>
                <w:szCs w:val="24"/>
                <w:color w:val="auto"/>
              </w:rPr>
            </w:pPr>
          </w:p>
        </w:tc>
        <w:tc>
          <w:tcPr>
            <w:tcW w:w="1460" w:type="dxa"/>
            <w:vAlign w:val="bottom"/>
          </w:tcPr>
          <w:p>
            <w:pPr>
              <w:jc w:val="right"/>
              <w:ind w:right="321"/>
              <w:spacing w:after="0"/>
              <w:rPr>
                <w:sz w:val="20"/>
                <w:szCs w:val="20"/>
                <w:color w:val="auto"/>
              </w:rPr>
            </w:pPr>
            <w:r>
              <w:rPr>
                <w:rFonts w:ascii="Arial" w:cs="Arial" w:eastAsia="Arial" w:hAnsi="Arial"/>
                <w:sz w:val="20"/>
                <w:szCs w:val="20"/>
                <w:color w:val="auto"/>
              </w:rPr>
              <w:t>6,091</w:t>
            </w:r>
          </w:p>
        </w:tc>
        <w:tc>
          <w:tcPr>
            <w:tcW w:w="1120" w:type="dxa"/>
            <w:vAlign w:val="bottom"/>
          </w:tcPr>
          <w:p>
            <w:pPr>
              <w:jc w:val="right"/>
              <w:spacing w:after="0"/>
              <w:rPr>
                <w:sz w:val="20"/>
                <w:szCs w:val="20"/>
                <w:color w:val="auto"/>
              </w:rPr>
            </w:pPr>
            <w:r>
              <w:rPr>
                <w:rFonts w:ascii="Arial" w:cs="Arial" w:eastAsia="Arial" w:hAnsi="Arial"/>
                <w:sz w:val="20"/>
                <w:szCs w:val="20"/>
                <w:color w:val="auto"/>
              </w:rPr>
              <w:t>(292)</w:t>
            </w:r>
          </w:p>
        </w:tc>
        <w:tc>
          <w:tcPr>
            <w:tcW w:w="0" w:type="dxa"/>
            <w:vAlign w:val="bottom"/>
          </w:tcPr>
          <w:p>
            <w:pPr>
              <w:spacing w:after="0"/>
              <w:rPr>
                <w:sz w:val="1"/>
                <w:szCs w:val="1"/>
                <w:color w:val="auto"/>
              </w:rPr>
            </w:pPr>
          </w:p>
        </w:tc>
      </w:tr>
      <w:tr>
        <w:trPr>
          <w:trHeight w:val="247"/>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7640" w:type="dxa"/>
            <w:vAlign w:val="bottom"/>
          </w:tcPr>
          <w:p>
            <w:pPr>
              <w:ind w:left="20"/>
              <w:spacing w:after="0"/>
              <w:rPr>
                <w:sz w:val="20"/>
                <w:szCs w:val="20"/>
                <w:color w:val="auto"/>
              </w:rPr>
            </w:pPr>
            <w:r>
              <w:rPr>
                <w:rFonts w:ascii="Arial" w:cs="Arial" w:eastAsia="Arial" w:hAnsi="Arial"/>
                <w:sz w:val="20"/>
                <w:szCs w:val="20"/>
                <w:color w:val="auto"/>
              </w:rPr>
              <w:t>Total comprehensive result, attributable to shareholders</w:t>
            </w:r>
          </w:p>
        </w:tc>
        <w:tc>
          <w:tcPr>
            <w:tcW w:w="1000" w:type="dxa"/>
            <w:vAlign w:val="bottom"/>
          </w:tcPr>
          <w:p>
            <w:pPr>
              <w:spacing w:after="0"/>
              <w:rPr>
                <w:sz w:val="23"/>
                <w:szCs w:val="23"/>
                <w:color w:val="auto"/>
              </w:rPr>
            </w:pP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(32,319)</w:t>
            </w:r>
          </w:p>
        </w:tc>
        <w:tc>
          <w:tcPr>
            <w:tcW w:w="1120" w:type="dxa"/>
            <w:vAlign w:val="bottom"/>
          </w:tcPr>
          <w:p>
            <w:pPr>
              <w:jc w:val="right"/>
              <w:spacing w:after="0"/>
              <w:rPr>
                <w:sz w:val="20"/>
                <w:szCs w:val="20"/>
                <w:color w:val="auto"/>
              </w:rPr>
            </w:pPr>
            <w:r>
              <w:rPr>
                <w:rFonts w:ascii="Arial" w:cs="Arial" w:eastAsia="Arial" w:hAnsi="Arial"/>
                <w:sz w:val="20"/>
                <w:szCs w:val="20"/>
                <w:color w:val="auto"/>
              </w:rPr>
              <w:t>(49,295)</w:t>
            </w:r>
          </w:p>
        </w:tc>
        <w:tc>
          <w:tcPr>
            <w:tcW w:w="0" w:type="dxa"/>
            <w:vAlign w:val="bottom"/>
          </w:tcPr>
          <w:p>
            <w:pPr>
              <w:spacing w:after="0"/>
              <w:rPr>
                <w:sz w:val="1"/>
                <w:szCs w:val="1"/>
                <w:color w:val="auto"/>
              </w:rPr>
            </w:pPr>
          </w:p>
        </w:tc>
      </w:tr>
      <w:tr>
        <w:trPr>
          <w:trHeight w:val="247"/>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7640" w:type="dxa"/>
            <w:vAlign w:val="bottom"/>
          </w:tcPr>
          <w:p>
            <w:pPr>
              <w:ind w:left="20"/>
              <w:spacing w:after="0"/>
              <w:rPr>
                <w:sz w:val="20"/>
                <w:szCs w:val="20"/>
                <w:color w:val="auto"/>
              </w:rPr>
            </w:pPr>
            <w:r>
              <w:rPr>
                <w:rFonts w:ascii="Arial" w:cs="Arial" w:eastAsia="Arial" w:hAnsi="Arial"/>
                <w:sz w:val="20"/>
                <w:szCs w:val="20"/>
                <w:color w:val="auto"/>
              </w:rPr>
              <w:t>Basic and diluted net result per share (in CHF)</w:t>
            </w:r>
          </w:p>
        </w:tc>
        <w:tc>
          <w:tcPr>
            <w:tcW w:w="1000" w:type="dxa"/>
            <w:vAlign w:val="bottom"/>
          </w:tcPr>
          <w:p>
            <w:pPr>
              <w:jc w:val="center"/>
              <w:ind w:right="21"/>
              <w:spacing w:after="0"/>
              <w:rPr>
                <w:sz w:val="20"/>
                <w:szCs w:val="20"/>
                <w:color w:val="auto"/>
              </w:rPr>
            </w:pPr>
            <w:r>
              <w:rPr>
                <w:rFonts w:ascii="Arial" w:cs="Arial" w:eastAsia="Arial" w:hAnsi="Arial"/>
                <w:sz w:val="20"/>
                <w:szCs w:val="20"/>
                <w:color w:val="auto"/>
              </w:rPr>
              <w:t>5.7</w:t>
            </w:r>
          </w:p>
        </w:tc>
        <w:tc>
          <w:tcPr>
            <w:tcW w:w="1460" w:type="dxa"/>
            <w:vAlign w:val="bottom"/>
          </w:tcPr>
          <w:p>
            <w:pPr>
              <w:jc w:val="right"/>
              <w:ind w:right="281"/>
              <w:spacing w:after="0"/>
              <w:rPr>
                <w:sz w:val="20"/>
                <w:szCs w:val="20"/>
                <w:color w:val="auto"/>
              </w:rPr>
            </w:pPr>
            <w:r>
              <w:rPr>
                <w:rFonts w:ascii="Arial" w:cs="Arial" w:eastAsia="Arial" w:hAnsi="Arial"/>
                <w:sz w:val="20"/>
                <w:szCs w:val="20"/>
                <w:color w:val="auto"/>
              </w:rPr>
              <w:t>(1.01)</w:t>
            </w:r>
          </w:p>
        </w:tc>
        <w:tc>
          <w:tcPr>
            <w:tcW w:w="1120" w:type="dxa"/>
            <w:vAlign w:val="bottom"/>
          </w:tcPr>
          <w:p>
            <w:pPr>
              <w:jc w:val="right"/>
              <w:spacing w:after="0"/>
              <w:rPr>
                <w:sz w:val="20"/>
                <w:szCs w:val="20"/>
                <w:color w:val="auto"/>
              </w:rPr>
            </w:pPr>
            <w:r>
              <w:rPr>
                <w:rFonts w:ascii="Arial" w:cs="Arial" w:eastAsia="Arial" w:hAnsi="Arial"/>
                <w:sz w:val="20"/>
                <w:szCs w:val="20"/>
                <w:color w:val="auto"/>
              </w:rPr>
              <w:t>(1.32)</w:t>
            </w:r>
          </w:p>
        </w:tc>
        <w:tc>
          <w:tcPr>
            <w:tcW w:w="0" w:type="dxa"/>
            <w:vAlign w:val="bottom"/>
          </w:tcPr>
          <w:p>
            <w:pPr>
              <w:spacing w:after="0"/>
              <w:rPr>
                <w:sz w:val="1"/>
                <w:szCs w:val="1"/>
                <w:color w:val="auto"/>
              </w:rPr>
            </w:pPr>
          </w:p>
        </w:tc>
      </w:tr>
      <w:tr>
        <w:trPr>
          <w:trHeight w:val="246"/>
        </w:trPr>
        <w:tc>
          <w:tcPr>
            <w:tcW w:w="7640" w:type="dxa"/>
            <w:vAlign w:val="bottom"/>
            <w:tcBorders>
              <w:bottom w:val="single" w:sz="8" w:color="BC2327"/>
            </w:tcBorders>
          </w:tcPr>
          <w:p>
            <w:pPr>
              <w:spacing w:after="0"/>
              <w:rPr>
                <w:sz w:val="21"/>
                <w:szCs w:val="21"/>
                <w:color w:val="auto"/>
              </w:rPr>
            </w:pPr>
          </w:p>
        </w:tc>
        <w:tc>
          <w:tcPr>
            <w:tcW w:w="100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85" w:right="359" w:bottom="0" w:gutter="0" w:footer="0" w:header="0"/>
        </w:sectPr>
      </w:pPr>
    </w:p>
    <w:bookmarkStart w:id="7" w:name="page8"/>
    <w:bookmarkEnd w:id="7"/>
    <w:p>
      <w:pPr>
        <w:spacing w:after="0"/>
        <w:rPr>
          <w:sz w:val="20"/>
          <w:szCs w:val="20"/>
          <w:color w:val="auto"/>
        </w:rPr>
      </w:pPr>
      <w:r>
        <w:rPr>
          <w:rFonts w:ascii="Arial" w:cs="Arial" w:eastAsia="Arial" w:hAnsi="Arial"/>
          <w:sz w:val="19"/>
          <w:szCs w:val="19"/>
          <w:i w:val="1"/>
          <w:iCs w:val="1"/>
          <w:color w:val="auto"/>
        </w:rPr>
        <w:t>See accompanying notes, which form an integral part of these unaudited condensed consolidated interim financial statements.</w:t>
      </w:r>
    </w:p>
    <w:p>
      <w:pPr>
        <w:sectPr>
          <w:pgSz w:w="11900" w:h="16838" w:orient="portrait"/>
          <w:cols w:equalWidth="0" w:num="1">
            <w:col w:w="11060"/>
          </w:cols>
          <w:pgMar w:left="320" w:top="118" w:right="5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3"/>
        </w:trPr>
        <w:tc>
          <w:tcPr>
            <w:tcW w:w="8180" w:type="dxa"/>
            <w:vAlign w:val="bottom"/>
          </w:tcPr>
          <w:p>
            <w:pPr>
              <w:ind w:left="20"/>
              <w:spacing w:after="0"/>
              <w:rPr>
                <w:sz w:val="20"/>
                <w:szCs w:val="20"/>
                <w:color w:val="auto"/>
              </w:rPr>
            </w:pPr>
            <w:r>
              <w:rPr>
                <w:rFonts w:ascii="Arial" w:cs="Arial" w:eastAsia="Arial" w:hAnsi="Arial"/>
                <w:sz w:val="20"/>
                <w:szCs w:val="20"/>
                <w:color w:val="auto"/>
              </w:rPr>
              <w:t>Condensed consolidated interim statement of profit or loss and other comprehensive result</w:t>
            </w:r>
          </w:p>
        </w:tc>
        <w:tc>
          <w:tcPr>
            <w:tcW w:w="860" w:type="dxa"/>
            <w:vAlign w:val="bottom"/>
          </w:tcPr>
          <w:p>
            <w:pPr>
              <w:spacing w:after="0"/>
              <w:rPr>
                <w:sz w:val="21"/>
                <w:szCs w:val="21"/>
                <w:color w:val="auto"/>
              </w:rPr>
            </w:pPr>
          </w:p>
        </w:tc>
        <w:tc>
          <w:tcPr>
            <w:tcW w:w="1160" w:type="dxa"/>
            <w:vAlign w:val="bottom"/>
            <w:vMerge w:val="restart"/>
          </w:tcPr>
          <w:p>
            <w:pPr>
              <w:jc w:val="right"/>
              <w:ind w:right="101"/>
              <w:spacing w:after="0"/>
              <w:rPr>
                <w:sz w:val="20"/>
                <w:szCs w:val="20"/>
                <w:color w:val="auto"/>
              </w:rPr>
            </w:pPr>
            <w:r>
              <w:rPr>
                <w:rFonts w:ascii="Arial" w:cs="Arial" w:eastAsia="Arial" w:hAnsi="Arial"/>
                <w:sz w:val="20"/>
                <w:szCs w:val="20"/>
                <w:color w:val="auto"/>
              </w:rPr>
              <w:t>2026</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61"/>
        </w:trPr>
        <w:tc>
          <w:tcPr>
            <w:tcW w:w="8180" w:type="dxa"/>
            <w:vAlign w:val="bottom"/>
          </w:tcPr>
          <w:p>
            <w:pPr>
              <w:ind w:left="20"/>
              <w:spacing w:after="0"/>
              <w:rPr>
                <w:sz w:val="20"/>
                <w:szCs w:val="20"/>
                <w:color w:val="auto"/>
              </w:rPr>
            </w:pPr>
            <w:r>
              <w:rPr>
                <w:rFonts w:ascii="Arial" w:cs="Arial" w:eastAsia="Arial" w:hAnsi="Arial"/>
                <w:sz w:val="20"/>
                <w:szCs w:val="20"/>
                <w:color w:val="auto"/>
              </w:rPr>
              <w:t>for the 3 months ended September 30,</w:t>
            </w:r>
          </w:p>
        </w:tc>
        <w:tc>
          <w:tcPr>
            <w:tcW w:w="8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8180" w:type="dxa"/>
            <w:vAlign w:val="bottom"/>
            <w:tcBorders>
              <w:bottom w:val="single" w:sz="8" w:color="BF2115"/>
            </w:tcBorders>
          </w:tcPr>
          <w:p>
            <w:pPr>
              <w:spacing w:after="0"/>
              <w:rPr>
                <w:sz w:val="20"/>
                <w:szCs w:val="20"/>
                <w:color w:val="auto"/>
              </w:rPr>
            </w:pPr>
          </w:p>
        </w:tc>
        <w:tc>
          <w:tcPr>
            <w:tcW w:w="860" w:type="dxa"/>
            <w:vAlign w:val="bottom"/>
            <w:tcBorders>
              <w:bottom w:val="single" w:sz="8" w:color="BF2115"/>
            </w:tcBorders>
          </w:tcPr>
          <w:p>
            <w:pPr>
              <w:spacing w:after="0"/>
              <w:rPr>
                <w:sz w:val="20"/>
                <w:szCs w:val="20"/>
                <w:color w:val="auto"/>
              </w:rPr>
            </w:pPr>
          </w:p>
        </w:tc>
        <w:tc>
          <w:tcPr>
            <w:tcW w:w="1160" w:type="dxa"/>
            <w:vAlign w:val="bottom"/>
            <w:tcBorders>
              <w:bottom w:val="single" w:sz="8" w:color="BF2115"/>
            </w:tcBorders>
          </w:tcPr>
          <w:p>
            <w:pPr>
              <w:spacing w:after="0"/>
              <w:rPr>
                <w:sz w:val="20"/>
                <w:szCs w:val="20"/>
                <w:color w:val="auto"/>
              </w:rPr>
            </w:pPr>
          </w:p>
        </w:tc>
        <w:tc>
          <w:tcPr>
            <w:tcW w:w="980" w:type="dxa"/>
            <w:vAlign w:val="bottom"/>
            <w:tcBorders>
              <w:bottom w:val="single" w:sz="8" w:color="BF2115"/>
            </w:tcBorders>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8180" w:type="dxa"/>
            <w:vAlign w:val="bottom"/>
          </w:tcPr>
          <w:p>
            <w:pPr>
              <w:ind w:left="20"/>
              <w:spacing w:after="0"/>
              <w:rPr>
                <w:sz w:val="20"/>
                <w:szCs w:val="20"/>
                <w:color w:val="auto"/>
              </w:rPr>
            </w:pPr>
            <w:r>
              <w:rPr>
                <w:rFonts w:ascii="Arial" w:cs="Arial" w:eastAsia="Arial" w:hAnsi="Arial"/>
                <w:sz w:val="20"/>
                <w:szCs w:val="20"/>
                <w:color w:val="auto"/>
              </w:rPr>
              <w:t>in CHF thousands</w:t>
            </w:r>
          </w:p>
        </w:tc>
        <w:tc>
          <w:tcPr>
            <w:tcW w:w="860" w:type="dxa"/>
            <w:vAlign w:val="bottom"/>
          </w:tcPr>
          <w:p>
            <w:pPr>
              <w:jc w:val="right"/>
              <w:ind w:right="121"/>
              <w:spacing w:after="0"/>
              <w:rPr>
                <w:sz w:val="20"/>
                <w:szCs w:val="20"/>
                <w:color w:val="auto"/>
              </w:rPr>
            </w:pPr>
            <w:r>
              <w:rPr>
                <w:rFonts w:ascii="Arial" w:cs="Arial" w:eastAsia="Arial" w:hAnsi="Arial"/>
                <w:sz w:val="20"/>
                <w:szCs w:val="20"/>
                <w:color w:val="auto"/>
              </w:rPr>
              <w:t>Note</w:t>
            </w:r>
          </w:p>
        </w:tc>
        <w:tc>
          <w:tcPr>
            <w:tcW w:w="1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7"/>
        </w:trPr>
        <w:tc>
          <w:tcPr>
            <w:tcW w:w="8180" w:type="dxa"/>
            <w:vAlign w:val="bottom"/>
          </w:tcPr>
          <w:p>
            <w:pPr>
              <w:ind w:left="20"/>
              <w:spacing w:after="0"/>
              <w:rPr>
                <w:sz w:val="20"/>
                <w:szCs w:val="20"/>
                <w:color w:val="auto"/>
              </w:rPr>
            </w:pPr>
            <w:r>
              <w:rPr>
                <w:rFonts w:ascii="Arial" w:cs="Arial" w:eastAsia="Arial" w:hAnsi="Arial"/>
                <w:sz w:val="20"/>
                <w:szCs w:val="20"/>
                <w:color w:val="auto"/>
              </w:rPr>
              <w:t>Revenues and other income</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8180" w:type="dxa"/>
            <w:vAlign w:val="bottom"/>
          </w:tcPr>
          <w:p>
            <w:pPr>
              <w:ind w:left="20"/>
              <w:spacing w:after="0"/>
              <w:rPr>
                <w:sz w:val="20"/>
                <w:szCs w:val="20"/>
                <w:color w:val="auto"/>
              </w:rPr>
            </w:pPr>
            <w:r>
              <w:rPr>
                <w:rFonts w:ascii="Arial" w:cs="Arial" w:eastAsia="Arial" w:hAnsi="Arial"/>
                <w:sz w:val="20"/>
                <w:szCs w:val="20"/>
                <w:color w:val="auto"/>
              </w:rPr>
              <w:t>Revenues from research and development collaborations</w:t>
            </w:r>
          </w:p>
        </w:tc>
        <w:tc>
          <w:tcPr>
            <w:tcW w:w="860" w:type="dxa"/>
            <w:vAlign w:val="bottom"/>
          </w:tcPr>
          <w:p>
            <w:pPr>
              <w:jc w:val="right"/>
              <w:ind w:right="121"/>
              <w:spacing w:after="0"/>
              <w:rPr>
                <w:sz w:val="20"/>
                <w:szCs w:val="20"/>
                <w:color w:val="auto"/>
              </w:rPr>
            </w:pPr>
            <w:r>
              <w:rPr>
                <w:rFonts w:ascii="Arial" w:cs="Arial" w:eastAsia="Arial" w:hAnsi="Arial"/>
                <w:sz w:val="20"/>
                <w:szCs w:val="20"/>
                <w:color w:val="auto"/>
              </w:rPr>
              <w:t>5.1</w:t>
            </w: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27"/>
        </w:trPr>
        <w:tc>
          <w:tcPr>
            <w:tcW w:w="8180" w:type="dxa"/>
            <w:vAlign w:val="bottom"/>
          </w:tcPr>
          <w:p>
            <w:pPr>
              <w:ind w:left="20"/>
              <w:spacing w:after="0"/>
              <w:rPr>
                <w:sz w:val="20"/>
                <w:szCs w:val="20"/>
                <w:color w:val="auto"/>
              </w:rPr>
            </w:pPr>
            <w:r>
              <w:rPr>
                <w:rFonts w:ascii="Arial" w:cs="Arial" w:eastAsia="Arial" w:hAnsi="Arial"/>
                <w:sz w:val="20"/>
                <w:szCs w:val="20"/>
                <w:color w:val="auto"/>
              </w:rPr>
              <w:t>Total revenues and other income</w:t>
            </w:r>
          </w:p>
        </w:tc>
        <w:tc>
          <w:tcPr>
            <w:tcW w:w="860" w:type="dxa"/>
            <w:vAlign w:val="bottom"/>
          </w:tcPr>
          <w:p>
            <w:pPr>
              <w:spacing w:after="0"/>
              <w:rPr>
                <w:sz w:val="24"/>
                <w:szCs w:val="24"/>
                <w:color w:val="auto"/>
              </w:rPr>
            </w:pP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7"/>
        </w:trPr>
        <w:tc>
          <w:tcPr>
            <w:tcW w:w="818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9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8180" w:type="dxa"/>
            <w:vAlign w:val="bottom"/>
          </w:tcPr>
          <w:p>
            <w:pPr>
              <w:ind w:left="20"/>
              <w:spacing w:after="0"/>
              <w:rPr>
                <w:sz w:val="20"/>
                <w:szCs w:val="20"/>
                <w:color w:val="auto"/>
              </w:rPr>
            </w:pPr>
            <w:r>
              <w:rPr>
                <w:rFonts w:ascii="Arial" w:cs="Arial" w:eastAsia="Arial" w:hAnsi="Arial"/>
                <w:sz w:val="20"/>
                <w:szCs w:val="20"/>
                <w:color w:val="auto"/>
              </w:rPr>
              <w:t>Operating expenses</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8180" w:type="dxa"/>
            <w:vAlign w:val="bottom"/>
          </w:tcPr>
          <w:p>
            <w:pPr>
              <w:ind w:left="20"/>
              <w:spacing w:after="0"/>
              <w:rPr>
                <w:sz w:val="20"/>
                <w:szCs w:val="20"/>
                <w:color w:val="auto"/>
              </w:rPr>
            </w:pPr>
            <w:r>
              <w:rPr>
                <w:rFonts w:ascii="Arial" w:cs="Arial" w:eastAsia="Arial" w:hAnsi="Arial"/>
                <w:sz w:val="20"/>
                <w:szCs w:val="20"/>
                <w:color w:val="auto"/>
              </w:rPr>
              <w:t>Research and development expenses</w:t>
            </w:r>
          </w:p>
        </w:tc>
        <w:tc>
          <w:tcPr>
            <w:tcW w:w="860" w:type="dxa"/>
            <w:vAlign w:val="bottom"/>
          </w:tcPr>
          <w:p>
            <w:pPr>
              <w:spacing w:after="0"/>
              <w:rPr>
                <w:sz w:val="24"/>
                <w:szCs w:val="24"/>
                <w:color w:val="auto"/>
              </w:rPr>
            </w:pP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(8,276)</w:t>
            </w:r>
          </w:p>
        </w:tc>
        <w:tc>
          <w:tcPr>
            <w:tcW w:w="980" w:type="dxa"/>
            <w:vAlign w:val="bottom"/>
          </w:tcPr>
          <w:p>
            <w:pPr>
              <w:jc w:val="right"/>
              <w:spacing w:after="0"/>
              <w:rPr>
                <w:sz w:val="20"/>
                <w:szCs w:val="20"/>
                <w:color w:val="auto"/>
              </w:rPr>
            </w:pPr>
            <w:r>
              <w:rPr>
                <w:rFonts w:ascii="Arial" w:cs="Arial" w:eastAsia="Arial" w:hAnsi="Arial"/>
                <w:sz w:val="20"/>
                <w:szCs w:val="20"/>
                <w:color w:val="auto"/>
              </w:rPr>
              <w:t>(8,328)</w:t>
            </w:r>
          </w:p>
        </w:tc>
        <w:tc>
          <w:tcPr>
            <w:tcW w:w="0" w:type="dxa"/>
            <w:vAlign w:val="bottom"/>
          </w:tcPr>
          <w:p>
            <w:pPr>
              <w:spacing w:after="0"/>
              <w:rPr>
                <w:sz w:val="1"/>
                <w:szCs w:val="1"/>
                <w:color w:val="auto"/>
              </w:rPr>
            </w:pPr>
          </w:p>
        </w:tc>
      </w:tr>
      <w:tr>
        <w:trPr>
          <w:trHeight w:val="526"/>
        </w:trPr>
        <w:tc>
          <w:tcPr>
            <w:tcW w:w="8180" w:type="dxa"/>
            <w:vAlign w:val="bottom"/>
          </w:tcPr>
          <w:p>
            <w:pPr>
              <w:ind w:left="20"/>
              <w:spacing w:after="0"/>
              <w:rPr>
                <w:sz w:val="20"/>
                <w:szCs w:val="20"/>
                <w:color w:val="auto"/>
              </w:rPr>
            </w:pPr>
            <w:r>
              <w:rPr>
                <w:rFonts w:ascii="Arial" w:cs="Arial" w:eastAsia="Arial" w:hAnsi="Arial"/>
                <w:sz w:val="20"/>
                <w:szCs w:val="20"/>
                <w:color w:val="auto"/>
              </w:rPr>
              <w:t>Selling, general and administrative expenses</w:t>
            </w:r>
          </w:p>
        </w:tc>
        <w:tc>
          <w:tcPr>
            <w:tcW w:w="860" w:type="dxa"/>
            <w:vAlign w:val="bottom"/>
          </w:tcPr>
          <w:p>
            <w:pPr>
              <w:spacing w:after="0"/>
              <w:rPr>
                <w:sz w:val="24"/>
                <w:szCs w:val="24"/>
                <w:color w:val="auto"/>
              </w:rPr>
            </w:pP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(3,785)</w:t>
            </w:r>
          </w:p>
        </w:tc>
        <w:tc>
          <w:tcPr>
            <w:tcW w:w="980" w:type="dxa"/>
            <w:vAlign w:val="bottom"/>
          </w:tcPr>
          <w:p>
            <w:pPr>
              <w:jc w:val="right"/>
              <w:spacing w:after="0"/>
              <w:rPr>
                <w:sz w:val="20"/>
                <w:szCs w:val="20"/>
                <w:color w:val="auto"/>
              </w:rPr>
            </w:pPr>
            <w:r>
              <w:rPr>
                <w:rFonts w:ascii="Arial" w:cs="Arial" w:eastAsia="Arial" w:hAnsi="Arial"/>
                <w:sz w:val="20"/>
                <w:szCs w:val="20"/>
                <w:color w:val="auto"/>
              </w:rPr>
              <w:t>(3,602)</w:t>
            </w:r>
          </w:p>
        </w:tc>
        <w:tc>
          <w:tcPr>
            <w:tcW w:w="0" w:type="dxa"/>
            <w:vAlign w:val="bottom"/>
          </w:tcPr>
          <w:p>
            <w:pPr>
              <w:spacing w:after="0"/>
              <w:rPr>
                <w:sz w:val="1"/>
                <w:szCs w:val="1"/>
                <w:color w:val="auto"/>
              </w:rPr>
            </w:pPr>
          </w:p>
        </w:tc>
      </w:tr>
      <w:tr>
        <w:trPr>
          <w:trHeight w:val="527"/>
        </w:trPr>
        <w:tc>
          <w:tcPr>
            <w:tcW w:w="8180" w:type="dxa"/>
            <w:vAlign w:val="bottom"/>
            <w:vMerge w:val="restart"/>
          </w:tcPr>
          <w:p>
            <w:pPr>
              <w:ind w:left="20"/>
              <w:spacing w:after="0"/>
              <w:rPr>
                <w:sz w:val="20"/>
                <w:szCs w:val="20"/>
                <w:color w:val="auto"/>
              </w:rPr>
            </w:pPr>
            <w:r>
              <w:rPr>
                <w:rFonts w:ascii="Arial" w:cs="Arial" w:eastAsia="Arial" w:hAnsi="Arial"/>
                <w:sz w:val="20"/>
                <w:szCs w:val="20"/>
                <w:color w:val="auto"/>
              </w:rPr>
              <w:t>Restructuring expenses</w:t>
            </w:r>
          </w:p>
        </w:tc>
        <w:tc>
          <w:tcPr>
            <w:tcW w:w="860" w:type="dxa"/>
            <w:vAlign w:val="bottom"/>
          </w:tcPr>
          <w:p>
            <w:pPr>
              <w:jc w:val="right"/>
              <w:ind w:right="121"/>
              <w:spacing w:after="0"/>
              <w:rPr>
                <w:sz w:val="20"/>
                <w:szCs w:val="20"/>
                <w:color w:val="auto"/>
              </w:rPr>
            </w:pPr>
            <w:r>
              <w:rPr>
                <w:rFonts w:ascii="Arial" w:cs="Arial" w:eastAsia="Arial" w:hAnsi="Arial"/>
                <w:sz w:val="20"/>
                <w:szCs w:val="20"/>
                <w:color w:val="auto"/>
              </w:rPr>
              <w:t>5.10</w:t>
            </w:r>
          </w:p>
        </w:tc>
        <w:tc>
          <w:tcPr>
            <w:tcW w:w="1160" w:type="dxa"/>
            <w:vAlign w:val="bottom"/>
            <w:vMerge w:val="restart"/>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(116)</w:t>
            </w:r>
          </w:p>
        </w:tc>
        <w:tc>
          <w:tcPr>
            <w:tcW w:w="0" w:type="dxa"/>
            <w:vAlign w:val="bottom"/>
          </w:tcPr>
          <w:p>
            <w:pPr>
              <w:spacing w:after="0"/>
              <w:rPr>
                <w:sz w:val="1"/>
                <w:szCs w:val="1"/>
                <w:color w:val="auto"/>
              </w:rPr>
            </w:pPr>
          </w:p>
        </w:tc>
      </w:tr>
      <w:tr>
        <w:trPr>
          <w:trHeight w:val="243"/>
        </w:trPr>
        <w:tc>
          <w:tcPr>
            <w:tcW w:w="818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8180" w:type="dxa"/>
            <w:vAlign w:val="bottom"/>
          </w:tcPr>
          <w:p>
            <w:pPr>
              <w:ind w:left="20"/>
              <w:spacing w:after="0"/>
              <w:rPr>
                <w:sz w:val="20"/>
                <w:szCs w:val="20"/>
                <w:color w:val="auto"/>
              </w:rPr>
            </w:pPr>
            <w:r>
              <w:rPr>
                <w:rFonts w:ascii="Arial" w:cs="Arial" w:eastAsia="Arial" w:hAnsi="Arial"/>
                <w:sz w:val="20"/>
                <w:szCs w:val="20"/>
                <w:color w:val="auto"/>
              </w:rPr>
              <w:t>Total operating expenses</w:t>
            </w:r>
          </w:p>
        </w:tc>
        <w:tc>
          <w:tcPr>
            <w:tcW w:w="860" w:type="dxa"/>
            <w:vAlign w:val="bottom"/>
          </w:tcPr>
          <w:p>
            <w:pPr>
              <w:spacing w:after="0"/>
              <w:rPr>
                <w:sz w:val="24"/>
                <w:szCs w:val="24"/>
                <w:color w:val="auto"/>
              </w:rPr>
            </w:pP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(12,061)</w:t>
            </w:r>
          </w:p>
        </w:tc>
        <w:tc>
          <w:tcPr>
            <w:tcW w:w="980" w:type="dxa"/>
            <w:vAlign w:val="bottom"/>
          </w:tcPr>
          <w:p>
            <w:pPr>
              <w:jc w:val="right"/>
              <w:spacing w:after="0"/>
              <w:rPr>
                <w:sz w:val="20"/>
                <w:szCs w:val="20"/>
                <w:color w:val="auto"/>
              </w:rPr>
            </w:pPr>
            <w:r>
              <w:rPr>
                <w:rFonts w:ascii="Arial" w:cs="Arial" w:eastAsia="Arial" w:hAnsi="Arial"/>
                <w:sz w:val="20"/>
                <w:szCs w:val="20"/>
                <w:color w:val="auto"/>
              </w:rPr>
              <w:t>(12,045)</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9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8180" w:type="dxa"/>
            <w:vAlign w:val="bottom"/>
          </w:tcPr>
          <w:p>
            <w:pPr>
              <w:ind w:left="20"/>
              <w:spacing w:after="0"/>
              <w:rPr>
                <w:sz w:val="20"/>
                <w:szCs w:val="20"/>
                <w:color w:val="auto"/>
              </w:rPr>
            </w:pPr>
            <w:r>
              <w:rPr>
                <w:rFonts w:ascii="Arial" w:cs="Arial" w:eastAsia="Arial" w:hAnsi="Arial"/>
                <w:sz w:val="20"/>
                <w:szCs w:val="20"/>
                <w:color w:val="auto"/>
              </w:rPr>
              <w:t>Operating result</w:t>
            </w:r>
          </w:p>
        </w:tc>
        <w:tc>
          <w:tcPr>
            <w:tcW w:w="860" w:type="dxa"/>
            <w:vAlign w:val="bottom"/>
          </w:tcPr>
          <w:p>
            <w:pPr>
              <w:spacing w:after="0"/>
              <w:rPr>
                <w:sz w:val="24"/>
                <w:szCs w:val="24"/>
                <w:color w:val="auto"/>
              </w:rPr>
            </w:pP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(12,061)</w:t>
            </w:r>
          </w:p>
        </w:tc>
        <w:tc>
          <w:tcPr>
            <w:tcW w:w="980" w:type="dxa"/>
            <w:vAlign w:val="bottom"/>
          </w:tcPr>
          <w:p>
            <w:pPr>
              <w:jc w:val="right"/>
              <w:spacing w:after="0"/>
              <w:rPr>
                <w:sz w:val="20"/>
                <w:szCs w:val="20"/>
                <w:color w:val="auto"/>
              </w:rPr>
            </w:pPr>
            <w:r>
              <w:rPr>
                <w:rFonts w:ascii="Arial" w:cs="Arial" w:eastAsia="Arial" w:hAnsi="Arial"/>
                <w:sz w:val="20"/>
                <w:szCs w:val="20"/>
                <w:color w:val="auto"/>
              </w:rPr>
              <w:t>(12,045)</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9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8180" w:type="dxa"/>
            <w:vAlign w:val="bottom"/>
          </w:tcPr>
          <w:p>
            <w:pPr>
              <w:ind w:left="20"/>
              <w:spacing w:after="0"/>
              <w:rPr>
                <w:sz w:val="20"/>
                <w:szCs w:val="20"/>
                <w:color w:val="auto"/>
              </w:rPr>
            </w:pPr>
            <w:r>
              <w:rPr>
                <w:rFonts w:ascii="Arial" w:cs="Arial" w:eastAsia="Arial" w:hAnsi="Arial"/>
                <w:sz w:val="20"/>
                <w:szCs w:val="20"/>
                <w:color w:val="auto"/>
              </w:rPr>
              <w:t>Financial income</w:t>
            </w:r>
          </w:p>
        </w:tc>
        <w:tc>
          <w:tcPr>
            <w:tcW w:w="860" w:type="dxa"/>
            <w:vAlign w:val="bottom"/>
          </w:tcPr>
          <w:p>
            <w:pPr>
              <w:jc w:val="right"/>
              <w:ind w:right="181"/>
              <w:spacing w:after="0"/>
              <w:rPr>
                <w:sz w:val="20"/>
                <w:szCs w:val="20"/>
                <w:color w:val="auto"/>
              </w:rPr>
            </w:pPr>
            <w:r>
              <w:rPr>
                <w:rFonts w:ascii="Arial" w:cs="Arial" w:eastAsia="Arial" w:hAnsi="Arial"/>
                <w:sz w:val="20"/>
                <w:szCs w:val="20"/>
                <w:color w:val="auto"/>
              </w:rPr>
              <w:t>5.5</w:t>
            </w: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362</w:t>
            </w:r>
          </w:p>
        </w:tc>
        <w:tc>
          <w:tcPr>
            <w:tcW w:w="980" w:type="dxa"/>
            <w:vAlign w:val="bottom"/>
          </w:tcPr>
          <w:p>
            <w:pPr>
              <w:jc w:val="right"/>
              <w:spacing w:after="0"/>
              <w:rPr>
                <w:sz w:val="20"/>
                <w:szCs w:val="20"/>
                <w:color w:val="auto"/>
              </w:rPr>
            </w:pPr>
            <w:r>
              <w:rPr>
                <w:rFonts w:ascii="Arial" w:cs="Arial" w:eastAsia="Arial" w:hAnsi="Arial"/>
                <w:sz w:val="20"/>
                <w:szCs w:val="20"/>
                <w:color w:val="auto"/>
              </w:rPr>
              <w:t>366</w:t>
            </w:r>
          </w:p>
        </w:tc>
        <w:tc>
          <w:tcPr>
            <w:tcW w:w="0" w:type="dxa"/>
            <w:vAlign w:val="bottom"/>
          </w:tcPr>
          <w:p>
            <w:pPr>
              <w:spacing w:after="0"/>
              <w:rPr>
                <w:sz w:val="1"/>
                <w:szCs w:val="1"/>
                <w:color w:val="auto"/>
              </w:rPr>
            </w:pPr>
          </w:p>
        </w:tc>
      </w:tr>
      <w:tr>
        <w:trPr>
          <w:trHeight w:val="526"/>
        </w:trPr>
        <w:tc>
          <w:tcPr>
            <w:tcW w:w="8180" w:type="dxa"/>
            <w:vAlign w:val="bottom"/>
          </w:tcPr>
          <w:p>
            <w:pPr>
              <w:ind w:left="20"/>
              <w:spacing w:after="0"/>
              <w:rPr>
                <w:sz w:val="20"/>
                <w:szCs w:val="20"/>
                <w:color w:val="auto"/>
              </w:rPr>
            </w:pPr>
            <w:r>
              <w:rPr>
                <w:rFonts w:ascii="Arial" w:cs="Arial" w:eastAsia="Arial" w:hAnsi="Arial"/>
                <w:sz w:val="20"/>
                <w:szCs w:val="20"/>
                <w:color w:val="auto"/>
              </w:rPr>
              <w:t>Financial expenses</w:t>
            </w:r>
          </w:p>
        </w:tc>
        <w:tc>
          <w:tcPr>
            <w:tcW w:w="860" w:type="dxa"/>
            <w:vAlign w:val="bottom"/>
          </w:tcPr>
          <w:p>
            <w:pPr>
              <w:jc w:val="right"/>
              <w:ind w:right="181"/>
              <w:spacing w:after="0"/>
              <w:rPr>
                <w:sz w:val="20"/>
                <w:szCs w:val="20"/>
                <w:color w:val="auto"/>
              </w:rPr>
            </w:pPr>
            <w:r>
              <w:rPr>
                <w:rFonts w:ascii="Arial" w:cs="Arial" w:eastAsia="Arial" w:hAnsi="Arial"/>
                <w:sz w:val="20"/>
                <w:szCs w:val="20"/>
                <w:color w:val="auto"/>
              </w:rPr>
              <w:t>5.5</w:t>
            </w: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(9)</w:t>
            </w:r>
          </w:p>
        </w:tc>
        <w:tc>
          <w:tcPr>
            <w:tcW w:w="980" w:type="dxa"/>
            <w:vAlign w:val="bottom"/>
          </w:tcPr>
          <w:p>
            <w:pPr>
              <w:jc w:val="right"/>
              <w:spacing w:after="0"/>
              <w:rPr>
                <w:sz w:val="20"/>
                <w:szCs w:val="20"/>
                <w:color w:val="auto"/>
              </w:rPr>
            </w:pPr>
            <w:r>
              <w:rPr>
                <w:rFonts w:ascii="Arial" w:cs="Arial" w:eastAsia="Arial" w:hAnsi="Arial"/>
                <w:sz w:val="20"/>
                <w:szCs w:val="20"/>
                <w:color w:val="auto"/>
              </w:rPr>
              <w:t>(157)</w:t>
            </w:r>
          </w:p>
        </w:tc>
        <w:tc>
          <w:tcPr>
            <w:tcW w:w="0" w:type="dxa"/>
            <w:vAlign w:val="bottom"/>
          </w:tcPr>
          <w:p>
            <w:pPr>
              <w:spacing w:after="0"/>
              <w:rPr>
                <w:sz w:val="1"/>
                <w:szCs w:val="1"/>
                <w:color w:val="auto"/>
              </w:rPr>
            </w:pPr>
          </w:p>
        </w:tc>
      </w:tr>
      <w:tr>
        <w:trPr>
          <w:trHeight w:val="527"/>
        </w:trPr>
        <w:tc>
          <w:tcPr>
            <w:tcW w:w="8180" w:type="dxa"/>
            <w:vAlign w:val="bottom"/>
          </w:tcPr>
          <w:p>
            <w:pPr>
              <w:ind w:left="20"/>
              <w:spacing w:after="0"/>
              <w:rPr>
                <w:sz w:val="20"/>
                <w:szCs w:val="20"/>
                <w:color w:val="auto"/>
              </w:rPr>
            </w:pPr>
            <w:r>
              <w:rPr>
                <w:rFonts w:ascii="Arial" w:cs="Arial" w:eastAsia="Arial" w:hAnsi="Arial"/>
                <w:sz w:val="20"/>
                <w:szCs w:val="20"/>
                <w:color w:val="auto"/>
              </w:rPr>
              <w:t>Net finance result</w:t>
            </w:r>
          </w:p>
        </w:tc>
        <w:tc>
          <w:tcPr>
            <w:tcW w:w="860" w:type="dxa"/>
            <w:vAlign w:val="bottom"/>
          </w:tcPr>
          <w:p>
            <w:pPr>
              <w:spacing w:after="0"/>
              <w:rPr>
                <w:sz w:val="24"/>
                <w:szCs w:val="24"/>
                <w:color w:val="auto"/>
              </w:rPr>
            </w:pP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353</w:t>
            </w:r>
          </w:p>
        </w:tc>
        <w:tc>
          <w:tcPr>
            <w:tcW w:w="980" w:type="dxa"/>
            <w:vAlign w:val="bottom"/>
          </w:tcPr>
          <w:p>
            <w:pPr>
              <w:jc w:val="right"/>
              <w:spacing w:after="0"/>
              <w:rPr>
                <w:sz w:val="20"/>
                <w:szCs w:val="20"/>
                <w:color w:val="auto"/>
              </w:rPr>
            </w:pPr>
            <w:r>
              <w:rPr>
                <w:rFonts w:ascii="Arial" w:cs="Arial" w:eastAsia="Arial" w:hAnsi="Arial"/>
                <w:sz w:val="20"/>
                <w:szCs w:val="20"/>
                <w:color w:val="auto"/>
              </w:rPr>
              <w:t>209</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9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9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8180" w:type="dxa"/>
            <w:vAlign w:val="bottom"/>
          </w:tcPr>
          <w:p>
            <w:pPr>
              <w:ind w:left="20"/>
              <w:spacing w:after="0"/>
              <w:rPr>
                <w:sz w:val="20"/>
                <w:szCs w:val="20"/>
                <w:color w:val="auto"/>
              </w:rPr>
            </w:pPr>
            <w:r>
              <w:rPr>
                <w:rFonts w:ascii="Arial" w:cs="Arial" w:eastAsia="Arial" w:hAnsi="Arial"/>
                <w:sz w:val="20"/>
                <w:szCs w:val="20"/>
                <w:color w:val="auto"/>
              </w:rPr>
              <w:t>Result before income taxes</w:t>
            </w:r>
          </w:p>
        </w:tc>
        <w:tc>
          <w:tcPr>
            <w:tcW w:w="860" w:type="dxa"/>
            <w:vAlign w:val="bottom"/>
          </w:tcPr>
          <w:p>
            <w:pPr>
              <w:spacing w:after="0"/>
              <w:rPr>
                <w:sz w:val="23"/>
                <w:szCs w:val="23"/>
                <w:color w:val="auto"/>
              </w:rPr>
            </w:pP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(11,708)</w:t>
            </w:r>
          </w:p>
        </w:tc>
        <w:tc>
          <w:tcPr>
            <w:tcW w:w="980" w:type="dxa"/>
            <w:vAlign w:val="bottom"/>
          </w:tcPr>
          <w:p>
            <w:pPr>
              <w:jc w:val="right"/>
              <w:spacing w:after="0"/>
              <w:rPr>
                <w:sz w:val="20"/>
                <w:szCs w:val="20"/>
                <w:color w:val="auto"/>
              </w:rPr>
            </w:pPr>
            <w:r>
              <w:rPr>
                <w:rFonts w:ascii="Arial" w:cs="Arial" w:eastAsia="Arial" w:hAnsi="Arial"/>
                <w:sz w:val="20"/>
                <w:szCs w:val="20"/>
                <w:color w:val="auto"/>
              </w:rPr>
              <w:t>(11,836)</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9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8180" w:type="dxa"/>
            <w:vAlign w:val="bottom"/>
          </w:tcPr>
          <w:p>
            <w:pPr>
              <w:ind w:left="20"/>
              <w:spacing w:after="0"/>
              <w:rPr>
                <w:sz w:val="20"/>
                <w:szCs w:val="20"/>
                <w:color w:val="auto"/>
              </w:rPr>
            </w:pPr>
            <w:r>
              <w:rPr>
                <w:rFonts w:ascii="Arial" w:cs="Arial" w:eastAsia="Arial" w:hAnsi="Arial"/>
                <w:sz w:val="20"/>
                <w:szCs w:val="20"/>
                <w:color w:val="auto"/>
              </w:rPr>
              <w:t>Income taxes</w:t>
            </w:r>
          </w:p>
        </w:tc>
        <w:tc>
          <w:tcPr>
            <w:tcW w:w="860" w:type="dxa"/>
            <w:vAlign w:val="bottom"/>
          </w:tcPr>
          <w:p>
            <w:pPr>
              <w:jc w:val="right"/>
              <w:ind w:right="121"/>
              <w:spacing w:after="0"/>
              <w:rPr>
                <w:sz w:val="20"/>
                <w:szCs w:val="20"/>
                <w:color w:val="auto"/>
              </w:rPr>
            </w:pPr>
            <w:r>
              <w:rPr>
                <w:rFonts w:ascii="Arial" w:cs="Arial" w:eastAsia="Arial" w:hAnsi="Arial"/>
                <w:sz w:val="20"/>
                <w:szCs w:val="20"/>
                <w:color w:val="auto"/>
              </w:rPr>
              <w:t>5.6</w:t>
            </w: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w:t>
            </w:r>
          </w:p>
        </w:tc>
        <w:tc>
          <w:tcPr>
            <w:tcW w:w="98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26"/>
        </w:trPr>
        <w:tc>
          <w:tcPr>
            <w:tcW w:w="8180" w:type="dxa"/>
            <w:vAlign w:val="bottom"/>
          </w:tcPr>
          <w:p>
            <w:pPr>
              <w:ind w:left="20"/>
              <w:spacing w:after="0"/>
              <w:rPr>
                <w:sz w:val="20"/>
                <w:szCs w:val="20"/>
                <w:color w:val="auto"/>
              </w:rPr>
            </w:pPr>
            <w:r>
              <w:rPr>
                <w:rFonts w:ascii="Arial" w:cs="Arial" w:eastAsia="Arial" w:hAnsi="Arial"/>
                <w:sz w:val="20"/>
                <w:szCs w:val="20"/>
                <w:color w:val="auto"/>
              </w:rPr>
              <w:t>Net result, attributable to shareholders</w:t>
            </w:r>
          </w:p>
        </w:tc>
        <w:tc>
          <w:tcPr>
            <w:tcW w:w="860" w:type="dxa"/>
            <w:vAlign w:val="bottom"/>
          </w:tcPr>
          <w:p>
            <w:pPr>
              <w:spacing w:after="0"/>
              <w:rPr>
                <w:sz w:val="24"/>
                <w:szCs w:val="24"/>
                <w:color w:val="auto"/>
              </w:rPr>
            </w:pP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(11,708)</w:t>
            </w:r>
          </w:p>
        </w:tc>
        <w:tc>
          <w:tcPr>
            <w:tcW w:w="980" w:type="dxa"/>
            <w:vAlign w:val="bottom"/>
          </w:tcPr>
          <w:p>
            <w:pPr>
              <w:jc w:val="right"/>
              <w:spacing w:after="0"/>
              <w:rPr>
                <w:sz w:val="20"/>
                <w:szCs w:val="20"/>
                <w:color w:val="auto"/>
              </w:rPr>
            </w:pPr>
            <w:r>
              <w:rPr>
                <w:rFonts w:ascii="Arial" w:cs="Arial" w:eastAsia="Arial" w:hAnsi="Arial"/>
                <w:sz w:val="20"/>
                <w:szCs w:val="20"/>
                <w:color w:val="auto"/>
              </w:rPr>
              <w:t>(11,836)</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9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8180" w:type="dxa"/>
            <w:vAlign w:val="bottom"/>
          </w:tcPr>
          <w:p>
            <w:pPr>
              <w:ind w:left="20"/>
              <w:spacing w:after="0"/>
              <w:rPr>
                <w:sz w:val="20"/>
                <w:szCs w:val="20"/>
                <w:color w:val="auto"/>
              </w:rPr>
            </w:pPr>
            <w:r>
              <w:rPr>
                <w:rFonts w:ascii="Arial" w:cs="Arial" w:eastAsia="Arial" w:hAnsi="Arial"/>
                <w:sz w:val="20"/>
                <w:szCs w:val="20"/>
                <w:color w:val="auto"/>
              </w:rPr>
              <w:t>Other comprehensive result</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4"/>
        </w:trPr>
        <w:tc>
          <w:tcPr>
            <w:tcW w:w="8180" w:type="dxa"/>
            <w:vAlign w:val="bottom"/>
          </w:tcPr>
          <w:p>
            <w:pPr>
              <w:ind w:left="20"/>
              <w:spacing w:after="0"/>
              <w:rPr>
                <w:sz w:val="20"/>
                <w:szCs w:val="20"/>
                <w:color w:val="auto"/>
              </w:rPr>
            </w:pPr>
            <w:r>
              <w:rPr>
                <w:rFonts w:ascii="Arial" w:cs="Arial" w:eastAsia="Arial" w:hAnsi="Arial"/>
                <w:sz w:val="20"/>
                <w:szCs w:val="20"/>
                <w:color w:val="auto"/>
              </w:rPr>
              <w:t>Items that will not be reclassified to profit or loss</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8180" w:type="dxa"/>
            <w:vAlign w:val="bottom"/>
          </w:tcPr>
          <w:p>
            <w:pPr>
              <w:ind w:left="20"/>
              <w:spacing w:after="0"/>
              <w:rPr>
                <w:sz w:val="20"/>
                <w:szCs w:val="20"/>
                <w:color w:val="auto"/>
              </w:rPr>
            </w:pPr>
            <w:r>
              <w:rPr>
                <w:rFonts w:ascii="Arial" w:cs="Arial" w:eastAsia="Arial" w:hAnsi="Arial"/>
                <w:sz w:val="20"/>
                <w:szCs w:val="20"/>
                <w:color w:val="auto"/>
              </w:rPr>
              <w:t>Remeasurement of net pension liabilities, net of tax</w:t>
            </w:r>
          </w:p>
        </w:tc>
        <w:tc>
          <w:tcPr>
            <w:tcW w:w="860" w:type="dxa"/>
            <w:vAlign w:val="bottom"/>
          </w:tcPr>
          <w:p>
            <w:pPr>
              <w:jc w:val="right"/>
              <w:ind w:right="181"/>
              <w:spacing w:after="0"/>
              <w:rPr>
                <w:sz w:val="20"/>
                <w:szCs w:val="20"/>
                <w:color w:val="auto"/>
              </w:rPr>
            </w:pPr>
            <w:r>
              <w:rPr>
                <w:rFonts w:ascii="Arial" w:cs="Arial" w:eastAsia="Arial" w:hAnsi="Arial"/>
                <w:sz w:val="20"/>
                <w:szCs w:val="20"/>
                <w:color w:val="auto"/>
              </w:rPr>
              <w:t>5.8</w:t>
            </w: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2,808</w:t>
            </w:r>
          </w:p>
        </w:tc>
        <w:tc>
          <w:tcPr>
            <w:tcW w:w="980" w:type="dxa"/>
            <w:vAlign w:val="bottom"/>
          </w:tcPr>
          <w:p>
            <w:pPr>
              <w:jc w:val="right"/>
              <w:spacing w:after="0"/>
              <w:rPr>
                <w:sz w:val="20"/>
                <w:szCs w:val="20"/>
                <w:color w:val="auto"/>
              </w:rPr>
            </w:pPr>
            <w:r>
              <w:rPr>
                <w:rFonts w:ascii="Arial" w:cs="Arial" w:eastAsia="Arial" w:hAnsi="Arial"/>
                <w:sz w:val="20"/>
                <w:szCs w:val="20"/>
                <w:color w:val="auto"/>
              </w:rPr>
              <w:t>(372)</w:t>
            </w:r>
          </w:p>
        </w:tc>
        <w:tc>
          <w:tcPr>
            <w:tcW w:w="0" w:type="dxa"/>
            <w:vAlign w:val="bottom"/>
          </w:tcPr>
          <w:p>
            <w:pPr>
              <w:spacing w:after="0"/>
              <w:rPr>
                <w:sz w:val="1"/>
                <w:szCs w:val="1"/>
                <w:color w:val="auto"/>
              </w:rPr>
            </w:pPr>
          </w:p>
        </w:tc>
      </w:tr>
      <w:tr>
        <w:trPr>
          <w:trHeight w:val="797"/>
        </w:trPr>
        <w:tc>
          <w:tcPr>
            <w:tcW w:w="8180" w:type="dxa"/>
            <w:vAlign w:val="bottom"/>
          </w:tcPr>
          <w:p>
            <w:pPr>
              <w:ind w:left="20"/>
              <w:spacing w:after="0"/>
              <w:rPr>
                <w:sz w:val="20"/>
                <w:szCs w:val="20"/>
                <w:color w:val="auto"/>
              </w:rPr>
            </w:pPr>
            <w:r>
              <w:rPr>
                <w:rFonts w:ascii="Arial" w:cs="Arial" w:eastAsia="Arial" w:hAnsi="Arial"/>
                <w:sz w:val="20"/>
                <w:szCs w:val="20"/>
                <w:color w:val="auto"/>
              </w:rPr>
              <w:t>Items that are or may be reclassified subsequently to profit or loss</w:t>
            </w:r>
          </w:p>
        </w:tc>
        <w:tc>
          <w:tcPr>
            <w:tcW w:w="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8180" w:type="dxa"/>
            <w:vAlign w:val="bottom"/>
          </w:tcPr>
          <w:p>
            <w:pPr>
              <w:ind w:left="20"/>
              <w:spacing w:after="0"/>
              <w:rPr>
                <w:sz w:val="20"/>
                <w:szCs w:val="20"/>
                <w:color w:val="auto"/>
              </w:rPr>
            </w:pPr>
            <w:r>
              <w:rPr>
                <w:rFonts w:ascii="Arial" w:cs="Arial" w:eastAsia="Arial" w:hAnsi="Arial"/>
                <w:sz w:val="20"/>
                <w:szCs w:val="20"/>
                <w:color w:val="auto"/>
              </w:rPr>
              <w:t>Exchange differences on translating foreign operations</w:t>
            </w:r>
          </w:p>
        </w:tc>
        <w:tc>
          <w:tcPr>
            <w:tcW w:w="860" w:type="dxa"/>
            <w:vAlign w:val="bottom"/>
          </w:tcPr>
          <w:p>
            <w:pPr>
              <w:spacing w:after="0"/>
              <w:rPr>
                <w:sz w:val="24"/>
                <w:szCs w:val="24"/>
                <w:color w:val="auto"/>
              </w:rPr>
            </w:pP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4</w:t>
            </w:r>
          </w:p>
        </w:tc>
        <w:tc>
          <w:tcPr>
            <w:tcW w:w="980" w:type="dxa"/>
            <w:vAlign w:val="bottom"/>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796"/>
        </w:trPr>
        <w:tc>
          <w:tcPr>
            <w:tcW w:w="8180" w:type="dxa"/>
            <w:vAlign w:val="bottom"/>
          </w:tcPr>
          <w:p>
            <w:pPr>
              <w:ind w:left="20"/>
              <w:spacing w:after="0"/>
              <w:rPr>
                <w:sz w:val="20"/>
                <w:szCs w:val="20"/>
                <w:color w:val="auto"/>
              </w:rPr>
            </w:pPr>
            <w:r>
              <w:rPr>
                <w:rFonts w:ascii="Arial" w:cs="Arial" w:eastAsia="Arial" w:hAnsi="Arial"/>
                <w:sz w:val="20"/>
                <w:szCs w:val="20"/>
                <w:color w:val="auto"/>
              </w:rPr>
              <w:t>Other comprehensive result, net of tax</w:t>
            </w:r>
          </w:p>
        </w:tc>
        <w:tc>
          <w:tcPr>
            <w:tcW w:w="860" w:type="dxa"/>
            <w:vAlign w:val="bottom"/>
          </w:tcPr>
          <w:p>
            <w:pPr>
              <w:spacing w:after="0"/>
              <w:rPr>
                <w:sz w:val="24"/>
                <w:szCs w:val="24"/>
                <w:color w:val="auto"/>
              </w:rPr>
            </w:pPr>
          </w:p>
        </w:tc>
        <w:tc>
          <w:tcPr>
            <w:tcW w:w="1160" w:type="dxa"/>
            <w:vAlign w:val="bottom"/>
          </w:tcPr>
          <w:p>
            <w:pPr>
              <w:jc w:val="right"/>
              <w:ind w:right="181"/>
              <w:spacing w:after="0"/>
              <w:rPr>
                <w:sz w:val="20"/>
                <w:szCs w:val="20"/>
                <w:color w:val="auto"/>
              </w:rPr>
            </w:pPr>
            <w:r>
              <w:rPr>
                <w:rFonts w:ascii="Arial" w:cs="Arial" w:eastAsia="Arial" w:hAnsi="Arial"/>
                <w:sz w:val="20"/>
                <w:szCs w:val="20"/>
                <w:color w:val="auto"/>
              </w:rPr>
              <w:t>2,812</w:t>
            </w:r>
          </w:p>
        </w:tc>
        <w:tc>
          <w:tcPr>
            <w:tcW w:w="980" w:type="dxa"/>
            <w:vAlign w:val="bottom"/>
          </w:tcPr>
          <w:p>
            <w:pPr>
              <w:jc w:val="right"/>
              <w:spacing w:after="0"/>
              <w:rPr>
                <w:sz w:val="20"/>
                <w:szCs w:val="20"/>
                <w:color w:val="auto"/>
              </w:rPr>
            </w:pPr>
            <w:r>
              <w:rPr>
                <w:rFonts w:ascii="Arial" w:cs="Arial" w:eastAsia="Arial" w:hAnsi="Arial"/>
                <w:sz w:val="20"/>
                <w:szCs w:val="20"/>
                <w:color w:val="auto"/>
              </w:rPr>
              <w:t>(370)</w:t>
            </w:r>
          </w:p>
        </w:tc>
        <w:tc>
          <w:tcPr>
            <w:tcW w:w="0" w:type="dxa"/>
            <w:vAlign w:val="bottom"/>
          </w:tcPr>
          <w:p>
            <w:pPr>
              <w:spacing w:after="0"/>
              <w:rPr>
                <w:sz w:val="1"/>
                <w:szCs w:val="1"/>
                <w:color w:val="auto"/>
              </w:rPr>
            </w:pPr>
          </w:p>
        </w:tc>
      </w:tr>
      <w:tr>
        <w:trPr>
          <w:trHeight w:val="246"/>
        </w:trPr>
        <w:tc>
          <w:tcPr>
            <w:tcW w:w="818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9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98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ectPr>
          <w:pgSz w:w="11900" w:h="16838" w:orient="portrait"/>
          <w:cols w:equalWidth="0" w:num="1">
            <w:col w:w="11180"/>
          </w:cols>
          <w:pgMar w:left="320" w:top="1171" w:right="399" w:bottom="0" w:gutter="0" w:footer="0" w:header="0"/>
        </w:sectPr>
      </w:pPr>
    </w:p>
    <w:p>
      <w:pPr>
        <w:ind w:left="20"/>
        <w:spacing w:after="0"/>
        <w:tabs>
          <w:tab w:leader="none" w:pos="9340" w:val="left"/>
          <w:tab w:leader="none" w:pos="10400" w:val="left"/>
        </w:tabs>
        <w:rPr>
          <w:sz w:val="20"/>
          <w:szCs w:val="20"/>
          <w:color w:val="auto"/>
        </w:rPr>
      </w:pPr>
      <w:r>
        <w:rPr>
          <w:rFonts w:ascii="Arial" w:cs="Arial" w:eastAsia="Arial" w:hAnsi="Arial"/>
          <w:sz w:val="20"/>
          <w:szCs w:val="20"/>
          <w:color w:val="auto"/>
        </w:rPr>
        <w:t>Total comprehensive result, attributable to shareholders</w:t>
      </w:r>
      <w:r>
        <w:rPr>
          <w:sz w:val="20"/>
          <w:szCs w:val="20"/>
          <w:color w:val="auto"/>
        </w:rPr>
        <w:tab/>
      </w:r>
      <w:r>
        <w:rPr>
          <w:rFonts w:ascii="Arial" w:cs="Arial" w:eastAsia="Arial" w:hAnsi="Arial"/>
          <w:sz w:val="20"/>
          <w:szCs w:val="20"/>
          <w:color w:val="auto"/>
        </w:rPr>
        <w:t>(8,896)</w:t>
      </w:r>
      <w:r>
        <w:rPr>
          <w:sz w:val="20"/>
          <w:szCs w:val="20"/>
          <w:color w:val="auto"/>
        </w:rPr>
        <w:tab/>
      </w:r>
      <w:r>
        <w:rPr>
          <w:rFonts w:ascii="Arial" w:cs="Arial" w:eastAsia="Arial" w:hAnsi="Arial"/>
          <w:sz w:val="19"/>
          <w:szCs w:val="19"/>
          <w:color w:val="auto"/>
        </w:rPr>
        <w:t>(12,206)</w:t>
      </w:r>
    </w:p>
    <w:p>
      <w:pPr>
        <w:sectPr>
          <w:pgSz w:w="11900" w:h="16838" w:orient="portrait"/>
          <w:cols w:equalWidth="0" w:num="1">
            <w:col w:w="11180"/>
          </w:cols>
          <w:pgMar w:left="320" w:top="1171" w:right="39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61"/>
        </w:trPr>
        <w:tc>
          <w:tcPr>
            <w:tcW w:w="6280" w:type="dxa"/>
            <w:vAlign w:val="bottom"/>
          </w:tcPr>
          <w:p>
            <w:pPr>
              <w:ind w:left="20"/>
              <w:spacing w:after="0"/>
              <w:rPr>
                <w:sz w:val="20"/>
                <w:szCs w:val="20"/>
                <w:color w:val="auto"/>
              </w:rPr>
            </w:pPr>
            <w:r>
              <w:rPr>
                <w:rFonts w:ascii="Arial" w:cs="Arial" w:eastAsia="Arial" w:hAnsi="Arial"/>
                <w:sz w:val="20"/>
                <w:szCs w:val="20"/>
                <w:color w:val="auto"/>
              </w:rPr>
              <w:t>Basic and diluted net result per share (in CHF)</w:t>
            </w:r>
          </w:p>
        </w:tc>
        <w:tc>
          <w:tcPr>
            <w:tcW w:w="2840" w:type="dxa"/>
            <w:vAlign w:val="bottom"/>
          </w:tcPr>
          <w:p>
            <w:pPr>
              <w:jc w:val="right"/>
              <w:ind w:right="261"/>
              <w:spacing w:after="0"/>
              <w:rPr>
                <w:sz w:val="20"/>
                <w:szCs w:val="20"/>
                <w:color w:val="auto"/>
              </w:rPr>
            </w:pPr>
            <w:r>
              <w:rPr>
                <w:rFonts w:ascii="Arial" w:cs="Arial" w:eastAsia="Arial" w:hAnsi="Arial"/>
                <w:sz w:val="20"/>
                <w:szCs w:val="20"/>
                <w:color w:val="auto"/>
              </w:rPr>
              <w:t>5.7</w:t>
            </w:r>
          </w:p>
        </w:tc>
        <w:tc>
          <w:tcPr>
            <w:tcW w:w="1200" w:type="dxa"/>
            <w:vAlign w:val="bottom"/>
          </w:tcPr>
          <w:p>
            <w:pPr>
              <w:jc w:val="right"/>
              <w:ind w:right="241"/>
              <w:spacing w:after="0"/>
              <w:rPr>
                <w:sz w:val="20"/>
                <w:szCs w:val="20"/>
                <w:color w:val="auto"/>
              </w:rPr>
            </w:pPr>
            <w:r>
              <w:rPr>
                <w:rFonts w:ascii="Arial" w:cs="Arial" w:eastAsia="Arial" w:hAnsi="Arial"/>
                <w:sz w:val="20"/>
                <w:szCs w:val="20"/>
                <w:color w:val="auto"/>
              </w:rPr>
              <w:t>(0.31)</w:t>
            </w:r>
          </w:p>
        </w:tc>
        <w:tc>
          <w:tcPr>
            <w:tcW w:w="860" w:type="dxa"/>
            <w:vAlign w:val="bottom"/>
          </w:tcPr>
          <w:p>
            <w:pPr>
              <w:jc w:val="right"/>
              <w:spacing w:after="0"/>
              <w:rPr>
                <w:sz w:val="20"/>
                <w:szCs w:val="20"/>
                <w:color w:val="auto"/>
              </w:rPr>
            </w:pPr>
            <w:r>
              <w:rPr>
                <w:rFonts w:ascii="Arial" w:cs="Arial" w:eastAsia="Arial" w:hAnsi="Arial"/>
                <w:sz w:val="20"/>
                <w:szCs w:val="20"/>
                <w:color w:val="auto"/>
              </w:rPr>
              <w:t>(0.33)</w:t>
            </w:r>
          </w:p>
        </w:tc>
      </w:tr>
      <w:tr>
        <w:trPr>
          <w:trHeight w:val="247"/>
        </w:trPr>
        <w:tc>
          <w:tcPr>
            <w:tcW w:w="6280" w:type="dxa"/>
            <w:vAlign w:val="bottom"/>
            <w:tcBorders>
              <w:bottom w:val="single" w:sz="8" w:color="BC2327"/>
            </w:tcBorders>
          </w:tcPr>
          <w:p>
            <w:pPr>
              <w:spacing w:after="0"/>
              <w:rPr>
                <w:sz w:val="21"/>
                <w:szCs w:val="21"/>
                <w:color w:val="auto"/>
              </w:rPr>
            </w:pPr>
          </w:p>
        </w:tc>
        <w:tc>
          <w:tcPr>
            <w:tcW w:w="2840" w:type="dxa"/>
            <w:vAlign w:val="bottom"/>
            <w:tcBorders>
              <w:bottom w:val="single" w:sz="8" w:color="BC2327"/>
            </w:tcBorders>
          </w:tcPr>
          <w:p>
            <w:pPr>
              <w:spacing w:after="0"/>
              <w:rPr>
                <w:sz w:val="21"/>
                <w:szCs w:val="21"/>
                <w:color w:val="auto"/>
              </w:rPr>
            </w:pPr>
          </w:p>
        </w:tc>
        <w:tc>
          <w:tcPr>
            <w:tcW w:w="1200" w:type="dxa"/>
            <w:vAlign w:val="bottom"/>
            <w:tcBorders>
              <w:bottom w:val="single" w:sz="8" w:color="BC2327"/>
            </w:tcBorders>
          </w:tcPr>
          <w:p>
            <w:pPr>
              <w:spacing w:after="0"/>
              <w:rPr>
                <w:sz w:val="21"/>
                <w:szCs w:val="21"/>
                <w:color w:val="auto"/>
              </w:rPr>
            </w:pPr>
          </w:p>
        </w:tc>
        <w:tc>
          <w:tcPr>
            <w:tcW w:w="860" w:type="dxa"/>
            <w:vAlign w:val="bottom"/>
            <w:tcBorders>
              <w:bottom w:val="single" w:sz="8" w:color="BC2327"/>
            </w:tcBorders>
          </w:tcPr>
          <w:p>
            <w:pPr>
              <w:spacing w:after="0"/>
              <w:rPr>
                <w:sz w:val="21"/>
                <w:szCs w:val="21"/>
                <w:color w:val="auto"/>
              </w:rPr>
            </w:pPr>
          </w:p>
        </w:tc>
      </w:tr>
    </w:tbl>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0980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i w:val="1"/>
          <w:iCs w:val="1"/>
          <w:color w:val="auto"/>
        </w:rPr>
        <w:t>See accompanying notes, which form an integral part of these unaudited condensed consolidated interim financial statements.</w:t>
      </w:r>
    </w:p>
    <w:p>
      <w:pPr>
        <w:sectPr>
          <w:pgSz w:w="11900" w:h="16838" w:orient="portrait"/>
          <w:cols w:equalWidth="0" w:num="1">
            <w:col w:w="11180"/>
          </w:cols>
          <w:pgMar w:left="320" w:top="577"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6680" w:type="dxa"/>
            <w:vAlign w:val="bottom"/>
          </w:tcPr>
          <w:p>
            <w:pPr>
              <w:ind w:left="20"/>
              <w:spacing w:after="0"/>
              <w:rPr>
                <w:sz w:val="20"/>
                <w:szCs w:val="20"/>
                <w:color w:val="auto"/>
              </w:rPr>
            </w:pPr>
            <w:r>
              <w:rPr>
                <w:rFonts w:ascii="Arial" w:cs="Arial" w:eastAsia="Arial" w:hAnsi="Arial"/>
                <w:sz w:val="20"/>
                <w:szCs w:val="20"/>
                <w:color w:val="auto"/>
              </w:rPr>
              <w:t>Condensed consolidated interim cash flow statement for the 9 months</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2026</w:t>
            </w:r>
          </w:p>
        </w:tc>
        <w:tc>
          <w:tcPr>
            <w:tcW w:w="1160" w:type="dxa"/>
            <w:vAlign w:val="bottom"/>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51"/>
        </w:trPr>
        <w:tc>
          <w:tcPr>
            <w:tcW w:w="6680" w:type="dxa"/>
            <w:vAlign w:val="bottom"/>
            <w:tcBorders>
              <w:bottom w:val="single" w:sz="8" w:color="EE2724"/>
            </w:tcBorders>
          </w:tcPr>
          <w:p>
            <w:pPr>
              <w:ind w:left="20"/>
              <w:spacing w:after="0"/>
              <w:rPr>
                <w:sz w:val="20"/>
                <w:szCs w:val="20"/>
                <w:color w:val="auto"/>
              </w:rPr>
            </w:pPr>
            <w:r>
              <w:rPr>
                <w:rFonts w:ascii="Arial" w:cs="Arial" w:eastAsia="Arial" w:hAnsi="Arial"/>
                <w:sz w:val="20"/>
                <w:szCs w:val="20"/>
                <w:color w:val="auto"/>
              </w:rPr>
              <w:t>ended September 30,</w:t>
            </w:r>
          </w:p>
        </w:tc>
        <w:tc>
          <w:tcPr>
            <w:tcW w:w="1880" w:type="dxa"/>
            <w:vAlign w:val="bottom"/>
            <w:tcBorders>
              <w:bottom w:val="single" w:sz="8" w:color="BF2115"/>
            </w:tcBorders>
          </w:tcPr>
          <w:p>
            <w:pPr>
              <w:spacing w:after="0"/>
              <w:rPr>
                <w:sz w:val="21"/>
                <w:szCs w:val="21"/>
                <w:color w:val="auto"/>
              </w:rPr>
            </w:pPr>
          </w:p>
        </w:tc>
        <w:tc>
          <w:tcPr>
            <w:tcW w:w="116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6680" w:type="dxa"/>
            <w:vAlign w:val="bottom"/>
          </w:tcPr>
          <w:p>
            <w:pPr>
              <w:ind w:left="20"/>
              <w:spacing w:after="0"/>
              <w:rPr>
                <w:sz w:val="20"/>
                <w:szCs w:val="20"/>
                <w:color w:val="auto"/>
              </w:rPr>
            </w:pPr>
            <w:r>
              <w:rPr>
                <w:rFonts w:ascii="Arial" w:cs="Arial" w:eastAsia="Arial" w:hAnsi="Arial"/>
                <w:sz w:val="20"/>
                <w:szCs w:val="20"/>
                <w:color w:val="auto"/>
              </w:rPr>
              <w:t>in CHF thousands</w:t>
            </w:r>
          </w:p>
        </w:tc>
        <w:tc>
          <w:tcPr>
            <w:tcW w:w="18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5"/>
        </w:trPr>
        <w:tc>
          <w:tcPr>
            <w:tcW w:w="6680" w:type="dxa"/>
            <w:vAlign w:val="bottom"/>
          </w:tcPr>
          <w:p>
            <w:pPr>
              <w:ind w:left="20"/>
              <w:spacing w:after="0"/>
              <w:rPr>
                <w:sz w:val="20"/>
                <w:szCs w:val="20"/>
                <w:color w:val="auto"/>
              </w:rPr>
            </w:pPr>
            <w:r>
              <w:rPr>
                <w:rFonts w:ascii="Arial" w:cs="Arial" w:eastAsia="Arial" w:hAnsi="Arial"/>
                <w:sz w:val="20"/>
                <w:szCs w:val="20"/>
                <w:color w:val="auto"/>
              </w:rPr>
              <w:t>Net result attributable to shareholders</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(38,410)</w:t>
            </w:r>
          </w:p>
        </w:tc>
        <w:tc>
          <w:tcPr>
            <w:tcW w:w="1160" w:type="dxa"/>
            <w:vAlign w:val="bottom"/>
          </w:tcPr>
          <w:p>
            <w:pPr>
              <w:jc w:val="right"/>
              <w:spacing w:after="0"/>
              <w:rPr>
                <w:sz w:val="20"/>
                <w:szCs w:val="20"/>
                <w:color w:val="auto"/>
              </w:rPr>
            </w:pPr>
            <w:r>
              <w:rPr>
                <w:rFonts w:ascii="Arial" w:cs="Arial" w:eastAsia="Arial" w:hAnsi="Arial"/>
                <w:sz w:val="20"/>
                <w:szCs w:val="20"/>
                <w:color w:val="auto"/>
              </w:rPr>
              <w:t>(49,002)</w:t>
            </w:r>
          </w:p>
        </w:tc>
        <w:tc>
          <w:tcPr>
            <w:tcW w:w="0" w:type="dxa"/>
            <w:vAlign w:val="bottom"/>
          </w:tcPr>
          <w:p>
            <w:pPr>
              <w:spacing w:after="0"/>
              <w:rPr>
                <w:sz w:val="1"/>
                <w:szCs w:val="1"/>
                <w:color w:val="auto"/>
              </w:rPr>
            </w:pPr>
          </w:p>
        </w:tc>
      </w:tr>
      <w:tr>
        <w:trPr>
          <w:trHeight w:val="527"/>
        </w:trPr>
        <w:tc>
          <w:tcPr>
            <w:tcW w:w="6680" w:type="dxa"/>
            <w:vAlign w:val="bottom"/>
          </w:tcPr>
          <w:p>
            <w:pPr>
              <w:ind w:left="180"/>
              <w:spacing w:after="0"/>
              <w:rPr>
                <w:sz w:val="20"/>
                <w:szCs w:val="20"/>
                <w:color w:val="auto"/>
              </w:rPr>
            </w:pPr>
            <w:r>
              <w:rPr>
                <w:rFonts w:ascii="Arial" w:cs="Arial" w:eastAsia="Arial" w:hAnsi="Arial"/>
                <w:sz w:val="20"/>
                <w:szCs w:val="20"/>
                <w:color w:val="auto"/>
              </w:rPr>
              <w:t>Adjustments for:</w:t>
            </w:r>
          </w:p>
        </w:tc>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6680" w:type="dxa"/>
            <w:vAlign w:val="bottom"/>
          </w:tcPr>
          <w:p>
            <w:pPr>
              <w:ind w:left="360"/>
              <w:spacing w:after="0"/>
              <w:rPr>
                <w:sz w:val="20"/>
                <w:szCs w:val="20"/>
                <w:color w:val="auto"/>
              </w:rPr>
            </w:pPr>
            <w:r>
              <w:rPr>
                <w:rFonts w:ascii="Arial" w:cs="Arial" w:eastAsia="Arial" w:hAnsi="Arial"/>
                <w:sz w:val="20"/>
                <w:szCs w:val="20"/>
                <w:color w:val="auto"/>
              </w:rPr>
              <w:t>Depreciation and amortization</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1,464</w:t>
            </w:r>
          </w:p>
        </w:tc>
        <w:tc>
          <w:tcPr>
            <w:tcW w:w="1160" w:type="dxa"/>
            <w:vAlign w:val="bottom"/>
          </w:tcPr>
          <w:p>
            <w:pPr>
              <w:jc w:val="right"/>
              <w:spacing w:after="0"/>
              <w:rPr>
                <w:sz w:val="20"/>
                <w:szCs w:val="20"/>
                <w:color w:val="auto"/>
              </w:rPr>
            </w:pPr>
            <w:r>
              <w:rPr>
                <w:rFonts w:ascii="Arial" w:cs="Arial" w:eastAsia="Arial" w:hAnsi="Arial"/>
                <w:sz w:val="20"/>
                <w:szCs w:val="20"/>
                <w:color w:val="auto"/>
              </w:rPr>
              <w:t>1,632</w:t>
            </w:r>
          </w:p>
        </w:tc>
        <w:tc>
          <w:tcPr>
            <w:tcW w:w="0" w:type="dxa"/>
            <w:vAlign w:val="bottom"/>
          </w:tcPr>
          <w:p>
            <w:pPr>
              <w:spacing w:after="0"/>
              <w:rPr>
                <w:sz w:val="1"/>
                <w:szCs w:val="1"/>
                <w:color w:val="auto"/>
              </w:rPr>
            </w:pPr>
          </w:p>
        </w:tc>
      </w:tr>
      <w:tr>
        <w:trPr>
          <w:trHeight w:val="527"/>
        </w:trPr>
        <w:tc>
          <w:tcPr>
            <w:tcW w:w="6680" w:type="dxa"/>
            <w:vAlign w:val="bottom"/>
          </w:tcPr>
          <w:p>
            <w:pPr>
              <w:ind w:left="360"/>
              <w:spacing w:after="0"/>
              <w:rPr>
                <w:sz w:val="20"/>
                <w:szCs w:val="20"/>
                <w:color w:val="auto"/>
              </w:rPr>
            </w:pPr>
            <w:r>
              <w:rPr>
                <w:rFonts w:ascii="Arial" w:cs="Arial" w:eastAsia="Arial" w:hAnsi="Arial"/>
                <w:sz w:val="20"/>
                <w:szCs w:val="20"/>
                <w:color w:val="auto"/>
              </w:rPr>
              <w:t>Share-based compensation</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2,784</w:t>
            </w:r>
          </w:p>
        </w:tc>
        <w:tc>
          <w:tcPr>
            <w:tcW w:w="1160" w:type="dxa"/>
            <w:vAlign w:val="bottom"/>
          </w:tcPr>
          <w:p>
            <w:pPr>
              <w:jc w:val="right"/>
              <w:spacing w:after="0"/>
              <w:rPr>
                <w:sz w:val="20"/>
                <w:szCs w:val="20"/>
                <w:color w:val="auto"/>
              </w:rPr>
            </w:pPr>
            <w:r>
              <w:rPr>
                <w:rFonts w:ascii="Arial" w:cs="Arial" w:eastAsia="Arial" w:hAnsi="Arial"/>
                <w:sz w:val="20"/>
                <w:szCs w:val="20"/>
                <w:color w:val="auto"/>
              </w:rPr>
              <w:t>3,446</w:t>
            </w:r>
          </w:p>
        </w:tc>
        <w:tc>
          <w:tcPr>
            <w:tcW w:w="0" w:type="dxa"/>
            <w:vAlign w:val="bottom"/>
          </w:tcPr>
          <w:p>
            <w:pPr>
              <w:spacing w:after="0"/>
              <w:rPr>
                <w:sz w:val="1"/>
                <w:szCs w:val="1"/>
                <w:color w:val="auto"/>
              </w:rPr>
            </w:pPr>
          </w:p>
        </w:tc>
      </w:tr>
      <w:tr>
        <w:trPr>
          <w:trHeight w:val="508"/>
        </w:trPr>
        <w:tc>
          <w:tcPr>
            <w:tcW w:w="6680" w:type="dxa"/>
            <w:vAlign w:val="bottom"/>
          </w:tcPr>
          <w:p>
            <w:pPr>
              <w:ind w:left="360"/>
              <w:spacing w:after="0"/>
              <w:rPr>
                <w:sz w:val="20"/>
                <w:szCs w:val="20"/>
                <w:color w:val="auto"/>
              </w:rPr>
            </w:pPr>
            <w:r>
              <w:rPr>
                <w:rFonts w:ascii="Arial" w:cs="Arial" w:eastAsia="Arial" w:hAnsi="Arial"/>
                <w:sz w:val="20"/>
                <w:szCs w:val="20"/>
                <w:color w:val="auto"/>
              </w:rPr>
              <w:t>Social security and tax paid on behalf of employees on shares vested</w:t>
            </w:r>
          </w:p>
        </w:tc>
        <w:tc>
          <w:tcPr>
            <w:tcW w:w="1880" w:type="dxa"/>
            <w:vAlign w:val="bottom"/>
            <w:vMerge w:val="restart"/>
          </w:tcPr>
          <w:p>
            <w:pPr>
              <w:jc w:val="right"/>
              <w:ind w:right="281"/>
              <w:spacing w:after="0"/>
              <w:rPr>
                <w:sz w:val="20"/>
                <w:szCs w:val="20"/>
                <w:color w:val="auto"/>
              </w:rPr>
            </w:pPr>
            <w:r>
              <w:rPr>
                <w:rFonts w:ascii="Arial" w:cs="Arial" w:eastAsia="Arial" w:hAnsi="Arial"/>
                <w:sz w:val="20"/>
                <w:szCs w:val="20"/>
                <w:color w:val="auto"/>
              </w:rPr>
              <w:t>(406)</w:t>
            </w: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(322)</w:t>
            </w:r>
          </w:p>
        </w:tc>
        <w:tc>
          <w:tcPr>
            <w:tcW w:w="0" w:type="dxa"/>
            <w:vAlign w:val="bottom"/>
          </w:tcPr>
          <w:p>
            <w:pPr>
              <w:spacing w:after="0"/>
              <w:rPr>
                <w:sz w:val="1"/>
                <w:szCs w:val="1"/>
                <w:color w:val="auto"/>
              </w:rPr>
            </w:pPr>
          </w:p>
        </w:tc>
      </w:tr>
      <w:tr>
        <w:trPr>
          <w:trHeight w:val="261"/>
        </w:trPr>
        <w:tc>
          <w:tcPr>
            <w:tcW w:w="6680" w:type="dxa"/>
            <w:vAlign w:val="bottom"/>
          </w:tcPr>
          <w:p>
            <w:pPr>
              <w:ind w:left="360"/>
              <w:spacing w:after="0"/>
              <w:rPr>
                <w:sz w:val="20"/>
                <w:szCs w:val="20"/>
                <w:color w:val="auto"/>
              </w:rPr>
            </w:pPr>
            <w:r>
              <w:rPr>
                <w:rFonts w:ascii="Arial" w:cs="Arial" w:eastAsia="Arial" w:hAnsi="Arial"/>
                <w:sz w:val="20"/>
                <w:szCs w:val="20"/>
                <w:color w:val="auto"/>
              </w:rPr>
              <w:t>under the PSU and RSU program</w:t>
            </w:r>
          </w:p>
        </w:tc>
        <w:tc>
          <w:tcPr>
            <w:tcW w:w="188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6680" w:type="dxa"/>
            <w:vAlign w:val="bottom"/>
          </w:tcPr>
          <w:p>
            <w:pPr>
              <w:ind w:left="360"/>
              <w:spacing w:after="0"/>
              <w:rPr>
                <w:sz w:val="20"/>
                <w:szCs w:val="20"/>
                <w:color w:val="auto"/>
              </w:rPr>
            </w:pPr>
            <w:r>
              <w:rPr>
                <w:rFonts w:ascii="Arial" w:cs="Arial" w:eastAsia="Arial" w:hAnsi="Arial"/>
                <w:sz w:val="20"/>
                <w:szCs w:val="20"/>
                <w:color w:val="auto"/>
              </w:rPr>
              <w:t>Other equity-settled transactions</w:t>
            </w:r>
          </w:p>
        </w:tc>
        <w:tc>
          <w:tcPr>
            <w:tcW w:w="1880" w:type="dxa"/>
            <w:vAlign w:val="bottom"/>
            <w:vMerge w:val="restart"/>
          </w:tcPr>
          <w:p>
            <w:pPr>
              <w:jc w:val="right"/>
              <w:ind w:right="341"/>
              <w:spacing w:after="0"/>
              <w:rPr>
                <w:sz w:val="20"/>
                <w:szCs w:val="20"/>
                <w:color w:val="auto"/>
              </w:rPr>
            </w:pPr>
            <w:r>
              <w:rPr>
                <w:rFonts w:ascii="Arial" w:cs="Arial" w:eastAsia="Arial" w:hAnsi="Arial"/>
                <w:sz w:val="20"/>
                <w:szCs w:val="20"/>
                <w:color w:val="auto"/>
              </w:rPr>
              <w:t>169</w:t>
            </w: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680" w:type="dxa"/>
            <w:vAlign w:val="bottom"/>
          </w:tcPr>
          <w:p>
            <w:pPr>
              <w:ind w:left="360"/>
              <w:spacing w:after="0"/>
              <w:rPr>
                <w:sz w:val="20"/>
                <w:szCs w:val="20"/>
                <w:color w:val="auto"/>
              </w:rPr>
            </w:pPr>
            <w:r>
              <w:rPr>
                <w:rFonts w:ascii="Arial" w:cs="Arial" w:eastAsia="Arial" w:hAnsi="Arial"/>
                <w:sz w:val="20"/>
                <w:szCs w:val="20"/>
                <w:color w:val="auto"/>
              </w:rPr>
              <w:t>Change in employee benefits</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687</w:t>
            </w:r>
          </w:p>
        </w:tc>
        <w:tc>
          <w:tcPr>
            <w:tcW w:w="1160" w:type="dxa"/>
            <w:vAlign w:val="bottom"/>
          </w:tcPr>
          <w:p>
            <w:pPr>
              <w:jc w:val="right"/>
              <w:spacing w:after="0"/>
              <w:rPr>
                <w:sz w:val="20"/>
                <w:szCs w:val="20"/>
                <w:color w:val="auto"/>
              </w:rPr>
            </w:pPr>
            <w:r>
              <w:rPr>
                <w:rFonts w:ascii="Arial" w:cs="Arial" w:eastAsia="Arial" w:hAnsi="Arial"/>
                <w:sz w:val="20"/>
                <w:szCs w:val="20"/>
                <w:color w:val="auto"/>
              </w:rPr>
              <w:t>(770)</w:t>
            </w:r>
          </w:p>
        </w:tc>
        <w:tc>
          <w:tcPr>
            <w:tcW w:w="0" w:type="dxa"/>
            <w:vAlign w:val="bottom"/>
          </w:tcPr>
          <w:p>
            <w:pPr>
              <w:spacing w:after="0"/>
              <w:rPr>
                <w:sz w:val="1"/>
                <w:szCs w:val="1"/>
                <w:color w:val="auto"/>
              </w:rPr>
            </w:pPr>
          </w:p>
        </w:tc>
      </w:tr>
      <w:tr>
        <w:trPr>
          <w:trHeight w:val="527"/>
        </w:trPr>
        <w:tc>
          <w:tcPr>
            <w:tcW w:w="6680" w:type="dxa"/>
            <w:vAlign w:val="bottom"/>
          </w:tcPr>
          <w:p>
            <w:pPr>
              <w:ind w:left="360"/>
              <w:spacing w:after="0"/>
              <w:rPr>
                <w:sz w:val="20"/>
                <w:szCs w:val="20"/>
                <w:color w:val="auto"/>
              </w:rPr>
            </w:pPr>
            <w:r>
              <w:rPr>
                <w:rFonts w:ascii="Arial" w:cs="Arial" w:eastAsia="Arial" w:hAnsi="Arial"/>
                <w:sz w:val="20"/>
                <w:szCs w:val="20"/>
                <w:color w:val="auto"/>
              </w:rPr>
              <w:t>Income tax</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526"/>
        </w:trPr>
        <w:tc>
          <w:tcPr>
            <w:tcW w:w="6680" w:type="dxa"/>
            <w:vAlign w:val="bottom"/>
          </w:tcPr>
          <w:p>
            <w:pPr>
              <w:ind w:left="360"/>
              <w:spacing w:after="0"/>
              <w:rPr>
                <w:sz w:val="20"/>
                <w:szCs w:val="20"/>
                <w:color w:val="auto"/>
              </w:rPr>
            </w:pPr>
            <w:r>
              <w:rPr>
                <w:rFonts w:ascii="Arial" w:cs="Arial" w:eastAsia="Arial" w:hAnsi="Arial"/>
                <w:sz w:val="20"/>
                <w:szCs w:val="20"/>
                <w:color w:val="auto"/>
              </w:rPr>
              <w:t>Financial income</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(713)</w:t>
            </w:r>
          </w:p>
        </w:tc>
        <w:tc>
          <w:tcPr>
            <w:tcW w:w="1160" w:type="dxa"/>
            <w:vAlign w:val="bottom"/>
          </w:tcPr>
          <w:p>
            <w:pPr>
              <w:jc w:val="right"/>
              <w:spacing w:after="0"/>
              <w:rPr>
                <w:sz w:val="20"/>
                <w:szCs w:val="20"/>
                <w:color w:val="auto"/>
              </w:rPr>
            </w:pPr>
            <w:r>
              <w:rPr>
                <w:rFonts w:ascii="Arial" w:cs="Arial" w:eastAsia="Arial" w:hAnsi="Arial"/>
                <w:sz w:val="20"/>
                <w:szCs w:val="20"/>
                <w:color w:val="auto"/>
              </w:rPr>
              <w:t>(1,288)</w:t>
            </w:r>
          </w:p>
        </w:tc>
        <w:tc>
          <w:tcPr>
            <w:tcW w:w="0" w:type="dxa"/>
            <w:vAlign w:val="bottom"/>
          </w:tcPr>
          <w:p>
            <w:pPr>
              <w:spacing w:after="0"/>
              <w:rPr>
                <w:sz w:val="1"/>
                <w:szCs w:val="1"/>
                <w:color w:val="auto"/>
              </w:rPr>
            </w:pPr>
          </w:p>
        </w:tc>
      </w:tr>
      <w:tr>
        <w:trPr>
          <w:trHeight w:val="527"/>
        </w:trPr>
        <w:tc>
          <w:tcPr>
            <w:tcW w:w="6680" w:type="dxa"/>
            <w:vAlign w:val="bottom"/>
          </w:tcPr>
          <w:p>
            <w:pPr>
              <w:ind w:left="360"/>
              <w:spacing w:after="0"/>
              <w:rPr>
                <w:sz w:val="20"/>
                <w:szCs w:val="20"/>
                <w:color w:val="auto"/>
              </w:rPr>
            </w:pPr>
            <w:r>
              <w:rPr>
                <w:rFonts w:ascii="Arial" w:cs="Arial" w:eastAsia="Arial" w:hAnsi="Arial"/>
                <w:sz w:val="20"/>
                <w:szCs w:val="20"/>
                <w:color w:val="auto"/>
              </w:rPr>
              <w:t>Financial expenses</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30</w:t>
            </w:r>
          </w:p>
        </w:tc>
        <w:tc>
          <w:tcPr>
            <w:tcW w:w="1160" w:type="dxa"/>
            <w:vAlign w:val="bottom"/>
          </w:tcPr>
          <w:p>
            <w:pPr>
              <w:jc w:val="right"/>
              <w:spacing w:after="0"/>
              <w:rPr>
                <w:sz w:val="20"/>
                <w:szCs w:val="20"/>
                <w:color w:val="auto"/>
              </w:rPr>
            </w:pPr>
            <w:r>
              <w:rPr>
                <w:rFonts w:ascii="Arial" w:cs="Arial" w:eastAsia="Arial" w:hAnsi="Arial"/>
                <w:sz w:val="20"/>
                <w:szCs w:val="20"/>
                <w:color w:val="auto"/>
              </w:rPr>
              <w:t>4,790</w:t>
            </w:r>
          </w:p>
        </w:tc>
        <w:tc>
          <w:tcPr>
            <w:tcW w:w="0" w:type="dxa"/>
            <w:vAlign w:val="bottom"/>
          </w:tcPr>
          <w:p>
            <w:pPr>
              <w:spacing w:after="0"/>
              <w:rPr>
                <w:sz w:val="1"/>
                <w:szCs w:val="1"/>
                <w:color w:val="auto"/>
              </w:rPr>
            </w:pPr>
          </w:p>
        </w:tc>
      </w:tr>
      <w:tr>
        <w:trPr>
          <w:trHeight w:val="526"/>
        </w:trPr>
        <w:tc>
          <w:tcPr>
            <w:tcW w:w="6680" w:type="dxa"/>
            <w:vAlign w:val="bottom"/>
          </w:tcPr>
          <w:p>
            <w:pPr>
              <w:ind w:left="20"/>
              <w:spacing w:after="0"/>
              <w:rPr>
                <w:sz w:val="20"/>
                <w:szCs w:val="20"/>
                <w:color w:val="auto"/>
              </w:rPr>
            </w:pPr>
            <w:r>
              <w:rPr>
                <w:rFonts w:ascii="Arial" w:cs="Arial" w:eastAsia="Arial" w:hAnsi="Arial"/>
                <w:sz w:val="20"/>
                <w:szCs w:val="20"/>
                <w:color w:val="auto"/>
              </w:rPr>
              <w:t>Changes in working capital:</w:t>
            </w:r>
          </w:p>
        </w:tc>
        <w:tc>
          <w:tcPr>
            <w:tcW w:w="1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6680" w:type="dxa"/>
            <w:vAlign w:val="bottom"/>
          </w:tcPr>
          <w:p>
            <w:pPr>
              <w:ind w:left="360"/>
              <w:spacing w:after="0"/>
              <w:rPr>
                <w:sz w:val="20"/>
                <w:szCs w:val="20"/>
                <w:color w:val="auto"/>
              </w:rPr>
            </w:pPr>
            <w:r>
              <w:rPr>
                <w:rFonts w:ascii="Arial" w:cs="Arial" w:eastAsia="Arial" w:hAnsi="Arial"/>
                <w:sz w:val="20"/>
                <w:szCs w:val="20"/>
                <w:color w:val="auto"/>
              </w:rPr>
              <w:t>Change in other current assets</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247</w:t>
            </w:r>
          </w:p>
        </w:tc>
        <w:tc>
          <w:tcPr>
            <w:tcW w:w="1160" w:type="dxa"/>
            <w:vAlign w:val="bottom"/>
          </w:tcPr>
          <w:p>
            <w:pPr>
              <w:jc w:val="right"/>
              <w:spacing w:after="0"/>
              <w:rPr>
                <w:sz w:val="20"/>
                <w:szCs w:val="20"/>
                <w:color w:val="auto"/>
              </w:rPr>
            </w:pPr>
            <w:r>
              <w:rPr>
                <w:rFonts w:ascii="Arial" w:cs="Arial" w:eastAsia="Arial" w:hAnsi="Arial"/>
                <w:sz w:val="20"/>
                <w:szCs w:val="20"/>
                <w:color w:val="auto"/>
              </w:rPr>
              <w:t>131</w:t>
            </w:r>
          </w:p>
        </w:tc>
        <w:tc>
          <w:tcPr>
            <w:tcW w:w="0" w:type="dxa"/>
            <w:vAlign w:val="bottom"/>
          </w:tcPr>
          <w:p>
            <w:pPr>
              <w:spacing w:after="0"/>
              <w:rPr>
                <w:sz w:val="1"/>
                <w:szCs w:val="1"/>
                <w:color w:val="auto"/>
              </w:rPr>
            </w:pPr>
          </w:p>
        </w:tc>
      </w:tr>
      <w:tr>
        <w:trPr>
          <w:trHeight w:val="526"/>
        </w:trPr>
        <w:tc>
          <w:tcPr>
            <w:tcW w:w="6680" w:type="dxa"/>
            <w:vAlign w:val="bottom"/>
          </w:tcPr>
          <w:p>
            <w:pPr>
              <w:ind w:left="360"/>
              <w:spacing w:after="0"/>
              <w:rPr>
                <w:sz w:val="20"/>
                <w:szCs w:val="20"/>
                <w:color w:val="auto"/>
              </w:rPr>
            </w:pPr>
            <w:r>
              <w:rPr>
                <w:rFonts w:ascii="Arial" w:cs="Arial" w:eastAsia="Arial" w:hAnsi="Arial"/>
                <w:sz w:val="20"/>
                <w:szCs w:val="20"/>
                <w:color w:val="auto"/>
              </w:rPr>
              <w:t>Change in trade and other receivables</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276</w:t>
            </w:r>
          </w:p>
        </w:tc>
        <w:tc>
          <w:tcPr>
            <w:tcW w:w="1160" w:type="dxa"/>
            <w:vAlign w:val="bottom"/>
          </w:tcPr>
          <w:p>
            <w:pPr>
              <w:jc w:val="right"/>
              <w:spacing w:after="0"/>
              <w:rPr>
                <w:sz w:val="20"/>
                <w:szCs w:val="20"/>
                <w:color w:val="auto"/>
              </w:rPr>
            </w:pPr>
            <w:r>
              <w:rPr>
                <w:rFonts w:ascii="Arial" w:cs="Arial" w:eastAsia="Arial" w:hAnsi="Arial"/>
                <w:sz w:val="20"/>
                <w:szCs w:val="20"/>
                <w:color w:val="auto"/>
              </w:rPr>
              <w:t>215</w:t>
            </w:r>
          </w:p>
        </w:tc>
        <w:tc>
          <w:tcPr>
            <w:tcW w:w="0" w:type="dxa"/>
            <w:vAlign w:val="bottom"/>
          </w:tcPr>
          <w:p>
            <w:pPr>
              <w:spacing w:after="0"/>
              <w:rPr>
                <w:sz w:val="1"/>
                <w:szCs w:val="1"/>
                <w:color w:val="auto"/>
              </w:rPr>
            </w:pPr>
          </w:p>
        </w:tc>
      </w:tr>
      <w:tr>
        <w:trPr>
          <w:trHeight w:val="527"/>
        </w:trPr>
        <w:tc>
          <w:tcPr>
            <w:tcW w:w="6680" w:type="dxa"/>
            <w:vAlign w:val="bottom"/>
          </w:tcPr>
          <w:p>
            <w:pPr>
              <w:ind w:left="360"/>
              <w:spacing w:after="0"/>
              <w:rPr>
                <w:sz w:val="20"/>
                <w:szCs w:val="20"/>
                <w:color w:val="auto"/>
              </w:rPr>
            </w:pPr>
            <w:r>
              <w:rPr>
                <w:rFonts w:ascii="Arial" w:cs="Arial" w:eastAsia="Arial" w:hAnsi="Arial"/>
                <w:sz w:val="20"/>
                <w:szCs w:val="20"/>
                <w:color w:val="auto"/>
              </w:rPr>
              <w:t>Change in trade and other payables</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(568)</w:t>
            </w:r>
          </w:p>
        </w:tc>
        <w:tc>
          <w:tcPr>
            <w:tcW w:w="1160" w:type="dxa"/>
            <w:vAlign w:val="bottom"/>
          </w:tcPr>
          <w:p>
            <w:pPr>
              <w:jc w:val="right"/>
              <w:spacing w:after="0"/>
              <w:rPr>
                <w:sz w:val="20"/>
                <w:szCs w:val="20"/>
                <w:color w:val="auto"/>
              </w:rPr>
            </w:pPr>
            <w:r>
              <w:rPr>
                <w:rFonts w:ascii="Arial" w:cs="Arial" w:eastAsia="Arial" w:hAnsi="Arial"/>
                <w:sz w:val="20"/>
                <w:szCs w:val="20"/>
                <w:color w:val="auto"/>
              </w:rPr>
              <w:t>425</w:t>
            </w:r>
          </w:p>
        </w:tc>
        <w:tc>
          <w:tcPr>
            <w:tcW w:w="0" w:type="dxa"/>
            <w:vAlign w:val="bottom"/>
          </w:tcPr>
          <w:p>
            <w:pPr>
              <w:spacing w:after="0"/>
              <w:rPr>
                <w:sz w:val="1"/>
                <w:szCs w:val="1"/>
                <w:color w:val="auto"/>
              </w:rPr>
            </w:pPr>
          </w:p>
        </w:tc>
      </w:tr>
      <w:tr>
        <w:trPr>
          <w:trHeight w:val="526"/>
        </w:trPr>
        <w:tc>
          <w:tcPr>
            <w:tcW w:w="6680" w:type="dxa"/>
            <w:vAlign w:val="bottom"/>
          </w:tcPr>
          <w:p>
            <w:pPr>
              <w:ind w:left="360"/>
              <w:spacing w:after="0"/>
              <w:rPr>
                <w:sz w:val="20"/>
                <w:szCs w:val="20"/>
                <w:color w:val="auto"/>
              </w:rPr>
            </w:pPr>
            <w:r>
              <w:rPr>
                <w:rFonts w:ascii="Arial" w:cs="Arial" w:eastAsia="Arial" w:hAnsi="Arial"/>
                <w:sz w:val="20"/>
                <w:szCs w:val="20"/>
                <w:color w:val="auto"/>
              </w:rPr>
              <w:t>Change in accrued expenses</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(1,064)</w:t>
            </w:r>
          </w:p>
        </w:tc>
        <w:tc>
          <w:tcPr>
            <w:tcW w:w="1160" w:type="dxa"/>
            <w:vAlign w:val="bottom"/>
          </w:tcPr>
          <w:p>
            <w:pPr>
              <w:jc w:val="right"/>
              <w:spacing w:after="0"/>
              <w:rPr>
                <w:sz w:val="20"/>
                <w:szCs w:val="20"/>
                <w:color w:val="auto"/>
              </w:rPr>
            </w:pPr>
            <w:r>
              <w:rPr>
                <w:rFonts w:ascii="Arial" w:cs="Arial" w:eastAsia="Arial" w:hAnsi="Arial"/>
                <w:sz w:val="20"/>
                <w:szCs w:val="20"/>
                <w:color w:val="auto"/>
              </w:rPr>
              <w:t>687</w:t>
            </w:r>
          </w:p>
        </w:tc>
        <w:tc>
          <w:tcPr>
            <w:tcW w:w="0" w:type="dxa"/>
            <w:vAlign w:val="bottom"/>
          </w:tcPr>
          <w:p>
            <w:pPr>
              <w:spacing w:after="0"/>
              <w:rPr>
                <w:sz w:val="1"/>
                <w:szCs w:val="1"/>
                <w:color w:val="auto"/>
              </w:rPr>
            </w:pPr>
          </w:p>
        </w:tc>
      </w:tr>
      <w:tr>
        <w:trPr>
          <w:trHeight w:val="527"/>
        </w:trPr>
        <w:tc>
          <w:tcPr>
            <w:tcW w:w="6680" w:type="dxa"/>
            <w:vAlign w:val="bottom"/>
          </w:tcPr>
          <w:p>
            <w:pPr>
              <w:ind w:left="360"/>
              <w:spacing w:after="0"/>
              <w:rPr>
                <w:sz w:val="20"/>
                <w:szCs w:val="20"/>
                <w:color w:val="auto"/>
              </w:rPr>
            </w:pPr>
            <w:r>
              <w:rPr>
                <w:rFonts w:ascii="Arial" w:cs="Arial" w:eastAsia="Arial" w:hAnsi="Arial"/>
                <w:sz w:val="20"/>
                <w:szCs w:val="20"/>
                <w:color w:val="auto"/>
              </w:rPr>
              <w:t>Exchange gain/(loss) on working capital positions</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(7)</w:t>
            </w:r>
          </w:p>
        </w:tc>
        <w:tc>
          <w:tcPr>
            <w:tcW w:w="1160" w:type="dxa"/>
            <w:vAlign w:val="bottom"/>
          </w:tcPr>
          <w:p>
            <w:pPr>
              <w:jc w:val="right"/>
              <w:spacing w:after="0"/>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526"/>
        </w:trPr>
        <w:tc>
          <w:tcPr>
            <w:tcW w:w="6680" w:type="dxa"/>
            <w:vAlign w:val="bottom"/>
          </w:tcPr>
          <w:p>
            <w:pPr>
              <w:ind w:left="20"/>
              <w:spacing w:after="0"/>
              <w:rPr>
                <w:sz w:val="20"/>
                <w:szCs w:val="20"/>
                <w:color w:val="auto"/>
              </w:rPr>
            </w:pPr>
            <w:r>
              <w:rPr>
                <w:rFonts w:ascii="Arial" w:cs="Arial" w:eastAsia="Arial" w:hAnsi="Arial"/>
                <w:sz w:val="20"/>
                <w:szCs w:val="20"/>
                <w:color w:val="auto"/>
              </w:rPr>
              <w:t>Interest paid on lease liabilities</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(18)</w:t>
            </w:r>
          </w:p>
        </w:tc>
        <w:tc>
          <w:tcPr>
            <w:tcW w:w="1160" w:type="dxa"/>
            <w:vAlign w:val="bottom"/>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526"/>
        </w:trPr>
        <w:tc>
          <w:tcPr>
            <w:tcW w:w="6680" w:type="dxa"/>
            <w:vAlign w:val="bottom"/>
          </w:tcPr>
          <w:p>
            <w:pPr>
              <w:ind w:left="20"/>
              <w:spacing w:after="0"/>
              <w:rPr>
                <w:sz w:val="20"/>
                <w:szCs w:val="20"/>
                <w:color w:val="auto"/>
              </w:rPr>
            </w:pPr>
            <w:r>
              <w:rPr>
                <w:rFonts w:ascii="Arial" w:cs="Arial" w:eastAsia="Arial" w:hAnsi="Arial"/>
                <w:sz w:val="20"/>
                <w:szCs w:val="20"/>
                <w:color w:val="auto"/>
              </w:rPr>
              <w:t>Other financial expense</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(12)</w:t>
            </w:r>
          </w:p>
        </w:tc>
        <w:tc>
          <w:tcPr>
            <w:tcW w:w="1160" w:type="dxa"/>
            <w:vAlign w:val="bottom"/>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526"/>
        </w:trPr>
        <w:tc>
          <w:tcPr>
            <w:tcW w:w="6680" w:type="dxa"/>
            <w:vAlign w:val="bottom"/>
          </w:tcPr>
          <w:p>
            <w:pPr>
              <w:ind w:left="20"/>
              <w:spacing w:after="0"/>
              <w:rPr>
                <w:sz w:val="20"/>
                <w:szCs w:val="20"/>
                <w:color w:val="auto"/>
              </w:rPr>
            </w:pPr>
            <w:r>
              <w:rPr>
                <w:rFonts w:ascii="Arial" w:cs="Arial" w:eastAsia="Arial" w:hAnsi="Arial"/>
                <w:sz w:val="20"/>
                <w:szCs w:val="20"/>
                <w:color w:val="auto"/>
              </w:rPr>
              <w:t>Net cash used in operating activities</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(35,541)</w:t>
            </w:r>
          </w:p>
        </w:tc>
        <w:tc>
          <w:tcPr>
            <w:tcW w:w="1160" w:type="dxa"/>
            <w:vAlign w:val="bottom"/>
          </w:tcPr>
          <w:p>
            <w:pPr>
              <w:jc w:val="right"/>
              <w:spacing w:after="0"/>
              <w:rPr>
                <w:sz w:val="20"/>
                <w:szCs w:val="20"/>
                <w:color w:val="auto"/>
              </w:rPr>
            </w:pPr>
            <w:r>
              <w:rPr>
                <w:rFonts w:ascii="Arial" w:cs="Arial" w:eastAsia="Arial" w:hAnsi="Arial"/>
                <w:sz w:val="20"/>
                <w:szCs w:val="20"/>
                <w:color w:val="auto"/>
              </w:rPr>
              <w:t>(40,106)</w:t>
            </w:r>
          </w:p>
        </w:tc>
        <w:tc>
          <w:tcPr>
            <w:tcW w:w="0" w:type="dxa"/>
            <w:vAlign w:val="bottom"/>
          </w:tcPr>
          <w:p>
            <w:pPr>
              <w:spacing w:after="0"/>
              <w:rPr>
                <w:sz w:val="1"/>
                <w:szCs w:val="1"/>
                <w:color w:val="auto"/>
              </w:rPr>
            </w:pPr>
          </w:p>
        </w:tc>
      </w:tr>
      <w:tr>
        <w:trPr>
          <w:trHeight w:val="246"/>
        </w:trPr>
        <w:tc>
          <w:tcPr>
            <w:tcW w:w="6680" w:type="dxa"/>
            <w:vAlign w:val="bottom"/>
            <w:tcBorders>
              <w:bottom w:val="single" w:sz="8" w:color="BC2327"/>
            </w:tcBorders>
          </w:tcPr>
          <w:p>
            <w:pPr>
              <w:spacing w:after="0"/>
              <w:rPr>
                <w:sz w:val="21"/>
                <w:szCs w:val="21"/>
                <w:color w:val="auto"/>
              </w:rPr>
            </w:pPr>
          </w:p>
        </w:tc>
        <w:tc>
          <w:tcPr>
            <w:tcW w:w="188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409"/>
        </w:trPr>
        <w:tc>
          <w:tcPr>
            <w:tcW w:w="6680" w:type="dxa"/>
            <w:vAlign w:val="bottom"/>
          </w:tcPr>
          <w:p>
            <w:pPr>
              <w:ind w:left="20"/>
              <w:spacing w:after="0"/>
              <w:rPr>
                <w:sz w:val="20"/>
                <w:szCs w:val="20"/>
                <w:color w:val="auto"/>
              </w:rPr>
            </w:pPr>
            <w:r>
              <w:rPr>
                <w:rFonts w:ascii="Arial" w:cs="Arial" w:eastAsia="Arial" w:hAnsi="Arial"/>
                <w:sz w:val="20"/>
                <w:szCs w:val="20"/>
                <w:color w:val="auto"/>
              </w:rPr>
              <w:t>Proceeds from investments in short term time deposits</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18,257</w:t>
            </w:r>
          </w:p>
        </w:tc>
        <w:tc>
          <w:tcPr>
            <w:tcW w:w="1160" w:type="dxa"/>
            <w:vAlign w:val="bottom"/>
          </w:tcPr>
          <w:p>
            <w:pPr>
              <w:jc w:val="right"/>
              <w:spacing w:after="0"/>
              <w:rPr>
                <w:sz w:val="20"/>
                <w:szCs w:val="20"/>
                <w:color w:val="auto"/>
              </w:rPr>
            </w:pPr>
            <w:r>
              <w:rPr>
                <w:rFonts w:ascii="Arial" w:cs="Arial" w:eastAsia="Arial" w:hAnsi="Arial"/>
                <w:sz w:val="20"/>
                <w:szCs w:val="20"/>
                <w:color w:val="auto"/>
              </w:rPr>
              <w:t>115,591</w:t>
            </w:r>
          </w:p>
        </w:tc>
        <w:tc>
          <w:tcPr>
            <w:tcW w:w="0" w:type="dxa"/>
            <w:vAlign w:val="bottom"/>
          </w:tcPr>
          <w:p>
            <w:pPr>
              <w:spacing w:after="0"/>
              <w:rPr>
                <w:sz w:val="1"/>
                <w:szCs w:val="1"/>
                <w:color w:val="auto"/>
              </w:rPr>
            </w:pPr>
          </w:p>
        </w:tc>
      </w:tr>
      <w:tr>
        <w:trPr>
          <w:trHeight w:val="526"/>
        </w:trPr>
        <w:tc>
          <w:tcPr>
            <w:tcW w:w="6680" w:type="dxa"/>
            <w:vAlign w:val="bottom"/>
          </w:tcPr>
          <w:p>
            <w:pPr>
              <w:ind w:left="20"/>
              <w:spacing w:after="0"/>
              <w:rPr>
                <w:sz w:val="20"/>
                <w:szCs w:val="20"/>
                <w:color w:val="auto"/>
              </w:rPr>
            </w:pPr>
            <w:r>
              <w:rPr>
                <w:rFonts w:ascii="Arial" w:cs="Arial" w:eastAsia="Arial" w:hAnsi="Arial"/>
                <w:sz w:val="20"/>
                <w:szCs w:val="20"/>
                <w:color w:val="auto"/>
              </w:rPr>
              <w:t>Investments in short term time deposits</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(8,036)</w:t>
            </w:r>
          </w:p>
        </w:tc>
        <w:tc>
          <w:tcPr>
            <w:tcW w:w="1160" w:type="dxa"/>
            <w:vAlign w:val="bottom"/>
          </w:tcPr>
          <w:p>
            <w:pPr>
              <w:jc w:val="right"/>
              <w:spacing w:after="0"/>
              <w:rPr>
                <w:sz w:val="20"/>
                <w:szCs w:val="20"/>
                <w:color w:val="auto"/>
              </w:rPr>
            </w:pPr>
            <w:r>
              <w:rPr>
                <w:rFonts w:ascii="Arial" w:cs="Arial" w:eastAsia="Arial" w:hAnsi="Arial"/>
                <w:sz w:val="20"/>
                <w:szCs w:val="20"/>
                <w:color w:val="auto"/>
              </w:rPr>
              <w:t>(55,765)</w:t>
            </w:r>
          </w:p>
        </w:tc>
        <w:tc>
          <w:tcPr>
            <w:tcW w:w="0" w:type="dxa"/>
            <w:vAlign w:val="bottom"/>
          </w:tcPr>
          <w:p>
            <w:pPr>
              <w:spacing w:after="0"/>
              <w:rPr>
                <w:sz w:val="1"/>
                <w:szCs w:val="1"/>
                <w:color w:val="auto"/>
              </w:rPr>
            </w:pPr>
          </w:p>
        </w:tc>
      </w:tr>
      <w:tr>
        <w:trPr>
          <w:trHeight w:val="526"/>
        </w:trPr>
        <w:tc>
          <w:tcPr>
            <w:tcW w:w="6680" w:type="dxa"/>
            <w:vAlign w:val="bottom"/>
          </w:tcPr>
          <w:p>
            <w:pPr>
              <w:ind w:left="20"/>
              <w:spacing w:after="0"/>
              <w:rPr>
                <w:sz w:val="20"/>
                <w:szCs w:val="20"/>
                <w:color w:val="auto"/>
              </w:rPr>
            </w:pPr>
            <w:r>
              <w:rPr>
                <w:rFonts w:ascii="Arial" w:cs="Arial" w:eastAsia="Arial" w:hAnsi="Arial"/>
                <w:sz w:val="20"/>
                <w:szCs w:val="20"/>
                <w:color w:val="auto"/>
              </w:rPr>
              <w:t>Acquisition of property, plant and equipment</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(20)</w:t>
            </w:r>
          </w:p>
        </w:tc>
        <w:tc>
          <w:tcPr>
            <w:tcW w:w="1160" w:type="dxa"/>
            <w:vAlign w:val="bottom"/>
          </w:tcPr>
          <w:p>
            <w:pPr>
              <w:jc w:val="right"/>
              <w:spacing w:after="0"/>
              <w:rPr>
                <w:sz w:val="20"/>
                <w:szCs w:val="20"/>
                <w:color w:val="auto"/>
              </w:rPr>
            </w:pPr>
            <w:r>
              <w:rPr>
                <w:rFonts w:ascii="Arial" w:cs="Arial" w:eastAsia="Arial" w:hAnsi="Arial"/>
                <w:sz w:val="20"/>
                <w:szCs w:val="20"/>
                <w:color w:val="auto"/>
              </w:rPr>
              <w:t>(575)</w:t>
            </w:r>
          </w:p>
        </w:tc>
        <w:tc>
          <w:tcPr>
            <w:tcW w:w="0" w:type="dxa"/>
            <w:vAlign w:val="bottom"/>
          </w:tcPr>
          <w:p>
            <w:pPr>
              <w:spacing w:after="0"/>
              <w:rPr>
                <w:sz w:val="1"/>
                <w:szCs w:val="1"/>
                <w:color w:val="auto"/>
              </w:rPr>
            </w:pPr>
          </w:p>
        </w:tc>
      </w:tr>
      <w:tr>
        <w:trPr>
          <w:trHeight w:val="526"/>
        </w:trPr>
        <w:tc>
          <w:tcPr>
            <w:tcW w:w="6680" w:type="dxa"/>
            <w:vAlign w:val="bottom"/>
          </w:tcPr>
          <w:p>
            <w:pPr>
              <w:ind w:left="20"/>
              <w:spacing w:after="0"/>
              <w:rPr>
                <w:sz w:val="20"/>
                <w:szCs w:val="20"/>
                <w:color w:val="auto"/>
              </w:rPr>
            </w:pPr>
            <w:r>
              <w:rPr>
                <w:rFonts w:ascii="Arial" w:cs="Arial" w:eastAsia="Arial" w:hAnsi="Arial"/>
                <w:sz w:val="20"/>
                <w:szCs w:val="20"/>
                <w:color w:val="auto"/>
              </w:rPr>
              <w:t>Interest received</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301</w:t>
            </w:r>
          </w:p>
        </w:tc>
        <w:tc>
          <w:tcPr>
            <w:tcW w:w="1160" w:type="dxa"/>
            <w:vAlign w:val="bottom"/>
          </w:tcPr>
          <w:p>
            <w:pPr>
              <w:jc w:val="right"/>
              <w:spacing w:after="0"/>
              <w:rPr>
                <w:sz w:val="20"/>
                <w:szCs w:val="20"/>
                <w:color w:val="auto"/>
              </w:rPr>
            </w:pPr>
            <w:r>
              <w:rPr>
                <w:rFonts w:ascii="Arial" w:cs="Arial" w:eastAsia="Arial" w:hAnsi="Arial"/>
                <w:sz w:val="20"/>
                <w:szCs w:val="20"/>
                <w:color w:val="auto"/>
              </w:rPr>
              <w:t>1,346</w:t>
            </w:r>
          </w:p>
        </w:tc>
        <w:tc>
          <w:tcPr>
            <w:tcW w:w="0" w:type="dxa"/>
            <w:vAlign w:val="bottom"/>
          </w:tcPr>
          <w:p>
            <w:pPr>
              <w:spacing w:after="0"/>
              <w:rPr>
                <w:sz w:val="1"/>
                <w:szCs w:val="1"/>
                <w:color w:val="auto"/>
              </w:rPr>
            </w:pPr>
          </w:p>
        </w:tc>
      </w:tr>
      <w:tr>
        <w:trPr>
          <w:trHeight w:val="526"/>
        </w:trPr>
        <w:tc>
          <w:tcPr>
            <w:tcW w:w="6680" w:type="dxa"/>
            <w:vAlign w:val="bottom"/>
          </w:tcPr>
          <w:p>
            <w:pPr>
              <w:ind w:left="20"/>
              <w:spacing w:after="0"/>
              <w:rPr>
                <w:sz w:val="20"/>
                <w:szCs w:val="20"/>
                <w:color w:val="auto"/>
              </w:rPr>
            </w:pPr>
            <w:r>
              <w:rPr>
                <w:rFonts w:ascii="Arial" w:cs="Arial" w:eastAsia="Arial" w:hAnsi="Arial"/>
                <w:sz w:val="20"/>
                <w:szCs w:val="20"/>
                <w:color w:val="auto"/>
              </w:rPr>
              <w:t>Net cash from investing activities</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10,501</w:t>
            </w:r>
          </w:p>
        </w:tc>
        <w:tc>
          <w:tcPr>
            <w:tcW w:w="1160" w:type="dxa"/>
            <w:vAlign w:val="bottom"/>
          </w:tcPr>
          <w:p>
            <w:pPr>
              <w:jc w:val="right"/>
              <w:spacing w:after="0"/>
              <w:rPr>
                <w:sz w:val="20"/>
                <w:szCs w:val="20"/>
                <w:color w:val="auto"/>
              </w:rPr>
            </w:pPr>
            <w:r>
              <w:rPr>
                <w:rFonts w:ascii="Arial" w:cs="Arial" w:eastAsia="Arial" w:hAnsi="Arial"/>
                <w:sz w:val="20"/>
                <w:szCs w:val="20"/>
                <w:color w:val="auto"/>
              </w:rPr>
              <w:t>60,597</w:t>
            </w:r>
          </w:p>
        </w:tc>
        <w:tc>
          <w:tcPr>
            <w:tcW w:w="0" w:type="dxa"/>
            <w:vAlign w:val="bottom"/>
          </w:tcPr>
          <w:p>
            <w:pPr>
              <w:spacing w:after="0"/>
              <w:rPr>
                <w:sz w:val="1"/>
                <w:szCs w:val="1"/>
                <w:color w:val="auto"/>
              </w:rPr>
            </w:pPr>
          </w:p>
        </w:tc>
      </w:tr>
      <w:tr>
        <w:trPr>
          <w:trHeight w:val="247"/>
        </w:trPr>
        <w:tc>
          <w:tcPr>
            <w:tcW w:w="6680" w:type="dxa"/>
            <w:vAlign w:val="bottom"/>
            <w:tcBorders>
              <w:bottom w:val="single" w:sz="8" w:color="BC2327"/>
            </w:tcBorders>
          </w:tcPr>
          <w:p>
            <w:pPr>
              <w:spacing w:after="0"/>
              <w:rPr>
                <w:sz w:val="21"/>
                <w:szCs w:val="21"/>
                <w:color w:val="auto"/>
              </w:rPr>
            </w:pPr>
          </w:p>
        </w:tc>
        <w:tc>
          <w:tcPr>
            <w:tcW w:w="1880" w:type="dxa"/>
            <w:vAlign w:val="bottom"/>
            <w:tcBorders>
              <w:bottom w:val="single" w:sz="8" w:color="BC2327"/>
            </w:tcBorders>
          </w:tcPr>
          <w:p>
            <w:pPr>
              <w:spacing w:after="0"/>
              <w:rPr>
                <w:sz w:val="21"/>
                <w:szCs w:val="21"/>
                <w:color w:val="auto"/>
              </w:rPr>
            </w:pPr>
          </w:p>
        </w:tc>
        <w:tc>
          <w:tcPr>
            <w:tcW w:w="11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6680" w:type="dxa"/>
            <w:vAlign w:val="bottom"/>
          </w:tcPr>
          <w:p>
            <w:pPr>
              <w:ind w:left="20"/>
              <w:spacing w:after="0"/>
              <w:rPr>
                <w:sz w:val="20"/>
                <w:szCs w:val="20"/>
                <w:color w:val="auto"/>
              </w:rPr>
            </w:pPr>
            <w:r>
              <w:rPr>
                <w:rFonts w:ascii="Arial" w:cs="Arial" w:eastAsia="Arial" w:hAnsi="Arial"/>
                <w:sz w:val="20"/>
                <w:szCs w:val="20"/>
                <w:color w:val="auto"/>
              </w:rPr>
              <w:t>Proceeds from issuance of shares under LTI plans</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20"/>
                <w:szCs w:val="20"/>
                <w:color w:val="auto"/>
              </w:rPr>
              <w:t>Proceeds from vesting under the LTI plans</w:t>
            </w:r>
          </w:p>
        </w:tc>
        <w:tc>
          <w:tcPr>
            <w:tcW w:w="1880" w:type="dxa"/>
            <w:vAlign w:val="bottom"/>
            <w:vMerge w:val="restart"/>
          </w:tcPr>
          <w:p>
            <w:pPr>
              <w:jc w:val="right"/>
              <w:ind w:right="341"/>
              <w:spacing w:after="0"/>
              <w:rPr>
                <w:sz w:val="20"/>
                <w:szCs w:val="20"/>
                <w:color w:val="auto"/>
              </w:rPr>
            </w:pPr>
            <w:r>
              <w:rPr>
                <w:rFonts w:ascii="Arial" w:cs="Arial" w:eastAsia="Arial" w:hAnsi="Arial"/>
                <w:sz w:val="20"/>
                <w:szCs w:val="20"/>
                <w:color w:val="auto"/>
              </w:rPr>
              <w:t>100</w:t>
            </w:r>
          </w:p>
        </w:tc>
        <w:tc>
          <w:tcPr>
            <w:tcW w:w="1160" w:type="dxa"/>
            <w:vAlign w:val="bottom"/>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680" w:type="dxa"/>
            <w:vAlign w:val="bottom"/>
          </w:tcPr>
          <w:p>
            <w:pPr>
              <w:ind w:left="20"/>
              <w:spacing w:after="0"/>
              <w:rPr>
                <w:sz w:val="20"/>
                <w:szCs w:val="20"/>
                <w:color w:val="auto"/>
              </w:rPr>
            </w:pPr>
            <w:r>
              <w:rPr>
                <w:rFonts w:ascii="Arial" w:cs="Arial" w:eastAsia="Arial" w:hAnsi="Arial"/>
                <w:sz w:val="20"/>
                <w:szCs w:val="20"/>
                <w:color w:val="auto"/>
              </w:rPr>
              <w:t>Payment of lease liabilities</w:t>
            </w:r>
          </w:p>
        </w:tc>
        <w:tc>
          <w:tcPr>
            <w:tcW w:w="1880" w:type="dxa"/>
            <w:vAlign w:val="bottom"/>
          </w:tcPr>
          <w:p>
            <w:pPr>
              <w:jc w:val="right"/>
              <w:ind w:right="281"/>
              <w:spacing w:after="0"/>
              <w:rPr>
                <w:sz w:val="20"/>
                <w:szCs w:val="20"/>
                <w:color w:val="auto"/>
              </w:rPr>
            </w:pPr>
            <w:r>
              <w:rPr>
                <w:rFonts w:ascii="Arial" w:cs="Arial" w:eastAsia="Arial" w:hAnsi="Arial"/>
                <w:sz w:val="20"/>
                <w:szCs w:val="20"/>
                <w:color w:val="auto"/>
              </w:rPr>
              <w:t>(903)</w:t>
            </w:r>
          </w:p>
        </w:tc>
        <w:tc>
          <w:tcPr>
            <w:tcW w:w="1160" w:type="dxa"/>
            <w:vAlign w:val="bottom"/>
          </w:tcPr>
          <w:p>
            <w:pPr>
              <w:jc w:val="right"/>
              <w:spacing w:after="0"/>
              <w:rPr>
                <w:sz w:val="20"/>
                <w:szCs w:val="20"/>
                <w:color w:val="auto"/>
              </w:rPr>
            </w:pPr>
            <w:r>
              <w:rPr>
                <w:rFonts w:ascii="Arial" w:cs="Arial" w:eastAsia="Arial" w:hAnsi="Arial"/>
                <w:sz w:val="20"/>
                <w:szCs w:val="20"/>
                <w:color w:val="auto"/>
              </w:rPr>
              <w:t>(912)</w:t>
            </w:r>
          </w:p>
        </w:tc>
        <w:tc>
          <w:tcPr>
            <w:tcW w:w="0" w:type="dxa"/>
            <w:vAlign w:val="bottom"/>
          </w:tcPr>
          <w:p>
            <w:pPr>
              <w:spacing w:after="0"/>
              <w:rPr>
                <w:sz w:val="1"/>
                <w:szCs w:val="1"/>
                <w:color w:val="auto"/>
              </w:rPr>
            </w:pPr>
          </w:p>
        </w:tc>
      </w:tr>
    </w:tbl>
    <w:p>
      <w:pPr>
        <w:sectPr>
          <w:pgSz w:w="11900" w:h="16838" w:orient="portrait"/>
          <w:cols w:equalWidth="0" w:num="1">
            <w:col w:w="10139"/>
          </w:cols>
          <w:pgMar w:left="320" w:top="1171"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080" w:type="dxa"/>
            <w:vAlign w:val="bottom"/>
          </w:tcPr>
          <w:p>
            <w:pPr>
              <w:ind w:left="20"/>
              <w:spacing w:after="0"/>
              <w:rPr>
                <w:sz w:val="20"/>
                <w:szCs w:val="20"/>
                <w:color w:val="auto"/>
              </w:rPr>
            </w:pPr>
            <w:r>
              <w:rPr>
                <w:rFonts w:ascii="Arial" w:cs="Arial" w:eastAsia="Arial" w:hAnsi="Arial"/>
                <w:sz w:val="20"/>
                <w:szCs w:val="20"/>
                <w:color w:val="auto"/>
              </w:rPr>
              <w:t>Net cash used in financing activities</w:t>
            </w:r>
          </w:p>
        </w:tc>
        <w:tc>
          <w:tcPr>
            <w:tcW w:w="2520" w:type="dxa"/>
            <w:vAlign w:val="bottom"/>
          </w:tcPr>
          <w:p>
            <w:pPr>
              <w:jc w:val="right"/>
              <w:ind w:right="321"/>
              <w:spacing w:after="0"/>
              <w:rPr>
                <w:sz w:val="20"/>
                <w:szCs w:val="20"/>
                <w:color w:val="auto"/>
              </w:rPr>
            </w:pPr>
            <w:r>
              <w:rPr>
                <w:rFonts w:ascii="Arial" w:cs="Arial" w:eastAsia="Arial" w:hAnsi="Arial"/>
                <w:sz w:val="20"/>
                <w:szCs w:val="20"/>
                <w:color w:val="auto"/>
              </w:rPr>
              <w:t>(803)</w:t>
            </w:r>
          </w:p>
        </w:tc>
        <w:tc>
          <w:tcPr>
            <w:tcW w:w="1120" w:type="dxa"/>
            <w:vAlign w:val="bottom"/>
          </w:tcPr>
          <w:p>
            <w:pPr>
              <w:jc w:val="right"/>
              <w:spacing w:after="0"/>
              <w:rPr>
                <w:sz w:val="20"/>
                <w:szCs w:val="20"/>
                <w:color w:val="auto"/>
              </w:rPr>
            </w:pPr>
            <w:r>
              <w:rPr>
                <w:rFonts w:ascii="Arial" w:cs="Arial" w:eastAsia="Arial" w:hAnsi="Arial"/>
                <w:sz w:val="20"/>
                <w:szCs w:val="20"/>
                <w:color w:val="auto"/>
              </w:rPr>
              <w:t>(849)</w:t>
            </w:r>
          </w:p>
        </w:tc>
      </w:tr>
      <w:tr>
        <w:trPr>
          <w:trHeight w:val="246"/>
        </w:trPr>
        <w:tc>
          <w:tcPr>
            <w:tcW w:w="6080" w:type="dxa"/>
            <w:vAlign w:val="bottom"/>
            <w:tcBorders>
              <w:bottom w:val="single" w:sz="8" w:color="BC2327"/>
            </w:tcBorders>
          </w:tcPr>
          <w:p>
            <w:pPr>
              <w:spacing w:after="0"/>
              <w:rPr>
                <w:sz w:val="21"/>
                <w:szCs w:val="21"/>
                <w:color w:val="auto"/>
              </w:rPr>
            </w:pPr>
          </w:p>
        </w:tc>
        <w:tc>
          <w:tcPr>
            <w:tcW w:w="252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r>
      <w:tr>
        <w:trPr>
          <w:trHeight w:val="408"/>
        </w:trPr>
        <w:tc>
          <w:tcPr>
            <w:tcW w:w="6080" w:type="dxa"/>
            <w:vAlign w:val="bottom"/>
          </w:tcPr>
          <w:p>
            <w:pPr>
              <w:ind w:left="20"/>
              <w:spacing w:after="0"/>
              <w:rPr>
                <w:sz w:val="20"/>
                <w:szCs w:val="20"/>
                <w:color w:val="auto"/>
              </w:rPr>
            </w:pPr>
            <w:r>
              <w:rPr>
                <w:rFonts w:ascii="Arial" w:cs="Arial" w:eastAsia="Arial" w:hAnsi="Arial"/>
                <w:sz w:val="20"/>
                <w:szCs w:val="20"/>
                <w:color w:val="auto"/>
              </w:rPr>
              <w:t>Exchange gain (loss) on cash positions</w:t>
            </w:r>
          </w:p>
        </w:tc>
        <w:tc>
          <w:tcPr>
            <w:tcW w:w="2520" w:type="dxa"/>
            <w:vAlign w:val="bottom"/>
          </w:tcPr>
          <w:p>
            <w:pPr>
              <w:jc w:val="right"/>
              <w:ind w:right="381"/>
              <w:spacing w:after="0"/>
              <w:rPr>
                <w:sz w:val="20"/>
                <w:szCs w:val="20"/>
                <w:color w:val="auto"/>
              </w:rPr>
            </w:pPr>
            <w:r>
              <w:rPr>
                <w:rFonts w:ascii="Arial" w:cs="Arial" w:eastAsia="Arial" w:hAnsi="Arial"/>
                <w:sz w:val="20"/>
                <w:szCs w:val="20"/>
                <w:color w:val="auto"/>
              </w:rPr>
              <w:t>683</w:t>
            </w:r>
          </w:p>
        </w:tc>
        <w:tc>
          <w:tcPr>
            <w:tcW w:w="1120" w:type="dxa"/>
            <w:vAlign w:val="bottom"/>
          </w:tcPr>
          <w:p>
            <w:pPr>
              <w:jc w:val="right"/>
              <w:spacing w:after="0"/>
              <w:rPr>
                <w:sz w:val="20"/>
                <w:szCs w:val="20"/>
                <w:color w:val="auto"/>
              </w:rPr>
            </w:pPr>
            <w:r>
              <w:rPr>
                <w:rFonts w:ascii="Arial" w:cs="Arial" w:eastAsia="Arial" w:hAnsi="Arial"/>
                <w:sz w:val="20"/>
                <w:szCs w:val="20"/>
                <w:color w:val="auto"/>
              </w:rPr>
              <w:t>(1,159)</w:t>
            </w:r>
          </w:p>
        </w:tc>
      </w:tr>
      <w:tr>
        <w:trPr>
          <w:trHeight w:val="395"/>
        </w:trPr>
        <w:tc>
          <w:tcPr>
            <w:tcW w:w="6080" w:type="dxa"/>
            <w:vAlign w:val="bottom"/>
            <w:tcBorders>
              <w:bottom w:val="single" w:sz="8" w:color="BC2327"/>
            </w:tcBorders>
          </w:tcPr>
          <w:p>
            <w:pPr>
              <w:spacing w:after="0"/>
              <w:rPr>
                <w:sz w:val="24"/>
                <w:szCs w:val="24"/>
                <w:color w:val="auto"/>
              </w:rPr>
            </w:pPr>
          </w:p>
        </w:tc>
        <w:tc>
          <w:tcPr>
            <w:tcW w:w="2520" w:type="dxa"/>
            <w:vAlign w:val="bottom"/>
            <w:tcBorders>
              <w:bottom w:val="single" w:sz="8" w:color="BC2327"/>
            </w:tcBorders>
          </w:tcPr>
          <w:p>
            <w:pPr>
              <w:spacing w:after="0"/>
              <w:rPr>
                <w:sz w:val="24"/>
                <w:szCs w:val="24"/>
                <w:color w:val="auto"/>
              </w:rPr>
            </w:pPr>
          </w:p>
        </w:tc>
        <w:tc>
          <w:tcPr>
            <w:tcW w:w="1120" w:type="dxa"/>
            <w:vAlign w:val="bottom"/>
            <w:tcBorders>
              <w:bottom w:val="single" w:sz="8" w:color="BC2327"/>
            </w:tcBorders>
          </w:tcPr>
          <w:p>
            <w:pPr>
              <w:spacing w:after="0"/>
              <w:rPr>
                <w:sz w:val="24"/>
                <w:szCs w:val="24"/>
                <w:color w:val="auto"/>
              </w:rPr>
            </w:pPr>
          </w:p>
        </w:tc>
      </w:tr>
      <w:tr>
        <w:trPr>
          <w:trHeight w:val="274"/>
        </w:trPr>
        <w:tc>
          <w:tcPr>
            <w:tcW w:w="6080" w:type="dxa"/>
            <w:vAlign w:val="bottom"/>
          </w:tcPr>
          <w:p>
            <w:pPr>
              <w:ind w:left="20"/>
              <w:spacing w:after="0"/>
              <w:rPr>
                <w:sz w:val="20"/>
                <w:szCs w:val="20"/>
                <w:color w:val="auto"/>
              </w:rPr>
            </w:pPr>
            <w:r>
              <w:rPr>
                <w:rFonts w:ascii="Arial" w:cs="Arial" w:eastAsia="Arial" w:hAnsi="Arial"/>
                <w:sz w:val="20"/>
                <w:szCs w:val="20"/>
                <w:color w:val="auto"/>
              </w:rPr>
              <w:t>Net increase (decrease) in cash and cash equivalents</w:t>
            </w:r>
          </w:p>
        </w:tc>
        <w:tc>
          <w:tcPr>
            <w:tcW w:w="2520" w:type="dxa"/>
            <w:vAlign w:val="bottom"/>
          </w:tcPr>
          <w:p>
            <w:pPr>
              <w:jc w:val="right"/>
              <w:ind w:right="321"/>
              <w:spacing w:after="0"/>
              <w:rPr>
                <w:sz w:val="20"/>
                <w:szCs w:val="20"/>
                <w:color w:val="auto"/>
              </w:rPr>
            </w:pPr>
            <w:r>
              <w:rPr>
                <w:rFonts w:ascii="Arial" w:cs="Arial" w:eastAsia="Arial" w:hAnsi="Arial"/>
                <w:sz w:val="20"/>
                <w:szCs w:val="20"/>
                <w:color w:val="auto"/>
              </w:rPr>
              <w:t>(25,160)</w:t>
            </w:r>
          </w:p>
        </w:tc>
        <w:tc>
          <w:tcPr>
            <w:tcW w:w="1120" w:type="dxa"/>
            <w:vAlign w:val="bottom"/>
          </w:tcPr>
          <w:p>
            <w:pPr>
              <w:jc w:val="right"/>
              <w:spacing w:after="0"/>
              <w:rPr>
                <w:sz w:val="20"/>
                <w:szCs w:val="20"/>
                <w:color w:val="auto"/>
              </w:rPr>
            </w:pPr>
            <w:r>
              <w:rPr>
                <w:rFonts w:ascii="Arial" w:cs="Arial" w:eastAsia="Arial" w:hAnsi="Arial"/>
                <w:sz w:val="20"/>
                <w:szCs w:val="20"/>
                <w:color w:val="auto"/>
              </w:rPr>
              <w:t>18,485</w:t>
            </w:r>
          </w:p>
        </w:tc>
      </w:tr>
      <w:tr>
        <w:trPr>
          <w:trHeight w:val="246"/>
        </w:trPr>
        <w:tc>
          <w:tcPr>
            <w:tcW w:w="6080" w:type="dxa"/>
            <w:vAlign w:val="bottom"/>
            <w:tcBorders>
              <w:bottom w:val="single" w:sz="8" w:color="BC2327"/>
            </w:tcBorders>
          </w:tcPr>
          <w:p>
            <w:pPr>
              <w:spacing w:after="0"/>
              <w:rPr>
                <w:sz w:val="21"/>
                <w:szCs w:val="21"/>
                <w:color w:val="auto"/>
              </w:rPr>
            </w:pPr>
          </w:p>
        </w:tc>
        <w:tc>
          <w:tcPr>
            <w:tcW w:w="2520" w:type="dxa"/>
            <w:vAlign w:val="bottom"/>
            <w:tcBorders>
              <w:bottom w:val="single" w:sz="8" w:color="BC2327"/>
            </w:tcBorders>
          </w:tcPr>
          <w:p>
            <w:pPr>
              <w:spacing w:after="0"/>
              <w:rPr>
                <w:sz w:val="21"/>
                <w:szCs w:val="21"/>
                <w:color w:val="auto"/>
              </w:rPr>
            </w:pPr>
          </w:p>
        </w:tc>
        <w:tc>
          <w:tcPr>
            <w:tcW w:w="1120" w:type="dxa"/>
            <w:vAlign w:val="bottom"/>
            <w:tcBorders>
              <w:bottom w:val="single" w:sz="8" w:color="BC2327"/>
            </w:tcBorders>
          </w:tcPr>
          <w:p>
            <w:pPr>
              <w:spacing w:after="0"/>
              <w:rPr>
                <w:sz w:val="21"/>
                <w:szCs w:val="21"/>
                <w:color w:val="auto"/>
              </w:rPr>
            </w:pPr>
          </w:p>
        </w:tc>
      </w:tr>
      <w:tr>
        <w:trPr>
          <w:trHeight w:val="476"/>
        </w:trPr>
        <w:tc>
          <w:tcPr>
            <w:tcW w:w="6080" w:type="dxa"/>
            <w:vAlign w:val="bottom"/>
          </w:tcPr>
          <w:p>
            <w:pPr>
              <w:ind w:left="20"/>
              <w:spacing w:after="0"/>
              <w:rPr>
                <w:sz w:val="20"/>
                <w:szCs w:val="20"/>
                <w:color w:val="auto"/>
              </w:rPr>
            </w:pPr>
            <w:r>
              <w:rPr>
                <w:rFonts w:ascii="Arial" w:cs="Arial" w:eastAsia="Arial" w:hAnsi="Arial"/>
                <w:sz w:val="20"/>
                <w:szCs w:val="20"/>
                <w:color w:val="auto"/>
              </w:rPr>
              <w:t>Cash and cash equivalents at January 1</w:t>
            </w:r>
          </w:p>
        </w:tc>
        <w:tc>
          <w:tcPr>
            <w:tcW w:w="2520" w:type="dxa"/>
            <w:vAlign w:val="bottom"/>
          </w:tcPr>
          <w:p>
            <w:pPr>
              <w:jc w:val="right"/>
              <w:ind w:right="381"/>
              <w:spacing w:after="0"/>
              <w:rPr>
                <w:sz w:val="20"/>
                <w:szCs w:val="20"/>
                <w:color w:val="auto"/>
              </w:rPr>
            </w:pPr>
            <w:r>
              <w:rPr>
                <w:rFonts w:ascii="Arial" w:cs="Arial" w:eastAsia="Arial" w:hAnsi="Arial"/>
                <w:sz w:val="20"/>
                <w:szCs w:val="20"/>
                <w:color w:val="auto"/>
              </w:rPr>
              <w:t>82,653</w:t>
            </w:r>
          </w:p>
        </w:tc>
        <w:tc>
          <w:tcPr>
            <w:tcW w:w="1120" w:type="dxa"/>
            <w:vAlign w:val="bottom"/>
          </w:tcPr>
          <w:p>
            <w:pPr>
              <w:jc w:val="right"/>
              <w:spacing w:after="0"/>
              <w:rPr>
                <w:sz w:val="20"/>
                <w:szCs w:val="20"/>
                <w:color w:val="auto"/>
              </w:rPr>
            </w:pPr>
            <w:r>
              <w:rPr>
                <w:rFonts w:ascii="Arial" w:cs="Arial" w:eastAsia="Arial" w:hAnsi="Arial"/>
                <w:sz w:val="20"/>
                <w:szCs w:val="20"/>
                <w:color w:val="auto"/>
              </w:rPr>
              <w:t>63,874</w:t>
            </w:r>
          </w:p>
        </w:tc>
      </w:tr>
      <w:tr>
        <w:trPr>
          <w:trHeight w:val="742"/>
        </w:trPr>
        <w:tc>
          <w:tcPr>
            <w:tcW w:w="6080" w:type="dxa"/>
            <w:vAlign w:val="bottom"/>
          </w:tcPr>
          <w:p>
            <w:pPr>
              <w:ind w:left="20"/>
              <w:spacing w:after="0"/>
              <w:rPr>
                <w:sz w:val="20"/>
                <w:szCs w:val="20"/>
                <w:color w:val="auto"/>
              </w:rPr>
            </w:pPr>
            <w:r>
              <w:rPr>
                <w:rFonts w:ascii="Arial" w:cs="Arial" w:eastAsia="Arial" w:hAnsi="Arial"/>
                <w:sz w:val="20"/>
                <w:szCs w:val="20"/>
                <w:color w:val="auto"/>
              </w:rPr>
              <w:t>Cash and cash equivalents at September 30,</w:t>
            </w:r>
          </w:p>
        </w:tc>
        <w:tc>
          <w:tcPr>
            <w:tcW w:w="2520" w:type="dxa"/>
            <w:vAlign w:val="bottom"/>
          </w:tcPr>
          <w:p>
            <w:pPr>
              <w:jc w:val="right"/>
              <w:ind w:right="381"/>
              <w:spacing w:after="0"/>
              <w:rPr>
                <w:sz w:val="20"/>
                <w:szCs w:val="20"/>
                <w:color w:val="auto"/>
              </w:rPr>
            </w:pPr>
            <w:r>
              <w:rPr>
                <w:rFonts w:ascii="Arial" w:cs="Arial" w:eastAsia="Arial" w:hAnsi="Arial"/>
                <w:sz w:val="20"/>
                <w:szCs w:val="20"/>
                <w:color w:val="auto"/>
              </w:rPr>
              <w:t>57,493</w:t>
            </w:r>
          </w:p>
        </w:tc>
        <w:tc>
          <w:tcPr>
            <w:tcW w:w="1120" w:type="dxa"/>
            <w:vAlign w:val="bottom"/>
          </w:tcPr>
          <w:p>
            <w:pPr>
              <w:jc w:val="right"/>
              <w:spacing w:after="0"/>
              <w:rPr>
                <w:sz w:val="20"/>
                <w:szCs w:val="20"/>
                <w:color w:val="auto"/>
              </w:rPr>
            </w:pPr>
            <w:r>
              <w:rPr>
                <w:rFonts w:ascii="Arial" w:cs="Arial" w:eastAsia="Arial" w:hAnsi="Arial"/>
                <w:sz w:val="20"/>
                <w:szCs w:val="20"/>
                <w:color w:val="auto"/>
              </w:rPr>
              <w:t>82,359</w:t>
            </w:r>
          </w:p>
        </w:tc>
      </w:tr>
      <w:tr>
        <w:trPr>
          <w:trHeight w:val="247"/>
        </w:trPr>
        <w:tc>
          <w:tcPr>
            <w:tcW w:w="6080" w:type="dxa"/>
            <w:vAlign w:val="bottom"/>
            <w:tcBorders>
              <w:bottom w:val="single" w:sz="8" w:color="BF2115"/>
            </w:tcBorders>
          </w:tcPr>
          <w:p>
            <w:pPr>
              <w:spacing w:after="0"/>
              <w:rPr>
                <w:sz w:val="21"/>
                <w:szCs w:val="21"/>
                <w:color w:val="auto"/>
              </w:rPr>
            </w:pPr>
          </w:p>
        </w:tc>
        <w:tc>
          <w:tcPr>
            <w:tcW w:w="2520" w:type="dxa"/>
            <w:vAlign w:val="bottom"/>
            <w:tcBorders>
              <w:bottom w:val="single" w:sz="8" w:color="BF2115"/>
            </w:tcBorders>
          </w:tcPr>
          <w:p>
            <w:pPr>
              <w:spacing w:after="0"/>
              <w:rPr>
                <w:sz w:val="21"/>
                <w:szCs w:val="21"/>
                <w:color w:val="auto"/>
              </w:rPr>
            </w:pPr>
          </w:p>
        </w:tc>
        <w:tc>
          <w:tcPr>
            <w:tcW w:w="1120" w:type="dxa"/>
            <w:vAlign w:val="bottom"/>
            <w:tcBorders>
              <w:bottom w:val="single" w:sz="8" w:color="BF2115"/>
            </w:tcBorders>
          </w:tcPr>
          <w:p>
            <w:pPr>
              <w:spacing w:after="0"/>
              <w:rPr>
                <w:sz w:val="21"/>
                <w:szCs w:val="2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accompanying notes, which form an integral part of these unaudited condensed consolidated interim financial statements.</w:t>
      </w:r>
    </w:p>
    <w:p>
      <w:pPr>
        <w:sectPr>
          <w:pgSz w:w="11900" w:h="16838" w:orient="portrait"/>
          <w:cols w:equalWidth="0" w:num="1">
            <w:col w:w="11060"/>
          </w:cols>
          <w:pgMar w:left="320" w:top="293" w:right="51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color w:val="auto"/>
        </w:rPr>
        <w:t>Condensed consolidated interim</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color w:val="auto"/>
        </w:rPr>
        <w:t>statement of changes in equity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40" w:type="dxa"/>
            <w:vAlign w:val="bottom"/>
          </w:tcPr>
          <w:p>
            <w:pPr>
              <w:spacing w:after="0"/>
              <w:rPr>
                <w:sz w:val="21"/>
                <w:szCs w:val="21"/>
                <w:color w:val="auto"/>
              </w:rPr>
            </w:pPr>
          </w:p>
        </w:tc>
        <w:tc>
          <w:tcPr>
            <w:tcW w:w="3180" w:type="dxa"/>
            <w:vAlign w:val="bottom"/>
            <w:gridSpan w:val="2"/>
          </w:tcPr>
          <w:p>
            <w:pPr>
              <w:jc w:val="right"/>
              <w:ind w:right="81"/>
              <w:spacing w:after="0"/>
              <w:rPr>
                <w:sz w:val="20"/>
                <w:szCs w:val="20"/>
                <w:color w:val="auto"/>
              </w:rPr>
            </w:pPr>
            <w:r>
              <w:rPr>
                <w:rFonts w:ascii="Arial" w:cs="Arial" w:eastAsia="Arial" w:hAnsi="Arial"/>
                <w:sz w:val="20"/>
                <w:szCs w:val="20"/>
                <w:color w:val="auto"/>
              </w:rPr>
              <w:t>Share capital Additional paid-in</w:t>
            </w:r>
          </w:p>
        </w:tc>
        <w:tc>
          <w:tcPr>
            <w:tcW w:w="1200" w:type="dxa"/>
            <w:vAlign w:val="bottom"/>
          </w:tcPr>
          <w:p>
            <w:pPr>
              <w:jc w:val="center"/>
              <w:ind w:right="121"/>
              <w:spacing w:after="0"/>
              <w:rPr>
                <w:sz w:val="20"/>
                <w:szCs w:val="20"/>
                <w:color w:val="auto"/>
              </w:rPr>
            </w:pPr>
            <w:r>
              <w:rPr>
                <w:rFonts w:ascii="Arial" w:cs="Arial" w:eastAsia="Arial" w:hAnsi="Arial"/>
                <w:sz w:val="20"/>
                <w:szCs w:val="20"/>
                <w:color w:val="auto"/>
                <w:w w:val="98"/>
              </w:rPr>
              <w:t>Treasury</w:t>
            </w:r>
          </w:p>
        </w:tc>
        <w:tc>
          <w:tcPr>
            <w:tcW w:w="1480" w:type="dxa"/>
            <w:vAlign w:val="bottom"/>
          </w:tcPr>
          <w:p>
            <w:pPr>
              <w:jc w:val="right"/>
              <w:ind w:right="241"/>
              <w:spacing w:after="0"/>
              <w:rPr>
                <w:sz w:val="20"/>
                <w:szCs w:val="20"/>
                <w:color w:val="auto"/>
              </w:rPr>
            </w:pPr>
            <w:r>
              <w:rPr>
                <w:rFonts w:ascii="Arial" w:cs="Arial" w:eastAsia="Arial" w:hAnsi="Arial"/>
                <w:sz w:val="20"/>
                <w:szCs w:val="20"/>
                <w:color w:val="auto"/>
              </w:rPr>
              <w:t>Cumulative</w:t>
            </w:r>
          </w:p>
        </w:tc>
        <w:tc>
          <w:tcPr>
            <w:tcW w:w="1460" w:type="dxa"/>
            <w:vAlign w:val="bottom"/>
          </w:tcPr>
          <w:p>
            <w:pPr>
              <w:jc w:val="center"/>
              <w:spacing w:after="0"/>
              <w:rPr>
                <w:sz w:val="20"/>
                <w:szCs w:val="20"/>
                <w:color w:val="auto"/>
              </w:rPr>
            </w:pPr>
            <w:r>
              <w:rPr>
                <w:rFonts w:ascii="Arial" w:cs="Arial" w:eastAsia="Arial" w:hAnsi="Arial"/>
                <w:sz w:val="20"/>
                <w:szCs w:val="20"/>
                <w:color w:val="auto"/>
                <w:w w:val="94"/>
              </w:rPr>
              <w:t>Total</w:t>
            </w: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40" w:type="dxa"/>
            <w:vAlign w:val="bottom"/>
          </w:tcPr>
          <w:p>
            <w:pPr>
              <w:jc w:val="right"/>
              <w:ind w:right="561"/>
              <w:spacing w:after="0"/>
              <w:rPr>
                <w:sz w:val="20"/>
                <w:szCs w:val="20"/>
                <w:color w:val="auto"/>
              </w:rPr>
            </w:pPr>
            <w:r>
              <w:rPr>
                <w:rFonts w:ascii="Arial" w:cs="Arial" w:eastAsia="Arial" w:hAnsi="Arial"/>
                <w:sz w:val="20"/>
                <w:szCs w:val="20"/>
                <w:color w:val="auto"/>
              </w:rPr>
              <w:t>capital</w:t>
            </w:r>
          </w:p>
        </w:tc>
        <w:tc>
          <w:tcPr>
            <w:tcW w:w="1200" w:type="dxa"/>
            <w:vAlign w:val="bottom"/>
          </w:tcPr>
          <w:p>
            <w:pPr>
              <w:jc w:val="center"/>
              <w:ind w:right="121"/>
              <w:spacing w:after="0"/>
              <w:rPr>
                <w:sz w:val="20"/>
                <w:szCs w:val="20"/>
                <w:color w:val="auto"/>
              </w:rPr>
            </w:pPr>
            <w:r>
              <w:rPr>
                <w:rFonts w:ascii="Arial" w:cs="Arial" w:eastAsia="Arial" w:hAnsi="Arial"/>
                <w:sz w:val="20"/>
                <w:szCs w:val="20"/>
                <w:color w:val="auto"/>
                <w:w w:val="99"/>
              </w:rPr>
              <w:t>share</w:t>
            </w:r>
          </w:p>
        </w:tc>
        <w:tc>
          <w:tcPr>
            <w:tcW w:w="1480" w:type="dxa"/>
            <w:vAlign w:val="bottom"/>
          </w:tcPr>
          <w:p>
            <w:pPr>
              <w:jc w:val="right"/>
              <w:ind w:right="461"/>
              <w:spacing w:after="0"/>
              <w:rPr>
                <w:sz w:val="20"/>
                <w:szCs w:val="20"/>
                <w:color w:val="auto"/>
              </w:rPr>
            </w:pPr>
            <w:r>
              <w:rPr>
                <w:rFonts w:ascii="Arial" w:cs="Arial" w:eastAsia="Arial" w:hAnsi="Arial"/>
                <w:sz w:val="20"/>
                <w:szCs w:val="20"/>
                <w:color w:val="auto"/>
              </w:rPr>
              <w:t>losses</w:t>
            </w:r>
          </w:p>
        </w:tc>
        <w:tc>
          <w:tcPr>
            <w:tcW w:w="1460" w:type="dxa"/>
            <w:vAlign w:val="bottom"/>
          </w:tcPr>
          <w:p>
            <w:pPr>
              <w:jc w:val="center"/>
              <w:spacing w:after="0"/>
              <w:rPr>
                <w:sz w:val="20"/>
                <w:szCs w:val="20"/>
                <w:color w:val="auto"/>
              </w:rPr>
            </w:pPr>
            <w:r>
              <w:rPr>
                <w:rFonts w:ascii="Arial" w:cs="Arial" w:eastAsia="Arial" w:hAnsi="Arial"/>
                <w:sz w:val="20"/>
                <w:szCs w:val="20"/>
                <w:color w:val="auto"/>
                <w:w w:val="98"/>
              </w:rPr>
              <w:t>shareholders'</w:t>
            </w:r>
          </w:p>
        </w:tc>
        <w:tc>
          <w:tcPr>
            <w:tcW w:w="0" w:type="dxa"/>
            <w:vAlign w:val="bottom"/>
          </w:tcPr>
          <w:p>
            <w:pPr>
              <w:spacing w:after="0"/>
              <w:rPr>
                <w:sz w:val="1"/>
                <w:szCs w:val="1"/>
                <w:color w:val="auto"/>
              </w:rPr>
            </w:pPr>
          </w:p>
        </w:tc>
      </w:tr>
      <w:tr>
        <w:trPr>
          <w:trHeight w:val="261"/>
        </w:trPr>
        <w:tc>
          <w:tcPr>
            <w:tcW w:w="3840" w:type="dxa"/>
            <w:vAlign w:val="bottom"/>
          </w:tcPr>
          <w:p>
            <w:pPr>
              <w:ind w:left="20"/>
              <w:spacing w:after="0"/>
              <w:rPr>
                <w:sz w:val="20"/>
                <w:szCs w:val="20"/>
                <w:color w:val="auto"/>
              </w:rPr>
            </w:pPr>
            <w:r>
              <w:rPr>
                <w:rFonts w:ascii="Arial" w:cs="Arial" w:eastAsia="Arial" w:hAnsi="Arial"/>
                <w:sz w:val="20"/>
                <w:szCs w:val="20"/>
                <w:color w:val="auto"/>
              </w:rPr>
              <w:t>in CHF thousands</w:t>
            </w:r>
          </w:p>
        </w:tc>
        <w:tc>
          <w:tcPr>
            <w:tcW w:w="16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0" w:type="dxa"/>
            <w:vAlign w:val="bottom"/>
          </w:tcPr>
          <w:p>
            <w:pPr>
              <w:jc w:val="center"/>
              <w:ind w:right="121"/>
              <w:spacing w:after="0"/>
              <w:rPr>
                <w:sz w:val="20"/>
                <w:szCs w:val="20"/>
                <w:color w:val="auto"/>
              </w:rPr>
            </w:pPr>
            <w:r>
              <w:rPr>
                <w:rFonts w:ascii="Arial" w:cs="Arial" w:eastAsia="Arial" w:hAnsi="Arial"/>
                <w:sz w:val="20"/>
                <w:szCs w:val="20"/>
                <w:color w:val="auto"/>
                <w:w w:val="98"/>
              </w:rPr>
              <w:t>reserve</w:t>
            </w:r>
          </w:p>
        </w:tc>
        <w:tc>
          <w:tcPr>
            <w:tcW w:w="1480" w:type="dxa"/>
            <w:vAlign w:val="bottom"/>
          </w:tcPr>
          <w:p>
            <w:pPr>
              <w:spacing w:after="0"/>
              <w:rPr>
                <w:sz w:val="22"/>
                <w:szCs w:val="22"/>
                <w:color w:val="auto"/>
              </w:rPr>
            </w:pPr>
          </w:p>
        </w:tc>
        <w:tc>
          <w:tcPr>
            <w:tcW w:w="1460" w:type="dxa"/>
            <w:vAlign w:val="bottom"/>
          </w:tcPr>
          <w:p>
            <w:pPr>
              <w:jc w:val="center"/>
              <w:spacing w:after="0"/>
              <w:rPr>
                <w:sz w:val="20"/>
                <w:szCs w:val="20"/>
                <w:color w:val="auto"/>
              </w:rPr>
            </w:pPr>
            <w:r>
              <w:rPr>
                <w:rFonts w:ascii="Arial" w:cs="Arial" w:eastAsia="Arial" w:hAnsi="Arial"/>
                <w:sz w:val="20"/>
                <w:szCs w:val="20"/>
                <w:color w:val="auto"/>
              </w:rPr>
              <w:t>equity</w:t>
            </w:r>
          </w:p>
        </w:tc>
        <w:tc>
          <w:tcPr>
            <w:tcW w:w="0" w:type="dxa"/>
            <w:vAlign w:val="bottom"/>
          </w:tcPr>
          <w:p>
            <w:pPr>
              <w:spacing w:after="0"/>
              <w:rPr>
                <w:sz w:val="1"/>
                <w:szCs w:val="1"/>
                <w:color w:val="auto"/>
              </w:rPr>
            </w:pPr>
          </w:p>
        </w:tc>
      </w:tr>
      <w:tr>
        <w:trPr>
          <w:trHeight w:val="246"/>
        </w:trPr>
        <w:tc>
          <w:tcPr>
            <w:tcW w:w="3840" w:type="dxa"/>
            <w:vAlign w:val="bottom"/>
            <w:tcBorders>
              <w:bottom w:val="single" w:sz="8" w:color="BC2327"/>
            </w:tcBorders>
          </w:tcPr>
          <w:p>
            <w:pPr>
              <w:spacing w:after="0"/>
              <w:rPr>
                <w:sz w:val="21"/>
                <w:szCs w:val="21"/>
                <w:color w:val="auto"/>
              </w:rPr>
            </w:pPr>
          </w:p>
        </w:tc>
        <w:tc>
          <w:tcPr>
            <w:tcW w:w="1640" w:type="dxa"/>
            <w:vAlign w:val="bottom"/>
            <w:tcBorders>
              <w:bottom w:val="single" w:sz="8" w:color="BC2327"/>
            </w:tcBorders>
          </w:tcPr>
          <w:p>
            <w:pPr>
              <w:spacing w:after="0"/>
              <w:rPr>
                <w:sz w:val="21"/>
                <w:szCs w:val="21"/>
                <w:color w:val="auto"/>
              </w:rPr>
            </w:pPr>
          </w:p>
        </w:tc>
        <w:tc>
          <w:tcPr>
            <w:tcW w:w="1540" w:type="dxa"/>
            <w:vAlign w:val="bottom"/>
            <w:tcBorders>
              <w:bottom w:val="single" w:sz="8" w:color="BC2327"/>
            </w:tcBorders>
          </w:tcPr>
          <w:p>
            <w:pPr>
              <w:spacing w:after="0"/>
              <w:rPr>
                <w:sz w:val="21"/>
                <w:szCs w:val="21"/>
                <w:color w:val="auto"/>
              </w:rPr>
            </w:pPr>
          </w:p>
        </w:tc>
        <w:tc>
          <w:tcPr>
            <w:tcW w:w="1200" w:type="dxa"/>
            <w:vAlign w:val="bottom"/>
            <w:tcBorders>
              <w:bottom w:val="single" w:sz="8" w:color="BC2327"/>
            </w:tcBorders>
          </w:tcPr>
          <w:p>
            <w:pPr>
              <w:spacing w:after="0"/>
              <w:rPr>
                <w:sz w:val="21"/>
                <w:szCs w:val="21"/>
                <w:color w:val="auto"/>
              </w:rPr>
            </w:pPr>
          </w:p>
        </w:tc>
        <w:tc>
          <w:tcPr>
            <w:tcW w:w="148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3840" w:type="dxa"/>
            <w:vAlign w:val="bottom"/>
          </w:tcPr>
          <w:p>
            <w:pPr>
              <w:ind w:left="20"/>
              <w:spacing w:after="0"/>
              <w:rPr>
                <w:sz w:val="20"/>
                <w:szCs w:val="20"/>
                <w:color w:val="auto"/>
              </w:rPr>
            </w:pPr>
            <w:r>
              <w:rPr>
                <w:rFonts w:ascii="Arial" w:cs="Arial" w:eastAsia="Arial" w:hAnsi="Arial"/>
                <w:sz w:val="20"/>
                <w:szCs w:val="20"/>
                <w:color w:val="auto"/>
              </w:rPr>
              <w:t>At January 1, 2025</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4,036</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384,875</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(981)</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(246,293)</w:t>
            </w:r>
          </w:p>
        </w:tc>
        <w:tc>
          <w:tcPr>
            <w:tcW w:w="1460" w:type="dxa"/>
            <w:vAlign w:val="bottom"/>
          </w:tcPr>
          <w:p>
            <w:pPr>
              <w:jc w:val="right"/>
              <w:spacing w:after="0"/>
              <w:rPr>
                <w:sz w:val="20"/>
                <w:szCs w:val="20"/>
                <w:color w:val="auto"/>
              </w:rPr>
            </w:pPr>
            <w:r>
              <w:rPr>
                <w:rFonts w:ascii="Arial" w:cs="Arial" w:eastAsia="Arial" w:hAnsi="Arial"/>
                <w:sz w:val="20"/>
                <w:szCs w:val="20"/>
                <w:color w:val="auto"/>
              </w:rPr>
              <w:t>141,636</w:t>
            </w:r>
          </w:p>
        </w:tc>
        <w:tc>
          <w:tcPr>
            <w:tcW w:w="0" w:type="dxa"/>
            <w:vAlign w:val="bottom"/>
          </w:tcPr>
          <w:p>
            <w:pPr>
              <w:spacing w:after="0"/>
              <w:rPr>
                <w:sz w:val="1"/>
                <w:szCs w:val="1"/>
                <w:color w:val="auto"/>
              </w:rPr>
            </w:pPr>
          </w:p>
        </w:tc>
      </w:tr>
      <w:tr>
        <w:trPr>
          <w:trHeight w:val="247"/>
        </w:trPr>
        <w:tc>
          <w:tcPr>
            <w:tcW w:w="3840" w:type="dxa"/>
            <w:vAlign w:val="bottom"/>
            <w:tcBorders>
              <w:bottom w:val="single" w:sz="8" w:color="BF2115"/>
            </w:tcBorders>
          </w:tcPr>
          <w:p>
            <w:pPr>
              <w:spacing w:after="0"/>
              <w:rPr>
                <w:sz w:val="21"/>
                <w:szCs w:val="21"/>
                <w:color w:val="auto"/>
              </w:rPr>
            </w:pPr>
          </w:p>
        </w:tc>
        <w:tc>
          <w:tcPr>
            <w:tcW w:w="1640" w:type="dxa"/>
            <w:vAlign w:val="bottom"/>
            <w:tcBorders>
              <w:bottom w:val="single" w:sz="8" w:color="BF2115"/>
            </w:tcBorders>
          </w:tcPr>
          <w:p>
            <w:pPr>
              <w:spacing w:after="0"/>
              <w:rPr>
                <w:sz w:val="21"/>
                <w:szCs w:val="21"/>
                <w:color w:val="auto"/>
              </w:rPr>
            </w:pPr>
          </w:p>
        </w:tc>
        <w:tc>
          <w:tcPr>
            <w:tcW w:w="1540" w:type="dxa"/>
            <w:vAlign w:val="bottom"/>
            <w:tcBorders>
              <w:bottom w:val="single" w:sz="8" w:color="BF2115"/>
            </w:tcBorders>
          </w:tcPr>
          <w:p>
            <w:pPr>
              <w:spacing w:after="0"/>
              <w:rPr>
                <w:sz w:val="21"/>
                <w:szCs w:val="21"/>
                <w:color w:val="auto"/>
              </w:rPr>
            </w:pPr>
          </w:p>
        </w:tc>
        <w:tc>
          <w:tcPr>
            <w:tcW w:w="1200" w:type="dxa"/>
            <w:vAlign w:val="bottom"/>
            <w:tcBorders>
              <w:bottom w:val="single" w:sz="8" w:color="BF2115"/>
            </w:tcBorders>
          </w:tcPr>
          <w:p>
            <w:pPr>
              <w:spacing w:after="0"/>
              <w:rPr>
                <w:sz w:val="21"/>
                <w:szCs w:val="21"/>
                <w:color w:val="auto"/>
              </w:rPr>
            </w:pPr>
          </w:p>
        </w:tc>
        <w:tc>
          <w:tcPr>
            <w:tcW w:w="1480" w:type="dxa"/>
            <w:vAlign w:val="bottom"/>
            <w:tcBorders>
              <w:bottom w:val="single" w:sz="8" w:color="BF2115"/>
            </w:tcBorders>
          </w:tcPr>
          <w:p>
            <w:pPr>
              <w:spacing w:after="0"/>
              <w:rPr>
                <w:sz w:val="21"/>
                <w:szCs w:val="21"/>
                <w:color w:val="auto"/>
              </w:rPr>
            </w:pPr>
          </w:p>
        </w:tc>
        <w:tc>
          <w:tcPr>
            <w:tcW w:w="146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840" w:type="dxa"/>
            <w:vAlign w:val="bottom"/>
          </w:tcPr>
          <w:p>
            <w:pPr>
              <w:ind w:left="20"/>
              <w:spacing w:after="0"/>
              <w:rPr>
                <w:sz w:val="20"/>
                <w:szCs w:val="20"/>
                <w:color w:val="auto"/>
              </w:rPr>
            </w:pPr>
            <w:r>
              <w:rPr>
                <w:rFonts w:ascii="Arial" w:cs="Arial" w:eastAsia="Arial" w:hAnsi="Arial"/>
                <w:sz w:val="20"/>
                <w:szCs w:val="20"/>
                <w:color w:val="auto"/>
              </w:rPr>
              <w:t>Net result</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(49,002)</w:t>
            </w:r>
          </w:p>
        </w:tc>
        <w:tc>
          <w:tcPr>
            <w:tcW w:w="1460" w:type="dxa"/>
            <w:vAlign w:val="bottom"/>
          </w:tcPr>
          <w:p>
            <w:pPr>
              <w:jc w:val="right"/>
              <w:spacing w:after="0"/>
              <w:rPr>
                <w:sz w:val="20"/>
                <w:szCs w:val="20"/>
                <w:color w:val="auto"/>
              </w:rPr>
            </w:pPr>
            <w:r>
              <w:rPr>
                <w:rFonts w:ascii="Arial" w:cs="Arial" w:eastAsia="Arial" w:hAnsi="Arial"/>
                <w:sz w:val="20"/>
                <w:szCs w:val="20"/>
                <w:color w:val="auto"/>
              </w:rPr>
              <w:t>(49,002)</w:t>
            </w:r>
          </w:p>
        </w:tc>
        <w:tc>
          <w:tcPr>
            <w:tcW w:w="0" w:type="dxa"/>
            <w:vAlign w:val="bottom"/>
          </w:tcPr>
          <w:p>
            <w:pPr>
              <w:spacing w:after="0"/>
              <w:rPr>
                <w:sz w:val="1"/>
                <w:szCs w:val="1"/>
                <w:color w:val="auto"/>
              </w:rPr>
            </w:pPr>
          </w:p>
        </w:tc>
      </w:tr>
      <w:tr>
        <w:trPr>
          <w:trHeight w:val="527"/>
        </w:trPr>
        <w:tc>
          <w:tcPr>
            <w:tcW w:w="3840" w:type="dxa"/>
            <w:vAlign w:val="bottom"/>
          </w:tcPr>
          <w:p>
            <w:pPr>
              <w:ind w:left="20"/>
              <w:spacing w:after="0"/>
              <w:rPr>
                <w:sz w:val="20"/>
                <w:szCs w:val="20"/>
                <w:color w:val="auto"/>
              </w:rPr>
            </w:pPr>
            <w:r>
              <w:rPr>
                <w:rFonts w:ascii="Arial" w:cs="Arial" w:eastAsia="Arial" w:hAnsi="Arial"/>
                <w:sz w:val="20"/>
                <w:szCs w:val="20"/>
                <w:color w:val="auto"/>
              </w:rPr>
              <w:t>Remeasurement of net pension liabilities</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(301)</w:t>
            </w:r>
          </w:p>
        </w:tc>
        <w:tc>
          <w:tcPr>
            <w:tcW w:w="1460" w:type="dxa"/>
            <w:vAlign w:val="bottom"/>
          </w:tcPr>
          <w:p>
            <w:pPr>
              <w:jc w:val="right"/>
              <w:spacing w:after="0"/>
              <w:rPr>
                <w:sz w:val="20"/>
                <w:szCs w:val="20"/>
                <w:color w:val="auto"/>
              </w:rPr>
            </w:pPr>
            <w:r>
              <w:rPr>
                <w:rFonts w:ascii="Arial" w:cs="Arial" w:eastAsia="Arial" w:hAnsi="Arial"/>
                <w:sz w:val="20"/>
                <w:szCs w:val="20"/>
                <w:color w:val="auto"/>
              </w:rPr>
              <w:t>(301)</w:t>
            </w:r>
          </w:p>
        </w:tc>
        <w:tc>
          <w:tcPr>
            <w:tcW w:w="0" w:type="dxa"/>
            <w:vAlign w:val="bottom"/>
          </w:tcPr>
          <w:p>
            <w:pPr>
              <w:spacing w:after="0"/>
              <w:rPr>
                <w:sz w:val="1"/>
                <w:szCs w:val="1"/>
                <w:color w:val="auto"/>
              </w:rPr>
            </w:pPr>
          </w:p>
        </w:tc>
      </w:tr>
      <w:tr>
        <w:trPr>
          <w:trHeight w:val="508"/>
        </w:trPr>
        <w:tc>
          <w:tcPr>
            <w:tcW w:w="3840" w:type="dxa"/>
            <w:vAlign w:val="bottom"/>
          </w:tcPr>
          <w:p>
            <w:pPr>
              <w:ind w:left="20"/>
              <w:spacing w:after="0"/>
              <w:rPr>
                <w:sz w:val="20"/>
                <w:szCs w:val="20"/>
                <w:color w:val="auto"/>
              </w:rPr>
            </w:pPr>
            <w:r>
              <w:rPr>
                <w:rFonts w:ascii="Arial" w:cs="Arial" w:eastAsia="Arial" w:hAnsi="Arial"/>
                <w:sz w:val="20"/>
                <w:szCs w:val="20"/>
                <w:color w:val="auto"/>
              </w:rPr>
              <w:t>Exchange differences on translating</w:t>
            </w:r>
          </w:p>
        </w:tc>
        <w:tc>
          <w:tcPr>
            <w:tcW w:w="1640" w:type="dxa"/>
            <w:vAlign w:val="bottom"/>
            <w:vMerge w:val="restart"/>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vMerge w:val="restart"/>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vMerge w:val="restart"/>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vMerge w:val="restart"/>
          </w:tcPr>
          <w:p>
            <w:pPr>
              <w:jc w:val="right"/>
              <w:ind w:right="61"/>
              <w:spacing w:after="0"/>
              <w:rPr>
                <w:sz w:val="20"/>
                <w:szCs w:val="20"/>
                <w:color w:val="auto"/>
              </w:rPr>
            </w:pPr>
            <w:r>
              <w:rPr>
                <w:rFonts w:ascii="Arial" w:cs="Arial" w:eastAsia="Arial" w:hAnsi="Arial"/>
                <w:sz w:val="20"/>
                <w:szCs w:val="20"/>
                <w:color w:val="auto"/>
              </w:rPr>
              <w:t>9</w:t>
            </w: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61"/>
        </w:trPr>
        <w:tc>
          <w:tcPr>
            <w:tcW w:w="3840" w:type="dxa"/>
            <w:vAlign w:val="bottom"/>
          </w:tcPr>
          <w:p>
            <w:pPr>
              <w:ind w:left="20"/>
              <w:spacing w:after="0"/>
              <w:rPr>
                <w:sz w:val="20"/>
                <w:szCs w:val="20"/>
                <w:color w:val="auto"/>
              </w:rPr>
            </w:pPr>
            <w:r>
              <w:rPr>
                <w:rFonts w:ascii="Arial" w:cs="Arial" w:eastAsia="Arial" w:hAnsi="Arial"/>
                <w:sz w:val="20"/>
                <w:szCs w:val="20"/>
                <w:color w:val="auto"/>
              </w:rPr>
              <w:t>foreign operations</w:t>
            </w:r>
          </w:p>
        </w:tc>
        <w:tc>
          <w:tcPr>
            <w:tcW w:w="164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3840" w:type="dxa"/>
            <w:vAlign w:val="bottom"/>
          </w:tcPr>
          <w:p>
            <w:pPr>
              <w:ind w:left="20"/>
              <w:spacing w:after="0"/>
              <w:rPr>
                <w:sz w:val="20"/>
                <w:szCs w:val="20"/>
                <w:color w:val="auto"/>
              </w:rPr>
            </w:pPr>
            <w:r>
              <w:rPr>
                <w:rFonts w:ascii="Arial" w:cs="Arial" w:eastAsia="Arial" w:hAnsi="Arial"/>
                <w:sz w:val="20"/>
                <w:szCs w:val="20"/>
                <w:color w:val="auto"/>
              </w:rPr>
              <w:t>Total comprehensive income</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(49,294)</w:t>
            </w:r>
          </w:p>
        </w:tc>
        <w:tc>
          <w:tcPr>
            <w:tcW w:w="1460" w:type="dxa"/>
            <w:vAlign w:val="bottom"/>
          </w:tcPr>
          <w:p>
            <w:pPr>
              <w:jc w:val="right"/>
              <w:spacing w:after="0"/>
              <w:rPr>
                <w:sz w:val="20"/>
                <w:szCs w:val="20"/>
                <w:color w:val="auto"/>
              </w:rPr>
            </w:pPr>
            <w:r>
              <w:rPr>
                <w:rFonts w:ascii="Arial" w:cs="Arial" w:eastAsia="Arial" w:hAnsi="Arial"/>
                <w:sz w:val="20"/>
                <w:szCs w:val="20"/>
                <w:color w:val="auto"/>
              </w:rPr>
              <w:t>(49,294)</w:t>
            </w:r>
          </w:p>
        </w:tc>
        <w:tc>
          <w:tcPr>
            <w:tcW w:w="0" w:type="dxa"/>
            <w:vAlign w:val="bottom"/>
          </w:tcPr>
          <w:p>
            <w:pPr>
              <w:spacing w:after="0"/>
              <w:rPr>
                <w:sz w:val="1"/>
                <w:szCs w:val="1"/>
                <w:color w:val="auto"/>
              </w:rPr>
            </w:pPr>
          </w:p>
        </w:tc>
      </w:tr>
      <w:tr>
        <w:trPr>
          <w:trHeight w:val="246"/>
        </w:trPr>
        <w:tc>
          <w:tcPr>
            <w:tcW w:w="3840" w:type="dxa"/>
            <w:vAlign w:val="bottom"/>
            <w:tcBorders>
              <w:bottom w:val="single" w:sz="8" w:color="BF2115"/>
            </w:tcBorders>
          </w:tcPr>
          <w:p>
            <w:pPr>
              <w:spacing w:after="0"/>
              <w:rPr>
                <w:sz w:val="21"/>
                <w:szCs w:val="21"/>
                <w:color w:val="auto"/>
              </w:rPr>
            </w:pPr>
          </w:p>
        </w:tc>
        <w:tc>
          <w:tcPr>
            <w:tcW w:w="1640" w:type="dxa"/>
            <w:vAlign w:val="bottom"/>
            <w:tcBorders>
              <w:bottom w:val="single" w:sz="8" w:color="BF2115"/>
            </w:tcBorders>
          </w:tcPr>
          <w:p>
            <w:pPr>
              <w:spacing w:after="0"/>
              <w:rPr>
                <w:sz w:val="21"/>
                <w:szCs w:val="21"/>
                <w:color w:val="auto"/>
              </w:rPr>
            </w:pPr>
          </w:p>
        </w:tc>
        <w:tc>
          <w:tcPr>
            <w:tcW w:w="1540" w:type="dxa"/>
            <w:vAlign w:val="bottom"/>
            <w:tcBorders>
              <w:bottom w:val="single" w:sz="8" w:color="BF2115"/>
            </w:tcBorders>
          </w:tcPr>
          <w:p>
            <w:pPr>
              <w:spacing w:after="0"/>
              <w:rPr>
                <w:sz w:val="21"/>
                <w:szCs w:val="21"/>
                <w:color w:val="auto"/>
              </w:rPr>
            </w:pPr>
          </w:p>
        </w:tc>
        <w:tc>
          <w:tcPr>
            <w:tcW w:w="1200" w:type="dxa"/>
            <w:vAlign w:val="bottom"/>
            <w:tcBorders>
              <w:bottom w:val="single" w:sz="8" w:color="BF2115"/>
            </w:tcBorders>
          </w:tcPr>
          <w:p>
            <w:pPr>
              <w:spacing w:after="0"/>
              <w:rPr>
                <w:sz w:val="21"/>
                <w:szCs w:val="21"/>
                <w:color w:val="auto"/>
              </w:rPr>
            </w:pPr>
          </w:p>
        </w:tc>
        <w:tc>
          <w:tcPr>
            <w:tcW w:w="1480" w:type="dxa"/>
            <w:vAlign w:val="bottom"/>
            <w:tcBorders>
              <w:bottom w:val="single" w:sz="8" w:color="BF2115"/>
            </w:tcBorders>
          </w:tcPr>
          <w:p>
            <w:pPr>
              <w:spacing w:after="0"/>
              <w:rPr>
                <w:sz w:val="21"/>
                <w:szCs w:val="21"/>
                <w:color w:val="auto"/>
              </w:rPr>
            </w:pPr>
          </w:p>
        </w:tc>
        <w:tc>
          <w:tcPr>
            <w:tcW w:w="146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3840" w:type="dxa"/>
            <w:vAlign w:val="bottom"/>
          </w:tcPr>
          <w:p>
            <w:pPr>
              <w:ind w:left="20"/>
              <w:spacing w:after="0"/>
              <w:rPr>
                <w:sz w:val="20"/>
                <w:szCs w:val="20"/>
                <w:color w:val="auto"/>
              </w:rPr>
            </w:pPr>
            <w:r>
              <w:rPr>
                <w:rFonts w:ascii="Arial" w:cs="Arial" w:eastAsia="Arial" w:hAnsi="Arial"/>
                <w:sz w:val="20"/>
                <w:szCs w:val="20"/>
                <w:color w:val="auto"/>
              </w:rPr>
              <w:t xml:space="preserve">Share-based compensation costs </w:t>
            </w:r>
            <w:r>
              <w:rPr>
                <w:rFonts w:ascii="Arial" w:cs="Arial" w:eastAsia="Arial" w:hAnsi="Arial"/>
                <w:sz w:val="25"/>
                <w:szCs w:val="25"/>
                <w:color w:val="auto"/>
                <w:vertAlign w:val="superscript"/>
              </w:rPr>
              <w:t>(1)</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3,446</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3,446</w:t>
            </w:r>
          </w:p>
        </w:tc>
        <w:tc>
          <w:tcPr>
            <w:tcW w:w="0" w:type="dxa"/>
            <w:vAlign w:val="bottom"/>
          </w:tcPr>
          <w:p>
            <w:pPr>
              <w:spacing w:after="0"/>
              <w:rPr>
                <w:sz w:val="1"/>
                <w:szCs w:val="1"/>
                <w:color w:val="auto"/>
              </w:rPr>
            </w:pPr>
          </w:p>
        </w:tc>
      </w:tr>
      <w:tr>
        <w:trPr>
          <w:trHeight w:val="443"/>
        </w:trPr>
        <w:tc>
          <w:tcPr>
            <w:tcW w:w="3840" w:type="dxa"/>
            <w:vAlign w:val="bottom"/>
          </w:tcPr>
          <w:p>
            <w:pPr>
              <w:ind w:left="20"/>
              <w:spacing w:after="0"/>
              <w:rPr>
                <w:sz w:val="20"/>
                <w:szCs w:val="20"/>
                <w:color w:val="auto"/>
              </w:rPr>
            </w:pPr>
            <w:r>
              <w:rPr>
                <w:rFonts w:ascii="Arial" w:cs="Arial" w:eastAsia="Arial" w:hAnsi="Arial"/>
                <w:sz w:val="20"/>
                <w:szCs w:val="20"/>
                <w:color w:val="auto"/>
              </w:rPr>
              <w:t>Issuance of new shares under LTI plans</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1</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527"/>
        </w:trPr>
        <w:tc>
          <w:tcPr>
            <w:tcW w:w="3840" w:type="dxa"/>
            <w:vAlign w:val="bottom"/>
          </w:tcPr>
          <w:p>
            <w:pPr>
              <w:ind w:left="20"/>
              <w:spacing w:after="0"/>
              <w:rPr>
                <w:sz w:val="20"/>
                <w:szCs w:val="20"/>
                <w:color w:val="auto"/>
              </w:rPr>
            </w:pPr>
            <w:r>
              <w:rPr>
                <w:rFonts w:ascii="Arial" w:cs="Arial" w:eastAsia="Arial" w:hAnsi="Arial"/>
                <w:sz w:val="20"/>
                <w:szCs w:val="20"/>
                <w:color w:val="auto"/>
              </w:rPr>
              <w:t>Exercise of LTI plans</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21"/>
              <w:spacing w:after="0"/>
              <w:rPr>
                <w:sz w:val="20"/>
                <w:szCs w:val="20"/>
                <w:color w:val="auto"/>
              </w:rPr>
            </w:pPr>
            <w:r>
              <w:rPr>
                <w:rFonts w:ascii="Arial" w:cs="Arial" w:eastAsia="Arial" w:hAnsi="Arial"/>
                <w:sz w:val="20"/>
                <w:szCs w:val="20"/>
                <w:color w:val="auto"/>
              </w:rPr>
              <w:t>(112)</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173</w:t>
            </w: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62</w:t>
            </w:r>
          </w:p>
        </w:tc>
        <w:tc>
          <w:tcPr>
            <w:tcW w:w="0" w:type="dxa"/>
            <w:vAlign w:val="bottom"/>
          </w:tcPr>
          <w:p>
            <w:pPr>
              <w:spacing w:after="0"/>
              <w:rPr>
                <w:sz w:val="1"/>
                <w:szCs w:val="1"/>
                <w:color w:val="auto"/>
              </w:rPr>
            </w:pPr>
          </w:p>
        </w:tc>
      </w:tr>
      <w:tr>
        <w:trPr>
          <w:trHeight w:val="508"/>
        </w:trPr>
        <w:tc>
          <w:tcPr>
            <w:tcW w:w="3840" w:type="dxa"/>
            <w:vAlign w:val="bottom"/>
          </w:tcPr>
          <w:p>
            <w:pPr>
              <w:ind w:left="20"/>
              <w:spacing w:after="0"/>
              <w:rPr>
                <w:sz w:val="20"/>
                <w:szCs w:val="20"/>
                <w:color w:val="auto"/>
              </w:rPr>
            </w:pPr>
            <w:r>
              <w:rPr>
                <w:rFonts w:ascii="Arial" w:cs="Arial" w:eastAsia="Arial" w:hAnsi="Arial"/>
                <w:sz w:val="20"/>
                <w:szCs w:val="20"/>
                <w:color w:val="auto"/>
              </w:rPr>
              <w:t>Treasury shares withheld to cover social</w:t>
            </w:r>
          </w:p>
        </w:tc>
        <w:tc>
          <w:tcPr>
            <w:tcW w:w="1640" w:type="dxa"/>
            <w:vAlign w:val="bottom"/>
            <w:vMerge w:val="restart"/>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vMerge w:val="restart"/>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vMerge w:val="restart"/>
          </w:tcPr>
          <w:p>
            <w:pPr>
              <w:jc w:val="right"/>
              <w:ind w:right="41"/>
              <w:spacing w:after="0"/>
              <w:rPr>
                <w:sz w:val="20"/>
                <w:szCs w:val="20"/>
                <w:color w:val="auto"/>
              </w:rPr>
            </w:pPr>
            <w:r>
              <w:rPr>
                <w:rFonts w:ascii="Arial" w:cs="Arial" w:eastAsia="Arial" w:hAnsi="Arial"/>
                <w:sz w:val="20"/>
                <w:szCs w:val="20"/>
                <w:color w:val="auto"/>
              </w:rPr>
              <w:t>(322)</w:t>
            </w:r>
          </w:p>
        </w:tc>
        <w:tc>
          <w:tcPr>
            <w:tcW w:w="1480" w:type="dxa"/>
            <w:vAlign w:val="bottom"/>
            <w:vMerge w:val="restart"/>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(322)</w:t>
            </w:r>
          </w:p>
        </w:tc>
        <w:tc>
          <w:tcPr>
            <w:tcW w:w="0" w:type="dxa"/>
            <w:vAlign w:val="bottom"/>
          </w:tcPr>
          <w:p>
            <w:pPr>
              <w:spacing w:after="0"/>
              <w:rPr>
                <w:sz w:val="1"/>
                <w:szCs w:val="1"/>
                <w:color w:val="auto"/>
              </w:rPr>
            </w:pPr>
          </w:p>
        </w:tc>
      </w:tr>
      <w:tr>
        <w:trPr>
          <w:trHeight w:val="261"/>
        </w:trPr>
        <w:tc>
          <w:tcPr>
            <w:tcW w:w="3840" w:type="dxa"/>
            <w:vAlign w:val="bottom"/>
          </w:tcPr>
          <w:p>
            <w:pPr>
              <w:ind w:left="20"/>
              <w:spacing w:after="0"/>
              <w:rPr>
                <w:sz w:val="20"/>
                <w:szCs w:val="20"/>
                <w:color w:val="auto"/>
              </w:rPr>
            </w:pPr>
            <w:r>
              <w:rPr>
                <w:rFonts w:ascii="Arial" w:cs="Arial" w:eastAsia="Arial" w:hAnsi="Arial"/>
                <w:sz w:val="20"/>
                <w:szCs w:val="20"/>
                <w:color w:val="auto"/>
              </w:rPr>
              <w:t>security and tax</w:t>
            </w:r>
          </w:p>
        </w:tc>
        <w:tc>
          <w:tcPr>
            <w:tcW w:w="164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3840" w:type="dxa"/>
            <w:vAlign w:val="bottom"/>
          </w:tcPr>
          <w:p>
            <w:pPr>
              <w:ind w:left="20"/>
              <w:spacing w:after="0"/>
              <w:rPr>
                <w:sz w:val="20"/>
                <w:szCs w:val="20"/>
                <w:color w:val="auto"/>
              </w:rPr>
            </w:pPr>
            <w:r>
              <w:rPr>
                <w:rFonts w:ascii="Arial" w:cs="Arial" w:eastAsia="Arial" w:hAnsi="Arial"/>
                <w:sz w:val="20"/>
                <w:szCs w:val="20"/>
                <w:color w:val="auto"/>
              </w:rPr>
              <w:t>At September 30, 2025</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4,037</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388,209</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(1,129)</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(295,588)</w:t>
            </w:r>
          </w:p>
        </w:tc>
        <w:tc>
          <w:tcPr>
            <w:tcW w:w="1460" w:type="dxa"/>
            <w:vAlign w:val="bottom"/>
          </w:tcPr>
          <w:p>
            <w:pPr>
              <w:jc w:val="right"/>
              <w:spacing w:after="0"/>
              <w:rPr>
                <w:sz w:val="20"/>
                <w:szCs w:val="20"/>
                <w:color w:val="auto"/>
              </w:rPr>
            </w:pPr>
            <w:r>
              <w:rPr>
                <w:rFonts w:ascii="Arial" w:cs="Arial" w:eastAsia="Arial" w:hAnsi="Arial"/>
                <w:sz w:val="20"/>
                <w:szCs w:val="20"/>
                <w:color w:val="auto"/>
              </w:rPr>
              <w:t>95,529</w:t>
            </w:r>
          </w:p>
        </w:tc>
        <w:tc>
          <w:tcPr>
            <w:tcW w:w="0" w:type="dxa"/>
            <w:vAlign w:val="bottom"/>
          </w:tcPr>
          <w:p>
            <w:pPr>
              <w:spacing w:after="0"/>
              <w:rPr>
                <w:sz w:val="1"/>
                <w:szCs w:val="1"/>
                <w:color w:val="auto"/>
              </w:rPr>
            </w:pPr>
          </w:p>
        </w:tc>
      </w:tr>
      <w:tr>
        <w:trPr>
          <w:trHeight w:val="247"/>
        </w:trPr>
        <w:tc>
          <w:tcPr>
            <w:tcW w:w="3840" w:type="dxa"/>
            <w:vAlign w:val="bottom"/>
            <w:tcBorders>
              <w:bottom w:val="single" w:sz="8" w:color="BC2327"/>
            </w:tcBorders>
          </w:tcPr>
          <w:p>
            <w:pPr>
              <w:spacing w:after="0"/>
              <w:rPr>
                <w:sz w:val="21"/>
                <w:szCs w:val="21"/>
                <w:color w:val="auto"/>
              </w:rPr>
            </w:pPr>
          </w:p>
        </w:tc>
        <w:tc>
          <w:tcPr>
            <w:tcW w:w="1640" w:type="dxa"/>
            <w:vAlign w:val="bottom"/>
            <w:tcBorders>
              <w:bottom w:val="single" w:sz="8" w:color="BC2327"/>
            </w:tcBorders>
          </w:tcPr>
          <w:p>
            <w:pPr>
              <w:spacing w:after="0"/>
              <w:rPr>
                <w:sz w:val="21"/>
                <w:szCs w:val="21"/>
                <w:color w:val="auto"/>
              </w:rPr>
            </w:pPr>
          </w:p>
        </w:tc>
        <w:tc>
          <w:tcPr>
            <w:tcW w:w="1540" w:type="dxa"/>
            <w:vAlign w:val="bottom"/>
            <w:tcBorders>
              <w:bottom w:val="single" w:sz="8" w:color="BC2327"/>
            </w:tcBorders>
          </w:tcPr>
          <w:p>
            <w:pPr>
              <w:spacing w:after="0"/>
              <w:rPr>
                <w:sz w:val="21"/>
                <w:szCs w:val="21"/>
                <w:color w:val="auto"/>
              </w:rPr>
            </w:pPr>
          </w:p>
        </w:tc>
        <w:tc>
          <w:tcPr>
            <w:tcW w:w="1200" w:type="dxa"/>
            <w:vAlign w:val="bottom"/>
            <w:tcBorders>
              <w:bottom w:val="single" w:sz="8" w:color="BC2327"/>
            </w:tcBorders>
          </w:tcPr>
          <w:p>
            <w:pPr>
              <w:spacing w:after="0"/>
              <w:rPr>
                <w:sz w:val="21"/>
                <w:szCs w:val="21"/>
                <w:color w:val="auto"/>
              </w:rPr>
            </w:pPr>
          </w:p>
        </w:tc>
        <w:tc>
          <w:tcPr>
            <w:tcW w:w="148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530"/>
        </w:trPr>
        <w:tc>
          <w:tcPr>
            <w:tcW w:w="3840" w:type="dxa"/>
            <w:vAlign w:val="bottom"/>
          </w:tcPr>
          <w:p>
            <w:pPr>
              <w:ind w:left="20"/>
              <w:spacing w:after="0"/>
              <w:rPr>
                <w:sz w:val="20"/>
                <w:szCs w:val="20"/>
                <w:color w:val="auto"/>
              </w:rPr>
            </w:pPr>
            <w:r>
              <w:rPr>
                <w:rFonts w:ascii="Arial" w:cs="Arial" w:eastAsia="Arial" w:hAnsi="Arial"/>
                <w:sz w:val="20"/>
                <w:szCs w:val="20"/>
                <w:color w:val="auto"/>
              </w:rPr>
              <w:t>At January 1, 2026</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4,037</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389,179</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(1,129)</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(311,753)</w:t>
            </w:r>
          </w:p>
        </w:tc>
        <w:tc>
          <w:tcPr>
            <w:tcW w:w="1460" w:type="dxa"/>
            <w:vAlign w:val="bottom"/>
          </w:tcPr>
          <w:p>
            <w:pPr>
              <w:jc w:val="right"/>
              <w:spacing w:after="0"/>
              <w:rPr>
                <w:sz w:val="20"/>
                <w:szCs w:val="20"/>
                <w:color w:val="auto"/>
              </w:rPr>
            </w:pPr>
            <w:r>
              <w:rPr>
                <w:rFonts w:ascii="Arial" w:cs="Arial" w:eastAsia="Arial" w:hAnsi="Arial"/>
                <w:sz w:val="20"/>
                <w:szCs w:val="20"/>
                <w:color w:val="auto"/>
              </w:rPr>
              <w:t>80,334</w:t>
            </w:r>
          </w:p>
        </w:tc>
        <w:tc>
          <w:tcPr>
            <w:tcW w:w="0" w:type="dxa"/>
            <w:vAlign w:val="bottom"/>
          </w:tcPr>
          <w:p>
            <w:pPr>
              <w:spacing w:after="0"/>
              <w:rPr>
                <w:sz w:val="1"/>
                <w:szCs w:val="1"/>
                <w:color w:val="auto"/>
              </w:rPr>
            </w:pPr>
          </w:p>
        </w:tc>
      </w:tr>
      <w:tr>
        <w:trPr>
          <w:trHeight w:val="246"/>
        </w:trPr>
        <w:tc>
          <w:tcPr>
            <w:tcW w:w="3840" w:type="dxa"/>
            <w:vAlign w:val="bottom"/>
            <w:tcBorders>
              <w:bottom w:val="single" w:sz="8" w:color="BC2327"/>
            </w:tcBorders>
          </w:tcPr>
          <w:p>
            <w:pPr>
              <w:spacing w:after="0"/>
              <w:rPr>
                <w:sz w:val="21"/>
                <w:szCs w:val="21"/>
                <w:color w:val="auto"/>
              </w:rPr>
            </w:pPr>
          </w:p>
        </w:tc>
        <w:tc>
          <w:tcPr>
            <w:tcW w:w="1640" w:type="dxa"/>
            <w:vAlign w:val="bottom"/>
            <w:tcBorders>
              <w:bottom w:val="single" w:sz="8" w:color="BC2327"/>
            </w:tcBorders>
          </w:tcPr>
          <w:p>
            <w:pPr>
              <w:spacing w:after="0"/>
              <w:rPr>
                <w:sz w:val="21"/>
                <w:szCs w:val="21"/>
                <w:color w:val="auto"/>
              </w:rPr>
            </w:pPr>
          </w:p>
        </w:tc>
        <w:tc>
          <w:tcPr>
            <w:tcW w:w="1540" w:type="dxa"/>
            <w:vAlign w:val="bottom"/>
            <w:tcBorders>
              <w:bottom w:val="single" w:sz="8" w:color="BC2327"/>
            </w:tcBorders>
          </w:tcPr>
          <w:p>
            <w:pPr>
              <w:spacing w:after="0"/>
              <w:rPr>
                <w:sz w:val="21"/>
                <w:szCs w:val="21"/>
                <w:color w:val="auto"/>
              </w:rPr>
            </w:pPr>
          </w:p>
        </w:tc>
        <w:tc>
          <w:tcPr>
            <w:tcW w:w="1200" w:type="dxa"/>
            <w:vAlign w:val="bottom"/>
            <w:tcBorders>
              <w:bottom w:val="single" w:sz="8" w:color="BC2327"/>
            </w:tcBorders>
          </w:tcPr>
          <w:p>
            <w:pPr>
              <w:spacing w:after="0"/>
              <w:rPr>
                <w:sz w:val="21"/>
                <w:szCs w:val="21"/>
                <w:color w:val="auto"/>
              </w:rPr>
            </w:pPr>
          </w:p>
        </w:tc>
        <w:tc>
          <w:tcPr>
            <w:tcW w:w="148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3840" w:type="dxa"/>
            <w:vAlign w:val="bottom"/>
          </w:tcPr>
          <w:p>
            <w:pPr>
              <w:ind w:left="20"/>
              <w:spacing w:after="0"/>
              <w:rPr>
                <w:sz w:val="20"/>
                <w:szCs w:val="20"/>
                <w:color w:val="auto"/>
              </w:rPr>
            </w:pPr>
            <w:r>
              <w:rPr>
                <w:rFonts w:ascii="Arial" w:cs="Arial" w:eastAsia="Arial" w:hAnsi="Arial"/>
                <w:sz w:val="20"/>
                <w:szCs w:val="20"/>
                <w:color w:val="auto"/>
              </w:rPr>
              <w:t>Net result</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(38,410)</w:t>
            </w:r>
          </w:p>
        </w:tc>
        <w:tc>
          <w:tcPr>
            <w:tcW w:w="1460" w:type="dxa"/>
            <w:vAlign w:val="bottom"/>
          </w:tcPr>
          <w:p>
            <w:pPr>
              <w:jc w:val="right"/>
              <w:spacing w:after="0"/>
              <w:rPr>
                <w:sz w:val="20"/>
                <w:szCs w:val="20"/>
                <w:color w:val="auto"/>
              </w:rPr>
            </w:pPr>
            <w:r>
              <w:rPr>
                <w:rFonts w:ascii="Arial" w:cs="Arial" w:eastAsia="Arial" w:hAnsi="Arial"/>
                <w:sz w:val="20"/>
                <w:szCs w:val="20"/>
                <w:color w:val="auto"/>
              </w:rPr>
              <w:t>(38,410)</w:t>
            </w:r>
          </w:p>
        </w:tc>
        <w:tc>
          <w:tcPr>
            <w:tcW w:w="0" w:type="dxa"/>
            <w:vAlign w:val="bottom"/>
          </w:tcPr>
          <w:p>
            <w:pPr>
              <w:spacing w:after="0"/>
              <w:rPr>
                <w:sz w:val="1"/>
                <w:szCs w:val="1"/>
                <w:color w:val="auto"/>
              </w:rPr>
            </w:pPr>
          </w:p>
        </w:tc>
      </w:tr>
      <w:tr>
        <w:trPr>
          <w:trHeight w:val="526"/>
        </w:trPr>
        <w:tc>
          <w:tcPr>
            <w:tcW w:w="3840" w:type="dxa"/>
            <w:vAlign w:val="bottom"/>
          </w:tcPr>
          <w:p>
            <w:pPr>
              <w:ind w:left="20"/>
              <w:spacing w:after="0"/>
              <w:rPr>
                <w:sz w:val="20"/>
                <w:szCs w:val="20"/>
                <w:color w:val="auto"/>
              </w:rPr>
            </w:pPr>
            <w:r>
              <w:rPr>
                <w:rFonts w:ascii="Arial" w:cs="Arial" w:eastAsia="Arial" w:hAnsi="Arial"/>
                <w:sz w:val="20"/>
                <w:szCs w:val="20"/>
                <w:color w:val="auto"/>
              </w:rPr>
              <w:t>Remeasurement of net pension liabilities</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6,078</w:t>
            </w:r>
          </w:p>
        </w:tc>
        <w:tc>
          <w:tcPr>
            <w:tcW w:w="1460" w:type="dxa"/>
            <w:vAlign w:val="bottom"/>
          </w:tcPr>
          <w:p>
            <w:pPr>
              <w:jc w:val="right"/>
              <w:spacing w:after="0"/>
              <w:rPr>
                <w:sz w:val="20"/>
                <w:szCs w:val="20"/>
                <w:color w:val="auto"/>
              </w:rPr>
            </w:pPr>
            <w:r>
              <w:rPr>
                <w:rFonts w:ascii="Arial" w:cs="Arial" w:eastAsia="Arial" w:hAnsi="Arial"/>
                <w:sz w:val="20"/>
                <w:szCs w:val="20"/>
                <w:color w:val="auto"/>
              </w:rPr>
              <w:t>6,078</w:t>
            </w:r>
          </w:p>
        </w:tc>
        <w:tc>
          <w:tcPr>
            <w:tcW w:w="0" w:type="dxa"/>
            <w:vAlign w:val="bottom"/>
          </w:tcPr>
          <w:p>
            <w:pPr>
              <w:spacing w:after="0"/>
              <w:rPr>
                <w:sz w:val="1"/>
                <w:szCs w:val="1"/>
                <w:color w:val="auto"/>
              </w:rPr>
            </w:pPr>
          </w:p>
        </w:tc>
      </w:tr>
      <w:tr>
        <w:trPr>
          <w:trHeight w:val="508"/>
        </w:trPr>
        <w:tc>
          <w:tcPr>
            <w:tcW w:w="3840" w:type="dxa"/>
            <w:vAlign w:val="bottom"/>
          </w:tcPr>
          <w:p>
            <w:pPr>
              <w:ind w:left="20"/>
              <w:spacing w:after="0"/>
              <w:rPr>
                <w:sz w:val="20"/>
                <w:szCs w:val="20"/>
                <w:color w:val="auto"/>
              </w:rPr>
            </w:pPr>
            <w:r>
              <w:rPr>
                <w:rFonts w:ascii="Arial" w:cs="Arial" w:eastAsia="Arial" w:hAnsi="Arial"/>
                <w:sz w:val="20"/>
                <w:szCs w:val="20"/>
                <w:color w:val="auto"/>
              </w:rPr>
              <w:t>Exchange differences on translating</w:t>
            </w:r>
          </w:p>
        </w:tc>
        <w:tc>
          <w:tcPr>
            <w:tcW w:w="1640" w:type="dxa"/>
            <w:vAlign w:val="bottom"/>
            <w:vMerge w:val="restart"/>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vMerge w:val="restart"/>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vMerge w:val="restart"/>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vMerge w:val="restart"/>
          </w:tcPr>
          <w:p>
            <w:pPr>
              <w:jc w:val="right"/>
              <w:ind w:right="61"/>
              <w:spacing w:after="0"/>
              <w:rPr>
                <w:sz w:val="20"/>
                <w:szCs w:val="20"/>
                <w:color w:val="auto"/>
              </w:rPr>
            </w:pPr>
            <w:r>
              <w:rPr>
                <w:rFonts w:ascii="Arial" w:cs="Arial" w:eastAsia="Arial" w:hAnsi="Arial"/>
                <w:sz w:val="20"/>
                <w:szCs w:val="20"/>
                <w:color w:val="auto"/>
              </w:rPr>
              <w:t>13</w:t>
            </w: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261"/>
        </w:trPr>
        <w:tc>
          <w:tcPr>
            <w:tcW w:w="3840" w:type="dxa"/>
            <w:vAlign w:val="bottom"/>
          </w:tcPr>
          <w:p>
            <w:pPr>
              <w:ind w:left="20"/>
              <w:spacing w:after="0"/>
              <w:rPr>
                <w:sz w:val="20"/>
                <w:szCs w:val="20"/>
                <w:color w:val="auto"/>
              </w:rPr>
            </w:pPr>
            <w:r>
              <w:rPr>
                <w:rFonts w:ascii="Arial" w:cs="Arial" w:eastAsia="Arial" w:hAnsi="Arial"/>
                <w:sz w:val="20"/>
                <w:szCs w:val="20"/>
                <w:color w:val="auto"/>
              </w:rPr>
              <w:t>foreign operations</w:t>
            </w:r>
          </w:p>
        </w:tc>
        <w:tc>
          <w:tcPr>
            <w:tcW w:w="164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12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3840" w:type="dxa"/>
            <w:vAlign w:val="bottom"/>
          </w:tcPr>
          <w:p>
            <w:pPr>
              <w:ind w:left="20"/>
              <w:spacing w:after="0"/>
              <w:rPr>
                <w:sz w:val="20"/>
                <w:szCs w:val="20"/>
                <w:color w:val="auto"/>
              </w:rPr>
            </w:pPr>
            <w:r>
              <w:rPr>
                <w:rFonts w:ascii="Arial" w:cs="Arial" w:eastAsia="Arial" w:hAnsi="Arial"/>
                <w:sz w:val="20"/>
                <w:szCs w:val="20"/>
                <w:color w:val="auto"/>
              </w:rPr>
              <w:t>Total comprehensive income</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(32,319)</w:t>
            </w:r>
          </w:p>
        </w:tc>
        <w:tc>
          <w:tcPr>
            <w:tcW w:w="1460" w:type="dxa"/>
            <w:vAlign w:val="bottom"/>
          </w:tcPr>
          <w:p>
            <w:pPr>
              <w:jc w:val="right"/>
              <w:spacing w:after="0"/>
              <w:rPr>
                <w:sz w:val="20"/>
                <w:szCs w:val="20"/>
                <w:color w:val="auto"/>
              </w:rPr>
            </w:pPr>
            <w:r>
              <w:rPr>
                <w:rFonts w:ascii="Arial" w:cs="Arial" w:eastAsia="Arial" w:hAnsi="Arial"/>
                <w:sz w:val="20"/>
                <w:szCs w:val="20"/>
                <w:color w:val="auto"/>
              </w:rPr>
              <w:t>(32,319)</w:t>
            </w:r>
          </w:p>
        </w:tc>
        <w:tc>
          <w:tcPr>
            <w:tcW w:w="0" w:type="dxa"/>
            <w:vAlign w:val="bottom"/>
          </w:tcPr>
          <w:p>
            <w:pPr>
              <w:spacing w:after="0"/>
              <w:rPr>
                <w:sz w:val="1"/>
                <w:szCs w:val="1"/>
                <w:color w:val="auto"/>
              </w:rPr>
            </w:pPr>
          </w:p>
        </w:tc>
      </w:tr>
      <w:tr>
        <w:trPr>
          <w:trHeight w:val="246"/>
        </w:trPr>
        <w:tc>
          <w:tcPr>
            <w:tcW w:w="3840" w:type="dxa"/>
            <w:vAlign w:val="bottom"/>
            <w:tcBorders>
              <w:bottom w:val="single" w:sz="8" w:color="BC2327"/>
            </w:tcBorders>
          </w:tcPr>
          <w:p>
            <w:pPr>
              <w:spacing w:after="0"/>
              <w:rPr>
                <w:sz w:val="21"/>
                <w:szCs w:val="21"/>
                <w:color w:val="auto"/>
              </w:rPr>
            </w:pPr>
          </w:p>
        </w:tc>
        <w:tc>
          <w:tcPr>
            <w:tcW w:w="1640" w:type="dxa"/>
            <w:vAlign w:val="bottom"/>
            <w:tcBorders>
              <w:bottom w:val="single" w:sz="8" w:color="BC2327"/>
            </w:tcBorders>
          </w:tcPr>
          <w:p>
            <w:pPr>
              <w:spacing w:after="0"/>
              <w:rPr>
                <w:sz w:val="21"/>
                <w:szCs w:val="21"/>
                <w:color w:val="auto"/>
              </w:rPr>
            </w:pPr>
          </w:p>
        </w:tc>
        <w:tc>
          <w:tcPr>
            <w:tcW w:w="1540" w:type="dxa"/>
            <w:vAlign w:val="bottom"/>
            <w:tcBorders>
              <w:bottom w:val="single" w:sz="8" w:color="BC2327"/>
            </w:tcBorders>
          </w:tcPr>
          <w:p>
            <w:pPr>
              <w:spacing w:after="0"/>
              <w:rPr>
                <w:sz w:val="21"/>
                <w:szCs w:val="21"/>
                <w:color w:val="auto"/>
              </w:rPr>
            </w:pPr>
          </w:p>
        </w:tc>
        <w:tc>
          <w:tcPr>
            <w:tcW w:w="1200" w:type="dxa"/>
            <w:vAlign w:val="bottom"/>
            <w:tcBorders>
              <w:bottom w:val="single" w:sz="8" w:color="BC2327"/>
            </w:tcBorders>
          </w:tcPr>
          <w:p>
            <w:pPr>
              <w:spacing w:after="0"/>
              <w:rPr>
                <w:sz w:val="21"/>
                <w:szCs w:val="21"/>
                <w:color w:val="auto"/>
              </w:rPr>
            </w:pPr>
          </w:p>
        </w:tc>
        <w:tc>
          <w:tcPr>
            <w:tcW w:w="1480" w:type="dxa"/>
            <w:vAlign w:val="bottom"/>
            <w:tcBorders>
              <w:bottom w:val="single" w:sz="8" w:color="BC2327"/>
            </w:tcBorders>
          </w:tcPr>
          <w:p>
            <w:pPr>
              <w:spacing w:after="0"/>
              <w:rPr>
                <w:sz w:val="21"/>
                <w:szCs w:val="21"/>
                <w:color w:val="auto"/>
              </w:rPr>
            </w:pPr>
          </w:p>
        </w:tc>
        <w:tc>
          <w:tcPr>
            <w:tcW w:w="146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3840" w:type="dxa"/>
            <w:vAlign w:val="bottom"/>
          </w:tcPr>
          <w:p>
            <w:pPr>
              <w:ind w:left="20"/>
              <w:spacing w:after="0"/>
              <w:rPr>
                <w:sz w:val="20"/>
                <w:szCs w:val="20"/>
                <w:color w:val="auto"/>
              </w:rPr>
            </w:pPr>
            <w:r>
              <w:rPr>
                <w:rFonts w:ascii="Arial" w:cs="Arial" w:eastAsia="Arial" w:hAnsi="Arial"/>
                <w:sz w:val="20"/>
                <w:szCs w:val="20"/>
                <w:color w:val="auto"/>
              </w:rPr>
              <w:t xml:space="preserve">Share-based compensation costs </w:t>
            </w:r>
            <w:r>
              <w:rPr>
                <w:rFonts w:ascii="Arial" w:cs="Arial" w:eastAsia="Arial" w:hAnsi="Arial"/>
                <w:sz w:val="25"/>
                <w:szCs w:val="25"/>
                <w:color w:val="auto"/>
                <w:vertAlign w:val="superscript"/>
              </w:rPr>
              <w:t>(1)</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2,784</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2,784</w:t>
            </w:r>
          </w:p>
        </w:tc>
        <w:tc>
          <w:tcPr>
            <w:tcW w:w="0" w:type="dxa"/>
            <w:vAlign w:val="bottom"/>
          </w:tcPr>
          <w:p>
            <w:pPr>
              <w:spacing w:after="0"/>
              <w:rPr>
                <w:sz w:val="1"/>
                <w:szCs w:val="1"/>
                <w:color w:val="auto"/>
              </w:rPr>
            </w:pPr>
          </w:p>
        </w:tc>
      </w:tr>
      <w:tr>
        <w:trPr>
          <w:trHeight w:val="430"/>
        </w:trPr>
        <w:tc>
          <w:tcPr>
            <w:tcW w:w="3840" w:type="dxa"/>
            <w:vAlign w:val="bottom"/>
          </w:tcPr>
          <w:p>
            <w:pPr>
              <w:ind w:left="20"/>
              <w:spacing w:after="0"/>
              <w:rPr>
                <w:sz w:val="20"/>
                <w:szCs w:val="20"/>
                <w:color w:val="auto"/>
              </w:rPr>
            </w:pPr>
            <w:r>
              <w:rPr>
                <w:rFonts w:ascii="Arial" w:cs="Arial" w:eastAsia="Arial" w:hAnsi="Arial"/>
                <w:sz w:val="20"/>
                <w:szCs w:val="20"/>
                <w:color w:val="auto"/>
              </w:rPr>
              <w:t>Other equity-settled transactions</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154</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15</w:t>
            </w: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169</w:t>
            </w:r>
          </w:p>
        </w:tc>
        <w:tc>
          <w:tcPr>
            <w:tcW w:w="0" w:type="dxa"/>
            <w:vAlign w:val="bottom"/>
          </w:tcPr>
          <w:p>
            <w:pPr>
              <w:spacing w:after="0"/>
              <w:rPr>
                <w:sz w:val="1"/>
                <w:szCs w:val="1"/>
                <w:color w:val="auto"/>
              </w:rPr>
            </w:pPr>
          </w:p>
        </w:tc>
      </w:tr>
      <w:tr>
        <w:trPr>
          <w:trHeight w:val="284"/>
        </w:trPr>
        <w:tc>
          <w:tcPr>
            <w:tcW w:w="3840" w:type="dxa"/>
            <w:vAlign w:val="bottom"/>
          </w:tcPr>
          <w:p>
            <w:pPr>
              <w:ind w:left="20"/>
              <w:spacing w:after="0"/>
              <w:rPr>
                <w:sz w:val="20"/>
                <w:szCs w:val="20"/>
                <w:color w:val="auto"/>
              </w:rPr>
            </w:pPr>
            <w:r>
              <w:rPr>
                <w:rFonts w:ascii="Arial" w:cs="Arial" w:eastAsia="Arial" w:hAnsi="Arial"/>
                <w:sz w:val="20"/>
                <w:szCs w:val="20"/>
                <w:color w:val="auto"/>
              </w:rPr>
              <w:t>Exercise of LTI plans</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vMerge w:val="restart"/>
          </w:tcPr>
          <w:p>
            <w:pPr>
              <w:jc w:val="right"/>
              <w:ind w:right="21"/>
              <w:spacing w:after="0"/>
              <w:rPr>
                <w:sz w:val="20"/>
                <w:szCs w:val="20"/>
                <w:color w:val="auto"/>
              </w:rPr>
            </w:pPr>
            <w:r>
              <w:rPr>
                <w:rFonts w:ascii="Arial" w:cs="Arial" w:eastAsia="Arial" w:hAnsi="Arial"/>
                <w:sz w:val="20"/>
                <w:szCs w:val="20"/>
                <w:color w:val="auto"/>
              </w:rPr>
              <w:t>(180)</w:t>
            </w:r>
          </w:p>
        </w:tc>
        <w:tc>
          <w:tcPr>
            <w:tcW w:w="1200" w:type="dxa"/>
            <w:vAlign w:val="bottom"/>
          </w:tcPr>
          <w:p>
            <w:pPr>
              <w:jc w:val="right"/>
              <w:ind w:right="101"/>
              <w:spacing w:after="0"/>
              <w:rPr>
                <w:sz w:val="20"/>
                <w:szCs w:val="20"/>
                <w:color w:val="auto"/>
              </w:rPr>
            </w:pPr>
            <w:r>
              <w:rPr>
                <w:rFonts w:ascii="Arial" w:cs="Arial" w:eastAsia="Arial" w:hAnsi="Arial"/>
                <w:sz w:val="20"/>
                <w:szCs w:val="20"/>
                <w:color w:val="auto"/>
              </w:rPr>
              <w:t>280</w:t>
            </w: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43"/>
        </w:trPr>
        <w:tc>
          <w:tcPr>
            <w:tcW w:w="38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54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9"/>
        </w:trPr>
        <w:tc>
          <w:tcPr>
            <w:tcW w:w="3840" w:type="dxa"/>
            <w:vAlign w:val="bottom"/>
          </w:tcPr>
          <w:p>
            <w:pPr>
              <w:ind w:left="20"/>
              <w:spacing w:after="0"/>
              <w:rPr>
                <w:sz w:val="20"/>
                <w:szCs w:val="20"/>
                <w:color w:val="auto"/>
              </w:rPr>
            </w:pPr>
            <w:r>
              <w:rPr>
                <w:rFonts w:ascii="Arial" w:cs="Arial" w:eastAsia="Arial" w:hAnsi="Arial"/>
                <w:sz w:val="20"/>
                <w:szCs w:val="20"/>
                <w:color w:val="auto"/>
              </w:rPr>
              <w:t>Treasury shares withheld to cover social</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(406)</w:t>
            </w:r>
          </w:p>
        </w:tc>
        <w:tc>
          <w:tcPr>
            <w:tcW w:w="1480" w:type="dxa"/>
            <w:vAlign w:val="bottom"/>
          </w:tcPr>
          <w:p>
            <w:pPr>
              <w:jc w:val="right"/>
              <w:ind w:right="61"/>
              <w:spacing w:after="0"/>
              <w:rPr>
                <w:sz w:val="20"/>
                <w:szCs w:val="20"/>
                <w:color w:val="auto"/>
              </w:rPr>
            </w:pPr>
            <w:r>
              <w:rPr>
                <w:rFonts w:ascii="Arial" w:cs="Arial" w:eastAsia="Arial" w:hAnsi="Arial"/>
                <w:sz w:val="20"/>
                <w:szCs w:val="20"/>
                <w:color w:val="auto"/>
              </w:rPr>
              <w:t>—</w:t>
            </w:r>
          </w:p>
        </w:tc>
        <w:tc>
          <w:tcPr>
            <w:tcW w:w="1460" w:type="dxa"/>
            <w:vAlign w:val="bottom"/>
            <w:vMerge w:val="restart"/>
          </w:tcPr>
          <w:p>
            <w:pPr>
              <w:jc w:val="right"/>
              <w:spacing w:after="0"/>
              <w:rPr>
                <w:sz w:val="20"/>
                <w:szCs w:val="20"/>
                <w:color w:val="auto"/>
              </w:rPr>
            </w:pPr>
            <w:r>
              <w:rPr>
                <w:rFonts w:ascii="Arial" w:cs="Arial" w:eastAsia="Arial" w:hAnsi="Arial"/>
                <w:sz w:val="20"/>
                <w:szCs w:val="20"/>
                <w:color w:val="auto"/>
              </w:rPr>
              <w:t>(406)</w:t>
            </w:r>
          </w:p>
        </w:tc>
        <w:tc>
          <w:tcPr>
            <w:tcW w:w="0" w:type="dxa"/>
            <w:vAlign w:val="bottom"/>
          </w:tcPr>
          <w:p>
            <w:pPr>
              <w:spacing w:after="0"/>
              <w:rPr>
                <w:sz w:val="1"/>
                <w:szCs w:val="1"/>
                <w:color w:val="auto"/>
              </w:rPr>
            </w:pPr>
          </w:p>
        </w:tc>
      </w:tr>
      <w:tr>
        <w:trPr>
          <w:trHeight w:val="261"/>
        </w:trPr>
        <w:tc>
          <w:tcPr>
            <w:tcW w:w="3840" w:type="dxa"/>
            <w:vAlign w:val="bottom"/>
          </w:tcPr>
          <w:p>
            <w:pPr>
              <w:ind w:left="20"/>
              <w:spacing w:after="0"/>
              <w:rPr>
                <w:sz w:val="20"/>
                <w:szCs w:val="20"/>
                <w:color w:val="auto"/>
              </w:rPr>
            </w:pPr>
            <w:r>
              <w:rPr>
                <w:rFonts w:ascii="Arial" w:cs="Arial" w:eastAsia="Arial" w:hAnsi="Arial"/>
                <w:sz w:val="20"/>
                <w:szCs w:val="20"/>
                <w:color w:val="auto"/>
              </w:rPr>
              <w:t>security and tax</w:t>
            </w:r>
          </w:p>
        </w:tc>
        <w:tc>
          <w:tcPr>
            <w:tcW w:w="16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40" w:type="dxa"/>
            <w:vAlign w:val="bottom"/>
          </w:tcPr>
          <w:p>
            <w:pPr>
              <w:ind w:left="20"/>
              <w:spacing w:after="0"/>
              <w:rPr>
                <w:sz w:val="20"/>
                <w:szCs w:val="20"/>
                <w:color w:val="auto"/>
              </w:rPr>
            </w:pPr>
            <w:r>
              <w:rPr>
                <w:rFonts w:ascii="Arial" w:cs="Arial" w:eastAsia="Arial" w:hAnsi="Arial"/>
                <w:sz w:val="20"/>
                <w:szCs w:val="20"/>
                <w:color w:val="auto"/>
              </w:rPr>
              <w:t>At September 30, 2026</w:t>
            </w:r>
          </w:p>
        </w:tc>
        <w:tc>
          <w:tcPr>
            <w:tcW w:w="1640" w:type="dxa"/>
            <w:vAlign w:val="bottom"/>
          </w:tcPr>
          <w:p>
            <w:pPr>
              <w:jc w:val="right"/>
              <w:ind w:right="221"/>
              <w:spacing w:after="0"/>
              <w:rPr>
                <w:sz w:val="20"/>
                <w:szCs w:val="20"/>
                <w:color w:val="auto"/>
              </w:rPr>
            </w:pPr>
            <w:r>
              <w:rPr>
                <w:rFonts w:ascii="Arial" w:cs="Arial" w:eastAsia="Arial" w:hAnsi="Arial"/>
                <w:sz w:val="20"/>
                <w:szCs w:val="20"/>
                <w:color w:val="auto"/>
              </w:rPr>
              <w:t>4,037</w:t>
            </w:r>
          </w:p>
        </w:tc>
        <w:tc>
          <w:tcPr>
            <w:tcW w:w="1540" w:type="dxa"/>
            <w:vAlign w:val="bottom"/>
          </w:tcPr>
          <w:p>
            <w:pPr>
              <w:jc w:val="right"/>
              <w:ind w:right="81"/>
              <w:spacing w:after="0"/>
              <w:rPr>
                <w:sz w:val="20"/>
                <w:szCs w:val="20"/>
                <w:color w:val="auto"/>
              </w:rPr>
            </w:pPr>
            <w:r>
              <w:rPr>
                <w:rFonts w:ascii="Arial" w:cs="Arial" w:eastAsia="Arial" w:hAnsi="Arial"/>
                <w:sz w:val="20"/>
                <w:szCs w:val="20"/>
                <w:color w:val="auto"/>
              </w:rPr>
              <w:t>391,937</w:t>
            </w:r>
          </w:p>
        </w:tc>
        <w:tc>
          <w:tcPr>
            <w:tcW w:w="1200" w:type="dxa"/>
            <w:vAlign w:val="bottom"/>
          </w:tcPr>
          <w:p>
            <w:pPr>
              <w:jc w:val="right"/>
              <w:ind w:right="41"/>
              <w:spacing w:after="0"/>
              <w:rPr>
                <w:sz w:val="20"/>
                <w:szCs w:val="20"/>
                <w:color w:val="auto"/>
              </w:rPr>
            </w:pPr>
            <w:r>
              <w:rPr>
                <w:rFonts w:ascii="Arial" w:cs="Arial" w:eastAsia="Arial" w:hAnsi="Arial"/>
                <w:sz w:val="20"/>
                <w:szCs w:val="20"/>
                <w:color w:val="auto"/>
              </w:rPr>
              <w:t>(1,240)</w:t>
            </w:r>
          </w:p>
        </w:tc>
        <w:tc>
          <w:tcPr>
            <w:tcW w:w="1480" w:type="dxa"/>
            <w:vAlign w:val="bottom"/>
          </w:tcPr>
          <w:p>
            <w:pPr>
              <w:jc w:val="right"/>
              <w:ind w:right="1"/>
              <w:spacing w:after="0"/>
              <w:rPr>
                <w:sz w:val="20"/>
                <w:szCs w:val="20"/>
                <w:color w:val="auto"/>
              </w:rPr>
            </w:pPr>
            <w:r>
              <w:rPr>
                <w:rFonts w:ascii="Arial" w:cs="Arial" w:eastAsia="Arial" w:hAnsi="Arial"/>
                <w:sz w:val="20"/>
                <w:szCs w:val="20"/>
                <w:color w:val="auto"/>
              </w:rPr>
              <w:t>(344,072)</w:t>
            </w:r>
          </w:p>
        </w:tc>
        <w:tc>
          <w:tcPr>
            <w:tcW w:w="1460" w:type="dxa"/>
            <w:vAlign w:val="bottom"/>
          </w:tcPr>
          <w:p>
            <w:pPr>
              <w:jc w:val="right"/>
              <w:spacing w:after="0"/>
              <w:rPr>
                <w:sz w:val="20"/>
                <w:szCs w:val="20"/>
                <w:color w:val="auto"/>
              </w:rPr>
            </w:pPr>
            <w:r>
              <w:rPr>
                <w:rFonts w:ascii="Arial" w:cs="Arial" w:eastAsia="Arial" w:hAnsi="Arial"/>
                <w:sz w:val="20"/>
                <w:szCs w:val="20"/>
                <w:color w:val="auto"/>
              </w:rPr>
              <w:t>50,662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080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0885" cy="8890"/>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4"/>
          <w:szCs w:val="14"/>
          <w:color w:val="auto"/>
        </w:rPr>
        <w:t xml:space="preserve"> See note 5.4</w:t>
      </w:r>
    </w:p>
    <w:p>
      <w:pPr>
        <w:sectPr>
          <w:pgSz w:w="11900" w:h="16838" w:orient="portrait"/>
          <w:cols w:equalWidth="0" w:num="1">
            <w:col w:w="11160"/>
          </w:cols>
          <w:pgMar w:left="320" w:top="1171" w:right="419" w:bottom="1128"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See accompanying notes, which form an integral part of these unaudited condensed consolidated interim financial statements.</w:t>
      </w:r>
    </w:p>
    <w:p>
      <w:pPr>
        <w:sectPr>
          <w:pgSz w:w="11900" w:h="16838" w:orient="portrait"/>
          <w:cols w:equalWidth="0" w:num="1">
            <w:col w:w="11160"/>
          </w:cols>
          <w:pgMar w:left="320" w:top="1171" w:right="419" w:bottom="1128" w:gutter="0" w:footer="0" w:header="0"/>
          <w:type w:val="continuous"/>
        </w:sectPr>
      </w:pPr>
    </w:p>
    <w:bookmarkStart w:id="13" w:name="page14"/>
    <w:bookmarkEnd w:id="13"/>
    <w:p>
      <w:pPr>
        <w:spacing w:after="0"/>
        <w:rPr>
          <w:sz w:val="20"/>
          <w:szCs w:val="20"/>
          <w:color w:val="auto"/>
        </w:rPr>
      </w:pPr>
      <w:r>
        <w:rPr>
          <w:rFonts w:ascii="Arial" w:cs="Arial" w:eastAsia="Arial" w:hAnsi="Arial"/>
          <w:sz w:val="27"/>
          <w:szCs w:val="27"/>
          <w:color w:val="496F96"/>
        </w:rPr>
        <w:t>Explanatory notes to the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0" w:hanging="392"/>
        <w:spacing w:after="0"/>
        <w:tabs>
          <w:tab w:leader="none" w:pos="400" w:val="left"/>
        </w:tabs>
        <w:numPr>
          <w:ilvl w:val="0"/>
          <w:numId w:val="1"/>
        </w:numPr>
        <w:rPr>
          <w:rFonts w:ascii="Arial" w:cs="Arial" w:eastAsia="Arial" w:hAnsi="Arial"/>
          <w:sz w:val="20"/>
          <w:szCs w:val="20"/>
          <w:color w:val="auto"/>
        </w:rPr>
      </w:pPr>
      <w:r>
        <w:rPr>
          <w:rFonts w:ascii="Arial" w:cs="Arial" w:eastAsia="Arial" w:hAnsi="Arial"/>
          <w:sz w:val="20"/>
          <w:szCs w:val="20"/>
          <w:color w:val="auto"/>
        </w:rPr>
        <w:t>General Information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Molecular Partners AG ("Company") and its subsidiary (collectively "Molecular Partners" or "Group") is a clinical-stage biopharmaceutical company pioneering designed ankyrin repeat proteins (DARPin) candidates to treat serious diseases, with a current focus on oncology and virology. The Company was founded on November 22, 2004, and is domiciled at Wagistrasse 14, 8952 Schlieren, Canton of Zurich, Switzerland. It is subject to the provisions of the articles of association and to article 620 et seq. of the Swiss Code of Obligations, which describe the legal requirements for limited companies (“Aktiengesellschaften”).</w:t>
      </w:r>
    </w:p>
    <w:p>
      <w:pPr>
        <w:spacing w:after="0" w:line="187" w:lineRule="exact"/>
        <w:rPr>
          <w:sz w:val="20"/>
          <w:szCs w:val="20"/>
          <w:color w:val="auto"/>
        </w:rPr>
      </w:pPr>
    </w:p>
    <w:p>
      <w:pPr>
        <w:ind w:right="120"/>
        <w:spacing w:after="0" w:line="298" w:lineRule="auto"/>
        <w:rPr>
          <w:sz w:val="20"/>
          <w:szCs w:val="20"/>
          <w:color w:val="auto"/>
        </w:rPr>
      </w:pPr>
      <w:r>
        <w:rPr>
          <w:rFonts w:ascii="Arial" w:cs="Arial" w:eastAsia="Arial" w:hAnsi="Arial"/>
          <w:sz w:val="19"/>
          <w:szCs w:val="19"/>
          <w:color w:val="auto"/>
        </w:rPr>
        <w:t>Molecular Partners Inc. is a wholly owned subsidiary of Molecular Partners AG. Molecular Partners Inc. was incorporated in the United States in the State of Delaware on October 8, 2018. Molecular Partners Inc. is based in Cambridge, Massachusetts.</w:t>
      </w:r>
    </w:p>
    <w:p>
      <w:pPr>
        <w:spacing w:after="0" w:line="146"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color w:val="auto"/>
        </w:rPr>
        <w:t>The unaudited condensed consolidated interim financial statements for the three and nine months ended September 30, 2026, were approved for issuance by the Audit and Finance Committee on October 26, 2026.</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The Company’s shares are listed on the SIX Swiss Exchange (Ticker: MOLN) since November 5, 2014, and on the Nasdaq</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Global Select Market (Ticker: MOLN) since June 16, 2021</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hanging="392"/>
        <w:spacing w:after="0"/>
        <w:tabs>
          <w:tab w:leader="none" w:pos="400" w:val="left"/>
        </w:tabs>
        <w:numPr>
          <w:ilvl w:val="0"/>
          <w:numId w:val="2"/>
        </w:numPr>
        <w:rPr>
          <w:rFonts w:ascii="Arial" w:cs="Arial" w:eastAsia="Arial" w:hAnsi="Arial"/>
          <w:sz w:val="20"/>
          <w:szCs w:val="20"/>
          <w:color w:val="auto"/>
        </w:rPr>
      </w:pPr>
      <w:r>
        <w:rPr>
          <w:rFonts w:ascii="Arial" w:cs="Arial" w:eastAsia="Arial" w:hAnsi="Arial"/>
          <w:sz w:val="20"/>
          <w:szCs w:val="20"/>
          <w:color w:val="auto"/>
        </w:rPr>
        <w:t>Basis of Preparation</w:t>
      </w:r>
    </w:p>
    <w:p>
      <w:pPr>
        <w:spacing w:after="0" w:line="229" w:lineRule="exact"/>
        <w:rPr>
          <w:sz w:val="20"/>
          <w:szCs w:val="20"/>
          <w:color w:val="auto"/>
        </w:rPr>
      </w:pPr>
    </w:p>
    <w:p>
      <w:pPr>
        <w:ind w:right="160"/>
        <w:spacing w:after="0" w:line="251" w:lineRule="auto"/>
        <w:rPr>
          <w:sz w:val="20"/>
          <w:szCs w:val="20"/>
          <w:color w:val="auto"/>
        </w:rPr>
      </w:pPr>
      <w:r>
        <w:rPr>
          <w:rFonts w:ascii="Arial" w:cs="Arial" w:eastAsia="Arial" w:hAnsi="Arial"/>
          <w:sz w:val="20"/>
          <w:szCs w:val="20"/>
          <w:color w:val="auto"/>
        </w:rPr>
        <w:t>These unaudited condensed consolidated interim financial statements have been prepared in accordance with IAS 34 Interim Financial Reporting and should be read in conjunction with the Group's last annual consolidated financial statements as at and for the year ended December 31, 2025. They do not include all the information required for a complete set of consolidated financial statements prepared in accordance with IFRS® Accounting Standards ("IFRS") as issued by the IASB. However, selected explanatory notes are included to explain events and transactions that are significant to gain an understanding of the changes in the Group's financial position and performance since the last annual consolidated financial statements as at and for the year ended December 31, 2025.</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20"/>
          <w:szCs w:val="20"/>
          <w:color w:val="auto"/>
        </w:rPr>
        <w:t>The Board of Directors and management have assessed the Group's ability to continue as a going concern for a period of at least twelve months from the date these financial statements are authorized for issue. That assessment concluded that the going concern basis of preparation remains appropriate; however, material uncertainties exist on the current ability to raise funds and on the level of cash and cash equivalents that may cast significant doubt on the Group's ability to continue as a going concern, as described below.</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Conditions and events giving rise to material uncertainty</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20"/>
          <w:szCs w:val="20"/>
          <w:color w:val="auto"/>
        </w:rPr>
        <w:t>At September 30, 2026, the Group had cash and cash equivalents and short-term financial assets of TCHF57,493. Based on the approved operating plan, existing cash resources are expected to fund operations into Q4 2027. The Company has been unable to obtain additional funding since the last issuance of shares in October 2024. As the Company historically has been dependent on raising funding through the capital markets and to a lesser extent on revenue or cost sharing arrangements, the current situation gives rise to the material uncertainty.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Management's plans and mitigating actions</w:t>
      </w:r>
    </w:p>
    <w:p>
      <w:pPr>
        <w:spacing w:after="0" w:line="31" w:lineRule="exact"/>
        <w:rPr>
          <w:sz w:val="20"/>
          <w:szCs w:val="20"/>
          <w:color w:val="auto"/>
        </w:rPr>
      </w:pPr>
    </w:p>
    <w:p>
      <w:pPr>
        <w:ind w:right="460"/>
        <w:spacing w:after="0" w:line="267" w:lineRule="auto"/>
        <w:rPr>
          <w:sz w:val="20"/>
          <w:szCs w:val="20"/>
          <w:color w:val="auto"/>
        </w:rPr>
      </w:pPr>
      <w:r>
        <w:rPr>
          <w:rFonts w:ascii="Arial" w:cs="Arial" w:eastAsia="Arial" w:hAnsi="Arial"/>
          <w:sz w:val="20"/>
          <w:szCs w:val="20"/>
          <w:color w:val="auto"/>
        </w:rPr>
        <w:t>Management, with oversight from the Board of Directors, has developed and is executing the following plans to address the identified conditions:</w:t>
      </w:r>
    </w:p>
    <w:p>
      <w:pPr>
        <w:sectPr>
          <w:pgSz w:w="11900" w:h="16838" w:orient="portrait"/>
          <w:cols w:equalWidth="0" w:num="1">
            <w:col w:w="11240"/>
          </w:cols>
          <w:pgMar w:left="320" w:top="1152" w:right="339" w:bottom="1440" w:gutter="0" w:footer="0" w:header="0"/>
        </w:sectPr>
      </w:pPr>
    </w:p>
    <w:bookmarkStart w:id="14" w:name="page15"/>
    <w:bookmarkEnd w:id="14"/>
    <w:p>
      <w:pPr>
        <w:ind w:left="660" w:hanging="328"/>
        <w:spacing w:after="0" w:line="250" w:lineRule="auto"/>
        <w:tabs>
          <w:tab w:leader="none" w:pos="662" w:val="left"/>
        </w:tabs>
        <w:numPr>
          <w:ilvl w:val="0"/>
          <w:numId w:val="3"/>
        </w:numPr>
        <w:rPr>
          <w:rFonts w:ascii="Arial" w:cs="Arial" w:eastAsia="Arial" w:hAnsi="Arial"/>
          <w:sz w:val="20"/>
          <w:szCs w:val="20"/>
          <w:color w:val="auto"/>
        </w:rPr>
      </w:pPr>
      <w:r>
        <w:rPr>
          <w:rFonts w:ascii="Arial" w:cs="Arial" w:eastAsia="Arial" w:hAnsi="Arial"/>
          <w:sz w:val="20"/>
          <w:szCs w:val="20"/>
          <w:color w:val="auto"/>
        </w:rPr>
        <w:t>A deepened focus on radiopharmaceuticals and streamlining of capabilities and resources resulting in a pipeline prioritization and operating cost reductions. As a result of this pipeline prioritization, the Company expects there to be no or immaterial impairment exposure. In regard to the operating cost reductions, the Company has informed on October 29, 2026, the Amt für Wirtschaft of Kanton Zürich (Office for Economic Affairs) of its intention to reduce its current workforce by no more than 55 positions, representing a potential of ~44% of all positions. Molecular Partners foresees the full implementation of these changes enacted by Q2 2027 and the reduction of costs to become fully effective early in H2 2027. See note 5.11 for further information.</w:t>
      </w:r>
    </w:p>
    <w:p>
      <w:pPr>
        <w:spacing w:after="0" w:line="1" w:lineRule="exact"/>
        <w:rPr>
          <w:rFonts w:ascii="Arial" w:cs="Arial" w:eastAsia="Arial" w:hAnsi="Arial"/>
          <w:sz w:val="20"/>
          <w:szCs w:val="20"/>
          <w:color w:val="auto"/>
        </w:rPr>
      </w:pPr>
    </w:p>
    <w:p>
      <w:pPr>
        <w:ind w:left="660" w:right="100" w:hanging="328"/>
        <w:spacing w:after="0" w:line="267" w:lineRule="auto"/>
        <w:tabs>
          <w:tab w:leader="none" w:pos="662" w:val="left"/>
        </w:tabs>
        <w:numPr>
          <w:ilvl w:val="0"/>
          <w:numId w:val="3"/>
        </w:numPr>
        <w:rPr>
          <w:rFonts w:ascii="Arial" w:cs="Arial" w:eastAsia="Arial" w:hAnsi="Arial"/>
          <w:sz w:val="20"/>
          <w:szCs w:val="20"/>
          <w:color w:val="auto"/>
        </w:rPr>
      </w:pPr>
      <w:r>
        <w:rPr>
          <w:rFonts w:ascii="Arial" w:cs="Arial" w:eastAsia="Arial" w:hAnsi="Arial"/>
          <w:sz w:val="20"/>
          <w:szCs w:val="20"/>
          <w:color w:val="auto"/>
        </w:rPr>
        <w:t>Capital raise / equity financing — ongoing efforts to secure additional funding, either through a direct issuance of shares or alternative structures.</w:t>
      </w:r>
    </w:p>
    <w:p>
      <w:pPr>
        <w:spacing w:after="0" w:line="159" w:lineRule="exact"/>
        <w:rPr>
          <w:sz w:val="20"/>
          <w:szCs w:val="20"/>
          <w:color w:val="auto"/>
        </w:rPr>
      </w:pPr>
    </w:p>
    <w:p>
      <w:pPr>
        <w:ind w:right="160"/>
        <w:spacing w:after="0" w:line="286" w:lineRule="auto"/>
        <w:rPr>
          <w:sz w:val="20"/>
          <w:szCs w:val="20"/>
          <w:color w:val="auto"/>
        </w:rPr>
      </w:pPr>
      <w:r>
        <w:rPr>
          <w:rFonts w:ascii="Arial" w:cs="Arial" w:eastAsia="Arial" w:hAnsi="Arial"/>
          <w:sz w:val="20"/>
          <w:szCs w:val="20"/>
          <w:color w:val="auto"/>
        </w:rPr>
        <w:t>The accounting policies set forth in the notes to those annual consolidated financial statements have been consistently applied to all periods presented, except as per below.</w:t>
      </w:r>
    </w:p>
    <w:p>
      <w:pPr>
        <w:spacing w:after="0" w:line="154" w:lineRule="exact"/>
        <w:rPr>
          <w:sz w:val="20"/>
          <w:szCs w:val="20"/>
          <w:color w:val="auto"/>
        </w:rPr>
      </w:pPr>
    </w:p>
    <w:p>
      <w:pPr>
        <w:ind w:right="340"/>
        <w:spacing w:after="0" w:line="271" w:lineRule="auto"/>
        <w:rPr>
          <w:sz w:val="20"/>
          <w:szCs w:val="20"/>
          <w:color w:val="auto"/>
        </w:rPr>
      </w:pPr>
      <w:r>
        <w:rPr>
          <w:rFonts w:ascii="Arial" w:cs="Arial" w:eastAsia="Arial" w:hAnsi="Arial"/>
          <w:sz w:val="20"/>
          <w:szCs w:val="20"/>
          <w:color w:val="auto"/>
        </w:rPr>
        <w:t>The condensed consolidated interim financial statements are presented in thousands of Swiss Francs (TCHF), unless stated otherwise.</w:t>
      </w:r>
    </w:p>
    <w:p>
      <w:pPr>
        <w:spacing w:after="0" w:line="169" w:lineRule="exact"/>
        <w:rPr>
          <w:sz w:val="20"/>
          <w:szCs w:val="20"/>
          <w:color w:val="auto"/>
        </w:rPr>
      </w:pPr>
    </w:p>
    <w:p>
      <w:pPr>
        <w:ind w:right="80"/>
        <w:spacing w:after="0" w:line="262" w:lineRule="auto"/>
        <w:rPr>
          <w:sz w:val="20"/>
          <w:szCs w:val="20"/>
          <w:color w:val="auto"/>
        </w:rPr>
      </w:pPr>
      <w:r>
        <w:rPr>
          <w:rFonts w:ascii="Arial" w:cs="Arial" w:eastAsia="Arial" w:hAnsi="Arial"/>
          <w:sz w:val="20"/>
          <w:szCs w:val="20"/>
          <w:color w:val="auto"/>
        </w:rPr>
        <w:t>The business is not subject to any seasonality. Revenues largely depend on the underlying collaboration agreements and the achievement of agreed milestones, while expenses are largely affected by the phase of the respective projects, particularly with regard to external research and development expenditures.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Due to rounding, the numbers presented in the financial statements might not precisely equal the accompanying notes.</w:t>
      </w:r>
    </w:p>
    <w:p>
      <w:pPr>
        <w:spacing w:after="0" w:line="216"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New or Revised IFRS Standards and Interpretations</w:t>
      </w:r>
    </w:p>
    <w:p>
      <w:pPr>
        <w:spacing w:after="0" w:line="229" w:lineRule="exact"/>
        <w:rPr>
          <w:sz w:val="20"/>
          <w:szCs w:val="20"/>
          <w:color w:val="auto"/>
        </w:rPr>
      </w:pPr>
    </w:p>
    <w:p>
      <w:pPr>
        <w:ind w:right="340"/>
        <w:spacing w:after="0" w:line="262" w:lineRule="auto"/>
        <w:rPr>
          <w:sz w:val="20"/>
          <w:szCs w:val="20"/>
          <w:color w:val="auto"/>
        </w:rPr>
      </w:pPr>
      <w:r>
        <w:rPr>
          <w:rFonts w:ascii="Arial" w:cs="Arial" w:eastAsia="Arial" w:hAnsi="Arial"/>
          <w:sz w:val="20"/>
          <w:szCs w:val="20"/>
          <w:color w:val="auto"/>
        </w:rPr>
        <w:t>A number of new or amended standards became applicable for annual periods beginning on or after January 1, 2026. These standards were assessed to not have any significant impact on the Group’s accounting policies and did not require any retrospective adjustments.</w:t>
      </w:r>
    </w:p>
    <w:p>
      <w:pPr>
        <w:spacing w:after="0" w:line="165" w:lineRule="exact"/>
        <w:rPr>
          <w:sz w:val="20"/>
          <w:szCs w:val="20"/>
          <w:color w:val="auto"/>
        </w:rPr>
      </w:pPr>
    </w:p>
    <w:p>
      <w:pPr>
        <w:ind w:right="140"/>
        <w:spacing w:after="0" w:line="258" w:lineRule="auto"/>
        <w:rPr>
          <w:sz w:val="20"/>
          <w:szCs w:val="20"/>
          <w:color w:val="auto"/>
        </w:rPr>
      </w:pPr>
      <w:r>
        <w:rPr>
          <w:rFonts w:ascii="Arial" w:cs="Arial" w:eastAsia="Arial" w:hAnsi="Arial"/>
          <w:sz w:val="20"/>
          <w:szCs w:val="20"/>
          <w:color w:val="auto"/>
        </w:rPr>
        <w:t>A preliminary assessment on the impact of the implementation of IFRS 18 has been performed; based on this assessment, the Company expects there to be no significant impact on the Company's overall financial statements. Based on the initial assessment the Company also expects there to be no Management defined Performance Measures or MPM’s to be reported on. IFRS 18 will not be early adopted. Possible impacts from other new or revised standards have not yet been assessed but are anticipated to be immaterial.</w:t>
      </w:r>
    </w:p>
    <w:p>
      <w:pPr>
        <w:spacing w:after="0" w:line="168"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Accounting estimates and judgments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20"/>
          <w:szCs w:val="20"/>
          <w:color w:val="auto"/>
        </w:rPr>
        <w:t>The condensed consolidated interim financial statements have been prepared under the historical cost convention. In preparing these condensed consolidated interim financial statements, management made judgments, estimates and assumptions that not only assess the determination on operating as a going concern, based on the development of our cash balance, but also affect the application of accounting policies and the reported amounts of assets and liabilities, income and expenses. Actual results may differ from these estimates.</w:t>
      </w:r>
    </w:p>
    <w:p>
      <w:pPr>
        <w:spacing w:after="0" w:line="187"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color w:val="auto"/>
        </w:rPr>
      </w:pPr>
      <w:r>
        <w:rPr>
          <w:rFonts w:ascii="Arial" w:cs="Arial" w:eastAsia="Arial" w:hAnsi="Arial"/>
          <w:sz w:val="20"/>
          <w:szCs w:val="20"/>
          <w:color w:val="auto"/>
        </w:rPr>
        <w:t>Other explanatory notes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color w:val="auto"/>
        </w:rPr>
        <w:t>Other group-wide disclosures</w:t>
      </w:r>
    </w:p>
    <w:p>
      <w:pPr>
        <w:spacing w:after="0" w:line="216" w:lineRule="exact"/>
        <w:rPr>
          <w:sz w:val="20"/>
          <w:szCs w:val="20"/>
          <w:color w:val="auto"/>
        </w:rPr>
      </w:pPr>
    </w:p>
    <w:p>
      <w:pPr>
        <w:ind w:right="300"/>
        <w:spacing w:after="0" w:line="235" w:lineRule="auto"/>
        <w:rPr>
          <w:sz w:val="20"/>
          <w:szCs w:val="20"/>
          <w:color w:val="auto"/>
        </w:rPr>
      </w:pPr>
      <w:r>
        <w:rPr>
          <w:rFonts w:ascii="Arial" w:cs="Arial" w:eastAsia="Arial" w:hAnsi="Arial"/>
          <w:sz w:val="20"/>
          <w:szCs w:val="20"/>
          <w:color w:val="auto"/>
        </w:rPr>
        <w:t xml:space="preserve">On January 5, 2024, the Group announced it entered into a co-development agreement with Orano Med to co-develop </w:t>
      </w:r>
      <w:r>
        <w:rPr>
          <w:rFonts w:ascii="Arial" w:cs="Arial" w:eastAsia="Arial" w:hAnsi="Arial"/>
          <w:sz w:val="25"/>
          <w:szCs w:val="25"/>
          <w:color w:val="auto"/>
          <w:vertAlign w:val="superscript"/>
        </w:rPr>
        <w:t>212</w:t>
      </w:r>
      <w:r>
        <w:rPr>
          <w:rFonts w:ascii="Arial" w:cs="Arial" w:eastAsia="Arial" w:hAnsi="Arial"/>
          <w:sz w:val="20"/>
          <w:szCs w:val="20"/>
          <w:color w:val="auto"/>
        </w:rPr>
        <w:t>Pb-based Radio Darpin Therapies (RDT). Under the terms of the co-development agreement, Molecular Partners previously disclosed RDT target DLL3 (delta-like ligand 3) is included in</w:t>
      </w:r>
    </w:p>
    <w:p>
      <w:pPr>
        <w:sectPr>
          <w:pgSz w:w="11900" w:h="16838" w:orient="portrait"/>
          <w:cols w:equalWidth="0" w:num="1">
            <w:col w:w="11220"/>
          </w:cols>
          <w:pgMar w:left="320" w:top="1144" w:right="359" w:bottom="1440" w:gutter="0" w:footer="0" w:header="0"/>
        </w:sectPr>
      </w:pPr>
    </w:p>
    <w:bookmarkStart w:id="15" w:name="page16"/>
    <w:bookmarkEnd w:id="15"/>
    <w:p>
      <w:pPr>
        <w:ind w:right="40"/>
        <w:spacing w:after="0" w:line="286" w:lineRule="auto"/>
        <w:rPr>
          <w:sz w:val="20"/>
          <w:szCs w:val="20"/>
          <w:color w:val="auto"/>
        </w:rPr>
      </w:pPr>
      <w:r>
        <w:rPr>
          <w:rFonts w:ascii="Arial" w:cs="Arial" w:eastAsia="Arial" w:hAnsi="Arial"/>
          <w:sz w:val="20"/>
          <w:szCs w:val="20"/>
          <w:color w:val="auto"/>
        </w:rPr>
        <w:t>the collaboration with Orano Med. Both companies agree to share the cost of preclinical and clinical development with additional commitments to supply their respective materials.</w:t>
      </w:r>
    </w:p>
    <w:p>
      <w:pPr>
        <w:spacing w:after="0" w:line="140" w:lineRule="exact"/>
        <w:rPr>
          <w:sz w:val="20"/>
          <w:szCs w:val="20"/>
          <w:color w:val="auto"/>
        </w:rPr>
      </w:pPr>
    </w:p>
    <w:p>
      <w:pPr>
        <w:spacing w:after="0" w:line="262" w:lineRule="auto"/>
        <w:rPr>
          <w:sz w:val="20"/>
          <w:szCs w:val="20"/>
          <w:color w:val="auto"/>
        </w:rPr>
      </w:pPr>
      <w:r>
        <w:rPr>
          <w:rFonts w:ascii="Arial" w:cs="Arial" w:eastAsia="Arial" w:hAnsi="Arial"/>
          <w:sz w:val="20"/>
          <w:szCs w:val="20"/>
          <w:color w:val="auto"/>
        </w:rPr>
        <w:t>The cost sharing in the first nine months of 2026 resulted in a reimbursement of expenses by Orano Med of TCHF710 (First nine months of 2025: TCHF2,030) and for the three months ended September 30, 2026: TCHF285 (Three months ended September 30, 2025: TCHF633</w:t>
      </w:r>
      <w:r>
        <w:rPr>
          <w:rFonts w:ascii="Times New Roman" w:cs="Times New Roman" w:eastAsia="Times New Roman" w:hAnsi="Times New Roman"/>
          <w:sz w:val="17"/>
          <w:szCs w:val="17"/>
          <w:color w:val="auto"/>
        </w:rPr>
        <w:t>)</w:t>
      </w:r>
      <w:r>
        <w:rPr>
          <w:rFonts w:ascii="Arial" w:cs="Arial" w:eastAsia="Arial" w:hAnsi="Arial"/>
          <w:sz w:val="20"/>
          <w:szCs w:val="20"/>
          <w:color w:val="auto"/>
        </w:rPr>
        <w:t xml:space="preserve"> reported under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Share capital</w:t>
      </w:r>
    </w:p>
    <w:p>
      <w:pPr>
        <w:spacing w:after="0" w:line="229" w:lineRule="exact"/>
        <w:rPr>
          <w:sz w:val="20"/>
          <w:szCs w:val="20"/>
          <w:color w:val="auto"/>
        </w:rPr>
      </w:pPr>
    </w:p>
    <w:p>
      <w:pPr>
        <w:ind w:right="240"/>
        <w:spacing w:after="0" w:line="262" w:lineRule="auto"/>
        <w:rPr>
          <w:sz w:val="20"/>
          <w:szCs w:val="20"/>
          <w:color w:val="auto"/>
        </w:rPr>
      </w:pPr>
      <w:r>
        <w:rPr>
          <w:rFonts w:ascii="Arial" w:cs="Arial" w:eastAsia="Arial" w:hAnsi="Arial"/>
          <w:sz w:val="20"/>
          <w:szCs w:val="20"/>
          <w:color w:val="auto"/>
        </w:rPr>
        <w:t>As of September 30, 2026, the issued share capital of the Company amounted to CHF 4,037,464 divided into 40,374,641 fully paid registered shares, inclusive of 2,039,227 treasury shares (December 31, 2025: CHF 4,037,464 divided into 40,374,641 shares, of which 2,962,973 were treasury shares).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vMerge w:val="restart"/>
          </w:tcPr>
          <w:p>
            <w:pPr>
              <w:ind w:left="20"/>
              <w:spacing w:after="0"/>
              <w:rPr>
                <w:sz w:val="20"/>
                <w:szCs w:val="20"/>
                <w:color w:val="auto"/>
              </w:rPr>
            </w:pPr>
            <w:r>
              <w:rPr>
                <w:rFonts w:ascii="Arial" w:cs="Arial" w:eastAsia="Arial" w:hAnsi="Arial"/>
                <w:sz w:val="20"/>
                <w:szCs w:val="20"/>
                <w:color w:val="auto"/>
              </w:rPr>
              <w:t>In CHF thousands</w:t>
            </w:r>
          </w:p>
        </w:tc>
        <w:tc>
          <w:tcPr>
            <w:tcW w:w="2160" w:type="dxa"/>
            <w:vAlign w:val="bottom"/>
          </w:tcPr>
          <w:p>
            <w:pPr>
              <w:jc w:val="right"/>
              <w:ind w:right="221"/>
              <w:spacing w:after="0"/>
              <w:rPr>
                <w:sz w:val="20"/>
                <w:szCs w:val="20"/>
                <w:color w:val="auto"/>
              </w:rPr>
            </w:pPr>
            <w:r>
              <w:rPr>
                <w:rFonts w:ascii="Arial" w:cs="Arial" w:eastAsia="Arial" w:hAnsi="Arial"/>
                <w:sz w:val="20"/>
                <w:szCs w:val="20"/>
                <w:color w:val="auto"/>
              </w:rPr>
              <w:t>Number of</w:t>
            </w:r>
          </w:p>
        </w:tc>
        <w:tc>
          <w:tcPr>
            <w:tcW w:w="1620" w:type="dxa"/>
            <w:vAlign w:val="bottom"/>
          </w:tcPr>
          <w:p>
            <w:pPr>
              <w:jc w:val="right"/>
              <w:ind w:right="61"/>
              <w:spacing w:after="0"/>
              <w:rPr>
                <w:sz w:val="20"/>
                <w:szCs w:val="20"/>
                <w:color w:val="auto"/>
              </w:rPr>
            </w:pPr>
            <w:r>
              <w:rPr>
                <w:rFonts w:ascii="Arial" w:cs="Arial" w:eastAsia="Arial" w:hAnsi="Arial"/>
                <w:sz w:val="20"/>
                <w:szCs w:val="20"/>
                <w:color w:val="auto"/>
                <w:w w:val="99"/>
              </w:rPr>
              <w:t>Average price in</w:t>
            </w:r>
          </w:p>
        </w:tc>
        <w:tc>
          <w:tcPr>
            <w:tcW w:w="1440" w:type="dxa"/>
            <w:vAlign w:val="bottom"/>
          </w:tcPr>
          <w:p>
            <w:pPr>
              <w:jc w:val="right"/>
              <w:ind w:right="181"/>
              <w:spacing w:after="0"/>
              <w:rPr>
                <w:sz w:val="20"/>
                <w:szCs w:val="20"/>
                <w:color w:val="auto"/>
              </w:rPr>
            </w:pPr>
            <w:r>
              <w:rPr>
                <w:rFonts w:ascii="Arial" w:cs="Arial" w:eastAsia="Arial" w:hAnsi="Arial"/>
                <w:sz w:val="20"/>
                <w:szCs w:val="20"/>
                <w:color w:val="auto"/>
              </w:rPr>
              <w:t>Total TCHF</w:t>
            </w:r>
          </w:p>
        </w:tc>
        <w:tc>
          <w:tcPr>
            <w:tcW w:w="0" w:type="dxa"/>
            <w:vAlign w:val="bottom"/>
          </w:tcPr>
          <w:p>
            <w:pPr>
              <w:spacing w:after="0"/>
              <w:rPr>
                <w:sz w:val="1"/>
                <w:szCs w:val="1"/>
                <w:color w:val="auto"/>
              </w:rPr>
            </w:pPr>
          </w:p>
        </w:tc>
      </w:tr>
      <w:tr>
        <w:trPr>
          <w:trHeight w:val="251"/>
        </w:trPr>
        <w:tc>
          <w:tcPr>
            <w:tcW w:w="5200" w:type="dxa"/>
            <w:vAlign w:val="bottom"/>
            <w:tcBorders>
              <w:bottom w:val="single" w:sz="8" w:color="EE2724"/>
            </w:tcBorders>
            <w:vMerge w:val="continue"/>
          </w:tcPr>
          <w:p>
            <w:pPr>
              <w:spacing w:after="0"/>
              <w:rPr>
                <w:sz w:val="21"/>
                <w:szCs w:val="21"/>
                <w:color w:val="auto"/>
              </w:rPr>
            </w:pPr>
          </w:p>
        </w:tc>
        <w:tc>
          <w:tcPr>
            <w:tcW w:w="2160" w:type="dxa"/>
            <w:vAlign w:val="bottom"/>
            <w:tcBorders>
              <w:bottom w:val="single" w:sz="8" w:color="EE2724"/>
            </w:tcBorders>
          </w:tcPr>
          <w:p>
            <w:pPr>
              <w:jc w:val="right"/>
              <w:spacing w:after="0"/>
              <w:rPr>
                <w:sz w:val="20"/>
                <w:szCs w:val="20"/>
                <w:color w:val="auto"/>
              </w:rPr>
            </w:pPr>
            <w:r>
              <w:rPr>
                <w:rFonts w:ascii="Arial" w:cs="Arial" w:eastAsia="Arial" w:hAnsi="Arial"/>
                <w:sz w:val="20"/>
                <w:szCs w:val="20"/>
                <w:color w:val="auto"/>
              </w:rPr>
              <w:t>Treasury shares</w:t>
            </w:r>
          </w:p>
        </w:tc>
        <w:tc>
          <w:tcPr>
            <w:tcW w:w="1620" w:type="dxa"/>
            <w:vAlign w:val="bottom"/>
            <w:tcBorders>
              <w:bottom w:val="single" w:sz="8" w:color="EE2724"/>
            </w:tcBorders>
          </w:tcPr>
          <w:p>
            <w:pPr>
              <w:jc w:val="right"/>
              <w:ind w:right="561"/>
              <w:spacing w:after="0"/>
              <w:rPr>
                <w:sz w:val="20"/>
                <w:szCs w:val="20"/>
                <w:color w:val="auto"/>
              </w:rPr>
            </w:pPr>
            <w:r>
              <w:rPr>
                <w:rFonts w:ascii="Arial" w:cs="Arial" w:eastAsia="Arial" w:hAnsi="Arial"/>
                <w:sz w:val="20"/>
                <w:szCs w:val="20"/>
                <w:color w:val="auto"/>
              </w:rPr>
              <w:t>CHF</w:t>
            </w:r>
          </w:p>
        </w:tc>
        <w:tc>
          <w:tcPr>
            <w:tcW w:w="1440" w:type="dxa"/>
            <w:vAlign w:val="bottom"/>
            <w:tcBorders>
              <w:bottom w:val="single" w:sz="8" w:color="EE2724"/>
            </w:tcBorders>
          </w:tcPr>
          <w:p>
            <w:pPr>
              <w:jc w:val="right"/>
              <w:ind w:right="441"/>
              <w:spacing w:after="0"/>
              <w:rPr>
                <w:sz w:val="20"/>
                <w:szCs w:val="20"/>
                <w:color w:val="auto"/>
              </w:rPr>
            </w:pPr>
            <w:r>
              <w:rPr>
                <w:rFonts w:ascii="Arial" w:cs="Arial" w:eastAsia="Arial" w:hAnsi="Arial"/>
                <w:sz w:val="20"/>
                <w:szCs w:val="20"/>
                <w:color w:val="auto"/>
              </w:rPr>
              <w:t>value</w:t>
            </w:r>
          </w:p>
        </w:tc>
        <w:tc>
          <w:tcPr>
            <w:tcW w:w="0" w:type="dxa"/>
            <w:vAlign w:val="bottom"/>
          </w:tcPr>
          <w:p>
            <w:pPr>
              <w:spacing w:after="0"/>
              <w:rPr>
                <w:sz w:val="1"/>
                <w:szCs w:val="1"/>
                <w:color w:val="auto"/>
              </w:rPr>
            </w:pPr>
          </w:p>
        </w:tc>
      </w:tr>
      <w:tr>
        <w:trPr>
          <w:trHeight w:val="368"/>
        </w:trPr>
        <w:tc>
          <w:tcPr>
            <w:tcW w:w="5200" w:type="dxa"/>
            <w:vAlign w:val="bottom"/>
          </w:tcPr>
          <w:p>
            <w:pPr>
              <w:ind w:left="20"/>
              <w:spacing w:after="0"/>
              <w:rPr>
                <w:sz w:val="20"/>
                <w:szCs w:val="20"/>
                <w:color w:val="auto"/>
              </w:rPr>
            </w:pPr>
            <w:r>
              <w:rPr>
                <w:rFonts w:ascii="Arial" w:cs="Arial" w:eastAsia="Arial" w:hAnsi="Arial"/>
                <w:sz w:val="20"/>
                <w:szCs w:val="20"/>
                <w:color w:val="auto"/>
              </w:rPr>
              <w:t>As of January 1, 2026</w:t>
            </w:r>
          </w:p>
        </w:tc>
        <w:tc>
          <w:tcPr>
            <w:tcW w:w="2160" w:type="dxa"/>
            <w:vAlign w:val="bottom"/>
          </w:tcPr>
          <w:p>
            <w:pPr>
              <w:jc w:val="right"/>
              <w:ind w:right="1"/>
              <w:spacing w:after="0"/>
              <w:rPr>
                <w:sz w:val="20"/>
                <w:szCs w:val="20"/>
                <w:color w:val="auto"/>
              </w:rPr>
            </w:pPr>
            <w:r>
              <w:rPr>
                <w:rFonts w:ascii="Arial" w:cs="Arial" w:eastAsia="Arial" w:hAnsi="Arial"/>
                <w:sz w:val="20"/>
                <w:szCs w:val="20"/>
                <w:color w:val="auto"/>
              </w:rPr>
              <w:t>2,962,973</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0.38</w:t>
            </w:r>
          </w:p>
        </w:tc>
        <w:tc>
          <w:tcPr>
            <w:tcW w:w="1440" w:type="dxa"/>
            <w:vAlign w:val="bottom"/>
          </w:tcPr>
          <w:p>
            <w:pPr>
              <w:jc w:val="right"/>
              <w:spacing w:after="0"/>
              <w:rPr>
                <w:sz w:val="20"/>
                <w:szCs w:val="20"/>
                <w:color w:val="auto"/>
              </w:rPr>
            </w:pPr>
            <w:r>
              <w:rPr>
                <w:rFonts w:ascii="Arial" w:cs="Arial" w:eastAsia="Arial" w:hAnsi="Arial"/>
                <w:sz w:val="20"/>
                <w:szCs w:val="20"/>
                <w:color w:val="auto"/>
              </w:rPr>
              <w:t>1,129</w:t>
            </w:r>
          </w:p>
        </w:tc>
        <w:tc>
          <w:tcPr>
            <w:tcW w:w="0" w:type="dxa"/>
            <w:vAlign w:val="bottom"/>
          </w:tcPr>
          <w:p>
            <w:pPr>
              <w:spacing w:after="0"/>
              <w:rPr>
                <w:sz w:val="1"/>
                <w:szCs w:val="1"/>
                <w:color w:val="auto"/>
              </w:rPr>
            </w:pPr>
          </w:p>
        </w:tc>
      </w:tr>
      <w:tr>
        <w:trPr>
          <w:trHeight w:val="247"/>
        </w:trPr>
        <w:tc>
          <w:tcPr>
            <w:tcW w:w="5200" w:type="dxa"/>
            <w:vAlign w:val="bottom"/>
            <w:tcBorders>
              <w:bottom w:val="single" w:sz="8" w:color="BC2327"/>
            </w:tcBorders>
          </w:tcPr>
          <w:p>
            <w:pPr>
              <w:spacing w:after="0"/>
              <w:rPr>
                <w:sz w:val="21"/>
                <w:szCs w:val="21"/>
                <w:color w:val="auto"/>
              </w:rPr>
            </w:pPr>
          </w:p>
        </w:tc>
        <w:tc>
          <w:tcPr>
            <w:tcW w:w="2160" w:type="dxa"/>
            <w:vAlign w:val="bottom"/>
            <w:tcBorders>
              <w:bottom w:val="single" w:sz="8" w:color="BC2327"/>
            </w:tcBorders>
          </w:tcPr>
          <w:p>
            <w:pPr>
              <w:spacing w:after="0"/>
              <w:rPr>
                <w:sz w:val="21"/>
                <w:szCs w:val="21"/>
                <w:color w:val="auto"/>
              </w:rPr>
            </w:pPr>
          </w:p>
        </w:tc>
        <w:tc>
          <w:tcPr>
            <w:tcW w:w="1620" w:type="dxa"/>
            <w:vAlign w:val="bottom"/>
            <w:tcBorders>
              <w:bottom w:val="single" w:sz="8" w:color="BC2327"/>
            </w:tcBorders>
          </w:tcPr>
          <w:p>
            <w:pPr>
              <w:spacing w:after="0"/>
              <w:rPr>
                <w:sz w:val="21"/>
                <w:szCs w:val="21"/>
                <w:color w:val="auto"/>
              </w:rPr>
            </w:pPr>
          </w:p>
        </w:tc>
        <w:tc>
          <w:tcPr>
            <w:tcW w:w="1440" w:type="dxa"/>
            <w:vAlign w:val="bottom"/>
            <w:tcBorders>
              <w:bottom w:val="single" w:sz="8" w:color="BC2327"/>
            </w:tcBorders>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200" w:type="dxa"/>
            <w:vAlign w:val="bottom"/>
          </w:tcPr>
          <w:p>
            <w:pPr>
              <w:ind w:left="20"/>
              <w:spacing w:after="0"/>
              <w:rPr>
                <w:sz w:val="20"/>
                <w:szCs w:val="20"/>
                <w:color w:val="auto"/>
              </w:rPr>
            </w:pPr>
            <w:r>
              <w:rPr>
                <w:rFonts w:ascii="Arial" w:cs="Arial" w:eastAsia="Arial" w:hAnsi="Arial"/>
                <w:sz w:val="18"/>
                <w:szCs w:val="18"/>
                <w:color w:val="auto"/>
              </w:rPr>
              <w:t>Shares vested under the PSU program</w:t>
            </w:r>
          </w:p>
        </w:tc>
        <w:tc>
          <w:tcPr>
            <w:tcW w:w="2160" w:type="dxa"/>
            <w:vAlign w:val="bottom"/>
          </w:tcPr>
          <w:p>
            <w:pPr>
              <w:jc w:val="right"/>
              <w:spacing w:after="0"/>
              <w:rPr>
                <w:sz w:val="20"/>
                <w:szCs w:val="20"/>
                <w:color w:val="auto"/>
              </w:rPr>
            </w:pPr>
            <w:r>
              <w:rPr>
                <w:rFonts w:ascii="Arial" w:cs="Arial" w:eastAsia="Arial" w:hAnsi="Arial"/>
                <w:sz w:val="20"/>
                <w:szCs w:val="20"/>
                <w:color w:val="auto"/>
              </w:rPr>
              <w:t>(881,169)</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0.28</w:t>
            </w:r>
          </w:p>
        </w:tc>
        <w:tc>
          <w:tcPr>
            <w:tcW w:w="1440" w:type="dxa"/>
            <w:vAlign w:val="bottom"/>
          </w:tcPr>
          <w:p>
            <w:pPr>
              <w:jc w:val="right"/>
              <w:spacing w:after="0"/>
              <w:rPr>
                <w:sz w:val="20"/>
                <w:szCs w:val="20"/>
                <w:color w:val="auto"/>
              </w:rPr>
            </w:pPr>
            <w:r>
              <w:rPr>
                <w:rFonts w:ascii="Arial" w:cs="Arial" w:eastAsia="Arial" w:hAnsi="Arial"/>
                <w:sz w:val="20"/>
                <w:szCs w:val="20"/>
                <w:color w:val="auto"/>
              </w:rPr>
              <w:t>(247)</w:t>
            </w:r>
          </w:p>
        </w:tc>
        <w:tc>
          <w:tcPr>
            <w:tcW w:w="0" w:type="dxa"/>
            <w:vAlign w:val="bottom"/>
          </w:tcPr>
          <w:p>
            <w:pPr>
              <w:spacing w:after="0"/>
              <w:rPr>
                <w:sz w:val="1"/>
                <w:szCs w:val="1"/>
                <w:color w:val="auto"/>
              </w:rPr>
            </w:pPr>
          </w:p>
        </w:tc>
      </w:tr>
      <w:tr>
        <w:trPr>
          <w:trHeight w:val="526"/>
        </w:trPr>
        <w:tc>
          <w:tcPr>
            <w:tcW w:w="5200" w:type="dxa"/>
            <w:vAlign w:val="bottom"/>
          </w:tcPr>
          <w:p>
            <w:pPr>
              <w:ind w:left="20"/>
              <w:spacing w:after="0"/>
              <w:rPr>
                <w:sz w:val="20"/>
                <w:szCs w:val="20"/>
                <w:color w:val="auto"/>
              </w:rPr>
            </w:pPr>
            <w:r>
              <w:rPr>
                <w:rFonts w:ascii="Arial" w:cs="Arial" w:eastAsia="Arial" w:hAnsi="Arial"/>
                <w:sz w:val="18"/>
                <w:szCs w:val="18"/>
                <w:color w:val="auto"/>
              </w:rPr>
              <w:t>Shares withheld to cover social security and tax liabilities</w:t>
            </w:r>
          </w:p>
        </w:tc>
        <w:tc>
          <w:tcPr>
            <w:tcW w:w="2160" w:type="dxa"/>
            <w:vAlign w:val="bottom"/>
          </w:tcPr>
          <w:p>
            <w:pPr>
              <w:jc w:val="right"/>
              <w:ind w:right="1"/>
              <w:spacing w:after="0"/>
              <w:rPr>
                <w:sz w:val="20"/>
                <w:szCs w:val="20"/>
                <w:color w:val="auto"/>
              </w:rPr>
            </w:pPr>
            <w:r>
              <w:rPr>
                <w:rFonts w:ascii="Arial" w:cs="Arial" w:eastAsia="Arial" w:hAnsi="Arial"/>
                <w:sz w:val="20"/>
                <w:szCs w:val="20"/>
                <w:color w:val="auto"/>
              </w:rPr>
              <w:t>105,614</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3.08</w:t>
            </w:r>
          </w:p>
        </w:tc>
        <w:tc>
          <w:tcPr>
            <w:tcW w:w="1440" w:type="dxa"/>
            <w:vAlign w:val="bottom"/>
          </w:tcPr>
          <w:p>
            <w:pPr>
              <w:jc w:val="right"/>
              <w:spacing w:after="0"/>
              <w:rPr>
                <w:sz w:val="20"/>
                <w:szCs w:val="20"/>
                <w:color w:val="auto"/>
              </w:rPr>
            </w:pPr>
            <w:r>
              <w:rPr>
                <w:rFonts w:ascii="Arial" w:cs="Arial" w:eastAsia="Arial" w:hAnsi="Arial"/>
                <w:sz w:val="20"/>
                <w:szCs w:val="20"/>
                <w:color w:val="auto"/>
              </w:rPr>
              <w:t>326</w:t>
            </w:r>
          </w:p>
        </w:tc>
        <w:tc>
          <w:tcPr>
            <w:tcW w:w="0" w:type="dxa"/>
            <w:vAlign w:val="bottom"/>
          </w:tcPr>
          <w:p>
            <w:pPr>
              <w:spacing w:after="0"/>
              <w:rPr>
                <w:sz w:val="1"/>
                <w:szCs w:val="1"/>
                <w:color w:val="auto"/>
              </w:rPr>
            </w:pPr>
          </w:p>
        </w:tc>
      </w:tr>
      <w:tr>
        <w:trPr>
          <w:trHeight w:val="526"/>
        </w:trPr>
        <w:tc>
          <w:tcPr>
            <w:tcW w:w="5200" w:type="dxa"/>
            <w:vAlign w:val="bottom"/>
          </w:tcPr>
          <w:p>
            <w:pPr>
              <w:ind w:left="20"/>
              <w:spacing w:after="0"/>
              <w:rPr>
                <w:sz w:val="20"/>
                <w:szCs w:val="20"/>
                <w:color w:val="auto"/>
              </w:rPr>
            </w:pPr>
            <w:r>
              <w:rPr>
                <w:rFonts w:ascii="Arial" w:cs="Arial" w:eastAsia="Arial" w:hAnsi="Arial"/>
                <w:sz w:val="18"/>
                <w:szCs w:val="18"/>
                <w:color w:val="auto"/>
              </w:rPr>
              <w:t>Shares vested under the RSU program</w:t>
            </w:r>
          </w:p>
        </w:tc>
        <w:tc>
          <w:tcPr>
            <w:tcW w:w="2160" w:type="dxa"/>
            <w:vAlign w:val="bottom"/>
          </w:tcPr>
          <w:p>
            <w:pPr>
              <w:jc w:val="right"/>
              <w:spacing w:after="0"/>
              <w:rPr>
                <w:sz w:val="20"/>
                <w:szCs w:val="20"/>
                <w:color w:val="auto"/>
              </w:rPr>
            </w:pPr>
            <w:r>
              <w:rPr>
                <w:rFonts w:ascii="Arial" w:cs="Arial" w:eastAsia="Arial" w:hAnsi="Arial"/>
                <w:sz w:val="20"/>
                <w:szCs w:val="20"/>
                <w:color w:val="auto"/>
              </w:rPr>
              <w:t>(120,144)</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0.28</w:t>
            </w:r>
          </w:p>
        </w:tc>
        <w:tc>
          <w:tcPr>
            <w:tcW w:w="1440" w:type="dxa"/>
            <w:vAlign w:val="bottom"/>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527"/>
        </w:trPr>
        <w:tc>
          <w:tcPr>
            <w:tcW w:w="5200" w:type="dxa"/>
            <w:vAlign w:val="bottom"/>
          </w:tcPr>
          <w:p>
            <w:pPr>
              <w:ind w:left="20"/>
              <w:spacing w:after="0"/>
              <w:rPr>
                <w:sz w:val="20"/>
                <w:szCs w:val="20"/>
                <w:color w:val="auto"/>
              </w:rPr>
            </w:pPr>
            <w:r>
              <w:rPr>
                <w:rFonts w:ascii="Arial" w:cs="Arial" w:eastAsia="Arial" w:hAnsi="Arial"/>
                <w:sz w:val="18"/>
                <w:szCs w:val="18"/>
                <w:color w:val="auto"/>
              </w:rPr>
              <w:t>Shares withheld to cover social security and tax liabilities</w:t>
            </w:r>
          </w:p>
        </w:tc>
        <w:tc>
          <w:tcPr>
            <w:tcW w:w="2160" w:type="dxa"/>
            <w:vAlign w:val="bottom"/>
          </w:tcPr>
          <w:p>
            <w:pPr>
              <w:jc w:val="right"/>
              <w:ind w:right="1"/>
              <w:spacing w:after="0"/>
              <w:rPr>
                <w:sz w:val="20"/>
                <w:szCs w:val="20"/>
                <w:color w:val="auto"/>
              </w:rPr>
            </w:pPr>
            <w:r>
              <w:rPr>
                <w:rFonts w:ascii="Arial" w:cs="Arial" w:eastAsia="Arial" w:hAnsi="Arial"/>
                <w:sz w:val="20"/>
                <w:szCs w:val="20"/>
                <w:color w:val="auto"/>
              </w:rPr>
              <w:t>24,890</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3.23</w:t>
            </w:r>
          </w:p>
        </w:tc>
        <w:tc>
          <w:tcPr>
            <w:tcW w:w="1440" w:type="dxa"/>
            <w:vAlign w:val="bottom"/>
          </w:tcPr>
          <w:p>
            <w:pPr>
              <w:jc w:val="right"/>
              <w:spacing w:after="0"/>
              <w:rPr>
                <w:sz w:val="20"/>
                <w:szCs w:val="20"/>
                <w:color w:val="auto"/>
              </w:rPr>
            </w:pPr>
            <w:r>
              <w:rPr>
                <w:rFonts w:ascii="Arial" w:cs="Arial" w:eastAsia="Arial" w:hAnsi="Arial"/>
                <w:sz w:val="20"/>
                <w:szCs w:val="20"/>
                <w:color w:val="auto"/>
              </w:rPr>
              <w:t>80</w:t>
            </w:r>
          </w:p>
        </w:tc>
        <w:tc>
          <w:tcPr>
            <w:tcW w:w="0" w:type="dxa"/>
            <w:vAlign w:val="bottom"/>
          </w:tcPr>
          <w:p>
            <w:pPr>
              <w:spacing w:after="0"/>
              <w:rPr>
                <w:sz w:val="1"/>
                <w:szCs w:val="1"/>
                <w:color w:val="auto"/>
              </w:rPr>
            </w:pPr>
          </w:p>
        </w:tc>
      </w:tr>
      <w:tr>
        <w:trPr>
          <w:trHeight w:val="526"/>
        </w:trPr>
        <w:tc>
          <w:tcPr>
            <w:tcW w:w="5200" w:type="dxa"/>
            <w:vAlign w:val="bottom"/>
          </w:tcPr>
          <w:p>
            <w:pPr>
              <w:ind w:left="20"/>
              <w:spacing w:after="0"/>
              <w:rPr>
                <w:sz w:val="20"/>
                <w:szCs w:val="20"/>
                <w:color w:val="auto"/>
              </w:rPr>
            </w:pPr>
            <w:r>
              <w:rPr>
                <w:rFonts w:ascii="Arial" w:cs="Arial" w:eastAsia="Arial" w:hAnsi="Arial"/>
                <w:sz w:val="18"/>
                <w:szCs w:val="18"/>
                <w:color w:val="auto"/>
              </w:rPr>
              <w:t>Other equity-settled transactions</w:t>
            </w:r>
          </w:p>
        </w:tc>
        <w:tc>
          <w:tcPr>
            <w:tcW w:w="2160" w:type="dxa"/>
            <w:vAlign w:val="bottom"/>
          </w:tcPr>
          <w:p>
            <w:pPr>
              <w:jc w:val="right"/>
              <w:spacing w:after="0"/>
              <w:rPr>
                <w:sz w:val="20"/>
                <w:szCs w:val="20"/>
                <w:color w:val="auto"/>
              </w:rPr>
            </w:pPr>
            <w:r>
              <w:rPr>
                <w:rFonts w:ascii="Arial" w:cs="Arial" w:eastAsia="Arial" w:hAnsi="Arial"/>
                <w:sz w:val="20"/>
                <w:szCs w:val="20"/>
                <w:color w:val="auto"/>
              </w:rPr>
              <w:t>(52,937)</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0.28</w:t>
            </w:r>
          </w:p>
        </w:tc>
        <w:tc>
          <w:tcPr>
            <w:tcW w:w="144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519"/>
        </w:trPr>
        <w:tc>
          <w:tcPr>
            <w:tcW w:w="5200" w:type="dxa"/>
            <w:vAlign w:val="bottom"/>
          </w:tcPr>
          <w:p>
            <w:pPr>
              <w:ind w:left="20"/>
              <w:spacing w:after="0"/>
              <w:rPr>
                <w:sz w:val="20"/>
                <w:szCs w:val="20"/>
                <w:color w:val="auto"/>
              </w:rPr>
            </w:pPr>
            <w:r>
              <w:rPr>
                <w:rFonts w:ascii="Arial" w:cs="Arial" w:eastAsia="Arial" w:hAnsi="Arial"/>
                <w:sz w:val="20"/>
                <w:szCs w:val="20"/>
                <w:color w:val="auto"/>
              </w:rPr>
              <w:t>Shares as of September 30, 2026</w:t>
            </w:r>
          </w:p>
        </w:tc>
        <w:tc>
          <w:tcPr>
            <w:tcW w:w="2160" w:type="dxa"/>
            <w:vAlign w:val="bottom"/>
          </w:tcPr>
          <w:p>
            <w:pPr>
              <w:jc w:val="right"/>
              <w:ind w:right="1"/>
              <w:spacing w:after="0"/>
              <w:rPr>
                <w:sz w:val="20"/>
                <w:szCs w:val="20"/>
                <w:color w:val="auto"/>
              </w:rPr>
            </w:pPr>
            <w:r>
              <w:rPr>
                <w:rFonts w:ascii="Arial" w:cs="Arial" w:eastAsia="Arial" w:hAnsi="Arial"/>
                <w:sz w:val="20"/>
                <w:szCs w:val="20"/>
                <w:color w:val="auto"/>
              </w:rPr>
              <w:t>2,039,227</w:t>
            </w:r>
          </w:p>
        </w:tc>
        <w:tc>
          <w:tcPr>
            <w:tcW w:w="1620" w:type="dxa"/>
            <w:vAlign w:val="bottom"/>
          </w:tcPr>
          <w:p>
            <w:pPr>
              <w:jc w:val="right"/>
              <w:ind w:right="81"/>
              <w:spacing w:after="0"/>
              <w:rPr>
                <w:sz w:val="20"/>
                <w:szCs w:val="20"/>
                <w:color w:val="auto"/>
              </w:rPr>
            </w:pPr>
            <w:r>
              <w:rPr>
                <w:rFonts w:ascii="Arial" w:cs="Arial" w:eastAsia="Arial" w:hAnsi="Arial"/>
                <w:sz w:val="20"/>
                <w:szCs w:val="20"/>
                <w:color w:val="auto"/>
              </w:rPr>
              <w:t>0.61</w:t>
            </w:r>
          </w:p>
        </w:tc>
        <w:tc>
          <w:tcPr>
            <w:tcW w:w="1440" w:type="dxa"/>
            <w:vAlign w:val="bottom"/>
          </w:tcPr>
          <w:p>
            <w:pPr>
              <w:jc w:val="right"/>
              <w:spacing w:after="0"/>
              <w:rPr>
                <w:sz w:val="20"/>
                <w:szCs w:val="20"/>
                <w:color w:val="auto"/>
              </w:rPr>
            </w:pPr>
            <w:r>
              <w:rPr>
                <w:rFonts w:ascii="Arial" w:cs="Arial" w:eastAsia="Arial" w:hAnsi="Arial"/>
                <w:sz w:val="20"/>
                <w:szCs w:val="20"/>
                <w:color w:val="auto"/>
              </w:rPr>
              <w:t>1,240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6609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09080" cy="88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4"/>
          <w:szCs w:val="14"/>
          <w:color w:val="auto"/>
        </w:rPr>
        <w:t>Treasury shares are measured at a FIFO principle.</w:t>
      </w:r>
    </w:p>
    <w:p>
      <w:pPr>
        <w:spacing w:after="0" w:line="218" w:lineRule="exact"/>
        <w:rPr>
          <w:sz w:val="20"/>
          <w:szCs w:val="20"/>
          <w:color w:val="auto"/>
        </w:rPr>
      </w:pPr>
    </w:p>
    <w:p>
      <w:pPr>
        <w:ind w:right="620"/>
        <w:spacing w:after="0" w:line="271" w:lineRule="auto"/>
        <w:rPr>
          <w:sz w:val="20"/>
          <w:szCs w:val="20"/>
          <w:color w:val="auto"/>
        </w:rPr>
      </w:pPr>
      <w:r>
        <w:rPr>
          <w:rFonts w:ascii="Arial" w:cs="Arial" w:eastAsia="Arial" w:hAnsi="Arial"/>
          <w:sz w:val="20"/>
          <w:szCs w:val="20"/>
          <w:color w:val="auto"/>
        </w:rPr>
        <w:t>The 130,504 shares were withheld from vested awards to cover employees’ and Board of Directors income tax and social security contributions.</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5.3</w:t>
        <w:tab/>
        <w:t>Dividends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The Group has paid no dividends since its inception and does not anticipate paying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9"/>
          <w:szCs w:val="19"/>
          <w:color w:val="auto"/>
        </w:rPr>
        <w:t>Share-based compensation</w:t>
      </w:r>
    </w:p>
    <w:p>
      <w:pPr>
        <w:spacing w:after="0" w:line="229" w:lineRule="exact"/>
        <w:rPr>
          <w:sz w:val="20"/>
          <w:szCs w:val="20"/>
          <w:color w:val="auto"/>
        </w:rPr>
      </w:pPr>
    </w:p>
    <w:p>
      <w:pPr>
        <w:jc w:val="both"/>
        <w:ind w:right="420"/>
        <w:spacing w:after="0" w:line="282" w:lineRule="auto"/>
        <w:rPr>
          <w:sz w:val="20"/>
          <w:szCs w:val="20"/>
          <w:color w:val="auto"/>
        </w:rPr>
      </w:pPr>
      <w:r>
        <w:rPr>
          <w:rFonts w:ascii="Arial" w:cs="Arial" w:eastAsia="Arial" w:hAnsi="Arial"/>
          <w:sz w:val="19"/>
          <w:szCs w:val="19"/>
          <w:color w:val="auto"/>
        </w:rPr>
        <w:t>As of September 30, 2026, a total of 3,253,411 PSUs and 586,723 Restricted Share Units ("RSUs") were outstanding (as of December 31, 2025, a total of 2,918,458 PSUs and 504,543 RSUs were outstanding). The changes in the number of share-based awards (PSUs and RSUs) outstanding during the nine month period ended September 30, 2026, is as follows:</w:t>
      </w:r>
    </w:p>
    <w:p>
      <w:pPr>
        <w:sectPr>
          <w:pgSz w:w="11900" w:h="16838" w:orient="portrait"/>
          <w:cols w:equalWidth="0" w:num="1">
            <w:col w:w="11240"/>
          </w:cols>
          <w:pgMar w:left="320" w:top="1144"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87"/>
        </w:trPr>
        <w:tc>
          <w:tcPr>
            <w:tcW w:w="5220" w:type="dxa"/>
            <w:vAlign w:val="bottom"/>
          </w:tcPr>
          <w:p>
            <w:pPr>
              <w:ind w:left="20"/>
              <w:spacing w:after="0"/>
              <w:rPr>
                <w:sz w:val="20"/>
                <w:szCs w:val="20"/>
                <w:color w:val="auto"/>
              </w:rPr>
            </w:pPr>
            <w:r>
              <w:rPr>
                <w:rFonts w:ascii="Arial" w:cs="Arial" w:eastAsia="Arial" w:hAnsi="Arial"/>
                <w:sz w:val="20"/>
                <w:szCs w:val="20"/>
                <w:color w:val="auto"/>
              </w:rPr>
              <w:t>PSU/ RSU movements</w:t>
            </w:r>
            <w:r>
              <w:rPr>
                <w:rFonts w:ascii="Arial" w:cs="Arial" w:eastAsia="Arial" w:hAnsi="Arial"/>
                <w:sz w:val="25"/>
                <w:szCs w:val="25"/>
                <w:color w:val="auto"/>
                <w:vertAlign w:val="superscript"/>
              </w:rPr>
              <w:t>3</w:t>
            </w:r>
          </w:p>
        </w:tc>
        <w:tc>
          <w:tcPr>
            <w:tcW w:w="2180" w:type="dxa"/>
            <w:vAlign w:val="bottom"/>
          </w:tcPr>
          <w:p>
            <w:pPr>
              <w:jc w:val="right"/>
              <w:spacing w:after="0"/>
              <w:rPr>
                <w:sz w:val="20"/>
                <w:szCs w:val="20"/>
                <w:color w:val="auto"/>
              </w:rPr>
            </w:pPr>
            <w:r>
              <w:rPr>
                <w:rFonts w:ascii="Arial" w:cs="Arial" w:eastAsia="Arial" w:hAnsi="Arial"/>
                <w:sz w:val="20"/>
                <w:szCs w:val="20"/>
                <w:color w:val="auto"/>
              </w:rPr>
              <w:t>PSU / RSU</w:t>
            </w:r>
          </w:p>
        </w:tc>
      </w:tr>
      <w:tr>
        <w:trPr>
          <w:trHeight w:val="261"/>
        </w:trPr>
        <w:tc>
          <w:tcPr>
            <w:tcW w:w="522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(numbers)</w:t>
            </w:r>
          </w:p>
        </w:tc>
      </w:tr>
      <w:tr>
        <w:trPr>
          <w:trHeight w:val="233"/>
        </w:trPr>
        <w:tc>
          <w:tcPr>
            <w:tcW w:w="5220" w:type="dxa"/>
            <w:vAlign w:val="bottom"/>
            <w:tcBorders>
              <w:bottom w:val="single" w:sz="8" w:color="BA2227"/>
            </w:tcBorders>
          </w:tcPr>
          <w:p>
            <w:pPr>
              <w:spacing w:after="0"/>
              <w:rPr>
                <w:sz w:val="20"/>
                <w:szCs w:val="20"/>
                <w:color w:val="auto"/>
              </w:rPr>
            </w:pPr>
          </w:p>
        </w:tc>
        <w:tc>
          <w:tcPr>
            <w:tcW w:w="2180" w:type="dxa"/>
            <w:vAlign w:val="bottom"/>
            <w:tcBorders>
              <w:bottom w:val="single" w:sz="8" w:color="BA2227"/>
            </w:tcBorders>
          </w:tcPr>
          <w:p>
            <w:pPr>
              <w:spacing w:after="0"/>
              <w:rPr>
                <w:sz w:val="20"/>
                <w:szCs w:val="20"/>
                <w:color w:val="auto"/>
              </w:rPr>
            </w:pPr>
          </w:p>
        </w:tc>
      </w:tr>
      <w:tr>
        <w:trPr>
          <w:trHeight w:val="540"/>
        </w:trPr>
        <w:tc>
          <w:tcPr>
            <w:tcW w:w="5220" w:type="dxa"/>
            <w:vAlign w:val="bottom"/>
          </w:tcPr>
          <w:p>
            <w:pPr>
              <w:ind w:left="20"/>
              <w:spacing w:after="0"/>
              <w:rPr>
                <w:sz w:val="20"/>
                <w:szCs w:val="20"/>
                <w:color w:val="auto"/>
              </w:rPr>
            </w:pPr>
            <w:r>
              <w:rPr>
                <w:rFonts w:ascii="Arial" w:cs="Arial" w:eastAsia="Arial" w:hAnsi="Arial"/>
                <w:sz w:val="20"/>
                <w:szCs w:val="20"/>
                <w:b w:val="1"/>
                <w:bCs w:val="1"/>
                <w:color w:val="auto"/>
              </w:rPr>
              <w:t>Balance outstanding at January 1, 2026</w:t>
            </w:r>
          </w:p>
        </w:tc>
        <w:tc>
          <w:tcPr>
            <w:tcW w:w="2180" w:type="dxa"/>
            <w:vAlign w:val="bottom"/>
          </w:tcPr>
          <w:p>
            <w:pPr>
              <w:jc w:val="right"/>
              <w:spacing w:after="0"/>
              <w:rPr>
                <w:sz w:val="20"/>
                <w:szCs w:val="20"/>
                <w:color w:val="auto"/>
              </w:rPr>
            </w:pPr>
            <w:r>
              <w:rPr>
                <w:rFonts w:ascii="Arial" w:cs="Arial" w:eastAsia="Arial" w:hAnsi="Arial"/>
                <w:sz w:val="20"/>
                <w:szCs w:val="20"/>
                <w:b w:val="1"/>
                <w:bCs w:val="1"/>
                <w:color w:val="auto"/>
              </w:rPr>
              <w:t>3,423,001</w:t>
            </w:r>
          </w:p>
        </w:tc>
      </w:tr>
      <w:tr>
        <w:trPr>
          <w:trHeight w:val="237"/>
        </w:trPr>
        <w:tc>
          <w:tcPr>
            <w:tcW w:w="5220" w:type="dxa"/>
            <w:vAlign w:val="bottom"/>
            <w:tcBorders>
              <w:bottom w:val="single" w:sz="8" w:color="BA2227"/>
            </w:tcBorders>
          </w:tcPr>
          <w:p>
            <w:pPr>
              <w:spacing w:after="0"/>
              <w:rPr>
                <w:sz w:val="20"/>
                <w:szCs w:val="20"/>
                <w:color w:val="auto"/>
              </w:rPr>
            </w:pPr>
          </w:p>
        </w:tc>
        <w:tc>
          <w:tcPr>
            <w:tcW w:w="2180" w:type="dxa"/>
            <w:vAlign w:val="bottom"/>
            <w:tcBorders>
              <w:bottom w:val="single" w:sz="8" w:color="BA2227"/>
            </w:tcBorders>
          </w:tcPr>
          <w:p>
            <w:pPr>
              <w:spacing w:after="0"/>
              <w:rPr>
                <w:sz w:val="20"/>
                <w:szCs w:val="20"/>
                <w:color w:val="auto"/>
              </w:rPr>
            </w:pPr>
          </w:p>
        </w:tc>
      </w:tr>
      <w:tr>
        <w:trPr>
          <w:trHeight w:val="530"/>
        </w:trPr>
        <w:tc>
          <w:tcPr>
            <w:tcW w:w="5220" w:type="dxa"/>
            <w:vAlign w:val="bottom"/>
          </w:tcPr>
          <w:p>
            <w:pPr>
              <w:ind w:left="20"/>
              <w:spacing w:after="0"/>
              <w:rPr>
                <w:sz w:val="20"/>
                <w:szCs w:val="20"/>
                <w:color w:val="auto"/>
              </w:rPr>
            </w:pPr>
            <w:r>
              <w:rPr>
                <w:rFonts w:ascii="Arial" w:cs="Arial" w:eastAsia="Arial" w:hAnsi="Arial"/>
                <w:sz w:val="20"/>
                <w:szCs w:val="20"/>
                <w:color w:val="auto"/>
              </w:rPr>
              <w:t>Granted</w:t>
            </w:r>
          </w:p>
        </w:tc>
        <w:tc>
          <w:tcPr>
            <w:tcW w:w="2180" w:type="dxa"/>
            <w:vAlign w:val="bottom"/>
          </w:tcPr>
          <w:p>
            <w:pPr>
              <w:jc w:val="right"/>
              <w:spacing w:after="0"/>
              <w:rPr>
                <w:sz w:val="20"/>
                <w:szCs w:val="20"/>
                <w:color w:val="auto"/>
              </w:rPr>
            </w:pPr>
            <w:r>
              <w:rPr>
                <w:rFonts w:ascii="Arial" w:cs="Arial" w:eastAsia="Arial" w:hAnsi="Arial"/>
                <w:sz w:val="20"/>
                <w:szCs w:val="20"/>
                <w:color w:val="auto"/>
              </w:rPr>
              <w:t>1,965,301</w:t>
            </w:r>
          </w:p>
        </w:tc>
      </w:tr>
      <w:tr>
        <w:trPr>
          <w:trHeight w:val="610"/>
        </w:trPr>
        <w:tc>
          <w:tcPr>
            <w:tcW w:w="5220" w:type="dxa"/>
            <w:vAlign w:val="bottom"/>
          </w:tcPr>
          <w:p>
            <w:pPr>
              <w:ind w:left="20"/>
              <w:spacing w:after="0"/>
              <w:rPr>
                <w:sz w:val="20"/>
                <w:szCs w:val="20"/>
                <w:color w:val="auto"/>
              </w:rPr>
            </w:pPr>
            <w:r>
              <w:rPr>
                <w:rFonts w:ascii="Arial" w:cs="Arial" w:eastAsia="Arial" w:hAnsi="Arial"/>
                <w:sz w:val="20"/>
                <w:szCs w:val="20"/>
                <w:color w:val="auto"/>
              </w:rPr>
              <w:t>(Performance adjustment)</w:t>
            </w:r>
            <w:r>
              <w:rPr>
                <w:rFonts w:ascii="Arial" w:cs="Arial" w:eastAsia="Arial" w:hAnsi="Arial"/>
                <w:sz w:val="25"/>
                <w:szCs w:val="25"/>
                <w:color w:val="auto"/>
                <w:vertAlign w:val="superscript"/>
              </w:rPr>
              <w:t>1</w:t>
            </w:r>
          </w:p>
        </w:tc>
        <w:tc>
          <w:tcPr>
            <w:tcW w:w="2180" w:type="dxa"/>
            <w:vAlign w:val="bottom"/>
          </w:tcPr>
          <w:p>
            <w:pPr>
              <w:jc w:val="right"/>
              <w:spacing w:after="0"/>
              <w:rPr>
                <w:sz w:val="20"/>
                <w:szCs w:val="20"/>
                <w:color w:val="auto"/>
              </w:rPr>
            </w:pPr>
            <w:r>
              <w:rPr>
                <w:rFonts w:ascii="Arial" w:cs="Arial" w:eastAsia="Arial" w:hAnsi="Arial"/>
                <w:sz w:val="20"/>
                <w:szCs w:val="20"/>
                <w:color w:val="auto"/>
              </w:rPr>
              <w:t>(396,151)</w:t>
            </w:r>
          </w:p>
        </w:tc>
      </w:tr>
      <w:tr>
        <w:trPr>
          <w:trHeight w:val="527"/>
        </w:trPr>
        <w:tc>
          <w:tcPr>
            <w:tcW w:w="5220" w:type="dxa"/>
            <w:vAlign w:val="bottom"/>
          </w:tcPr>
          <w:p>
            <w:pPr>
              <w:ind w:left="20"/>
              <w:spacing w:after="0"/>
              <w:rPr>
                <w:sz w:val="20"/>
                <w:szCs w:val="20"/>
                <w:color w:val="auto"/>
              </w:rPr>
            </w:pPr>
            <w:r>
              <w:rPr>
                <w:rFonts w:ascii="Arial" w:cs="Arial" w:eastAsia="Arial" w:hAnsi="Arial"/>
                <w:sz w:val="20"/>
                <w:szCs w:val="20"/>
                <w:color w:val="auto"/>
              </w:rPr>
              <w:t>(Forfeited)</w:t>
            </w:r>
            <w:r>
              <w:rPr>
                <w:rFonts w:ascii="Arial" w:cs="Arial" w:eastAsia="Arial" w:hAnsi="Arial"/>
                <w:sz w:val="25"/>
                <w:szCs w:val="25"/>
                <w:color w:val="auto"/>
                <w:vertAlign w:val="superscript"/>
              </w:rPr>
              <w:t>2</w:t>
            </w:r>
          </w:p>
        </w:tc>
        <w:tc>
          <w:tcPr>
            <w:tcW w:w="2180" w:type="dxa"/>
            <w:vAlign w:val="bottom"/>
          </w:tcPr>
          <w:p>
            <w:pPr>
              <w:jc w:val="right"/>
              <w:spacing w:after="0"/>
              <w:rPr>
                <w:sz w:val="20"/>
                <w:szCs w:val="20"/>
                <w:color w:val="auto"/>
              </w:rPr>
            </w:pPr>
            <w:r>
              <w:rPr>
                <w:rFonts w:ascii="Arial" w:cs="Arial" w:eastAsia="Arial" w:hAnsi="Arial"/>
                <w:sz w:val="20"/>
                <w:szCs w:val="20"/>
                <w:color w:val="auto"/>
              </w:rPr>
              <w:t>(150,704)</w:t>
            </w:r>
          </w:p>
        </w:tc>
      </w:tr>
      <w:tr>
        <w:trPr>
          <w:trHeight w:val="443"/>
        </w:trPr>
        <w:tc>
          <w:tcPr>
            <w:tcW w:w="5220" w:type="dxa"/>
            <w:vAlign w:val="bottom"/>
          </w:tcPr>
          <w:p>
            <w:pPr>
              <w:ind w:left="20"/>
              <w:spacing w:after="0"/>
              <w:rPr>
                <w:sz w:val="20"/>
                <w:szCs w:val="20"/>
                <w:color w:val="auto"/>
              </w:rPr>
            </w:pPr>
            <w:r>
              <w:rPr>
                <w:rFonts w:ascii="Arial" w:cs="Arial" w:eastAsia="Arial" w:hAnsi="Arial"/>
                <w:sz w:val="20"/>
                <w:szCs w:val="20"/>
                <w:color w:val="auto"/>
              </w:rPr>
              <w:t>(Expired)</w:t>
            </w:r>
          </w:p>
        </w:tc>
        <w:tc>
          <w:tcPr>
            <w:tcW w:w="21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27"/>
        </w:trPr>
        <w:tc>
          <w:tcPr>
            <w:tcW w:w="5220" w:type="dxa"/>
            <w:vAlign w:val="bottom"/>
          </w:tcPr>
          <w:p>
            <w:pPr>
              <w:ind w:left="20"/>
              <w:spacing w:after="0"/>
              <w:rPr>
                <w:sz w:val="20"/>
                <w:szCs w:val="20"/>
                <w:color w:val="auto"/>
              </w:rPr>
            </w:pPr>
            <w:r>
              <w:rPr>
                <w:rFonts w:ascii="Arial" w:cs="Arial" w:eastAsia="Arial" w:hAnsi="Arial"/>
                <w:sz w:val="20"/>
                <w:szCs w:val="20"/>
                <w:color w:val="auto"/>
              </w:rPr>
              <w:t>(Exercised grants), vested PSU / RSU</w:t>
            </w:r>
          </w:p>
        </w:tc>
        <w:tc>
          <w:tcPr>
            <w:tcW w:w="2180" w:type="dxa"/>
            <w:vAlign w:val="bottom"/>
          </w:tcPr>
          <w:p>
            <w:pPr>
              <w:jc w:val="right"/>
              <w:spacing w:after="0"/>
              <w:rPr>
                <w:sz w:val="20"/>
                <w:szCs w:val="20"/>
                <w:color w:val="auto"/>
              </w:rPr>
            </w:pPr>
            <w:r>
              <w:rPr>
                <w:rFonts w:ascii="Arial" w:cs="Arial" w:eastAsia="Arial" w:hAnsi="Arial"/>
                <w:sz w:val="20"/>
                <w:szCs w:val="20"/>
                <w:color w:val="auto"/>
              </w:rPr>
              <w:t>(1,001,313)</w:t>
            </w:r>
          </w:p>
        </w:tc>
      </w:tr>
      <w:tr>
        <w:trPr>
          <w:trHeight w:val="807"/>
        </w:trPr>
        <w:tc>
          <w:tcPr>
            <w:tcW w:w="5220" w:type="dxa"/>
            <w:vAlign w:val="bottom"/>
          </w:tcPr>
          <w:p>
            <w:pPr>
              <w:ind w:left="20"/>
              <w:spacing w:after="0"/>
              <w:rPr>
                <w:sz w:val="20"/>
                <w:szCs w:val="20"/>
                <w:color w:val="auto"/>
              </w:rPr>
            </w:pPr>
            <w:r>
              <w:rPr>
                <w:rFonts w:ascii="Arial" w:cs="Arial" w:eastAsia="Arial" w:hAnsi="Arial"/>
                <w:sz w:val="20"/>
                <w:szCs w:val="20"/>
                <w:b w:val="1"/>
                <w:bCs w:val="1"/>
                <w:color w:val="auto"/>
              </w:rPr>
              <w:t>Balance outstanding at September 30, 2026</w:t>
            </w:r>
          </w:p>
        </w:tc>
        <w:tc>
          <w:tcPr>
            <w:tcW w:w="2180" w:type="dxa"/>
            <w:vAlign w:val="bottom"/>
          </w:tcPr>
          <w:p>
            <w:pPr>
              <w:jc w:val="right"/>
              <w:spacing w:after="0"/>
              <w:rPr>
                <w:sz w:val="20"/>
                <w:szCs w:val="20"/>
                <w:color w:val="auto"/>
              </w:rPr>
            </w:pPr>
            <w:r>
              <w:rPr>
                <w:rFonts w:ascii="Arial" w:cs="Arial" w:eastAsia="Arial" w:hAnsi="Arial"/>
                <w:sz w:val="20"/>
                <w:szCs w:val="20"/>
                <w:b w:val="1"/>
                <w:bCs w:val="1"/>
                <w:color w:val="auto"/>
              </w:rPr>
              <w:t>3,840,134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46888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88840" cy="889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Performance adjustments indicate additional grants or forfeitures due to non-market performance conditions (under) over-achieved</w:t>
      </w:r>
    </w:p>
    <w:p>
      <w:pPr>
        <w:spacing w:after="0"/>
        <w:rPr>
          <w:sz w:val="20"/>
          <w:szCs w:val="20"/>
          <w:color w:val="auto"/>
        </w:rPr>
      </w:pPr>
      <w:r>
        <w:rPr>
          <w:rFonts w:ascii="Arial" w:cs="Arial" w:eastAsia="Arial" w:hAnsi="Arial"/>
          <w:sz w:val="9"/>
          <w:szCs w:val="9"/>
          <w:color w:val="auto"/>
        </w:rPr>
        <w:t>2</w:t>
      </w:r>
      <w:r>
        <w:rPr>
          <w:rFonts w:ascii="Arial" w:cs="Arial" w:eastAsia="Arial" w:hAnsi="Arial"/>
          <w:sz w:val="14"/>
          <w:szCs w:val="14"/>
          <w:color w:val="auto"/>
        </w:rPr>
        <w:t>Forfeited due to service conditions not fulfilled</w:t>
      </w:r>
    </w:p>
    <w:p>
      <w:pPr>
        <w:spacing w:after="0" w:line="15" w:lineRule="exact"/>
        <w:rPr>
          <w:sz w:val="20"/>
          <w:szCs w:val="20"/>
          <w:color w:val="auto"/>
        </w:rPr>
      </w:pPr>
    </w:p>
    <w:p>
      <w:pPr>
        <w:ind w:left="80" w:hanging="72"/>
        <w:spacing w:after="0"/>
        <w:tabs>
          <w:tab w:leader="none" w:pos="80" w:val="left"/>
        </w:tabs>
        <w:numPr>
          <w:ilvl w:val="0"/>
          <w:numId w:val="7"/>
        </w:numPr>
        <w:rPr>
          <w:rFonts w:ascii="Arial" w:cs="Arial" w:eastAsia="Arial" w:hAnsi="Arial"/>
          <w:sz w:val="9"/>
          <w:szCs w:val="9"/>
          <w:color w:val="auto"/>
        </w:rPr>
      </w:pPr>
      <w:r>
        <w:rPr>
          <w:rFonts w:ascii="Arial" w:cs="Arial" w:eastAsia="Arial" w:hAnsi="Arial"/>
          <w:sz w:val="14"/>
          <w:szCs w:val="14"/>
          <w:color w:val="auto"/>
        </w:rPr>
        <w:t>All outstanding PSU / RSU have an exercise price of CHF 0.10.</w:t>
      </w:r>
    </w:p>
    <w:p>
      <w:pPr>
        <w:spacing w:after="0" w:line="299" w:lineRule="exact"/>
        <w:rPr>
          <w:sz w:val="20"/>
          <w:szCs w:val="20"/>
          <w:color w:val="auto"/>
        </w:rPr>
      </w:pPr>
    </w:p>
    <w:p>
      <w:pPr>
        <w:ind w:right="480"/>
        <w:spacing w:after="0" w:line="290" w:lineRule="auto"/>
        <w:rPr>
          <w:sz w:val="20"/>
          <w:szCs w:val="20"/>
          <w:color w:val="auto"/>
        </w:rPr>
      </w:pPr>
      <w:r>
        <w:rPr>
          <w:rFonts w:ascii="Arial" w:cs="Arial" w:eastAsia="Arial" w:hAnsi="Arial"/>
          <w:sz w:val="19"/>
          <w:szCs w:val="19"/>
          <w:color w:val="auto"/>
        </w:rPr>
        <w:t>The share-based compensation costs recognized during the nine months ended September 30, 2026, amounted to TCHF 2,784 (TCHF 3,446 for the nine months ended September 30, 2025). For the three months ended September 30, 2026, the share-based compensation costs amounted to TCHF 941 (TCHF 1,076 for the three months ended September 30, 2025).</w:t>
      </w:r>
    </w:p>
    <w:p>
      <w:pPr>
        <w:spacing w:after="0" w:line="139"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19"/>
          <w:szCs w:val="19"/>
          <w:color w:val="auto"/>
        </w:rPr>
        <w:t>Financial income and expense</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560" w:type="dxa"/>
            <w:vAlign w:val="bottom"/>
          </w:tcPr>
          <w:p>
            <w:pPr>
              <w:spacing w:after="0"/>
              <w:rPr>
                <w:sz w:val="20"/>
                <w:szCs w:val="20"/>
                <w:color w:val="auto"/>
              </w:rPr>
            </w:pPr>
            <w:r>
              <w:rPr>
                <w:rFonts w:ascii="Arial" w:cs="Arial" w:eastAsia="Arial" w:hAnsi="Arial"/>
                <w:sz w:val="20"/>
                <w:szCs w:val="20"/>
                <w:b w:val="1"/>
                <w:bCs w:val="1"/>
                <w:color w:val="auto"/>
              </w:rPr>
              <w:t>Financial income for nine months</w:t>
            </w:r>
          </w:p>
        </w:tc>
        <w:tc>
          <w:tcPr>
            <w:tcW w:w="2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3"/>
        </w:trPr>
        <w:tc>
          <w:tcPr>
            <w:tcW w:w="7560" w:type="dxa"/>
            <w:vAlign w:val="bottom"/>
            <w:vMerge w:val="restart"/>
          </w:tcPr>
          <w:p>
            <w:pPr>
              <w:ind w:left="20"/>
              <w:spacing w:after="0"/>
              <w:rPr>
                <w:sz w:val="20"/>
                <w:szCs w:val="20"/>
                <w:color w:val="auto"/>
              </w:rPr>
            </w:pPr>
            <w:r>
              <w:rPr>
                <w:rFonts w:ascii="Arial" w:cs="Arial" w:eastAsia="Arial" w:hAnsi="Arial"/>
                <w:sz w:val="20"/>
                <w:szCs w:val="20"/>
                <w:color w:val="auto"/>
              </w:rPr>
              <w:t>in CHF thousands, for the nine months ended September 30</w:t>
            </w:r>
          </w:p>
        </w:tc>
        <w:tc>
          <w:tcPr>
            <w:tcW w:w="2420" w:type="dxa"/>
            <w:vAlign w:val="bottom"/>
          </w:tcPr>
          <w:p>
            <w:pPr>
              <w:ind w:left="1380"/>
              <w:spacing w:after="0"/>
              <w:rPr>
                <w:sz w:val="20"/>
                <w:szCs w:val="20"/>
                <w:color w:val="auto"/>
              </w:rPr>
            </w:pPr>
            <w:r>
              <w:rPr>
                <w:rFonts w:ascii="Arial" w:cs="Arial" w:eastAsia="Arial" w:hAnsi="Arial"/>
                <w:sz w:val="20"/>
                <w:szCs w:val="20"/>
                <w:color w:val="auto"/>
              </w:rPr>
              <w:t>2026</w:t>
            </w:r>
          </w:p>
        </w:tc>
        <w:tc>
          <w:tcPr>
            <w:tcW w:w="1260" w:type="dxa"/>
            <w:vAlign w:val="bottom"/>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45"/>
        </w:trPr>
        <w:tc>
          <w:tcPr>
            <w:tcW w:w="7560" w:type="dxa"/>
            <w:vAlign w:val="bottom"/>
            <w:tcBorders>
              <w:bottom w:val="single" w:sz="8" w:color="BF373A"/>
            </w:tcBorders>
            <w:vMerge w:val="continue"/>
          </w:tcPr>
          <w:p>
            <w:pPr>
              <w:spacing w:after="0"/>
              <w:rPr>
                <w:sz w:val="21"/>
                <w:szCs w:val="21"/>
                <w:color w:val="auto"/>
              </w:rPr>
            </w:pPr>
          </w:p>
        </w:tc>
        <w:tc>
          <w:tcPr>
            <w:tcW w:w="2420" w:type="dxa"/>
            <w:vAlign w:val="bottom"/>
            <w:tcBorders>
              <w:bottom w:val="single" w:sz="8" w:color="BF373A"/>
            </w:tcBorders>
          </w:tcPr>
          <w:p>
            <w:pPr>
              <w:spacing w:after="0"/>
              <w:rPr>
                <w:sz w:val="21"/>
                <w:szCs w:val="21"/>
                <w:color w:val="auto"/>
              </w:rPr>
            </w:pPr>
          </w:p>
        </w:tc>
        <w:tc>
          <w:tcPr>
            <w:tcW w:w="1260" w:type="dxa"/>
            <w:vAlign w:val="bottom"/>
            <w:tcBorders>
              <w:bottom w:val="single" w:sz="8" w:color="BF373A"/>
            </w:tcBorders>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7560" w:type="dxa"/>
            <w:vAlign w:val="bottom"/>
            <w:vMerge w:val="restart"/>
          </w:tcPr>
          <w:p>
            <w:pPr>
              <w:ind w:left="20"/>
              <w:spacing w:after="0"/>
              <w:rPr>
                <w:sz w:val="20"/>
                <w:szCs w:val="20"/>
                <w:color w:val="auto"/>
              </w:rPr>
            </w:pPr>
            <w:r>
              <w:rPr>
                <w:rFonts w:ascii="Arial" w:cs="Arial" w:eastAsia="Arial" w:hAnsi="Arial"/>
                <w:sz w:val="20"/>
                <w:szCs w:val="20"/>
                <w:color w:val="auto"/>
              </w:rPr>
              <w:t>Interest income on financial assets held at amortized cost</w:t>
            </w:r>
          </w:p>
        </w:tc>
        <w:tc>
          <w:tcPr>
            <w:tcW w:w="2420" w:type="dxa"/>
            <w:vAlign w:val="bottom"/>
          </w:tcPr>
          <w:p>
            <w:pPr>
              <w:ind w:left="1440"/>
              <w:spacing w:after="0"/>
              <w:rPr>
                <w:sz w:val="20"/>
                <w:szCs w:val="20"/>
                <w:color w:val="auto"/>
              </w:rPr>
            </w:pPr>
            <w:r>
              <w:rPr>
                <w:rFonts w:ascii="Arial" w:cs="Arial" w:eastAsia="Arial" w:hAnsi="Arial"/>
                <w:sz w:val="20"/>
                <w:szCs w:val="20"/>
                <w:color w:val="auto"/>
              </w:rPr>
              <w:t>230</w:t>
            </w:r>
          </w:p>
        </w:tc>
        <w:tc>
          <w:tcPr>
            <w:tcW w:w="1260" w:type="dxa"/>
            <w:vAlign w:val="bottom"/>
          </w:tcPr>
          <w:p>
            <w:pPr>
              <w:jc w:val="right"/>
              <w:spacing w:after="0"/>
              <w:rPr>
                <w:sz w:val="20"/>
                <w:szCs w:val="20"/>
                <w:color w:val="auto"/>
              </w:rPr>
            </w:pPr>
            <w:r>
              <w:rPr>
                <w:rFonts w:ascii="Arial" w:cs="Arial" w:eastAsia="Arial" w:hAnsi="Arial"/>
                <w:sz w:val="20"/>
                <w:szCs w:val="20"/>
                <w:color w:val="auto"/>
              </w:rPr>
              <w:t>1,288</w:t>
            </w:r>
          </w:p>
        </w:tc>
        <w:tc>
          <w:tcPr>
            <w:tcW w:w="0" w:type="dxa"/>
            <w:vAlign w:val="bottom"/>
          </w:tcPr>
          <w:p>
            <w:pPr>
              <w:spacing w:after="0"/>
              <w:rPr>
                <w:sz w:val="1"/>
                <w:szCs w:val="1"/>
                <w:color w:val="auto"/>
              </w:rPr>
            </w:pPr>
          </w:p>
        </w:tc>
      </w:tr>
      <w:tr>
        <w:trPr>
          <w:trHeight w:val="243"/>
        </w:trPr>
        <w:tc>
          <w:tcPr>
            <w:tcW w:w="7560" w:type="dxa"/>
            <w:vAlign w:val="bottom"/>
            <w:vMerge w:val="continue"/>
          </w:tcPr>
          <w:p>
            <w:pPr>
              <w:spacing w:after="0"/>
              <w:rPr>
                <w:sz w:val="21"/>
                <w:szCs w:val="21"/>
                <w:color w:val="auto"/>
              </w:rPr>
            </w:pPr>
          </w:p>
        </w:tc>
        <w:tc>
          <w:tcPr>
            <w:tcW w:w="2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60" w:type="dxa"/>
            <w:vAlign w:val="bottom"/>
            <w:vMerge w:val="restart"/>
          </w:tcPr>
          <w:p>
            <w:pPr>
              <w:ind w:left="20"/>
              <w:spacing w:after="0"/>
              <w:rPr>
                <w:sz w:val="20"/>
                <w:szCs w:val="20"/>
                <w:color w:val="auto"/>
              </w:rPr>
            </w:pPr>
            <w:r>
              <w:rPr>
                <w:rFonts w:ascii="Arial" w:cs="Arial" w:eastAsia="Arial" w:hAnsi="Arial"/>
                <w:sz w:val="20"/>
                <w:szCs w:val="20"/>
                <w:color w:val="auto"/>
              </w:rPr>
              <w:t>Net foreign exchange gain</w:t>
            </w:r>
          </w:p>
        </w:tc>
        <w:tc>
          <w:tcPr>
            <w:tcW w:w="2420" w:type="dxa"/>
            <w:vAlign w:val="bottom"/>
          </w:tcPr>
          <w:p>
            <w:pPr>
              <w:ind w:left="1440"/>
              <w:spacing w:after="0"/>
              <w:rPr>
                <w:sz w:val="20"/>
                <w:szCs w:val="20"/>
                <w:color w:val="auto"/>
              </w:rPr>
            </w:pPr>
            <w:r>
              <w:rPr>
                <w:rFonts w:ascii="Arial" w:cs="Arial" w:eastAsia="Arial" w:hAnsi="Arial"/>
                <w:sz w:val="20"/>
                <w:szCs w:val="20"/>
                <w:color w:val="auto"/>
              </w:rPr>
              <w:t>483</w:t>
            </w:r>
          </w:p>
        </w:tc>
        <w:tc>
          <w:tcPr>
            <w:tcW w:w="12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7560" w:type="dxa"/>
            <w:vAlign w:val="bottom"/>
            <w:vMerge w:val="continue"/>
          </w:tcPr>
          <w:p>
            <w:pPr>
              <w:spacing w:after="0"/>
              <w:rPr>
                <w:sz w:val="21"/>
                <w:szCs w:val="21"/>
                <w:color w:val="auto"/>
              </w:rPr>
            </w:pPr>
          </w:p>
        </w:tc>
        <w:tc>
          <w:tcPr>
            <w:tcW w:w="24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60" w:type="dxa"/>
            <w:vAlign w:val="bottom"/>
            <w:vMerge w:val="restart"/>
          </w:tcPr>
          <w:p>
            <w:pPr>
              <w:ind w:left="20"/>
              <w:spacing w:after="0"/>
              <w:rPr>
                <w:sz w:val="20"/>
                <w:szCs w:val="20"/>
                <w:color w:val="auto"/>
              </w:rPr>
            </w:pPr>
            <w:r>
              <w:rPr>
                <w:rFonts w:ascii="Arial" w:cs="Arial" w:eastAsia="Arial" w:hAnsi="Arial"/>
                <w:sz w:val="20"/>
                <w:szCs w:val="20"/>
                <w:color w:val="auto"/>
              </w:rPr>
              <w:t>Total</w:t>
            </w:r>
          </w:p>
        </w:tc>
        <w:tc>
          <w:tcPr>
            <w:tcW w:w="2420" w:type="dxa"/>
            <w:vAlign w:val="bottom"/>
          </w:tcPr>
          <w:p>
            <w:pPr>
              <w:ind w:left="1440"/>
              <w:spacing w:after="0"/>
              <w:rPr>
                <w:sz w:val="20"/>
                <w:szCs w:val="20"/>
                <w:color w:val="auto"/>
              </w:rPr>
            </w:pPr>
            <w:r>
              <w:rPr>
                <w:rFonts w:ascii="Arial" w:cs="Arial" w:eastAsia="Arial" w:hAnsi="Arial"/>
                <w:sz w:val="20"/>
                <w:szCs w:val="20"/>
                <w:color w:val="auto"/>
              </w:rPr>
              <w:t>713</w:t>
            </w:r>
          </w:p>
        </w:tc>
        <w:tc>
          <w:tcPr>
            <w:tcW w:w="1260" w:type="dxa"/>
            <w:vAlign w:val="bottom"/>
          </w:tcPr>
          <w:p>
            <w:pPr>
              <w:jc w:val="right"/>
              <w:spacing w:after="0"/>
              <w:rPr>
                <w:sz w:val="20"/>
                <w:szCs w:val="20"/>
                <w:color w:val="auto"/>
              </w:rPr>
            </w:pPr>
            <w:r>
              <w:rPr>
                <w:rFonts w:ascii="Arial" w:cs="Arial" w:eastAsia="Arial" w:hAnsi="Arial"/>
                <w:sz w:val="20"/>
                <w:szCs w:val="20"/>
                <w:color w:val="auto"/>
              </w:rPr>
              <w:t>1,288</w:t>
            </w:r>
          </w:p>
        </w:tc>
        <w:tc>
          <w:tcPr>
            <w:tcW w:w="0" w:type="dxa"/>
            <w:vAlign w:val="bottom"/>
          </w:tcPr>
          <w:p>
            <w:pPr>
              <w:spacing w:after="0"/>
              <w:rPr>
                <w:sz w:val="1"/>
                <w:szCs w:val="1"/>
                <w:color w:val="auto"/>
              </w:rPr>
            </w:pPr>
          </w:p>
        </w:tc>
      </w:tr>
      <w:tr>
        <w:trPr>
          <w:trHeight w:val="245"/>
        </w:trPr>
        <w:tc>
          <w:tcPr>
            <w:tcW w:w="7560" w:type="dxa"/>
            <w:vAlign w:val="bottom"/>
            <w:tcBorders>
              <w:bottom w:val="single" w:sz="8" w:color="BB3739"/>
            </w:tcBorders>
            <w:vMerge w:val="continue"/>
          </w:tcPr>
          <w:p>
            <w:pPr>
              <w:spacing w:after="0"/>
              <w:rPr>
                <w:sz w:val="21"/>
                <w:szCs w:val="21"/>
                <w:color w:val="auto"/>
              </w:rPr>
            </w:pPr>
          </w:p>
        </w:tc>
        <w:tc>
          <w:tcPr>
            <w:tcW w:w="2420" w:type="dxa"/>
            <w:vAlign w:val="bottom"/>
            <w:tcBorders>
              <w:bottom w:val="single" w:sz="8" w:color="BF2115"/>
            </w:tcBorders>
          </w:tcPr>
          <w:p>
            <w:pPr>
              <w:spacing w:after="0"/>
              <w:rPr>
                <w:sz w:val="21"/>
                <w:szCs w:val="21"/>
                <w:color w:val="auto"/>
              </w:rPr>
            </w:pPr>
          </w:p>
        </w:tc>
        <w:tc>
          <w:tcPr>
            <w:tcW w:w="1260" w:type="dxa"/>
            <w:vAlign w:val="bottom"/>
            <w:tcBorders>
              <w:bottom w:val="single" w:sz="8" w:color="BF2115"/>
            </w:tcBorders>
          </w:tcPr>
          <w:p>
            <w:pPr>
              <w:spacing w:after="0"/>
              <w:rPr>
                <w:sz w:val="21"/>
                <w:szCs w:val="21"/>
                <w:color w:val="auto"/>
              </w:rPr>
            </w:pPr>
          </w:p>
        </w:tc>
        <w:tc>
          <w:tcPr>
            <w:tcW w:w="0" w:type="dxa"/>
            <w:vAlign w:val="bottom"/>
          </w:tcPr>
          <w:p>
            <w:pPr>
              <w:spacing w:after="0"/>
              <w:rPr>
                <w:sz w:val="1"/>
                <w:szCs w:val="1"/>
                <w:color w:val="auto"/>
              </w:rPr>
            </w:pPr>
          </w:p>
        </w:tc>
      </w:tr>
      <w:tr>
        <w:trPr>
          <w:trHeight w:val="555"/>
        </w:trPr>
        <w:tc>
          <w:tcPr>
            <w:tcW w:w="7560" w:type="dxa"/>
            <w:vAlign w:val="bottom"/>
          </w:tcPr>
          <w:p>
            <w:pPr>
              <w:spacing w:after="0"/>
              <w:rPr>
                <w:sz w:val="20"/>
                <w:szCs w:val="20"/>
                <w:color w:val="auto"/>
              </w:rPr>
            </w:pPr>
            <w:r>
              <w:rPr>
                <w:rFonts w:ascii="Arial" w:cs="Arial" w:eastAsia="Arial" w:hAnsi="Arial"/>
                <w:sz w:val="20"/>
                <w:szCs w:val="20"/>
                <w:b w:val="1"/>
                <w:bCs w:val="1"/>
                <w:color w:val="auto"/>
              </w:rPr>
              <w:t>Financial expense for nine months</w:t>
            </w:r>
          </w:p>
        </w:tc>
        <w:tc>
          <w:tcPr>
            <w:tcW w:w="2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5"/>
        </w:trPr>
        <w:tc>
          <w:tcPr>
            <w:tcW w:w="7560" w:type="dxa"/>
            <w:vAlign w:val="bottom"/>
            <w:tcBorders>
              <w:bottom w:val="single" w:sz="8" w:color="EE2724"/>
            </w:tcBorders>
          </w:tcPr>
          <w:p>
            <w:pPr>
              <w:ind w:left="20"/>
              <w:spacing w:after="0"/>
              <w:rPr>
                <w:sz w:val="20"/>
                <w:szCs w:val="20"/>
                <w:color w:val="auto"/>
              </w:rPr>
            </w:pPr>
            <w:r>
              <w:rPr>
                <w:rFonts w:ascii="Arial" w:cs="Arial" w:eastAsia="Arial" w:hAnsi="Arial"/>
                <w:sz w:val="20"/>
                <w:szCs w:val="20"/>
                <w:color w:val="auto"/>
              </w:rPr>
              <w:t>in CHF thousands, for the nine months ended September 30</w:t>
            </w:r>
          </w:p>
        </w:tc>
        <w:tc>
          <w:tcPr>
            <w:tcW w:w="2420" w:type="dxa"/>
            <w:vAlign w:val="bottom"/>
            <w:tcBorders>
              <w:bottom w:val="single" w:sz="8" w:color="EE2724"/>
            </w:tcBorders>
          </w:tcPr>
          <w:p>
            <w:pPr>
              <w:ind w:left="1360"/>
              <w:spacing w:after="0"/>
              <w:rPr>
                <w:sz w:val="20"/>
                <w:szCs w:val="20"/>
                <w:color w:val="auto"/>
              </w:rPr>
            </w:pPr>
            <w:r>
              <w:rPr>
                <w:rFonts w:ascii="Arial" w:cs="Arial" w:eastAsia="Arial" w:hAnsi="Arial"/>
                <w:sz w:val="20"/>
                <w:szCs w:val="20"/>
                <w:color w:val="auto"/>
              </w:rPr>
              <w:t>2026</w:t>
            </w:r>
          </w:p>
        </w:tc>
        <w:tc>
          <w:tcPr>
            <w:tcW w:w="1260" w:type="dxa"/>
            <w:vAlign w:val="bottom"/>
            <w:tcBorders>
              <w:bottom w:val="single" w:sz="8" w:color="EE2724"/>
            </w:tcBorders>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75"/>
        </w:trPr>
        <w:tc>
          <w:tcPr>
            <w:tcW w:w="7560" w:type="dxa"/>
            <w:vAlign w:val="bottom"/>
          </w:tcPr>
          <w:p>
            <w:pPr>
              <w:ind w:left="20"/>
              <w:spacing w:after="0"/>
              <w:rPr>
                <w:sz w:val="20"/>
                <w:szCs w:val="20"/>
                <w:color w:val="auto"/>
              </w:rPr>
            </w:pPr>
            <w:r>
              <w:rPr>
                <w:rFonts w:ascii="Arial" w:cs="Arial" w:eastAsia="Arial" w:hAnsi="Arial"/>
                <w:sz w:val="20"/>
                <w:szCs w:val="20"/>
                <w:color w:val="auto"/>
              </w:rPr>
              <w:t>Net foreign exchange loss</w:t>
            </w:r>
          </w:p>
        </w:tc>
        <w:tc>
          <w:tcPr>
            <w:tcW w:w="2420" w:type="dxa"/>
            <w:vAlign w:val="bottom"/>
            <w:vMerge w:val="restart"/>
          </w:tcPr>
          <w:p>
            <w:pPr>
              <w:ind w:left="1540"/>
              <w:spacing w:after="0"/>
              <w:rPr>
                <w:sz w:val="20"/>
                <w:szCs w:val="20"/>
                <w:color w:val="auto"/>
              </w:rPr>
            </w:pPr>
            <w:r>
              <w:rPr>
                <w:rFonts w:ascii="Arial" w:cs="Arial" w:eastAsia="Arial" w:hAnsi="Arial"/>
                <w:sz w:val="20"/>
                <w:szCs w:val="20"/>
                <w:color w:val="auto"/>
              </w:rPr>
              <w:t>—</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(4,767)</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1"/>
                <w:szCs w:val="21"/>
                <w:color w:val="auto"/>
              </w:rPr>
            </w:pPr>
          </w:p>
        </w:tc>
        <w:tc>
          <w:tcPr>
            <w:tcW w:w="24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60" w:type="dxa"/>
            <w:vAlign w:val="bottom"/>
          </w:tcPr>
          <w:p>
            <w:pPr>
              <w:ind w:left="20"/>
              <w:spacing w:after="0"/>
              <w:rPr>
                <w:sz w:val="20"/>
                <w:szCs w:val="20"/>
                <w:color w:val="auto"/>
              </w:rPr>
            </w:pPr>
            <w:r>
              <w:rPr>
                <w:rFonts w:ascii="Arial" w:cs="Arial" w:eastAsia="Arial" w:hAnsi="Arial"/>
                <w:sz w:val="20"/>
                <w:szCs w:val="20"/>
                <w:color w:val="auto"/>
              </w:rPr>
              <w:t>Interest expense on leases</w:t>
            </w:r>
          </w:p>
        </w:tc>
        <w:tc>
          <w:tcPr>
            <w:tcW w:w="2420" w:type="dxa"/>
            <w:vAlign w:val="bottom"/>
            <w:vMerge w:val="restart"/>
          </w:tcPr>
          <w:p>
            <w:pPr>
              <w:ind w:left="1440"/>
              <w:spacing w:after="0"/>
              <w:rPr>
                <w:sz w:val="20"/>
                <w:szCs w:val="20"/>
                <w:color w:val="auto"/>
              </w:rPr>
            </w:pPr>
            <w:r>
              <w:rPr>
                <w:rFonts w:ascii="Arial" w:cs="Arial" w:eastAsia="Arial" w:hAnsi="Arial"/>
                <w:sz w:val="20"/>
                <w:szCs w:val="20"/>
                <w:color w:val="auto"/>
              </w:rPr>
              <w:t>(18)</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1"/>
                <w:szCs w:val="21"/>
                <w:color w:val="auto"/>
              </w:rPr>
            </w:pPr>
          </w:p>
        </w:tc>
        <w:tc>
          <w:tcPr>
            <w:tcW w:w="24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60" w:type="dxa"/>
            <w:vAlign w:val="bottom"/>
          </w:tcPr>
          <w:p>
            <w:pPr>
              <w:ind w:left="20"/>
              <w:spacing w:after="0"/>
              <w:rPr>
                <w:sz w:val="20"/>
                <w:szCs w:val="20"/>
                <w:color w:val="auto"/>
              </w:rPr>
            </w:pPr>
            <w:r>
              <w:rPr>
                <w:rFonts w:ascii="Arial" w:cs="Arial" w:eastAsia="Arial" w:hAnsi="Arial"/>
                <w:sz w:val="20"/>
                <w:szCs w:val="20"/>
                <w:color w:val="auto"/>
              </w:rPr>
              <w:t>Other financial expenses</w:t>
            </w:r>
          </w:p>
        </w:tc>
        <w:tc>
          <w:tcPr>
            <w:tcW w:w="2420" w:type="dxa"/>
            <w:vAlign w:val="bottom"/>
            <w:vMerge w:val="restart"/>
          </w:tcPr>
          <w:p>
            <w:pPr>
              <w:ind w:left="1440"/>
              <w:spacing w:after="0"/>
              <w:rPr>
                <w:sz w:val="20"/>
                <w:szCs w:val="20"/>
                <w:color w:val="auto"/>
              </w:rPr>
            </w:pPr>
            <w:r>
              <w:rPr>
                <w:rFonts w:ascii="Arial" w:cs="Arial" w:eastAsia="Arial" w:hAnsi="Arial"/>
                <w:sz w:val="20"/>
                <w:szCs w:val="20"/>
                <w:color w:val="auto"/>
              </w:rPr>
              <w:t>(12)</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(11)</w:t>
            </w:r>
          </w:p>
        </w:tc>
        <w:tc>
          <w:tcPr>
            <w:tcW w:w="0" w:type="dxa"/>
            <w:vAlign w:val="bottom"/>
          </w:tcPr>
          <w:p>
            <w:pPr>
              <w:spacing w:after="0"/>
              <w:rPr>
                <w:sz w:val="1"/>
                <w:szCs w:val="1"/>
                <w:color w:val="auto"/>
              </w:rPr>
            </w:pPr>
          </w:p>
        </w:tc>
      </w:tr>
      <w:tr>
        <w:trPr>
          <w:trHeight w:val="243"/>
        </w:trPr>
        <w:tc>
          <w:tcPr>
            <w:tcW w:w="7560" w:type="dxa"/>
            <w:vAlign w:val="bottom"/>
          </w:tcPr>
          <w:p>
            <w:pPr>
              <w:spacing w:after="0"/>
              <w:rPr>
                <w:sz w:val="21"/>
                <w:szCs w:val="21"/>
                <w:color w:val="auto"/>
              </w:rPr>
            </w:pPr>
          </w:p>
        </w:tc>
        <w:tc>
          <w:tcPr>
            <w:tcW w:w="2420" w:type="dxa"/>
            <w:vAlign w:val="bottom"/>
            <w:vMerge w:val="continue"/>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60" w:type="dxa"/>
            <w:vAlign w:val="bottom"/>
          </w:tcPr>
          <w:p>
            <w:pPr>
              <w:ind w:left="20"/>
              <w:spacing w:after="0"/>
              <w:rPr>
                <w:sz w:val="20"/>
                <w:szCs w:val="20"/>
                <w:color w:val="auto"/>
              </w:rPr>
            </w:pPr>
            <w:r>
              <w:rPr>
                <w:rFonts w:ascii="Arial" w:cs="Arial" w:eastAsia="Arial" w:hAnsi="Arial"/>
                <w:sz w:val="20"/>
                <w:szCs w:val="20"/>
                <w:color w:val="auto"/>
              </w:rPr>
              <w:t>Total</w:t>
            </w:r>
          </w:p>
        </w:tc>
        <w:tc>
          <w:tcPr>
            <w:tcW w:w="2420" w:type="dxa"/>
            <w:vAlign w:val="bottom"/>
            <w:vMerge w:val="restart"/>
          </w:tcPr>
          <w:p>
            <w:pPr>
              <w:ind w:left="1440"/>
              <w:spacing w:after="0"/>
              <w:rPr>
                <w:sz w:val="20"/>
                <w:szCs w:val="20"/>
                <w:color w:val="auto"/>
              </w:rPr>
            </w:pPr>
            <w:r>
              <w:rPr>
                <w:rFonts w:ascii="Arial" w:cs="Arial" w:eastAsia="Arial" w:hAnsi="Arial"/>
                <w:sz w:val="20"/>
                <w:szCs w:val="20"/>
                <w:color w:val="auto"/>
              </w:rPr>
              <w:t>(30)</w:t>
            </w:r>
          </w:p>
        </w:tc>
        <w:tc>
          <w:tcPr>
            <w:tcW w:w="1260" w:type="dxa"/>
            <w:vAlign w:val="bottom"/>
            <w:vMerge w:val="restart"/>
          </w:tcPr>
          <w:p>
            <w:pPr>
              <w:jc w:val="right"/>
              <w:spacing w:after="0"/>
              <w:rPr>
                <w:sz w:val="20"/>
                <w:szCs w:val="20"/>
                <w:color w:val="auto"/>
              </w:rPr>
            </w:pPr>
            <w:r>
              <w:rPr>
                <w:rFonts w:ascii="Arial" w:cs="Arial" w:eastAsia="Arial" w:hAnsi="Arial"/>
                <w:sz w:val="20"/>
                <w:szCs w:val="20"/>
                <w:color w:val="auto"/>
              </w:rPr>
              <w:t>(4,790)</w:t>
            </w:r>
          </w:p>
        </w:tc>
        <w:tc>
          <w:tcPr>
            <w:tcW w:w="0" w:type="dxa"/>
            <w:vAlign w:val="bottom"/>
          </w:tcPr>
          <w:p>
            <w:pPr>
              <w:spacing w:after="0"/>
              <w:rPr>
                <w:sz w:val="1"/>
                <w:szCs w:val="1"/>
                <w:color w:val="auto"/>
              </w:rPr>
            </w:pPr>
          </w:p>
        </w:tc>
      </w:tr>
      <w:tr>
        <w:trPr>
          <w:trHeight w:val="245"/>
        </w:trPr>
        <w:tc>
          <w:tcPr>
            <w:tcW w:w="7560" w:type="dxa"/>
            <w:vAlign w:val="bottom"/>
            <w:tcBorders>
              <w:bottom w:val="single" w:sz="8" w:color="BF2115"/>
            </w:tcBorders>
          </w:tcPr>
          <w:p>
            <w:pPr>
              <w:spacing w:after="0"/>
              <w:rPr>
                <w:sz w:val="21"/>
                <w:szCs w:val="21"/>
                <w:color w:val="auto"/>
              </w:rPr>
            </w:pPr>
          </w:p>
        </w:tc>
        <w:tc>
          <w:tcPr>
            <w:tcW w:w="2420" w:type="dxa"/>
            <w:vAlign w:val="bottom"/>
            <w:tcBorders>
              <w:bottom w:val="single" w:sz="8" w:color="EE2724"/>
            </w:tcBorders>
            <w:vMerge w:val="continue"/>
          </w:tcPr>
          <w:p>
            <w:pPr>
              <w:spacing w:after="0"/>
              <w:rPr>
                <w:sz w:val="21"/>
                <w:szCs w:val="21"/>
                <w:color w:val="auto"/>
              </w:rPr>
            </w:pPr>
          </w:p>
        </w:tc>
        <w:tc>
          <w:tcPr>
            <w:tcW w:w="1260" w:type="dxa"/>
            <w:vAlign w:val="bottom"/>
            <w:tcBorders>
              <w:bottom w:val="single" w:sz="8" w:color="EE2724"/>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income for three months</w:t>
      </w:r>
    </w:p>
    <w:p>
      <w:pPr>
        <w:sectPr>
          <w:pgSz w:w="11900" w:h="16838" w:orient="portrait"/>
          <w:cols w:equalWidth="0" w:num="1">
            <w:col w:w="11240"/>
          </w:cols>
          <w:pgMar w:left="320" w:top="1167" w:right="339" w:bottom="929"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63"/>
        </w:trPr>
        <w:tc>
          <w:tcPr>
            <w:tcW w:w="7540" w:type="dxa"/>
            <w:vAlign w:val="bottom"/>
            <w:tcBorders>
              <w:bottom w:val="single" w:sz="8" w:color="BF373A"/>
            </w:tcBorders>
          </w:tcPr>
          <w:p>
            <w:pPr>
              <w:ind w:left="20"/>
              <w:spacing w:after="0"/>
              <w:rPr>
                <w:sz w:val="20"/>
                <w:szCs w:val="20"/>
                <w:color w:val="auto"/>
              </w:rPr>
            </w:pPr>
            <w:r>
              <w:rPr>
                <w:rFonts w:ascii="Arial" w:cs="Arial" w:eastAsia="Arial" w:hAnsi="Arial"/>
                <w:sz w:val="20"/>
                <w:szCs w:val="20"/>
                <w:color w:val="auto"/>
              </w:rPr>
              <w:t>in CHF thousands, for the three months ended September 30</w:t>
            </w:r>
          </w:p>
        </w:tc>
        <w:tc>
          <w:tcPr>
            <w:tcW w:w="2540" w:type="dxa"/>
            <w:vAlign w:val="bottom"/>
            <w:tcBorders>
              <w:bottom w:val="single" w:sz="8" w:color="EE2724"/>
            </w:tcBorders>
          </w:tcPr>
          <w:p>
            <w:pPr>
              <w:jc w:val="right"/>
              <w:ind w:right="601"/>
              <w:spacing w:after="0"/>
              <w:rPr>
                <w:sz w:val="20"/>
                <w:szCs w:val="20"/>
                <w:color w:val="auto"/>
              </w:rPr>
            </w:pPr>
            <w:r>
              <w:rPr>
                <w:rFonts w:ascii="Arial" w:cs="Arial" w:eastAsia="Arial" w:hAnsi="Arial"/>
                <w:sz w:val="20"/>
                <w:szCs w:val="20"/>
                <w:color w:val="auto"/>
              </w:rPr>
              <w:t>2026</w:t>
            </w:r>
          </w:p>
        </w:tc>
        <w:tc>
          <w:tcPr>
            <w:tcW w:w="1160" w:type="dxa"/>
            <w:vAlign w:val="bottom"/>
            <w:tcBorders>
              <w:bottom w:val="single" w:sz="8" w:color="EE2724"/>
            </w:tcBorders>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75"/>
        </w:trPr>
        <w:tc>
          <w:tcPr>
            <w:tcW w:w="7540" w:type="dxa"/>
            <w:vAlign w:val="bottom"/>
          </w:tcPr>
          <w:p>
            <w:pPr>
              <w:ind w:left="20"/>
              <w:spacing w:after="0"/>
              <w:rPr>
                <w:sz w:val="20"/>
                <w:szCs w:val="20"/>
                <w:color w:val="auto"/>
              </w:rPr>
            </w:pPr>
            <w:r>
              <w:rPr>
                <w:rFonts w:ascii="Arial" w:cs="Arial" w:eastAsia="Arial" w:hAnsi="Arial"/>
                <w:sz w:val="20"/>
                <w:szCs w:val="20"/>
                <w:color w:val="auto"/>
              </w:rPr>
              <w:t>Interest income on financial assets held at amortized cost</w:t>
            </w:r>
          </w:p>
        </w:tc>
        <w:tc>
          <w:tcPr>
            <w:tcW w:w="2540" w:type="dxa"/>
            <w:vAlign w:val="bottom"/>
            <w:vMerge w:val="restart"/>
          </w:tcPr>
          <w:p>
            <w:pPr>
              <w:jc w:val="right"/>
              <w:ind w:right="681"/>
              <w:spacing w:after="0"/>
              <w:rPr>
                <w:sz w:val="20"/>
                <w:szCs w:val="20"/>
                <w:color w:val="auto"/>
              </w:rPr>
            </w:pPr>
            <w:r>
              <w:rPr>
                <w:rFonts w:ascii="Arial" w:cs="Arial" w:eastAsia="Arial" w:hAnsi="Arial"/>
                <w:sz w:val="20"/>
                <w:szCs w:val="20"/>
                <w:color w:val="auto"/>
              </w:rPr>
              <w:t>16</w:t>
            </w: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366</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25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40" w:type="dxa"/>
            <w:vAlign w:val="bottom"/>
          </w:tcPr>
          <w:p>
            <w:pPr>
              <w:ind w:left="20"/>
              <w:spacing w:after="0"/>
              <w:rPr>
                <w:sz w:val="20"/>
                <w:szCs w:val="20"/>
                <w:color w:val="auto"/>
              </w:rPr>
            </w:pPr>
            <w:r>
              <w:rPr>
                <w:rFonts w:ascii="Arial" w:cs="Arial" w:eastAsia="Arial" w:hAnsi="Arial"/>
                <w:sz w:val="20"/>
                <w:szCs w:val="20"/>
                <w:color w:val="auto"/>
              </w:rPr>
              <w:t>Net foreign exchange gain</w:t>
            </w:r>
          </w:p>
        </w:tc>
        <w:tc>
          <w:tcPr>
            <w:tcW w:w="2540" w:type="dxa"/>
            <w:vAlign w:val="bottom"/>
            <w:vMerge w:val="restart"/>
          </w:tcPr>
          <w:p>
            <w:pPr>
              <w:jc w:val="right"/>
              <w:ind w:right="681"/>
              <w:spacing w:after="0"/>
              <w:rPr>
                <w:sz w:val="20"/>
                <w:szCs w:val="20"/>
                <w:color w:val="auto"/>
              </w:rPr>
            </w:pPr>
            <w:r>
              <w:rPr>
                <w:rFonts w:ascii="Arial" w:cs="Arial" w:eastAsia="Arial" w:hAnsi="Arial"/>
                <w:sz w:val="20"/>
                <w:szCs w:val="20"/>
                <w:color w:val="auto"/>
              </w:rPr>
              <w:t>346</w:t>
            </w: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2540" w:type="dxa"/>
            <w:vAlign w:val="bottom"/>
            <w:vMerge w:val="continue"/>
          </w:tcPr>
          <w:p>
            <w:pPr>
              <w:spacing w:after="0"/>
              <w:rPr>
                <w:sz w:val="21"/>
                <w:szCs w:val="21"/>
                <w:color w:val="auto"/>
              </w:rPr>
            </w:pPr>
          </w:p>
        </w:tc>
        <w:tc>
          <w:tcPr>
            <w:tcW w:w="1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40" w:type="dxa"/>
            <w:vAlign w:val="bottom"/>
          </w:tcPr>
          <w:p>
            <w:pPr>
              <w:ind w:left="20"/>
              <w:spacing w:after="0"/>
              <w:rPr>
                <w:sz w:val="20"/>
                <w:szCs w:val="20"/>
                <w:color w:val="auto"/>
              </w:rPr>
            </w:pPr>
            <w:r>
              <w:rPr>
                <w:rFonts w:ascii="Arial" w:cs="Arial" w:eastAsia="Arial" w:hAnsi="Arial"/>
                <w:sz w:val="20"/>
                <w:szCs w:val="20"/>
                <w:color w:val="auto"/>
              </w:rPr>
              <w:t>Total</w:t>
            </w:r>
          </w:p>
        </w:tc>
        <w:tc>
          <w:tcPr>
            <w:tcW w:w="2540" w:type="dxa"/>
            <w:vAlign w:val="bottom"/>
            <w:vMerge w:val="restart"/>
          </w:tcPr>
          <w:p>
            <w:pPr>
              <w:jc w:val="right"/>
              <w:ind w:right="681"/>
              <w:spacing w:after="0"/>
              <w:rPr>
                <w:sz w:val="20"/>
                <w:szCs w:val="20"/>
                <w:color w:val="auto"/>
              </w:rPr>
            </w:pPr>
            <w:r>
              <w:rPr>
                <w:rFonts w:ascii="Arial" w:cs="Arial" w:eastAsia="Arial" w:hAnsi="Arial"/>
                <w:sz w:val="20"/>
                <w:szCs w:val="20"/>
                <w:color w:val="auto"/>
              </w:rPr>
              <w:t>362</w:t>
            </w: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366</w:t>
            </w:r>
          </w:p>
        </w:tc>
        <w:tc>
          <w:tcPr>
            <w:tcW w:w="0" w:type="dxa"/>
            <w:vAlign w:val="bottom"/>
          </w:tcPr>
          <w:p>
            <w:pPr>
              <w:spacing w:after="0"/>
              <w:rPr>
                <w:sz w:val="1"/>
                <w:szCs w:val="1"/>
                <w:color w:val="auto"/>
              </w:rPr>
            </w:pPr>
          </w:p>
        </w:tc>
      </w:tr>
      <w:tr>
        <w:trPr>
          <w:trHeight w:val="245"/>
        </w:trPr>
        <w:tc>
          <w:tcPr>
            <w:tcW w:w="7540" w:type="dxa"/>
            <w:vAlign w:val="bottom"/>
            <w:tcBorders>
              <w:bottom w:val="single" w:sz="8" w:color="BB3739"/>
            </w:tcBorders>
          </w:tcPr>
          <w:p>
            <w:pPr>
              <w:spacing w:after="0"/>
              <w:rPr>
                <w:sz w:val="21"/>
                <w:szCs w:val="21"/>
                <w:color w:val="auto"/>
              </w:rPr>
            </w:pPr>
          </w:p>
        </w:tc>
        <w:tc>
          <w:tcPr>
            <w:tcW w:w="2540" w:type="dxa"/>
            <w:vAlign w:val="bottom"/>
            <w:tcBorders>
              <w:bottom w:val="single" w:sz="8" w:color="EE2724"/>
            </w:tcBorders>
            <w:vMerge w:val="continue"/>
          </w:tcPr>
          <w:p>
            <w:pPr>
              <w:spacing w:after="0"/>
              <w:rPr>
                <w:sz w:val="21"/>
                <w:szCs w:val="21"/>
                <w:color w:val="auto"/>
              </w:rPr>
            </w:pPr>
          </w:p>
        </w:tc>
        <w:tc>
          <w:tcPr>
            <w:tcW w:w="1160" w:type="dxa"/>
            <w:vAlign w:val="bottom"/>
            <w:tcBorders>
              <w:bottom w:val="single" w:sz="8" w:color="EE2724"/>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expense for three months</w:t>
      </w:r>
    </w:p>
    <w:p>
      <w:pPr>
        <w:sectPr>
          <w:pgSz w:w="11900" w:h="16838" w:orient="portrait"/>
          <w:cols w:equalWidth="0" w:num="1">
            <w:col w:w="11240"/>
          </w:cols>
          <w:pgMar w:left="320" w:top="172"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63"/>
        </w:trPr>
        <w:tc>
          <w:tcPr>
            <w:tcW w:w="7540" w:type="dxa"/>
            <w:vAlign w:val="bottom"/>
            <w:tcBorders>
              <w:bottom w:val="single" w:sz="8" w:color="EE2724"/>
            </w:tcBorders>
          </w:tcPr>
          <w:p>
            <w:pPr>
              <w:ind w:left="20"/>
              <w:spacing w:after="0"/>
              <w:rPr>
                <w:sz w:val="20"/>
                <w:szCs w:val="20"/>
                <w:color w:val="auto"/>
              </w:rPr>
            </w:pPr>
            <w:r>
              <w:rPr>
                <w:rFonts w:ascii="Arial" w:cs="Arial" w:eastAsia="Arial" w:hAnsi="Arial"/>
                <w:sz w:val="20"/>
                <w:szCs w:val="20"/>
                <w:color w:val="auto"/>
              </w:rPr>
              <w:t>in CHF thousands, for the three months ended September 30</w:t>
            </w:r>
          </w:p>
        </w:tc>
        <w:tc>
          <w:tcPr>
            <w:tcW w:w="2520" w:type="dxa"/>
            <w:vAlign w:val="bottom"/>
            <w:tcBorders>
              <w:bottom w:val="single" w:sz="8" w:color="EE2724"/>
            </w:tcBorders>
          </w:tcPr>
          <w:p>
            <w:pPr>
              <w:jc w:val="right"/>
              <w:ind w:right="581"/>
              <w:spacing w:after="0"/>
              <w:rPr>
                <w:sz w:val="20"/>
                <w:szCs w:val="20"/>
                <w:color w:val="auto"/>
              </w:rPr>
            </w:pPr>
            <w:r>
              <w:rPr>
                <w:rFonts w:ascii="Arial" w:cs="Arial" w:eastAsia="Arial" w:hAnsi="Arial"/>
                <w:sz w:val="20"/>
                <w:szCs w:val="20"/>
                <w:color w:val="auto"/>
              </w:rPr>
              <w:t>2026</w:t>
            </w:r>
          </w:p>
        </w:tc>
        <w:tc>
          <w:tcPr>
            <w:tcW w:w="1180" w:type="dxa"/>
            <w:vAlign w:val="bottom"/>
            <w:tcBorders>
              <w:bottom w:val="single" w:sz="8" w:color="EE2724"/>
            </w:tcBorders>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75"/>
        </w:trPr>
        <w:tc>
          <w:tcPr>
            <w:tcW w:w="7540" w:type="dxa"/>
            <w:vAlign w:val="bottom"/>
          </w:tcPr>
          <w:p>
            <w:pPr>
              <w:ind w:left="20"/>
              <w:spacing w:after="0"/>
              <w:rPr>
                <w:sz w:val="20"/>
                <w:szCs w:val="20"/>
                <w:color w:val="auto"/>
              </w:rPr>
            </w:pPr>
            <w:r>
              <w:rPr>
                <w:rFonts w:ascii="Arial" w:cs="Arial" w:eastAsia="Arial" w:hAnsi="Arial"/>
                <w:sz w:val="20"/>
                <w:szCs w:val="20"/>
                <w:color w:val="auto"/>
              </w:rPr>
              <w:t>Net foreign exchange loss</w:t>
            </w:r>
          </w:p>
        </w:tc>
        <w:tc>
          <w:tcPr>
            <w:tcW w:w="2520" w:type="dxa"/>
            <w:vAlign w:val="bottom"/>
            <w:vMerge w:val="restart"/>
          </w:tcPr>
          <w:p>
            <w:pPr>
              <w:jc w:val="right"/>
              <w:ind w:right="661"/>
              <w:spacing w:after="0"/>
              <w:rPr>
                <w:sz w:val="20"/>
                <w:szCs w:val="20"/>
                <w:color w:val="auto"/>
              </w:rPr>
            </w:pPr>
            <w:r>
              <w:rPr>
                <w:rFonts w:ascii="Arial" w:cs="Arial" w:eastAsia="Arial" w:hAnsi="Arial"/>
                <w:sz w:val="20"/>
                <w:szCs w:val="20"/>
                <w:color w:val="auto"/>
              </w:rPr>
              <w:t>—</w:t>
            </w: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(151)</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25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40" w:type="dxa"/>
            <w:vAlign w:val="bottom"/>
          </w:tcPr>
          <w:p>
            <w:pPr>
              <w:ind w:left="20"/>
              <w:spacing w:after="0"/>
              <w:rPr>
                <w:sz w:val="20"/>
                <w:szCs w:val="20"/>
                <w:color w:val="auto"/>
              </w:rPr>
            </w:pPr>
            <w:r>
              <w:rPr>
                <w:rFonts w:ascii="Arial" w:cs="Arial" w:eastAsia="Arial" w:hAnsi="Arial"/>
                <w:sz w:val="20"/>
                <w:szCs w:val="20"/>
                <w:color w:val="auto"/>
              </w:rPr>
              <w:t>Interest expense on leases</w:t>
            </w:r>
          </w:p>
        </w:tc>
        <w:tc>
          <w:tcPr>
            <w:tcW w:w="2520" w:type="dxa"/>
            <w:vAlign w:val="bottom"/>
            <w:vMerge w:val="restart"/>
          </w:tcPr>
          <w:p>
            <w:pPr>
              <w:jc w:val="right"/>
              <w:ind w:right="601"/>
              <w:spacing w:after="0"/>
              <w:rPr>
                <w:sz w:val="20"/>
                <w:szCs w:val="20"/>
                <w:color w:val="auto"/>
              </w:rPr>
            </w:pPr>
            <w:r>
              <w:rPr>
                <w:rFonts w:ascii="Arial" w:cs="Arial" w:eastAsia="Arial" w:hAnsi="Arial"/>
                <w:sz w:val="20"/>
                <w:szCs w:val="20"/>
                <w:color w:val="auto"/>
              </w:rPr>
              <w:t>(5)</w:t>
            </w: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25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40" w:type="dxa"/>
            <w:vAlign w:val="bottom"/>
          </w:tcPr>
          <w:p>
            <w:pPr>
              <w:ind w:left="20"/>
              <w:spacing w:after="0"/>
              <w:rPr>
                <w:sz w:val="20"/>
                <w:szCs w:val="20"/>
                <w:color w:val="auto"/>
              </w:rPr>
            </w:pPr>
            <w:r>
              <w:rPr>
                <w:rFonts w:ascii="Arial" w:cs="Arial" w:eastAsia="Arial" w:hAnsi="Arial"/>
                <w:sz w:val="20"/>
                <w:szCs w:val="20"/>
                <w:color w:val="auto"/>
              </w:rPr>
              <w:t>Other financial expenses</w:t>
            </w:r>
          </w:p>
        </w:tc>
        <w:tc>
          <w:tcPr>
            <w:tcW w:w="2520" w:type="dxa"/>
            <w:vAlign w:val="bottom"/>
            <w:vMerge w:val="restart"/>
          </w:tcPr>
          <w:p>
            <w:pPr>
              <w:jc w:val="right"/>
              <w:ind w:right="601"/>
              <w:spacing w:after="0"/>
              <w:rPr>
                <w:sz w:val="20"/>
                <w:szCs w:val="20"/>
                <w:color w:val="auto"/>
              </w:rPr>
            </w:pPr>
            <w:r>
              <w:rPr>
                <w:rFonts w:ascii="Arial" w:cs="Arial" w:eastAsia="Arial" w:hAnsi="Arial"/>
                <w:sz w:val="20"/>
                <w:szCs w:val="20"/>
                <w:color w:val="auto"/>
              </w:rPr>
              <w:t>(4)</w:t>
            </w: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(4)</w:t>
            </w:r>
          </w:p>
        </w:tc>
        <w:tc>
          <w:tcPr>
            <w:tcW w:w="0" w:type="dxa"/>
            <w:vAlign w:val="bottom"/>
          </w:tcPr>
          <w:p>
            <w:pPr>
              <w:spacing w:after="0"/>
              <w:rPr>
                <w:sz w:val="1"/>
                <w:szCs w:val="1"/>
                <w:color w:val="auto"/>
              </w:rPr>
            </w:pPr>
          </w:p>
        </w:tc>
      </w:tr>
      <w:tr>
        <w:trPr>
          <w:trHeight w:val="243"/>
        </w:trPr>
        <w:tc>
          <w:tcPr>
            <w:tcW w:w="7540" w:type="dxa"/>
            <w:vAlign w:val="bottom"/>
          </w:tcPr>
          <w:p>
            <w:pPr>
              <w:spacing w:after="0"/>
              <w:rPr>
                <w:sz w:val="21"/>
                <w:szCs w:val="21"/>
                <w:color w:val="auto"/>
              </w:rPr>
            </w:pPr>
          </w:p>
        </w:tc>
        <w:tc>
          <w:tcPr>
            <w:tcW w:w="2520" w:type="dxa"/>
            <w:vAlign w:val="bottom"/>
            <w:vMerge w:val="continue"/>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7540" w:type="dxa"/>
            <w:vAlign w:val="bottom"/>
          </w:tcPr>
          <w:p>
            <w:pPr>
              <w:ind w:left="20"/>
              <w:spacing w:after="0"/>
              <w:rPr>
                <w:sz w:val="20"/>
                <w:szCs w:val="20"/>
                <w:color w:val="auto"/>
              </w:rPr>
            </w:pPr>
            <w:r>
              <w:rPr>
                <w:rFonts w:ascii="Arial" w:cs="Arial" w:eastAsia="Arial" w:hAnsi="Arial"/>
                <w:sz w:val="20"/>
                <w:szCs w:val="20"/>
                <w:color w:val="auto"/>
              </w:rPr>
              <w:t>Total</w:t>
            </w:r>
          </w:p>
        </w:tc>
        <w:tc>
          <w:tcPr>
            <w:tcW w:w="2520" w:type="dxa"/>
            <w:vAlign w:val="bottom"/>
            <w:vMerge w:val="restart"/>
          </w:tcPr>
          <w:p>
            <w:pPr>
              <w:jc w:val="right"/>
              <w:ind w:right="601"/>
              <w:spacing w:after="0"/>
              <w:rPr>
                <w:sz w:val="20"/>
                <w:szCs w:val="20"/>
                <w:color w:val="auto"/>
              </w:rPr>
            </w:pPr>
            <w:r>
              <w:rPr>
                <w:rFonts w:ascii="Arial" w:cs="Arial" w:eastAsia="Arial" w:hAnsi="Arial"/>
                <w:sz w:val="20"/>
                <w:szCs w:val="20"/>
                <w:color w:val="auto"/>
              </w:rPr>
              <w:t>(9)</w:t>
            </w:r>
          </w:p>
        </w:tc>
        <w:tc>
          <w:tcPr>
            <w:tcW w:w="1180" w:type="dxa"/>
            <w:vAlign w:val="bottom"/>
            <w:vMerge w:val="restart"/>
          </w:tcPr>
          <w:p>
            <w:pPr>
              <w:jc w:val="right"/>
              <w:spacing w:after="0"/>
              <w:rPr>
                <w:sz w:val="20"/>
                <w:szCs w:val="20"/>
                <w:color w:val="auto"/>
              </w:rPr>
            </w:pPr>
            <w:r>
              <w:rPr>
                <w:rFonts w:ascii="Arial" w:cs="Arial" w:eastAsia="Arial" w:hAnsi="Arial"/>
                <w:sz w:val="20"/>
                <w:szCs w:val="20"/>
                <w:color w:val="auto"/>
              </w:rPr>
              <w:t>(158)</w:t>
            </w:r>
          </w:p>
        </w:tc>
        <w:tc>
          <w:tcPr>
            <w:tcW w:w="0" w:type="dxa"/>
            <w:vAlign w:val="bottom"/>
          </w:tcPr>
          <w:p>
            <w:pPr>
              <w:spacing w:after="0"/>
              <w:rPr>
                <w:sz w:val="1"/>
                <w:szCs w:val="1"/>
                <w:color w:val="auto"/>
              </w:rPr>
            </w:pPr>
          </w:p>
        </w:tc>
      </w:tr>
      <w:tr>
        <w:trPr>
          <w:trHeight w:val="245"/>
        </w:trPr>
        <w:tc>
          <w:tcPr>
            <w:tcW w:w="7540" w:type="dxa"/>
            <w:vAlign w:val="bottom"/>
            <w:tcBorders>
              <w:bottom w:val="single" w:sz="8" w:color="BF2115"/>
            </w:tcBorders>
          </w:tcPr>
          <w:p>
            <w:pPr>
              <w:spacing w:after="0"/>
              <w:rPr>
                <w:sz w:val="21"/>
                <w:szCs w:val="21"/>
                <w:color w:val="auto"/>
              </w:rPr>
            </w:pPr>
          </w:p>
        </w:tc>
        <w:tc>
          <w:tcPr>
            <w:tcW w:w="2520" w:type="dxa"/>
            <w:vAlign w:val="bottom"/>
            <w:tcBorders>
              <w:bottom w:val="single" w:sz="8" w:color="EE2724"/>
            </w:tcBorders>
            <w:vMerge w:val="continue"/>
          </w:tcPr>
          <w:p>
            <w:pPr>
              <w:spacing w:after="0"/>
              <w:rPr>
                <w:sz w:val="21"/>
                <w:szCs w:val="21"/>
                <w:color w:val="auto"/>
              </w:rPr>
            </w:pPr>
          </w:p>
        </w:tc>
        <w:tc>
          <w:tcPr>
            <w:tcW w:w="1180" w:type="dxa"/>
            <w:vAlign w:val="bottom"/>
            <w:tcBorders>
              <w:bottom w:val="single" w:sz="8" w:color="EE2724"/>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Exchange results primarily represent unrealized foreign exchange results on the cash and short-term time deposit balances held in USD.</w:t>
      </w:r>
    </w:p>
    <w:p>
      <w:pPr>
        <w:sectPr>
          <w:pgSz w:w="11900" w:h="16838" w:orient="portrait"/>
          <w:cols w:equalWidth="0" w:num="1">
            <w:col w:w="11240"/>
          </w:cols>
          <w:pgMar w:left="320" w:top="1198" w:right="339" w:bottom="1440" w:gutter="0" w:footer="0" w:header="0"/>
        </w:sectPr>
      </w:pPr>
    </w:p>
    <w:bookmarkStart w:id="19" w:name="page20"/>
    <w:bookmarkEnd w:id="19"/>
    <w:p>
      <w:pPr>
        <w:spacing w:after="0"/>
        <w:tabs>
          <w:tab w:leader="none" w:pos="4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9"/>
          <w:szCs w:val="19"/>
          <w:color w:val="auto"/>
        </w:rPr>
        <w:t>Income taxes</w:t>
      </w:r>
    </w:p>
    <w:p>
      <w:pPr>
        <w:spacing w:after="0" w:line="229" w:lineRule="exact"/>
        <w:rPr>
          <w:sz w:val="20"/>
          <w:szCs w:val="20"/>
          <w:color w:val="auto"/>
        </w:rPr>
      </w:pPr>
    </w:p>
    <w:p>
      <w:pPr>
        <w:ind w:right="300"/>
        <w:spacing w:after="0" w:line="254" w:lineRule="auto"/>
        <w:rPr>
          <w:sz w:val="20"/>
          <w:szCs w:val="20"/>
          <w:color w:val="auto"/>
        </w:rPr>
      </w:pPr>
      <w:r>
        <w:rPr>
          <w:rFonts w:ascii="Arial" w:cs="Arial" w:eastAsia="Arial" w:hAnsi="Arial"/>
          <w:sz w:val="20"/>
          <w:szCs w:val="20"/>
          <w:color w:val="auto"/>
        </w:rPr>
        <w:t>The Group has in recent years reported operating losses, with the exception of the year ended December 31, 2022, that resulted in a tax loss carry-forward in Switzerland of TCHF 252,980 as of December 31, 2025. No deferred tax assets have been recognized for these tax loss carry forwards, because it is not probable that such loss carry forwards can be utilized in the foreseeable future. In addition, no deferred tax positions were recognized on other deductible temporary differences (e.g., pension liabilities under IAS 19) due to the significant tax loss carry forwards.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460" w:type="dxa"/>
            <w:vAlign w:val="bottom"/>
          </w:tcPr>
          <w:p>
            <w:pPr>
              <w:spacing w:after="0"/>
              <w:rPr>
                <w:sz w:val="20"/>
                <w:szCs w:val="20"/>
                <w:color w:val="auto"/>
              </w:rPr>
            </w:pPr>
            <w:r>
              <w:rPr>
                <w:rFonts w:ascii="Arial" w:cs="Arial" w:eastAsia="Arial" w:hAnsi="Arial"/>
                <w:sz w:val="20"/>
                <w:szCs w:val="20"/>
                <w:color w:val="auto"/>
              </w:rPr>
              <w:t>5.7 Earnings per share</w:t>
            </w:r>
          </w:p>
        </w:tc>
        <w:tc>
          <w:tcPr>
            <w:tcW w:w="2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7460" w:type="dxa"/>
            <w:vAlign w:val="bottom"/>
            <w:vMerge w:val="restart"/>
          </w:tcPr>
          <w:p>
            <w:pPr>
              <w:ind w:left="20"/>
              <w:spacing w:after="0"/>
              <w:rPr>
                <w:sz w:val="20"/>
                <w:szCs w:val="20"/>
                <w:color w:val="auto"/>
              </w:rPr>
            </w:pPr>
            <w:r>
              <w:rPr>
                <w:rFonts w:ascii="Arial" w:cs="Arial" w:eastAsia="Arial" w:hAnsi="Arial"/>
                <w:sz w:val="20"/>
                <w:szCs w:val="20"/>
                <w:color w:val="auto"/>
              </w:rPr>
              <w:t>for the nine months ended September 30</w:t>
            </w:r>
          </w:p>
        </w:tc>
        <w:tc>
          <w:tcPr>
            <w:tcW w:w="2300" w:type="dxa"/>
            <w:vAlign w:val="bottom"/>
          </w:tcPr>
          <w:p>
            <w:pPr>
              <w:jc w:val="right"/>
              <w:ind w:right="321"/>
              <w:spacing w:after="0"/>
              <w:rPr>
                <w:sz w:val="20"/>
                <w:szCs w:val="20"/>
                <w:color w:val="auto"/>
              </w:rPr>
            </w:pPr>
            <w:r>
              <w:rPr>
                <w:rFonts w:ascii="Arial" w:cs="Arial" w:eastAsia="Arial" w:hAnsi="Arial"/>
                <w:sz w:val="20"/>
                <w:szCs w:val="20"/>
                <w:color w:val="auto"/>
              </w:rPr>
              <w:t>2026</w:t>
            </w:r>
          </w:p>
        </w:tc>
        <w:tc>
          <w:tcPr>
            <w:tcW w:w="1480" w:type="dxa"/>
            <w:vAlign w:val="bottom"/>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45"/>
        </w:trPr>
        <w:tc>
          <w:tcPr>
            <w:tcW w:w="7460" w:type="dxa"/>
            <w:vAlign w:val="bottom"/>
            <w:tcBorders>
              <w:bottom w:val="single" w:sz="8" w:color="EE2724"/>
            </w:tcBorders>
            <w:vMerge w:val="continue"/>
          </w:tcPr>
          <w:p>
            <w:pPr>
              <w:spacing w:after="0"/>
              <w:rPr>
                <w:sz w:val="21"/>
                <w:szCs w:val="21"/>
                <w:color w:val="auto"/>
              </w:rPr>
            </w:pPr>
          </w:p>
        </w:tc>
        <w:tc>
          <w:tcPr>
            <w:tcW w:w="2300" w:type="dxa"/>
            <w:vAlign w:val="bottom"/>
            <w:tcBorders>
              <w:bottom w:val="single" w:sz="8" w:color="BF373A"/>
            </w:tcBorders>
          </w:tcPr>
          <w:p>
            <w:pPr>
              <w:spacing w:after="0"/>
              <w:rPr>
                <w:sz w:val="21"/>
                <w:szCs w:val="21"/>
                <w:color w:val="auto"/>
              </w:rPr>
            </w:pPr>
          </w:p>
        </w:tc>
        <w:tc>
          <w:tcPr>
            <w:tcW w:w="1480" w:type="dxa"/>
            <w:vAlign w:val="bottom"/>
            <w:tcBorders>
              <w:bottom w:val="single" w:sz="8" w:color="BF373A"/>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20"/>
              <w:spacing w:after="0" w:line="203" w:lineRule="exact"/>
              <w:rPr>
                <w:sz w:val="20"/>
                <w:szCs w:val="20"/>
                <w:color w:val="auto"/>
              </w:rPr>
            </w:pPr>
            <w:r>
              <w:rPr>
                <w:rFonts w:ascii="Arial" w:cs="Arial" w:eastAsia="Arial" w:hAnsi="Arial"/>
                <w:sz w:val="20"/>
                <w:szCs w:val="20"/>
                <w:color w:val="auto"/>
              </w:rPr>
              <w:t>Weighted average number of shares used in computing basic and diluted earnings</w:t>
            </w:r>
          </w:p>
        </w:tc>
        <w:tc>
          <w:tcPr>
            <w:tcW w:w="2300" w:type="dxa"/>
            <w:vAlign w:val="bottom"/>
            <w:vMerge w:val="restart"/>
          </w:tcPr>
          <w:p>
            <w:pPr>
              <w:jc w:val="right"/>
              <w:ind w:right="401"/>
              <w:spacing w:after="0"/>
              <w:rPr>
                <w:sz w:val="20"/>
                <w:szCs w:val="20"/>
                <w:color w:val="auto"/>
              </w:rPr>
            </w:pPr>
            <w:r>
              <w:rPr>
                <w:rFonts w:ascii="Arial" w:cs="Arial" w:eastAsia="Arial" w:hAnsi="Arial"/>
                <w:sz w:val="20"/>
                <w:szCs w:val="20"/>
                <w:color w:val="auto"/>
              </w:rPr>
              <w:t>38,047,613</w:t>
            </w:r>
          </w:p>
        </w:tc>
        <w:tc>
          <w:tcPr>
            <w:tcW w:w="1480" w:type="dxa"/>
            <w:vAlign w:val="bottom"/>
            <w:vMerge w:val="restart"/>
          </w:tcPr>
          <w:p>
            <w:pPr>
              <w:jc w:val="right"/>
              <w:spacing w:after="0"/>
              <w:rPr>
                <w:sz w:val="20"/>
                <w:szCs w:val="20"/>
                <w:color w:val="auto"/>
              </w:rPr>
            </w:pPr>
            <w:r>
              <w:rPr>
                <w:rFonts w:ascii="Arial" w:cs="Arial" w:eastAsia="Arial" w:hAnsi="Arial"/>
                <w:sz w:val="20"/>
                <w:szCs w:val="20"/>
                <w:color w:val="auto"/>
              </w:rPr>
              <w:t>37,223,971</w:t>
            </w:r>
          </w:p>
        </w:tc>
        <w:tc>
          <w:tcPr>
            <w:tcW w:w="0" w:type="dxa"/>
            <w:vAlign w:val="bottom"/>
          </w:tcPr>
          <w:p>
            <w:pPr>
              <w:spacing w:after="0"/>
              <w:rPr>
                <w:sz w:val="1"/>
                <w:szCs w:val="1"/>
                <w:color w:val="auto"/>
              </w:rPr>
            </w:pPr>
          </w:p>
        </w:tc>
      </w:tr>
      <w:tr>
        <w:trPr>
          <w:trHeight w:val="261"/>
        </w:trPr>
        <w:tc>
          <w:tcPr>
            <w:tcW w:w="7460" w:type="dxa"/>
            <w:vAlign w:val="bottom"/>
          </w:tcPr>
          <w:p>
            <w:pPr>
              <w:ind w:left="20"/>
              <w:spacing w:after="0"/>
              <w:rPr>
                <w:sz w:val="20"/>
                <w:szCs w:val="20"/>
                <w:color w:val="auto"/>
              </w:rPr>
            </w:pPr>
            <w:r>
              <w:rPr>
                <w:rFonts w:ascii="Arial" w:cs="Arial" w:eastAsia="Arial" w:hAnsi="Arial"/>
                <w:sz w:val="20"/>
                <w:szCs w:val="20"/>
                <w:color w:val="auto"/>
              </w:rPr>
              <w:t>per share</w:t>
            </w:r>
          </w:p>
        </w:tc>
        <w:tc>
          <w:tcPr>
            <w:tcW w:w="23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460" w:type="dxa"/>
            <w:vAlign w:val="bottom"/>
            <w:vMerge w:val="restart"/>
          </w:tcPr>
          <w:p>
            <w:pPr>
              <w:ind w:left="20"/>
              <w:spacing w:after="0"/>
              <w:rPr>
                <w:sz w:val="20"/>
                <w:szCs w:val="20"/>
                <w:color w:val="auto"/>
              </w:rPr>
            </w:pPr>
            <w:r>
              <w:rPr>
                <w:rFonts w:ascii="Arial" w:cs="Arial" w:eastAsia="Arial" w:hAnsi="Arial"/>
                <w:sz w:val="20"/>
                <w:szCs w:val="20"/>
                <w:color w:val="auto"/>
              </w:rPr>
              <w:t>for the three months ended September 30</w:t>
            </w:r>
          </w:p>
        </w:tc>
        <w:tc>
          <w:tcPr>
            <w:tcW w:w="2300" w:type="dxa"/>
            <w:vAlign w:val="bottom"/>
          </w:tcPr>
          <w:p>
            <w:pPr>
              <w:jc w:val="right"/>
              <w:ind w:right="321"/>
              <w:spacing w:after="0"/>
              <w:rPr>
                <w:sz w:val="20"/>
                <w:szCs w:val="20"/>
                <w:color w:val="auto"/>
              </w:rPr>
            </w:pPr>
            <w:r>
              <w:rPr>
                <w:rFonts w:ascii="Arial" w:cs="Arial" w:eastAsia="Arial" w:hAnsi="Arial"/>
                <w:sz w:val="20"/>
                <w:szCs w:val="20"/>
                <w:color w:val="auto"/>
              </w:rPr>
              <w:t>2026</w:t>
            </w:r>
          </w:p>
        </w:tc>
        <w:tc>
          <w:tcPr>
            <w:tcW w:w="1480" w:type="dxa"/>
            <w:vAlign w:val="bottom"/>
          </w:tcPr>
          <w:p>
            <w:pPr>
              <w:jc w:val="right"/>
              <w:spacing w:after="0"/>
              <w:rPr>
                <w:sz w:val="20"/>
                <w:szCs w:val="20"/>
                <w:color w:val="auto"/>
              </w:rPr>
            </w:pPr>
            <w:r>
              <w:rPr>
                <w:rFonts w:ascii="Arial" w:cs="Arial" w:eastAsia="Arial" w:hAnsi="Arial"/>
                <w:sz w:val="20"/>
                <w:szCs w:val="20"/>
                <w:color w:val="auto"/>
              </w:rPr>
              <w:t>2025</w:t>
            </w:r>
          </w:p>
        </w:tc>
        <w:tc>
          <w:tcPr>
            <w:tcW w:w="0" w:type="dxa"/>
            <w:vAlign w:val="bottom"/>
          </w:tcPr>
          <w:p>
            <w:pPr>
              <w:spacing w:after="0"/>
              <w:rPr>
                <w:sz w:val="1"/>
                <w:szCs w:val="1"/>
                <w:color w:val="auto"/>
              </w:rPr>
            </w:pPr>
          </w:p>
        </w:tc>
      </w:tr>
      <w:tr>
        <w:trPr>
          <w:trHeight w:val="245"/>
        </w:trPr>
        <w:tc>
          <w:tcPr>
            <w:tcW w:w="7460" w:type="dxa"/>
            <w:vAlign w:val="bottom"/>
            <w:tcBorders>
              <w:bottom w:val="single" w:sz="8" w:color="EE2724"/>
            </w:tcBorders>
            <w:vMerge w:val="continue"/>
          </w:tcPr>
          <w:p>
            <w:pPr>
              <w:spacing w:after="0"/>
              <w:rPr>
                <w:sz w:val="21"/>
                <w:szCs w:val="21"/>
                <w:color w:val="auto"/>
              </w:rPr>
            </w:pPr>
          </w:p>
        </w:tc>
        <w:tc>
          <w:tcPr>
            <w:tcW w:w="2300" w:type="dxa"/>
            <w:vAlign w:val="bottom"/>
            <w:tcBorders>
              <w:bottom w:val="single" w:sz="8" w:color="BF373A"/>
            </w:tcBorders>
          </w:tcPr>
          <w:p>
            <w:pPr>
              <w:spacing w:after="0"/>
              <w:rPr>
                <w:sz w:val="21"/>
                <w:szCs w:val="21"/>
                <w:color w:val="auto"/>
              </w:rPr>
            </w:pPr>
          </w:p>
        </w:tc>
        <w:tc>
          <w:tcPr>
            <w:tcW w:w="1480" w:type="dxa"/>
            <w:vAlign w:val="bottom"/>
            <w:tcBorders>
              <w:bottom w:val="single" w:sz="8" w:color="BF373A"/>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7460" w:type="dxa"/>
            <w:vAlign w:val="bottom"/>
          </w:tcPr>
          <w:p>
            <w:pPr>
              <w:ind w:left="20"/>
              <w:spacing w:after="0" w:line="198" w:lineRule="exact"/>
              <w:rPr>
                <w:sz w:val="20"/>
                <w:szCs w:val="20"/>
                <w:color w:val="auto"/>
              </w:rPr>
            </w:pPr>
            <w:r>
              <w:rPr>
                <w:rFonts w:ascii="Arial" w:cs="Arial" w:eastAsia="Arial" w:hAnsi="Arial"/>
                <w:sz w:val="20"/>
                <w:szCs w:val="20"/>
                <w:color w:val="auto"/>
              </w:rPr>
              <w:t>Weighted average number of shares used in computing basic and diluted earnings</w:t>
            </w:r>
          </w:p>
        </w:tc>
        <w:tc>
          <w:tcPr>
            <w:tcW w:w="2300" w:type="dxa"/>
            <w:vAlign w:val="bottom"/>
            <w:vMerge w:val="restart"/>
          </w:tcPr>
          <w:p>
            <w:pPr>
              <w:jc w:val="right"/>
              <w:ind w:right="401"/>
              <w:spacing w:after="0"/>
              <w:rPr>
                <w:sz w:val="20"/>
                <w:szCs w:val="20"/>
                <w:color w:val="auto"/>
              </w:rPr>
            </w:pPr>
            <w:r>
              <w:rPr>
                <w:rFonts w:ascii="Arial" w:cs="Arial" w:eastAsia="Arial" w:hAnsi="Arial"/>
                <w:sz w:val="20"/>
                <w:szCs w:val="20"/>
                <w:color w:val="auto"/>
              </w:rPr>
              <w:t>38,326,000</w:t>
            </w:r>
          </w:p>
        </w:tc>
        <w:tc>
          <w:tcPr>
            <w:tcW w:w="1480" w:type="dxa"/>
            <w:vAlign w:val="bottom"/>
            <w:vMerge w:val="restart"/>
          </w:tcPr>
          <w:p>
            <w:pPr>
              <w:jc w:val="right"/>
              <w:spacing w:after="0"/>
              <w:rPr>
                <w:sz w:val="20"/>
                <w:szCs w:val="20"/>
                <w:color w:val="auto"/>
              </w:rPr>
            </w:pPr>
            <w:r>
              <w:rPr>
                <w:rFonts w:ascii="Arial" w:cs="Arial" w:eastAsia="Arial" w:hAnsi="Arial"/>
                <w:sz w:val="20"/>
                <w:szCs w:val="20"/>
                <w:color w:val="auto"/>
              </w:rPr>
              <w:t>37,399,154</w:t>
            </w:r>
          </w:p>
        </w:tc>
        <w:tc>
          <w:tcPr>
            <w:tcW w:w="0" w:type="dxa"/>
            <w:vAlign w:val="bottom"/>
          </w:tcPr>
          <w:p>
            <w:pPr>
              <w:spacing w:after="0"/>
              <w:rPr>
                <w:sz w:val="1"/>
                <w:szCs w:val="1"/>
                <w:color w:val="auto"/>
              </w:rPr>
            </w:pPr>
          </w:p>
        </w:tc>
      </w:tr>
      <w:tr>
        <w:trPr>
          <w:trHeight w:val="261"/>
        </w:trPr>
        <w:tc>
          <w:tcPr>
            <w:tcW w:w="7460" w:type="dxa"/>
            <w:vAlign w:val="bottom"/>
          </w:tcPr>
          <w:p>
            <w:pPr>
              <w:ind w:left="20"/>
              <w:spacing w:after="0"/>
              <w:rPr>
                <w:sz w:val="20"/>
                <w:szCs w:val="20"/>
                <w:color w:val="auto"/>
              </w:rPr>
            </w:pPr>
            <w:r>
              <w:rPr>
                <w:rFonts w:ascii="Arial" w:cs="Arial" w:eastAsia="Arial" w:hAnsi="Arial"/>
                <w:sz w:val="20"/>
                <w:szCs w:val="20"/>
                <w:color w:val="auto"/>
              </w:rPr>
              <w:t>per share</w:t>
            </w:r>
          </w:p>
        </w:tc>
        <w:tc>
          <w:tcPr>
            <w:tcW w:w="2300" w:type="dxa"/>
            <w:vAlign w:val="bottom"/>
            <w:vMerge w:val="continue"/>
          </w:tcPr>
          <w:p>
            <w:pPr>
              <w:spacing w:after="0"/>
              <w:rPr>
                <w:sz w:val="22"/>
                <w:szCs w:val="22"/>
                <w:color w:val="auto"/>
              </w:rPr>
            </w:pPr>
          </w:p>
        </w:tc>
        <w:tc>
          <w:tcPr>
            <w:tcW w:w="14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5.8</w:t>
      </w:r>
      <w:r>
        <w:rPr>
          <w:sz w:val="20"/>
          <w:szCs w:val="20"/>
          <w:color w:val="auto"/>
        </w:rPr>
        <w:tab/>
      </w:r>
      <w:r>
        <w:rPr>
          <w:rFonts w:ascii="Arial" w:cs="Arial" w:eastAsia="Arial" w:hAnsi="Arial"/>
          <w:sz w:val="19"/>
          <w:szCs w:val="19"/>
          <w:color w:val="auto"/>
        </w:rPr>
        <w:t>Other Comprehensive result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20"/>
          <w:szCs w:val="20"/>
          <w:color w:val="auto"/>
        </w:rPr>
        <w:t>In order to recognize remeasurements of the net defined benefit obligation in the period in which they arise, the Group utilizes its independent actuaries to update the calculation of the defined benefit obligation and plan assets at each reporting date. The primary components of the remeasurement as of and for the nine month period ended September 30, 2026, relate to an increase in the value of the assets held under the defined benefit plan and changes to demographic assumptions.</w:t>
      </w:r>
    </w:p>
    <w:p>
      <w:pPr>
        <w:spacing w:after="0" w:line="168"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9"/>
          <w:szCs w:val="19"/>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Group did not enter into any related party transactions in the interim periods presented.</w:t>
      </w:r>
    </w:p>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color w:val="auto"/>
        </w:rPr>
        <w:t>5.10</w:t>
      </w:r>
      <w:r>
        <w:rPr>
          <w:sz w:val="20"/>
          <w:szCs w:val="20"/>
          <w:color w:val="auto"/>
        </w:rPr>
        <w:tab/>
      </w:r>
      <w:r>
        <w:rPr>
          <w:rFonts w:ascii="Arial" w:cs="Arial" w:eastAsia="Arial" w:hAnsi="Arial"/>
          <w:sz w:val="19"/>
          <w:szCs w:val="19"/>
          <w:color w:val="auto"/>
        </w:rPr>
        <w:t>Restructuring expense</w:t>
      </w:r>
    </w:p>
    <w:p>
      <w:pPr>
        <w:spacing w:after="0" w:line="216" w:lineRule="exact"/>
        <w:rPr>
          <w:sz w:val="20"/>
          <w:szCs w:val="20"/>
          <w:color w:val="auto"/>
        </w:rPr>
      </w:pPr>
    </w:p>
    <w:p>
      <w:pPr>
        <w:ind w:right="260"/>
        <w:spacing w:after="0" w:line="262" w:lineRule="auto"/>
        <w:rPr>
          <w:sz w:val="20"/>
          <w:szCs w:val="20"/>
          <w:color w:val="auto"/>
        </w:rPr>
      </w:pPr>
      <w:r>
        <w:rPr>
          <w:rFonts w:ascii="Arial" w:cs="Arial" w:eastAsia="Arial" w:hAnsi="Arial"/>
          <w:sz w:val="20"/>
          <w:szCs w:val="20"/>
          <w:color w:val="auto"/>
        </w:rPr>
        <w:t>For the nine months ended September 30, 2026 no restructuring expense was recognized. For the nine months ended September 30, 2025, the Group recognized TCHF 2,733 as expenses related to the restructuring initiated June 10, 2025. The restructuring charges primarily consisted of personnel related cost.</w:t>
      </w:r>
    </w:p>
    <w:p>
      <w:pPr>
        <w:spacing w:after="0" w:line="178" w:lineRule="exact"/>
        <w:rPr>
          <w:sz w:val="20"/>
          <w:szCs w:val="20"/>
          <w:color w:val="auto"/>
        </w:rPr>
      </w:pPr>
    </w:p>
    <w:p>
      <w:pPr>
        <w:spacing w:after="0"/>
        <w:tabs>
          <w:tab w:leader="none" w:pos="58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9"/>
          <w:szCs w:val="19"/>
          <w:color w:val="auto"/>
        </w:rPr>
        <w:t>Events after the balance sheet date</w:t>
      </w:r>
    </w:p>
    <w:p>
      <w:pPr>
        <w:spacing w:after="0" w:line="229"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On October 29, 2026 the Company has informed the Amt für Wirtschaft of Kanton Zürich (Office for Economic Affairs) of its intention, as part of a company restructuring, to reduce its current workforce by no more than 55 positions, representing a potential of ~44% of all positions. In accordance with Swiss employment law, a consultation process with employees has been initiated. Upon completion of the consultation process, the Company will offer affected employees support. Molecular Partners foresees the full implementation of these changes enacted by Q2 2027 and the reduction of costs to become fully effective early in H2 2027. The financial impact from the restructuring is not estimable at this time, as the Company is still assessing the specifics of affected employees.</w:t>
      </w:r>
    </w:p>
    <w:p>
      <w:pPr>
        <w:sectPr>
          <w:pgSz w:w="11900" w:h="16838" w:orient="portrait"/>
          <w:cols w:equalWidth="0" w:num="1">
            <w:col w:w="11240"/>
          </w:cols>
          <w:pgMar w:left="320" w:top="1387" w:right="339" w:bottom="1440" w:gutter="0" w:footer="0" w:header="0"/>
        </w:sectPr>
      </w:pPr>
    </w:p>
    <w:bookmarkStart w:id="20" w:name="page21"/>
    <w:bookmarkEnd w:id="20"/>
    <w:p>
      <w:pPr>
        <w:spacing w:after="0" w:line="262" w:lineRule="auto"/>
        <w:rPr>
          <w:sz w:val="20"/>
          <w:szCs w:val="20"/>
          <w:color w:val="auto"/>
        </w:rPr>
      </w:pPr>
      <w:r>
        <w:rPr>
          <w:rFonts w:ascii="Arial" w:cs="Arial" w:eastAsia="Arial" w:hAnsi="Arial"/>
          <w:sz w:val="20"/>
          <w:szCs w:val="20"/>
          <w:color w:val="auto"/>
        </w:rPr>
        <w:t>Other than the workforce reduction described above, no other events occurred between the balance sheet date and the date on which these condensed consolidated interim financial statements were approved for issuance by the Board of Directors that would require adjustment to these condensed consolidated interim financial statements or disclosure under this section.</w:t>
      </w:r>
    </w:p>
    <w:p>
      <w:pPr>
        <w:sectPr>
          <w:pgSz w:w="11900" w:h="16838" w:orient="portrait"/>
          <w:cols w:equalWidth="0" w:num="1">
            <w:col w:w="11160"/>
          </w:cols>
          <w:pgMar w:left="320" w:top="1144" w:right="419" w:bottom="1440" w:gutter="0" w:footer="0" w:header="0"/>
        </w:sectPr>
      </w:pPr>
    </w:p>
    <w:bookmarkStart w:id="21" w:name="page22"/>
    <w:bookmarkEnd w:id="21"/>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Exhibit</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99.1</w:t>
            </w:r>
          </w:p>
        </w:tc>
        <w:tc>
          <w:tcPr>
            <w:tcW w:w="9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Press release dated October 29, 2026</w:t>
            </w:r>
          </w:p>
        </w:tc>
      </w:tr>
      <w:tr>
        <w:trPr>
          <w:trHeight w:val="20"/>
        </w:trPr>
        <w:tc>
          <w:tcPr>
            <w:tcW w:w="20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79"/>
        </w:trPr>
        <w:tc>
          <w:tcPr>
            <w:tcW w:w="2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99.2</w:t>
            </w:r>
          </w:p>
        </w:tc>
        <w:tc>
          <w:tcPr>
            <w:tcW w:w="8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Condensed consolidated interim financial statements for the three and nine months ended, September 30, 2026 (including</w:t>
            </w:r>
          </w:p>
        </w:tc>
        <w:tc>
          <w:tcPr>
            <w:tcW w:w="340" w:type="dxa"/>
            <w:vAlign w:val="bottom"/>
          </w:tcPr>
          <w:p>
            <w:pPr>
              <w:spacing w:after="0"/>
              <w:rPr>
                <w:sz w:val="24"/>
                <w:szCs w:val="24"/>
                <w:color w:val="auto"/>
              </w:rPr>
            </w:pPr>
          </w:p>
        </w:tc>
      </w:tr>
      <w:tr>
        <w:trPr>
          <w:trHeight w:val="196"/>
        </w:trPr>
        <w:tc>
          <w:tcPr>
            <w:tcW w:w="2080" w:type="dxa"/>
            <w:vAlign w:val="bottom"/>
          </w:tcPr>
          <w:p>
            <w:pPr>
              <w:spacing w:after="0"/>
              <w:rPr>
                <w:sz w:val="17"/>
                <w:szCs w:val="17"/>
                <w:color w:val="auto"/>
              </w:rPr>
            </w:pPr>
          </w:p>
        </w:tc>
        <w:tc>
          <w:tcPr>
            <w:tcW w:w="91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accompanying notes thereto),(unaudited)</w:t>
            </w:r>
          </w:p>
        </w:tc>
      </w:tr>
      <w:tr>
        <w:trPr>
          <w:trHeight w:val="533"/>
        </w:trPr>
        <w:tc>
          <w:tcPr>
            <w:tcW w:w="2080" w:type="dxa"/>
            <w:vAlign w:val="bottom"/>
            <w:tcBorders>
              <w:bottom w:val="single" w:sz="8" w:color="auto"/>
            </w:tcBorders>
          </w:tcPr>
          <w:p>
            <w:pPr>
              <w:spacing w:after="0"/>
              <w:rPr>
                <w:sz w:val="24"/>
                <w:szCs w:val="24"/>
                <w:color w:val="auto"/>
              </w:rPr>
            </w:pPr>
          </w:p>
        </w:tc>
        <w:tc>
          <w:tcPr>
            <w:tcW w:w="26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bl>
    <w:p>
      <w:pPr>
        <w:sectPr>
          <w:pgSz w:w="11900" w:h="16838" w:orient="portrait"/>
          <w:cols w:equalWidth="0" w:num="1">
            <w:col w:w="11180"/>
          </w:cols>
          <w:pgMar w:left="360" w:top="1440" w:right="359" w:bottom="1440" w:gutter="0" w:footer="0" w:header="0"/>
        </w:sectPr>
      </w:pPr>
    </w:p>
    <w:bookmarkStart w:id="22" w:name="page23"/>
    <w:bookmarkEnd w:id="2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1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18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Molecular Partners AG</w:t>
            </w:r>
          </w:p>
        </w:tc>
        <w:tc>
          <w:tcPr>
            <w:tcW w:w="760" w:type="dxa"/>
            <w:vAlign w:val="bottom"/>
            <w:gridSpan w:val="2"/>
          </w:tcPr>
          <w:p>
            <w:pPr>
              <w:spacing w:after="0"/>
              <w:rPr>
                <w:sz w:val="17"/>
                <w:szCs w:val="17"/>
                <w:color w:val="auto"/>
              </w:rPr>
            </w:pPr>
          </w:p>
        </w:tc>
      </w:tr>
      <w:tr>
        <w:trPr>
          <w:trHeight w:val="520"/>
        </w:trPr>
        <w:tc>
          <w:tcPr>
            <w:tcW w:w="58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75"/>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PATRICK AMSTUTZ</w:t>
            </w:r>
          </w:p>
        </w:tc>
      </w:tr>
      <w:tr>
        <w:trPr>
          <w:trHeight w:val="20"/>
        </w:trPr>
        <w:tc>
          <w:tcPr>
            <w:tcW w:w="5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520"/>
        </w:trPr>
        <w:tc>
          <w:tcPr>
            <w:tcW w:w="58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Patrick Amstutz</w:t>
            </w:r>
          </w:p>
        </w:tc>
      </w:tr>
      <w:tr>
        <w:trPr>
          <w:trHeight w:val="499"/>
        </w:trPr>
        <w:tc>
          <w:tcPr>
            <w:tcW w:w="58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9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0280"/>
          </w:cols>
          <w:pgMar w:left="320" w:top="1292" w:right="129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i w:val="1"/>
          <w:iCs w:val="1"/>
          <w:color w:val="6D6D6D"/>
        </w:rPr>
        <w:drawing>
          <wp:anchor simplePos="0" relativeHeight="251657728" behindDoc="1" locked="0" layoutInCell="0" allowOverlap="1">
            <wp:simplePos x="0" y="0"/>
            <wp:positionH relativeFrom="page">
              <wp:posOffset>3945890</wp:posOffset>
            </wp:positionH>
            <wp:positionV relativeFrom="page">
              <wp:posOffset>88900</wp:posOffset>
            </wp:positionV>
            <wp:extent cx="1560195" cy="3771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560195" cy="377190"/>
                    </a:xfrm>
                    <a:prstGeom prst="rect">
                      <a:avLst/>
                    </a:prstGeom>
                    <a:noFill/>
                  </pic:spPr>
                </pic:pic>
              </a:graphicData>
            </a:graphic>
          </wp:anchor>
        </w:drawing>
        <w:t>PRESS RELEASE</w:t>
      </w:r>
    </w:p>
    <w:p>
      <w:pPr>
        <w:spacing w:after="0" w:line="200" w:lineRule="exact"/>
        <w:rPr>
          <w:sz w:val="20"/>
          <w:szCs w:val="20"/>
          <w:color w:val="auto"/>
        </w:rPr>
      </w:pPr>
    </w:p>
    <w:p>
      <w:pPr>
        <w:spacing w:after="0" w:line="355" w:lineRule="exact"/>
        <w:rPr>
          <w:sz w:val="20"/>
          <w:szCs w:val="20"/>
          <w:color w:val="auto"/>
        </w:rPr>
      </w:pPr>
    </w:p>
    <w:p>
      <w:pPr>
        <w:jc w:val="center"/>
        <w:spacing w:after="0" w:line="321" w:lineRule="auto"/>
        <w:rPr>
          <w:sz w:val="20"/>
          <w:szCs w:val="20"/>
          <w:color w:val="auto"/>
        </w:rPr>
      </w:pPr>
      <w:r>
        <w:rPr>
          <w:rFonts w:ascii="Arial" w:cs="Arial" w:eastAsia="Arial" w:hAnsi="Arial"/>
          <w:sz w:val="25"/>
          <w:szCs w:val="25"/>
          <w:b w:val="1"/>
          <w:bCs w:val="1"/>
          <w:color w:val="auto"/>
        </w:rPr>
        <w:t>Molecular Partners Reports Q3 2026 Financial Results, Deepens Focus on Targeted Radiotherapy</w:t>
      </w:r>
    </w:p>
    <w:p>
      <w:pPr>
        <w:spacing w:after="0" w:line="200" w:lineRule="exact"/>
        <w:rPr>
          <w:sz w:val="20"/>
          <w:szCs w:val="20"/>
          <w:color w:val="auto"/>
        </w:rPr>
      </w:pPr>
    </w:p>
    <w:p>
      <w:pPr>
        <w:spacing w:after="0" w:line="208" w:lineRule="exact"/>
        <w:rPr>
          <w:sz w:val="20"/>
          <w:szCs w:val="20"/>
          <w:color w:val="auto"/>
        </w:rPr>
      </w:pPr>
    </w:p>
    <w:p>
      <w:pPr>
        <w:ind w:left="660" w:right="320" w:hanging="328"/>
        <w:spacing w:after="0" w:line="370" w:lineRule="auto"/>
        <w:tabs>
          <w:tab w:leader="none" w:pos="621" w:val="left"/>
        </w:tabs>
        <w:numPr>
          <w:ilvl w:val="0"/>
          <w:numId w:val="8"/>
        </w:numPr>
        <w:rPr>
          <w:rFonts w:ascii="Arial" w:cs="Arial" w:eastAsia="Arial" w:hAnsi="Arial"/>
          <w:sz w:val="20"/>
          <w:szCs w:val="20"/>
          <w:i w:val="1"/>
          <w:iCs w:val="1"/>
          <w:color w:val="auto"/>
        </w:rPr>
      </w:pPr>
      <w:r>
        <w:rPr>
          <w:rFonts w:ascii="Arial" w:cs="Arial" w:eastAsia="Arial" w:hAnsi="Arial"/>
          <w:sz w:val="20"/>
          <w:szCs w:val="20"/>
          <w:i w:val="1"/>
          <w:iCs w:val="1"/>
          <w:color w:val="auto"/>
        </w:rPr>
        <w:t>Dosing ongoing in fully recruited dose level 2 of MP0712 Phase 1/2a study; initial safety data to be presented at North America Conference on Lung Cancer in December 2026, efficacy data expected in 2027</w:t>
      </w:r>
    </w:p>
    <w:p>
      <w:pPr>
        <w:spacing w:after="0" w:line="154" w:lineRule="exact"/>
        <w:rPr>
          <w:rFonts w:ascii="Arial" w:cs="Arial" w:eastAsia="Arial" w:hAnsi="Arial"/>
          <w:sz w:val="20"/>
          <w:szCs w:val="20"/>
          <w:i w:val="1"/>
          <w:iCs w:val="1"/>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Emerging clinical data from lead Radio-DARPin candidate MP0712 enables strategic focus on radiopharmaceuticals</w:t>
      </w:r>
    </w:p>
    <w:p>
      <w:pPr>
        <w:spacing w:after="0" w:line="310" w:lineRule="exact"/>
        <w:rPr>
          <w:rFonts w:ascii="Arial" w:cs="Arial" w:eastAsia="Arial" w:hAnsi="Arial"/>
          <w:sz w:val="20"/>
          <w:szCs w:val="20"/>
          <w:color w:val="auto"/>
        </w:rPr>
      </w:pPr>
    </w:p>
    <w:p>
      <w:pPr>
        <w:ind w:left="620" w:hanging="288"/>
        <w:spacing w:after="0"/>
        <w:tabs>
          <w:tab w:leader="none" w:pos="620" w:val="left"/>
        </w:tabs>
        <w:numPr>
          <w:ilvl w:val="0"/>
          <w:numId w:val="8"/>
        </w:numPr>
        <w:rPr>
          <w:rFonts w:ascii="Arial" w:cs="Arial" w:eastAsia="Arial" w:hAnsi="Arial"/>
          <w:sz w:val="20"/>
          <w:szCs w:val="20"/>
          <w:color w:val="auto"/>
        </w:rPr>
      </w:pPr>
      <w:r>
        <w:rPr>
          <w:rFonts w:ascii="Arial" w:cs="Arial" w:eastAsia="Arial" w:hAnsi="Arial"/>
          <w:sz w:val="20"/>
          <w:szCs w:val="20"/>
          <w:i w:val="1"/>
          <w:iCs w:val="1"/>
          <w:color w:val="auto"/>
        </w:rPr>
        <w:t>Streamlining of organization, in line with corporate focus, to advance Radio-DARPin programs</w:t>
      </w:r>
    </w:p>
    <w:p>
      <w:pPr>
        <w:spacing w:after="0" w:line="310" w:lineRule="exact"/>
        <w:rPr>
          <w:rFonts w:ascii="Arial" w:cs="Arial" w:eastAsia="Arial" w:hAnsi="Arial"/>
          <w:sz w:val="20"/>
          <w:szCs w:val="20"/>
          <w:color w:val="auto"/>
        </w:rPr>
      </w:pPr>
    </w:p>
    <w:p>
      <w:pPr>
        <w:ind w:left="660" w:right="440" w:hanging="328"/>
        <w:spacing w:after="0" w:line="370" w:lineRule="auto"/>
        <w:tabs>
          <w:tab w:leader="none" w:pos="621" w:val="left"/>
        </w:tabs>
        <w:numPr>
          <w:ilvl w:val="0"/>
          <w:numId w:val="8"/>
        </w:numPr>
        <w:rPr>
          <w:rFonts w:ascii="Arial" w:cs="Arial" w:eastAsia="Arial" w:hAnsi="Arial"/>
          <w:sz w:val="20"/>
          <w:szCs w:val="20"/>
          <w:i w:val="1"/>
          <w:iCs w:val="1"/>
          <w:color w:val="auto"/>
        </w:rPr>
      </w:pPr>
      <w:r>
        <w:rPr>
          <w:rFonts w:ascii="Arial" w:cs="Arial" w:eastAsia="Arial" w:hAnsi="Arial"/>
          <w:sz w:val="20"/>
          <w:szCs w:val="20"/>
          <w:i w:val="1"/>
          <w:iCs w:val="1"/>
          <w:color w:val="auto"/>
        </w:rPr>
        <w:t>Cash position of CHF 57.5 million (USD ~69 million) as of September 30, 2026, expected to fund operations into late 2027</w:t>
      </w:r>
    </w:p>
    <w:p>
      <w:pPr>
        <w:spacing w:after="0" w:line="369" w:lineRule="exact"/>
        <w:rPr>
          <w:sz w:val="20"/>
          <w:szCs w:val="20"/>
          <w:color w:val="auto"/>
        </w:rPr>
      </w:pPr>
    </w:p>
    <w:p>
      <w:pPr>
        <w:ind w:right="120"/>
        <w:spacing w:after="0" w:line="283" w:lineRule="auto"/>
        <w:rPr>
          <w:sz w:val="20"/>
          <w:szCs w:val="20"/>
          <w:color w:val="auto"/>
        </w:rPr>
      </w:pPr>
      <w:r>
        <w:rPr>
          <w:rFonts w:ascii="Arial" w:cs="Arial" w:eastAsia="Arial" w:hAnsi="Arial"/>
          <w:sz w:val="20"/>
          <w:szCs w:val="20"/>
          <w:b w:val="1"/>
          <w:bCs w:val="1"/>
          <w:color w:val="auto"/>
        </w:rPr>
        <w:t xml:space="preserve">Zurich-Schlieren, Switzerland and Concord, Mass., October 29, 2026 </w:t>
      </w:r>
      <w:r>
        <w:rPr>
          <w:rFonts w:ascii="Arial" w:cs="Arial" w:eastAsia="Arial" w:hAnsi="Arial"/>
          <w:sz w:val="20"/>
          <w:szCs w:val="20"/>
          <w:color w:val="auto"/>
        </w:rPr>
        <w:t>–</w:t>
      </w:r>
      <w:r>
        <w:rPr>
          <w:rFonts w:ascii="Arial" w:cs="Arial" w:eastAsia="Arial" w:hAnsi="Arial"/>
          <w:sz w:val="20"/>
          <w:szCs w:val="20"/>
          <w:b w:val="1"/>
          <w:bCs w:val="1"/>
          <w:color w:val="auto"/>
        </w:rPr>
        <w:t xml:space="preserve"> Ad hoc announcement pursuant to Art. 53 LR </w:t>
      </w:r>
      <w:r>
        <w:rPr>
          <w:rFonts w:ascii="Arial" w:cs="Arial" w:eastAsia="Arial" w:hAnsi="Arial"/>
          <w:sz w:val="20"/>
          <w:szCs w:val="20"/>
          <w:color w:val="auto"/>
        </w:rPr>
        <w:t>Molecular Partners AG (SIX, NASDAQ: MOLN), a clinical-stage biotech company developing a novel class of medicines known as DARPin therapeutics, (“Molecular Partners” or the “Company”), today announced corporate highlights and unaudited financial results for the third quarter of 2026, as well as a deepened focus on radiopharmaceuticals and streamlining of its resources.</w:t>
      </w:r>
    </w:p>
    <w:p>
      <w:pPr>
        <w:spacing w:after="0" w:line="199" w:lineRule="exact"/>
        <w:rPr>
          <w:sz w:val="20"/>
          <w:szCs w:val="20"/>
          <w:color w:val="auto"/>
        </w:rPr>
      </w:pPr>
    </w:p>
    <w:p>
      <w:pPr>
        <w:ind w:right="260"/>
        <w:spacing w:after="0" w:line="285" w:lineRule="auto"/>
        <w:rPr>
          <w:sz w:val="20"/>
          <w:szCs w:val="20"/>
          <w:color w:val="auto"/>
        </w:rPr>
      </w:pPr>
      <w:r>
        <w:rPr>
          <w:rFonts w:ascii="Arial" w:cs="Arial" w:eastAsia="Arial" w:hAnsi="Arial"/>
          <w:sz w:val="20"/>
          <w:szCs w:val="20"/>
          <w:color w:val="auto"/>
        </w:rPr>
        <w:t xml:space="preserve">"This third quarter marked a decisive step in Molecular Partners’ transformation into a dedicated radiopharmaceuticals company. Encouraged by the emerging Phase 1/2a data from MP0712, our DLL3 Radio-DARPin for SCLC, we believe now is the time to focus on targeted radiotherapy. With efficacy data expected in 2027, we will continue to execute our lead asset MP0712 and advance our clinical Radio-DARPin programs to deliver value to shareholders and meaningful benefit to cancer patients,” said </w:t>
      </w:r>
      <w:r>
        <w:rPr>
          <w:rFonts w:ascii="Arial" w:cs="Arial" w:eastAsia="Arial" w:hAnsi="Arial"/>
          <w:sz w:val="20"/>
          <w:szCs w:val="20"/>
          <w:b w:val="1"/>
          <w:bCs w:val="1"/>
          <w:color w:val="auto"/>
        </w:rPr>
        <w:t>Patrick Amstutz, Ph.D., CEO of Molecular Partners</w:t>
      </w:r>
      <w:r>
        <w:rPr>
          <w:rFonts w:ascii="Arial" w:cs="Arial" w:eastAsia="Arial" w:hAnsi="Arial"/>
          <w:sz w:val="20"/>
          <w:szCs w:val="20"/>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Focused Strategy &amp; Shaping of Organization to Advance Radiotherapeutics:</w:t>
      </w:r>
    </w:p>
    <w:p>
      <w:pPr>
        <w:spacing w:after="0" w:line="43" w:lineRule="exact"/>
        <w:rPr>
          <w:sz w:val="20"/>
          <w:szCs w:val="20"/>
          <w:color w:val="auto"/>
        </w:rPr>
      </w:pPr>
    </w:p>
    <w:p>
      <w:pPr>
        <w:jc w:val="both"/>
        <w:ind w:right="660"/>
        <w:spacing w:after="0" w:line="304" w:lineRule="auto"/>
        <w:rPr>
          <w:sz w:val="20"/>
          <w:szCs w:val="20"/>
          <w:color w:val="auto"/>
        </w:rPr>
      </w:pPr>
      <w:r>
        <w:rPr>
          <w:rFonts w:ascii="Arial" w:cs="Arial" w:eastAsia="Arial" w:hAnsi="Arial"/>
          <w:sz w:val="19"/>
          <w:szCs w:val="19"/>
          <w:color w:val="auto"/>
        </w:rPr>
        <w:t>Based on the emerging clinical profile of MP0712, Molecular Partners is deepening its strategic focus on radiotherapeutic medicines, with priority on executing on the Phase 1/2a study of its lead clinical candidate MP0712, and on advancing its growing pipeline of Radio-DARPin therapeutics, with the ambition to build a leading radiopharmaceuticals company.</w:t>
      </w:r>
    </w:p>
    <w:p>
      <w:pPr>
        <w:spacing w:after="0" w:line="168" w:lineRule="exact"/>
        <w:rPr>
          <w:sz w:val="20"/>
          <w:szCs w:val="20"/>
          <w:color w:val="auto"/>
        </w:rPr>
      </w:pPr>
    </w:p>
    <w:p>
      <w:pPr>
        <w:ind w:right="340"/>
        <w:spacing w:after="0" w:line="282" w:lineRule="auto"/>
        <w:rPr>
          <w:sz w:val="20"/>
          <w:szCs w:val="20"/>
          <w:color w:val="auto"/>
        </w:rPr>
      </w:pPr>
      <w:r>
        <w:rPr>
          <w:rFonts w:ascii="Arial" w:cs="Arial" w:eastAsia="Arial" w:hAnsi="Arial"/>
          <w:sz w:val="20"/>
          <w:szCs w:val="20"/>
          <w:color w:val="auto"/>
        </w:rPr>
        <w:t>Reflective of its corporate focus, the Company will streamline its capabilities and resources to support the successful development of its Radio-DARPin programs in the clinic. The Company has informed the Amt für Wirtschaft of Kanton Zürich (Office for Economic Affairs) of its intention to reduce its current workforce by no more than 55 positions, representing a potential of up to ~44% of positions. In accordance with Swiss employment law, a consultation process with employees has been initiated. Upon</w:t>
      </w:r>
    </w:p>
    <w:p>
      <w:pPr>
        <w:sectPr>
          <w:pgSz w:w="11900" w:h="16838" w:orient="portrait"/>
          <w:cols w:equalWidth="0" w:num="1">
            <w:col w:w="11240"/>
          </w:cols>
          <w:pgMar w:left="320" w:top="609" w:right="339" w:bottom="1440" w:gutter="0" w:footer="0" w:header="0"/>
        </w:sectPr>
      </w:pPr>
    </w:p>
    <w:bookmarkStart w:id="24" w:name="page25"/>
    <w:bookmarkEnd w:id="24"/>
    <w:p>
      <w:pPr>
        <w:spacing w:after="0" w:line="328" w:lineRule="auto"/>
        <w:rPr>
          <w:sz w:val="20"/>
          <w:szCs w:val="20"/>
          <w:color w:val="auto"/>
        </w:rPr>
      </w:pPr>
      <w:r>
        <w:rPr>
          <w:rFonts w:ascii="Arial" w:cs="Arial" w:eastAsia="Arial" w:hAnsi="Arial"/>
          <w:sz w:val="19"/>
          <w:szCs w:val="19"/>
          <w:color w:val="auto"/>
        </w:rPr>
        <w:t>completion of the consultation process, the Company will offer affected employees support. Molecular Partners foresees the full implementation of these changes enacted by Q2 2027 and the reduction of costs to become fully effective early in H2 2027.</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Molecular Partners maintains its previously announced timelines on its clinical assets.</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&amp; Development Highlights</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MP0712 (DLL3-targeting Radio-DARPin Therapy, RDT)</w:t>
      </w:r>
    </w:p>
    <w:p>
      <w:pPr>
        <w:spacing w:after="0" w:line="272" w:lineRule="exact"/>
        <w:rPr>
          <w:sz w:val="20"/>
          <w:szCs w:val="20"/>
          <w:color w:val="auto"/>
        </w:rPr>
      </w:pPr>
    </w:p>
    <w:p>
      <w:pPr>
        <w:ind w:right="60"/>
        <w:spacing w:after="0" w:line="247" w:lineRule="auto"/>
        <w:rPr>
          <w:sz w:val="20"/>
          <w:szCs w:val="20"/>
          <w:color w:val="auto"/>
        </w:rPr>
      </w:pPr>
      <w:r>
        <w:rPr>
          <w:rFonts w:ascii="Arial" w:cs="Arial" w:eastAsia="Arial" w:hAnsi="Arial"/>
          <w:sz w:val="20"/>
          <w:szCs w:val="20"/>
          <w:color w:val="auto"/>
        </w:rPr>
        <w:t xml:space="preserve">MP0712, the Company’s lead Radio-DARPin candidate targeting the tumor-associated antigen delta-like ligand 3 (DLL3) and carrying the therapeutic alpha-emitting payload </w:t>
      </w:r>
      <w:r>
        <w:rPr>
          <w:rFonts w:ascii="Arial" w:cs="Arial" w:eastAsia="Arial" w:hAnsi="Arial"/>
          <w:sz w:val="25"/>
          <w:szCs w:val="25"/>
          <w:color w:val="auto"/>
          <w:vertAlign w:val="superscript"/>
        </w:rPr>
        <w:t>212</w:t>
      </w:r>
      <w:r>
        <w:rPr>
          <w:rFonts w:ascii="Arial" w:cs="Arial" w:eastAsia="Arial" w:hAnsi="Arial"/>
          <w:sz w:val="20"/>
          <w:szCs w:val="20"/>
          <w:color w:val="auto"/>
        </w:rPr>
        <w:t xml:space="preserve">Pb, is being co-developed with strategic partner Orano Med, a pioneer in the development of </w:t>
      </w:r>
      <w:r>
        <w:rPr>
          <w:rFonts w:ascii="Arial" w:cs="Arial" w:eastAsia="Arial" w:hAnsi="Arial"/>
          <w:sz w:val="25"/>
          <w:szCs w:val="25"/>
          <w:color w:val="auto"/>
          <w:vertAlign w:val="superscript"/>
        </w:rPr>
        <w:t>212</w:t>
      </w:r>
      <w:r>
        <w:rPr>
          <w:rFonts w:ascii="Arial" w:cs="Arial" w:eastAsia="Arial" w:hAnsi="Arial"/>
          <w:sz w:val="20"/>
          <w:szCs w:val="20"/>
          <w:color w:val="auto"/>
        </w:rPr>
        <w:t>Pb-based targeted alpha therapies, for the treatment of small cell lung cancer (SCLC) and other neuroendocrine cancers.</w:t>
      </w:r>
    </w:p>
    <w:p>
      <w:pPr>
        <w:spacing w:after="0" w:line="231" w:lineRule="exact"/>
        <w:rPr>
          <w:sz w:val="20"/>
          <w:szCs w:val="20"/>
          <w:color w:val="auto"/>
        </w:rPr>
      </w:pPr>
    </w:p>
    <w:p>
      <w:pPr>
        <w:ind w:right="40"/>
        <w:spacing w:after="0" w:line="282" w:lineRule="auto"/>
        <w:rPr>
          <w:sz w:val="20"/>
          <w:szCs w:val="20"/>
          <w:color w:val="auto"/>
        </w:rPr>
      </w:pPr>
      <w:r>
        <w:rPr>
          <w:rFonts w:ascii="Arial" w:cs="Arial" w:eastAsia="Arial" w:hAnsi="Arial"/>
          <w:sz w:val="20"/>
          <w:szCs w:val="20"/>
          <w:color w:val="auto"/>
        </w:rPr>
        <w:t>The U.S. multicenter Phase 1/2a study of MP0712 (NCT07278479) is well underway with dosing ongoing in the fully recruited dose level 2 (105 MBq per dose) and 8 sites open. All 9 planned sites are expected to open in 2026. All patients in dose level 1 (75 MBq per dose) passed the safety observation period, with no dose-limiting events observed. All adverse events reported to date were mild to moderate (grade 1–2) and transient, resolving in time for the next regular dosing cycle. Initial safety data will be presented at the IASLC / ASCO North America Conference on Lung Cancer (NACLC) in December 2026. Efficacy data are expected in 2027.</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Next RDT Programs</w:t>
      </w:r>
    </w:p>
    <w:p>
      <w:pPr>
        <w:spacing w:after="0" w:line="285" w:lineRule="exact"/>
        <w:rPr>
          <w:sz w:val="20"/>
          <w:szCs w:val="20"/>
          <w:color w:val="auto"/>
        </w:rPr>
      </w:pPr>
    </w:p>
    <w:p>
      <w:pPr>
        <w:ind w:right="680"/>
        <w:spacing w:after="0" w:line="260" w:lineRule="auto"/>
        <w:rPr>
          <w:sz w:val="20"/>
          <w:szCs w:val="20"/>
          <w:color w:val="auto"/>
        </w:rPr>
      </w:pPr>
      <w:r>
        <w:rPr>
          <w:rFonts w:ascii="Arial" w:cs="Arial" w:eastAsia="Arial" w:hAnsi="Arial"/>
          <w:sz w:val="20"/>
          <w:szCs w:val="20"/>
          <w:color w:val="auto"/>
        </w:rPr>
        <w:t xml:space="preserve">Molecular Partners pursues an isotope-agnostic strategy for its pipeline of targeted alpha therapeutics. The versatility of DARPins allows interchangeability of alpha isotopes, including </w:t>
      </w:r>
      <w:r>
        <w:rPr>
          <w:rFonts w:ascii="Arial" w:cs="Arial" w:eastAsia="Arial" w:hAnsi="Arial"/>
          <w:sz w:val="25"/>
          <w:szCs w:val="25"/>
          <w:color w:val="auto"/>
          <w:vertAlign w:val="superscript"/>
        </w:rPr>
        <w:t>212</w:t>
      </w:r>
      <w:r>
        <w:rPr>
          <w:rFonts w:ascii="Arial" w:cs="Arial" w:eastAsia="Arial" w:hAnsi="Arial"/>
          <w:sz w:val="20"/>
          <w:szCs w:val="20"/>
          <w:color w:val="auto"/>
        </w:rPr>
        <w:t xml:space="preserve">Pb and </w:t>
      </w:r>
      <w:r>
        <w:rPr>
          <w:rFonts w:ascii="Arial" w:cs="Arial" w:eastAsia="Arial" w:hAnsi="Arial"/>
          <w:sz w:val="25"/>
          <w:szCs w:val="25"/>
          <w:color w:val="auto"/>
          <w:vertAlign w:val="superscript"/>
        </w:rPr>
        <w:t>225</w:t>
      </w:r>
      <w:r>
        <w:rPr>
          <w:rFonts w:ascii="Arial" w:cs="Arial" w:eastAsia="Arial" w:hAnsi="Arial"/>
          <w:sz w:val="20"/>
          <w:szCs w:val="20"/>
          <w:color w:val="auto"/>
        </w:rPr>
        <w:t>Ac and corresponding chelators, enabling candidates to be tailored to a specific target and disease biology.</w:t>
      </w:r>
    </w:p>
    <w:p>
      <w:pPr>
        <w:spacing w:after="0" w:line="216" w:lineRule="exact"/>
        <w:rPr>
          <w:sz w:val="20"/>
          <w:szCs w:val="20"/>
          <w:color w:val="auto"/>
        </w:rPr>
      </w:pPr>
    </w:p>
    <w:p>
      <w:pPr>
        <w:ind w:right="180"/>
        <w:spacing w:after="0" w:line="297" w:lineRule="auto"/>
        <w:rPr>
          <w:sz w:val="20"/>
          <w:szCs w:val="20"/>
          <w:color w:val="auto"/>
        </w:rPr>
      </w:pPr>
      <w:r>
        <w:rPr>
          <w:rFonts w:ascii="Arial" w:cs="Arial" w:eastAsia="Arial" w:hAnsi="Arial"/>
          <w:sz w:val="20"/>
          <w:szCs w:val="20"/>
          <w:color w:val="auto"/>
        </w:rPr>
        <w:t xml:space="preserve">The Nuclear Medicine Research Infrastructure (NuMeRI) has initiated an early-access clinical program, under the legal framework for compassionate care in South Africa, to image and treat patients with MP0714, a DLL3-targeting Radio-DARPin labeled with </w:t>
      </w:r>
      <w:r>
        <w:rPr>
          <w:rFonts w:ascii="Arial" w:cs="Arial" w:eastAsia="Arial" w:hAnsi="Arial"/>
          <w:sz w:val="25"/>
          <w:szCs w:val="25"/>
          <w:color w:val="auto"/>
          <w:vertAlign w:val="superscript"/>
        </w:rPr>
        <w:t>177</w:t>
      </w:r>
      <w:r>
        <w:rPr>
          <w:rFonts w:ascii="Arial" w:cs="Arial" w:eastAsia="Arial" w:hAnsi="Arial"/>
          <w:sz w:val="20"/>
          <w:szCs w:val="20"/>
          <w:color w:val="auto"/>
        </w:rPr>
        <w:t xml:space="preserve">Lu and </w:t>
      </w:r>
      <w:r>
        <w:rPr>
          <w:rFonts w:ascii="Arial" w:cs="Arial" w:eastAsia="Arial" w:hAnsi="Arial"/>
          <w:sz w:val="25"/>
          <w:szCs w:val="25"/>
          <w:color w:val="auto"/>
          <w:vertAlign w:val="superscript"/>
        </w:rPr>
        <w:t>225</w:t>
      </w:r>
      <w:r>
        <w:rPr>
          <w:rFonts w:ascii="Arial" w:cs="Arial" w:eastAsia="Arial" w:hAnsi="Arial"/>
          <w:sz w:val="20"/>
          <w:szCs w:val="20"/>
          <w:color w:val="auto"/>
        </w:rPr>
        <w:t>Ac,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color w:val="auto"/>
        </w:rPr>
        <w:t>The Company’s MSLN-targeting RDT program MP0726 is advancing to first-in-human imaging in H2 2026.</w:t>
      </w:r>
    </w:p>
    <w:p>
      <w:pPr>
        <w:spacing w:after="0" w:line="31" w:lineRule="exact"/>
        <w:rPr>
          <w:sz w:val="20"/>
          <w:szCs w:val="20"/>
          <w:color w:val="auto"/>
        </w:rPr>
      </w:pPr>
    </w:p>
    <w:p>
      <w:pPr>
        <w:ind w:right="100"/>
        <w:spacing w:after="0" w:line="281" w:lineRule="auto"/>
        <w:rPr>
          <w:sz w:val="20"/>
          <w:szCs w:val="20"/>
          <w:color w:val="auto"/>
        </w:rPr>
      </w:pPr>
      <w:r>
        <w:rPr>
          <w:rFonts w:ascii="Arial" w:cs="Arial" w:eastAsia="Arial" w:hAnsi="Arial"/>
          <w:sz w:val="20"/>
          <w:szCs w:val="20"/>
          <w:color w:val="auto"/>
        </w:rPr>
        <w:t>In addition, Molecular Partners has nominated MP0730, targeting the tumor-associated antigen CD70, as the third asset for its growing RDT pipeline. At the Discovery on Target – Radioligand Therapies conference in October 2026, the Company presented first data outlining an attractive biodistribution profile of MP0730 in tumor-bearing mice, with strong and sustained tumor uptake relative to healthy tissues, including kidney, liver and blood. First-in-human program is anticipated to start mid 2027.</w:t>
      </w:r>
    </w:p>
    <w:p>
      <w:pPr>
        <w:spacing w:after="0" w:line="215" w:lineRule="exact"/>
        <w:rPr>
          <w:sz w:val="20"/>
          <w:szCs w:val="20"/>
          <w:color w:val="auto"/>
        </w:rPr>
      </w:pPr>
    </w:p>
    <w:p>
      <w:pPr>
        <w:jc w:val="both"/>
        <w:ind w:right="100"/>
        <w:spacing w:after="0" w:line="290" w:lineRule="auto"/>
        <w:rPr>
          <w:sz w:val="20"/>
          <w:szCs w:val="20"/>
          <w:color w:val="auto"/>
        </w:rPr>
      </w:pPr>
      <w:r>
        <w:rPr>
          <w:rFonts w:ascii="Arial" w:cs="Arial" w:eastAsia="Arial" w:hAnsi="Arial"/>
          <w:sz w:val="20"/>
          <w:szCs w:val="20"/>
          <w:color w:val="auto"/>
        </w:rPr>
        <w:t>Molecular Partners is also developing next-generation multispecific Radio-DARPins designed to engage multiple tumor targets simultaneously, with the aim of improving precision and therapeutic efficacy for highly heterogenous cancers, as showcased at the Gordon Research Conference Radionuclide Theranostics for the Management of Cancer in July 2026.</w:t>
      </w:r>
    </w:p>
    <w:p>
      <w:pPr>
        <w:sectPr>
          <w:pgSz w:w="11900" w:h="16838" w:orient="portrait"/>
          <w:cols w:equalWidth="0" w:num="1">
            <w:col w:w="11140"/>
          </w:cols>
          <w:pgMar w:left="320" w:top="1346" w:right="439" w:bottom="1440" w:gutter="0" w:footer="0" w:header="0"/>
        </w:sectPr>
      </w:pPr>
    </w:p>
    <w:bookmarkStart w:id="25" w:name="page26"/>
    <w:bookmarkEnd w:id="25"/>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Immune Cell Engagers</w:t>
      </w:r>
    </w:p>
    <w:p>
      <w:pPr>
        <w:spacing w:after="0" w:line="272" w:lineRule="exact"/>
        <w:rPr>
          <w:sz w:val="20"/>
          <w:szCs w:val="20"/>
          <w:color w:val="auto"/>
        </w:rPr>
      </w:pPr>
    </w:p>
    <w:p>
      <w:pPr>
        <w:ind w:right="160"/>
        <w:spacing w:after="0" w:line="287" w:lineRule="auto"/>
        <w:rPr>
          <w:sz w:val="20"/>
          <w:szCs w:val="20"/>
          <w:color w:val="auto"/>
        </w:rPr>
      </w:pPr>
      <w:r>
        <w:rPr>
          <w:rFonts w:ascii="Arial" w:cs="Arial" w:eastAsia="Arial" w:hAnsi="Arial"/>
          <w:sz w:val="20"/>
          <w:szCs w:val="20"/>
          <w:color w:val="auto"/>
        </w:rPr>
        <w:t>As part of its strategic focus on radiopharmaceuticals, Molecular Partners will continue to explore the broad therapeutic potential of its DARPin platforms, including Switch-DARPins inside and outside of oncology, through strategic partnerships and platform-derived spin-out opportunities, representing potential upside beyond its focus on radiotherapeutics. Recent activities from these programs include:</w:t>
      </w:r>
    </w:p>
    <w:p>
      <w:pPr>
        <w:spacing w:after="0" w:line="169" w:lineRule="exact"/>
        <w:rPr>
          <w:sz w:val="20"/>
          <w:szCs w:val="20"/>
          <w:color w:val="auto"/>
        </w:rPr>
      </w:pPr>
    </w:p>
    <w:p>
      <w:pPr>
        <w:ind w:left="660" w:right="560" w:hanging="328"/>
        <w:spacing w:after="0" w:line="277"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A trial-in-progress poster on MP0317, a FAP-localized CD40 agonist, presented by the Phase 2 investigators at the European Society for Medical Oncology (ESMO) Congress 2026.</w:t>
      </w:r>
    </w:p>
    <w:p>
      <w:pPr>
        <w:ind w:left="660" w:right="240" w:hanging="328"/>
        <w:spacing w:after="0" w:line="274"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Presentation of new pre-clinical data on MP0632, a logic-gated T cell engager, at the Annual Meeting of the Society for Immunotherapy of Cancer (SITC) in November 2026.</w:t>
      </w:r>
    </w:p>
    <w:p>
      <w:pPr>
        <w:spacing w:after="0" w:line="1" w:lineRule="exact"/>
        <w:rPr>
          <w:rFonts w:ascii="Arial" w:cs="Arial" w:eastAsia="Arial" w:hAnsi="Arial"/>
          <w:sz w:val="20"/>
          <w:szCs w:val="20"/>
          <w:color w:val="auto"/>
        </w:rPr>
      </w:pPr>
    </w:p>
    <w:p>
      <w:pPr>
        <w:ind w:left="660" w:right="160" w:hanging="328"/>
        <w:spacing w:after="0" w:line="288" w:lineRule="auto"/>
        <w:tabs>
          <w:tab w:leader="none" w:pos="621" w:val="left"/>
        </w:tabs>
        <w:numPr>
          <w:ilvl w:val="0"/>
          <w:numId w:val="9"/>
        </w:numPr>
        <w:rPr>
          <w:rFonts w:ascii="Arial" w:cs="Arial" w:eastAsia="Arial" w:hAnsi="Arial"/>
          <w:sz w:val="20"/>
          <w:szCs w:val="20"/>
          <w:color w:val="auto"/>
        </w:rPr>
      </w:pPr>
      <w:r>
        <w:rPr>
          <w:rFonts w:ascii="Arial" w:cs="Arial" w:eastAsia="Arial" w:hAnsi="Arial"/>
          <w:sz w:val="20"/>
          <w:szCs w:val="20"/>
          <w:color w:val="auto"/>
        </w:rPr>
        <w:t>Presentation of results from the completed Phase 1/2a dose escalation of MP0533, a novel tetra-specific T cell engager designed for selective mutation-agnostic killing of AML cells, at the American Society of Hematology (ASH) Annual Meeting in December 2026.</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Business Outlook</w:t>
      </w:r>
    </w:p>
    <w:p>
      <w:pPr>
        <w:spacing w:after="0" w:line="272" w:lineRule="exact"/>
        <w:rPr>
          <w:sz w:val="20"/>
          <w:szCs w:val="20"/>
          <w:color w:val="auto"/>
        </w:rPr>
      </w:pPr>
    </w:p>
    <w:p>
      <w:pPr>
        <w:ind w:right="160"/>
        <w:spacing w:after="0" w:line="290" w:lineRule="auto"/>
        <w:rPr>
          <w:sz w:val="20"/>
          <w:szCs w:val="20"/>
          <w:color w:val="auto"/>
        </w:rPr>
      </w:pPr>
      <w:r>
        <w:rPr>
          <w:rFonts w:ascii="Arial" w:cs="Arial" w:eastAsia="Arial" w:hAnsi="Arial"/>
          <w:sz w:val="20"/>
          <w:szCs w:val="20"/>
          <w:color w:val="auto"/>
        </w:rPr>
        <w:t>For the full year 2026, at constant exchange rates, the Company updates its forecast with total operating expenses of CHF 50-55 million expected, including approximately CHF 5 million of non-cash effective costs for share-based payments, IFRS pension accounting and depreciation.</w:t>
      </w:r>
    </w:p>
    <w:p>
      <w:pPr>
        <w:spacing w:after="0" w:line="206" w:lineRule="exact"/>
        <w:rPr>
          <w:sz w:val="20"/>
          <w:szCs w:val="20"/>
          <w:color w:val="auto"/>
        </w:rPr>
      </w:pPr>
    </w:p>
    <w:p>
      <w:pPr>
        <w:ind w:right="100"/>
        <w:spacing w:after="0" w:line="290" w:lineRule="auto"/>
        <w:rPr>
          <w:sz w:val="20"/>
          <w:szCs w:val="20"/>
          <w:color w:val="auto"/>
        </w:rPr>
      </w:pPr>
      <w:r>
        <w:rPr>
          <w:rFonts w:ascii="Arial" w:cs="Arial" w:eastAsia="Arial" w:hAnsi="Arial"/>
          <w:sz w:val="20"/>
          <w:szCs w:val="20"/>
          <w:color w:val="auto"/>
        </w:rPr>
        <w:t>The Company's cash and cash equivalents are CHF 57.5 million (USD ~69 million) as of September 30, 2026 and based on current operating assumptions, is expected to be sufficient to fund its operating expenses and capital expenditure requirements into late 2027.</w:t>
      </w:r>
    </w:p>
    <w:p>
      <w:pPr>
        <w:spacing w:after="0" w:line="179"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auto"/>
        </w:rPr>
        <w:t>The financial impact from the restructuring is not estimable at this time, as Molecular Partners is still assessing the specifics of affected employees. The Company expects to be able to provide an estimate of the expected restructuring charge, including employee termination costs, as part of the full year 2026 results in early 2027.</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Calendar</w:t>
      </w:r>
    </w:p>
    <w:p>
      <w:pPr>
        <w:spacing w:after="0" w:line="300" w:lineRule="exact"/>
        <w:rPr>
          <w:sz w:val="20"/>
          <w:szCs w:val="20"/>
          <w:color w:val="auto"/>
        </w:rPr>
      </w:pPr>
    </w:p>
    <w:tbl>
      <w:tblPr>
        <w:tblLayout w:type="fixed"/>
        <w:tblInd w:w="10" w:type="dxa"/>
        <w:tblCellMar>
          <w:top w:w="0" w:type="dxa"/>
          <w:left w:w="0" w:type="dxa"/>
          <w:bottom w:w="0" w:type="dxa"/>
          <w:right w:w="0" w:type="dxa"/>
        </w:tblCellMar>
      </w:tblPr>
      <w:tr>
        <w:trPr>
          <w:trHeight w:val="294"/>
        </w:trPr>
        <w:tc>
          <w:tcPr>
            <w:tcW w:w="29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March 5, 2027</w:t>
            </w:r>
          </w:p>
        </w:tc>
        <w:tc>
          <w:tcPr>
            <w:tcW w:w="808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Full Year 2026 results</w:t>
            </w:r>
          </w:p>
        </w:tc>
      </w:tr>
      <w:tr>
        <w:trPr>
          <w:trHeight w:val="260"/>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8080" w:type="dxa"/>
            <w:vAlign w:val="bottom"/>
            <w:tcBorders>
              <w:bottom w:val="single" w:sz="8" w:color="auto"/>
              <w:right w:val="single" w:sz="8" w:color="auto"/>
            </w:tcBorders>
          </w:tcPr>
          <w:p>
            <w:pPr>
              <w:spacing w:after="0"/>
              <w:rPr>
                <w:sz w:val="22"/>
                <w:szCs w:val="22"/>
                <w:color w:val="auto"/>
              </w:rPr>
            </w:pPr>
          </w:p>
        </w:tc>
      </w:tr>
      <w:tr>
        <w:trPr>
          <w:trHeight w:val="273"/>
        </w:trPr>
        <w:tc>
          <w:tcPr>
            <w:tcW w:w="29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April 14, 2027</w:t>
            </w:r>
          </w:p>
        </w:tc>
        <w:tc>
          <w:tcPr>
            <w:tcW w:w="808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Annual General Meeting</w:t>
            </w:r>
          </w:p>
        </w:tc>
      </w:tr>
      <w:tr>
        <w:trPr>
          <w:trHeight w:val="260"/>
        </w:trPr>
        <w:tc>
          <w:tcPr>
            <w:tcW w:w="2900" w:type="dxa"/>
            <w:vAlign w:val="bottom"/>
            <w:tcBorders>
              <w:left w:val="single" w:sz="8" w:color="auto"/>
              <w:bottom w:val="single" w:sz="8" w:color="auto"/>
              <w:right w:val="single" w:sz="8" w:color="auto"/>
            </w:tcBorders>
          </w:tcPr>
          <w:p>
            <w:pPr>
              <w:spacing w:after="0"/>
              <w:rPr>
                <w:sz w:val="22"/>
                <w:szCs w:val="22"/>
                <w:color w:val="auto"/>
              </w:rPr>
            </w:pPr>
          </w:p>
        </w:tc>
        <w:tc>
          <w:tcPr>
            <w:tcW w:w="808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The latest timing of the above events can be viewed on the investor section of the website.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About Molecular Partners AG</w:t>
      </w:r>
    </w:p>
    <w:p>
      <w:pPr>
        <w:spacing w:after="0" w:line="43" w:lineRule="exact"/>
        <w:rPr>
          <w:sz w:val="20"/>
          <w:szCs w:val="20"/>
          <w:color w:val="auto"/>
        </w:rPr>
      </w:pPr>
    </w:p>
    <w:p>
      <w:pPr>
        <w:spacing w:after="0" w:line="249" w:lineRule="auto"/>
        <w:rPr>
          <w:sz w:val="20"/>
          <w:szCs w:val="20"/>
          <w:color w:val="auto"/>
        </w:rPr>
      </w:pPr>
      <w:r>
        <w:rPr>
          <w:rFonts w:ascii="Arial" w:cs="Arial" w:eastAsia="Arial" w:hAnsi="Arial"/>
          <w:sz w:val="20"/>
          <w:szCs w:val="20"/>
          <w:color w:val="auto"/>
        </w:rPr>
        <w:t>Molecular Partners AG (SIX, NASDAQ: MOLN) is a clinical-stage biotech company pioneering a novel class of medicines known as DARPin therapeutics for cancer patients underserved by existing treatment modalities. Molecular Partners focuses on the development of targeted radiotherapeutics, leveraging the unique properties of DARPin miniproteins as isotope-agnostic vector. The Company’s lead medicine</w:t>
      </w:r>
    </w:p>
    <w:p>
      <w:pPr>
        <w:sectPr>
          <w:pgSz w:w="11900" w:h="16838" w:orient="portrait"/>
          <w:cols w:equalWidth="0" w:num="1">
            <w:col w:w="11220"/>
          </w:cols>
          <w:pgMar w:left="320" w:top="1440" w:right="359" w:bottom="1440" w:gutter="0" w:footer="0" w:header="0"/>
        </w:sectPr>
      </w:pPr>
    </w:p>
    <w:bookmarkStart w:id="26" w:name="page27"/>
    <w:bookmarkEnd w:id="26"/>
    <w:p>
      <w:pPr>
        <w:spacing w:after="0" w:line="236" w:lineRule="auto"/>
        <w:rPr>
          <w:sz w:val="20"/>
          <w:szCs w:val="20"/>
          <w:color w:val="auto"/>
        </w:rPr>
      </w:pPr>
      <w:r>
        <w:rPr>
          <w:rFonts w:ascii="Arial" w:cs="Arial" w:eastAsia="Arial" w:hAnsi="Arial"/>
          <w:sz w:val="20"/>
          <w:szCs w:val="20"/>
          <w:color w:val="auto"/>
        </w:rPr>
        <w:t xml:space="preserve">MP0712, targeting DLL3 and armed with </w:t>
      </w:r>
      <w:r>
        <w:rPr>
          <w:rFonts w:ascii="Arial" w:cs="Arial" w:eastAsia="Arial" w:hAnsi="Arial"/>
          <w:sz w:val="25"/>
          <w:szCs w:val="25"/>
          <w:color w:val="auto"/>
          <w:vertAlign w:val="superscript"/>
        </w:rPr>
        <w:t>212</w:t>
      </w:r>
      <w:r>
        <w:rPr>
          <w:rFonts w:ascii="Arial" w:cs="Arial" w:eastAsia="Arial" w:hAnsi="Arial"/>
          <w:sz w:val="20"/>
          <w:szCs w:val="20"/>
          <w:color w:val="auto"/>
        </w:rPr>
        <w:t>Pb, advances in a US multicenter Phase 1/2a study for patients with small cell lung cancer and other neuroendocrine cancers. Molecular Partners has established partnerships with industry leaders and academic centers covering the full value chain of radiotherapeutics. Molecular Partners, founded in 2004, has offices in both Zurich, Switzerland and Concord, MA, USA. For more information, visit www.molecularpartners.com and find us on LinkedIn.</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b w:val="1"/>
          <w:bCs w:val="1"/>
          <w:color w:val="231F20"/>
        </w:rPr>
        <w:t>For further details, please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Seth Lewis, EVP Corporate Finance</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Concord, Massachusetts, U.S.</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seth.lewis@molecularpartners.com</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Tel: +1 781 420 2361</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Laura Jeanbart, PhD, Head of Portfolio Management &amp; Corporate Communications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Zurich-Schlieren, Switzerland</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laura.jeanbart@molecularpartners.com</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Tel: +41 44 575 19 35</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45" w:lineRule="exact"/>
        <w:rPr>
          <w:sz w:val="20"/>
          <w:szCs w:val="20"/>
          <w:color w:val="auto"/>
        </w:rPr>
      </w:pPr>
    </w:p>
    <w:p>
      <w:pPr>
        <w:ind w:right="100"/>
        <w:spacing w:after="0" w:line="292" w:lineRule="auto"/>
        <w:rPr>
          <w:sz w:val="20"/>
          <w:szCs w:val="20"/>
          <w:color w:val="auto"/>
        </w:rPr>
      </w:pPr>
      <w:r>
        <w:rPr>
          <w:rFonts w:ascii="Arial" w:cs="Arial" w:eastAsia="Arial" w:hAnsi="Arial"/>
          <w:sz w:val="19"/>
          <w:szCs w:val="19"/>
          <w:color w:val="auto"/>
        </w:rPr>
        <w:t>This press release contains forward-looking statements. Any statements contained in this press release that do not describe historical facts may constitute forward-looking statements as that term is defined in the Private Securities Litigation Reform Act of 1995, as amended, including without limitation: implied and express statements regarding the clinical development of Molecular Partners’ current or future product candidates; expectations regarding timing for reporting data from ongoing clinical trials or the initiation of future clinical trials; the potential therapeutic and clinical benefits of Molecular Partners’ product candidates and its RDT and Switch-DARPin platforms; the selection and development of future programs; Molecular Partners’ collaboration with Orano Med including the benefits and results that may be achieved through the collaboration; Molecular Partners' plans to streamline its organization and related workforce reductions, and its anticipated scope, cost, timing and benefits; and Molecular Partners’ expected business and financial outlook, including anticipated expenses and cash utilization for 2026 and its expectation of its current cash runway. These statements may be identified by words such as “aim”, “anticipate”, “expect”, “guidance”, “intend”, “outlook”, “plan”, “potential”, “will” and similar expressions, and are based on Molecular Partners’ current beliefs and expectations. These statements involve risks and uncertainties that could cause actual results to differ materially from those reflected in such statements. Some of the key factors that could cause actual results to differ from Molecular Partners’ expectations include, but are not limited to, those set forth under the heading “Risk Factors” in Molecular Partners’ Annual Report on Form 20-F for the year ended December 31, 2025 and other filings Molecular Partners makes with the SEC from time to time. These documents are available on the Investors page of Molecular Partners’ website at www.molecularpartners.com. In addition, this press release contains information relating to interim data as of the relevant data cutoff date, results of which may differ from topline results that may be obtained in the future.</w:t>
      </w:r>
    </w:p>
    <w:p>
      <w:pPr>
        <w:spacing w:after="0" w:line="197" w:lineRule="exact"/>
        <w:rPr>
          <w:sz w:val="20"/>
          <w:szCs w:val="20"/>
          <w:color w:val="auto"/>
        </w:rPr>
      </w:pPr>
    </w:p>
    <w:p>
      <w:pPr>
        <w:ind w:right="620"/>
        <w:spacing w:after="0" w:line="314" w:lineRule="auto"/>
        <w:rPr>
          <w:sz w:val="20"/>
          <w:szCs w:val="20"/>
          <w:color w:val="auto"/>
        </w:rPr>
      </w:pPr>
      <w:r>
        <w:rPr>
          <w:rFonts w:ascii="Arial" w:cs="Arial" w:eastAsia="Arial" w:hAnsi="Arial"/>
          <w:sz w:val="20"/>
          <w:szCs w:val="20"/>
          <w:color w:val="auto"/>
        </w:rPr>
        <w:t>Any forward-looking statements speak only as of the date of this press release and are based on information available to Molecular Partners as of the date of this release, and Molecular Partners</w:t>
      </w:r>
    </w:p>
    <w:p>
      <w:pPr>
        <w:sectPr>
          <w:pgSz w:w="11900" w:h="16838" w:orient="portrait"/>
          <w:cols w:equalWidth="0" w:num="1">
            <w:col w:w="11160"/>
          </w:cols>
          <w:pgMar w:left="320" w:top="1333" w:right="419" w:bottom="1440" w:gutter="0" w:footer="0" w:header="0"/>
        </w:sectPr>
      </w:pPr>
    </w:p>
    <w:bookmarkStart w:id="27" w:name="page28"/>
    <w:bookmarkEnd w:id="27"/>
    <w:p>
      <w:pPr>
        <w:spacing w:after="0" w:line="300" w:lineRule="auto"/>
        <w:rPr>
          <w:sz w:val="20"/>
          <w:szCs w:val="20"/>
          <w:color w:val="auto"/>
        </w:rPr>
      </w:pPr>
      <w:r>
        <w:rPr>
          <w:rFonts w:ascii="Arial" w:cs="Arial" w:eastAsia="Arial" w:hAnsi="Arial"/>
          <w:sz w:val="20"/>
          <w:szCs w:val="20"/>
          <w:color w:val="auto"/>
        </w:rPr>
        <w:t>assumes no obligation to, and does not intend to, update any forward-looking statements, whether as a result of new information, future events or otherwise.</w:t>
      </w:r>
    </w:p>
    <w:sectPr>
      <w:pgSz w:w="11900" w:h="16838" w:orient="portrait"/>
      <w:cols w:equalWidth="0" w:num="1">
        <w:col w:w="10200"/>
      </w:cols>
      <w:pgMar w:left="320" w:top="134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1."/>
      <w:numFmt w:val="decimal"/>
      <w:start w:val="5"/>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2026-10-29T05:25:34Z</dcterms:created>
  <dcterms:modified xsi:type="dcterms:W3CDTF">2026-10-29T05:25:34Z</dcterms:modified>
</cp:coreProperties>
</file>